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pPr>
      <w:r>
        <w:drawing xmlns:a="http://schemas.openxmlformats.org/drawingml/2006/main">
          <wp:inline distT="0" distB="0" distL="0" distR="0">
            <wp:extent cx="2025754" cy="838243"/>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2025754" cy="838243"/>
                    </a:xfrm>
                    <a:prstGeom prst="rect">
                      <a:avLst/>
                    </a:prstGeom>
                    <a:ln w="12700" cap="flat">
                      <a:noFill/>
                      <a:miter lim="400000"/>
                    </a:ln>
                    <a:effectLst/>
                  </pic:spPr>
                </pic:pic>
              </a:graphicData>
            </a:graphic>
          </wp:inline>
        </w:drawing>
      </w:r>
    </w:p>
    <w:p>
      <w:pPr>
        <w:pStyle w:val="Body"/>
        <w:jc w:val="center"/>
      </w:pPr>
    </w:p>
    <w:p>
      <w:pPr>
        <w:pStyle w:val="Body"/>
        <w:jc w:val="center"/>
        <w:rPr>
          <w:b w:val="1"/>
          <w:bCs w:val="1"/>
          <w:sz w:val="32"/>
          <w:szCs w:val="32"/>
        </w:rPr>
      </w:pPr>
      <w:r>
        <w:rPr>
          <w:b w:val="1"/>
          <w:bCs w:val="1"/>
          <w:sz w:val="32"/>
          <w:szCs w:val="32"/>
          <w:rtl w:val="0"/>
          <w:lang w:val="en-US"/>
        </w:rPr>
        <w:t>Proposal: Business Plan for an Existing Company</w:t>
      </w:r>
    </w:p>
    <w:tbl>
      <w:tblPr>
        <w:tblW w:w="902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068"/>
        <w:gridCol w:w="5952"/>
      </w:tblGrid>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sz w:val="28"/>
                <w:szCs w:val="28"/>
                <w:shd w:val="nil" w:color="auto" w:fill="auto"/>
                <w:rtl w:val="0"/>
                <w:lang w:val="en-US"/>
              </w:rPr>
              <w:t>Student Name</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Kharul Alam Riad</w:t>
            </w: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ID</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2438577</w:t>
            </w: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 xml:space="preserve">Program </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MBA</w:t>
            </w: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Module Code</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LCMB 7037</w:t>
            </w: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Module</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Business Development proposal</w:t>
            </w: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after="0" w:line="240" w:lineRule="auto"/>
              <w:jc w:val="left"/>
            </w:pPr>
            <w:r>
              <w:rPr>
                <w:b w:val="1"/>
                <w:bCs w:val="1"/>
                <w:sz w:val="28"/>
                <w:szCs w:val="28"/>
                <w:shd w:val="nil" w:color="auto" w:fill="auto"/>
                <w:rtl w:val="0"/>
                <w:lang w:val="en-US"/>
              </w:rPr>
              <w:t>Assignment Title</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18" w:hRule="atLeast"/>
        </w:trPr>
        <w:tc>
          <w:tcPr>
            <w:tcW w:type="dxa" w:w="30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Supervisor</w:t>
            </w:r>
          </w:p>
        </w:tc>
        <w:tc>
          <w:tcPr>
            <w:tcW w:type="dxa" w:w="59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Ejike Udeogu</w:t>
            </w:r>
          </w:p>
        </w:tc>
      </w:tr>
    </w:tbl>
    <w:p>
      <w:pPr>
        <w:pStyle w:val="Body"/>
        <w:widowControl w:val="0"/>
        <w:spacing w:line="240" w:lineRule="auto"/>
        <w:jc w:val="center"/>
        <w:rPr>
          <w:b w:val="1"/>
          <w:bCs w:val="1"/>
          <w:sz w:val="32"/>
          <w:szCs w:val="32"/>
        </w:rPr>
      </w:pPr>
    </w:p>
    <w:p>
      <w:pPr>
        <w:pStyle w:val="Body"/>
      </w:pPr>
      <w:r>
        <w:rPr>
          <w:rFonts w:ascii="Arial Unicode MS" w:cs="Arial Unicode MS" w:hAnsi="Arial Unicode MS" w:eastAsia="Arial Unicode MS"/>
          <w:b w:val="0"/>
          <w:bCs w:val="0"/>
          <w:i w:val="0"/>
          <w:iCs w:val="0"/>
        </w:rPr>
        <w:br w:type="page"/>
      </w:r>
    </w:p>
    <w:p>
      <w:pPr>
        <w:pStyle w:val="TOC Heading"/>
        <w:rPr>
          <w:rFonts w:ascii="Times New Roman" w:cs="Times New Roman" w:hAnsi="Times New Roman" w:eastAsia="Times New Roman"/>
          <w:b w:val="1"/>
          <w:bCs w:val="1"/>
          <w:outline w:val="0"/>
          <w:color w:val="000000"/>
          <w:u w:color="000000"/>
          <w:lang w:val="en-US"/>
          <w14:textFill>
            <w14:solidFill>
              <w14:srgbClr w14:val="000000"/>
            </w14:solidFill>
          </w14:textFill>
        </w:rPr>
      </w:pPr>
      <w:r>
        <w:rPr>
          <w:rFonts w:ascii="Times New Roman" w:hAnsi="Times New Roman"/>
          <w:b w:val="1"/>
          <w:bCs w:val="1"/>
          <w:outline w:val="0"/>
          <w:color w:val="000000"/>
          <w:u w:color="000000"/>
          <w:rtl w:val="0"/>
          <w:lang w:val="en-US"/>
          <w14:textFill>
            <w14:solidFill>
              <w14:srgbClr w14:val="000000"/>
            </w14:solidFill>
          </w14:textFill>
        </w:rPr>
        <w:t>Table of Contents</w:t>
      </w:r>
    </w:p>
    <w:p>
      <w:pPr>
        <w:pStyle w:val="Body"/>
      </w:pPr>
      <w:r>
        <w:rPr>
          <w:b w:val="1"/>
          <w:bCs w:val="1"/>
          <w:outline w:val="0"/>
          <w:color w:val="000000"/>
          <w:u w:color="000000"/>
          <w:lang w:val="en-US"/>
          <w14:textFill>
            <w14:solidFill>
              <w14:srgbClr w14:val="000000"/>
            </w14:solidFill>
          </w14:textFill>
        </w:rPr>
        <w:fldChar w:fldCharType="begin" w:fldLock="0"/>
      </w:r>
      <w:r>
        <w:rPr>
          <w:b w:val="1"/>
          <w:bCs w:val="1"/>
          <w:outline w:val="0"/>
          <w:color w:val="000000"/>
          <w:u w:color="000000"/>
          <w:lang w:val="en-US"/>
          <w14:textFill>
            <w14:solidFill>
              <w14:srgbClr w14:val="000000"/>
            </w14:solidFill>
          </w14:textFill>
        </w:rPr>
        <w:instrText xml:space="preserve"> TOC \o 1-2 </w:instrText>
      </w:r>
      <w:r>
        <w:rPr>
          <w:b w:val="1"/>
          <w:bCs w:val="1"/>
          <w:outline w:val="0"/>
          <w:color w:val="000000"/>
          <w:u w:color="000000"/>
          <w:lang w:val="en-US"/>
          <w14:textFill>
            <w14:solidFill>
              <w14:srgbClr w14:val="000000"/>
            </w14:solidFill>
          </w14:textFill>
        </w:rPr>
        <w:fldChar w:fldCharType="separate" w:fldLock="0"/>
      </w:r>
    </w:p>
    <w:p>
      <w:pPr>
        <w:pStyle w:val="TOC 1"/>
      </w:pPr>
      <w:r>
        <w:rPr>
          <w:rFonts w:cs="Arial Unicode MS" w:eastAsia="Arial Unicode MS"/>
          <w:rtl w:val="0"/>
        </w:rPr>
        <w:t>1. Executive Summary</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2. Company Description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3. Market Research and Validation</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Theoretical Framing of GCC Expansion</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Market size, trends and customer trends</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Competitive landscape and pricing</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Industry challenges, opportunities and validation of growth opportunity</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4. Business Model Canvas (Path B)</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5. Marketing and Sales Strategy (Path B)</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6. Operation Plan (Path B)</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7. Human Resource Capital Allocation (Path B)</w:t>
        <w:tab/>
      </w:r>
      <w:r>
        <w:rPr/>
        <w:fldChar w:fldCharType="begin" w:fldLock="0"/>
      </w:r>
      <w:r>
        <w:instrText xml:space="preserve"> PAGEREF _Toc10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8. Business Analysis Models</w:t>
        <w:tab/>
      </w:r>
      <w:r>
        <w:rPr/>
        <w:fldChar w:fldCharType="begin" w:fldLock="0"/>
      </w:r>
      <w:r>
        <w:instrText xml:space="preserve"> PAGEREF _Toc11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PESTLE Analysis</w:t>
        <w:tab/>
      </w:r>
      <w:r>
        <w:rPr/>
        <w:fldChar w:fldCharType="begin" w:fldLock="0"/>
      </w:r>
      <w:r>
        <w:instrText xml:space="preserve"> PAGEREF _Toc12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SWOT Analysis</w:t>
        <w:tab/>
      </w:r>
      <w:r>
        <w:rPr/>
        <w:fldChar w:fldCharType="begin" w:fldLock="0"/>
      </w:r>
      <w:r>
        <w:instrText xml:space="preserve"> PAGEREF _Toc13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hint="default"/>
          <w:rtl w:val="0"/>
        </w:rPr>
        <w:t>Porter’s Five Forces (biscuits/premium grocery in GCC)</w:t>
        <w:tab/>
      </w:r>
      <w:r>
        <w:rPr/>
        <w:fldChar w:fldCharType="begin" w:fldLock="0"/>
      </w:r>
      <w:r>
        <w:instrText xml:space="preserve"> PAGEREF _Toc14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rPr>
        <w:t>Ansoff Matrix</w:t>
        <w:tab/>
      </w:r>
      <w:r>
        <w:rPr/>
        <w:fldChar w:fldCharType="begin" w:fldLock="0"/>
      </w:r>
      <w:r>
        <w:instrText xml:space="preserve"> PAGEREF _Toc15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hint="default"/>
          <w:rtl w:val="0"/>
        </w:rPr>
        <w:t>9. Financial Plan (Path B – high level)</w:t>
        <w:tab/>
      </w:r>
      <w:r>
        <w:rPr/>
        <w:fldChar w:fldCharType="begin" w:fldLock="0"/>
      </w:r>
      <w:r>
        <w:instrText xml:space="preserve"> PAGEREF _Toc16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1. Baseline financial capacity (2023/24)</w:t>
        <w:tab/>
      </w:r>
      <w:r>
        <w:rPr/>
        <w:fldChar w:fldCharType="begin" w:fldLock="0"/>
      </w:r>
      <w:r>
        <w:instrText xml:space="preserve"> PAGEREF _Toc17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2. Revenue potential from GCC premium expansion</w:t>
        <w:tab/>
      </w:r>
      <w:r>
        <w:rPr/>
        <w:fldChar w:fldCharType="begin" w:fldLock="0"/>
      </w:r>
      <w:r>
        <w:instrText xml:space="preserve"> PAGEREF _Toc18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3. Contribution margin and breakeven considerations</w:t>
        <w:tab/>
      </w:r>
      <w:r>
        <w:rPr/>
        <w:fldChar w:fldCharType="begin" w:fldLock="0"/>
      </w:r>
      <w:r>
        <w:instrText xml:space="preserve"> PAGEREF _Toc19 \h </w:instrText>
      </w:r>
      <w:r>
        <w:rPr/>
        <w:fldChar w:fldCharType="separate" w:fldLock="0"/>
      </w:r>
      <w:r>
        <w:rPr>
          <w:rFonts w:cs="Arial Unicode MS" w:eastAsia="Arial Unicode MS"/>
          <w:rtl w:val="0"/>
        </w:rPr>
        <w:t>19</w:t>
      </w:r>
      <w:r>
        <w:rPr/>
        <w:fldChar w:fldCharType="end" w:fldLock="0"/>
      </w:r>
    </w:p>
    <w:p>
      <w:pPr>
        <w:pStyle w:val="TOC 2"/>
      </w:pPr>
      <w:r>
        <w:rPr>
          <w:rFonts w:cs="Arial Unicode MS" w:eastAsia="Arial Unicode MS"/>
          <w:rtl w:val="0"/>
        </w:rPr>
        <w:t>4. Implementation costs and capitallight nature</w:t>
        <w:tab/>
      </w:r>
      <w:r>
        <w:rPr/>
        <w:fldChar w:fldCharType="begin" w:fldLock="0"/>
      </w:r>
      <w:r>
        <w:instrText xml:space="preserve"> PAGEREF _Toc20 \h </w:instrText>
      </w:r>
      <w:r>
        <w:rPr/>
        <w:fldChar w:fldCharType="separate" w:fldLock="0"/>
      </w:r>
      <w:r>
        <w:rPr>
          <w:rFonts w:cs="Arial Unicode MS" w:eastAsia="Arial Unicode MS"/>
          <w:rtl w:val="0"/>
        </w:rPr>
        <w:t>20</w:t>
      </w:r>
      <w:r>
        <w:rPr/>
        <w:fldChar w:fldCharType="end" w:fldLock="0"/>
      </w:r>
    </w:p>
    <w:p>
      <w:pPr>
        <w:pStyle w:val="TOC 2"/>
      </w:pPr>
      <w:r>
        <w:rPr>
          <w:rFonts w:cs="Arial Unicode MS" w:eastAsia="Arial Unicode MS"/>
          <w:rtl w:val="0"/>
        </w:rPr>
        <w:t>5. Scenariobased riskadjusted justification</w:t>
        <w:tab/>
      </w:r>
      <w:r>
        <w:rPr/>
        <w:fldChar w:fldCharType="begin" w:fldLock="0"/>
      </w:r>
      <w:r>
        <w:instrText xml:space="preserve"> PAGEREF _Toc21 \h </w:instrText>
      </w:r>
      <w:r>
        <w:rPr/>
        <w:fldChar w:fldCharType="separate" w:fldLock="0"/>
      </w:r>
      <w:r>
        <w:rPr>
          <w:rFonts w:cs="Arial Unicode MS" w:eastAsia="Arial Unicode MS"/>
          <w:rtl w:val="0"/>
        </w:rPr>
        <w:t>20</w:t>
      </w:r>
      <w:r>
        <w:rPr/>
        <w:fldChar w:fldCharType="end" w:fldLock="0"/>
      </w:r>
    </w:p>
    <w:p>
      <w:pPr>
        <w:pStyle w:val="TOC 1"/>
      </w:pPr>
      <w:r>
        <w:rPr>
          <w:rFonts w:cs="Arial Unicode MS" w:eastAsia="Arial Unicode MS"/>
          <w:rtl w:val="0"/>
        </w:rPr>
        <w:t>10. Reflection</w:t>
        <w:tab/>
      </w:r>
      <w:r>
        <w:rPr/>
        <w:fldChar w:fldCharType="begin" w:fldLock="0"/>
      </w:r>
      <w:r>
        <w:instrText xml:space="preserve"> PAGEREF _Toc22 \h </w:instrText>
      </w:r>
      <w:r>
        <w:rPr/>
        <w:fldChar w:fldCharType="separate" w:fldLock="0"/>
      </w:r>
      <w:r>
        <w:rPr>
          <w:rFonts w:cs="Arial Unicode MS" w:eastAsia="Arial Unicode MS"/>
          <w:rtl w:val="0"/>
        </w:rPr>
        <w:t>22</w:t>
      </w:r>
      <w:r>
        <w:rPr/>
        <w:fldChar w:fldCharType="end" w:fldLock="0"/>
      </w:r>
    </w:p>
    <w:p>
      <w:pPr>
        <w:pStyle w:val="TOC 1"/>
      </w:pPr>
      <w:r>
        <w:rPr>
          <w:rFonts w:cs="Arial Unicode MS" w:eastAsia="Arial Unicode MS"/>
          <w:rtl w:val="0"/>
        </w:rPr>
        <w:t>11. References</w:t>
        <w:tab/>
      </w:r>
      <w:r>
        <w:rPr/>
        <w:fldChar w:fldCharType="begin" w:fldLock="0"/>
      </w:r>
      <w:r>
        <w:instrText xml:space="preserve"> PAGEREF _Toc23 \h </w:instrText>
      </w:r>
      <w:r>
        <w:rPr/>
        <w:fldChar w:fldCharType="separate" w:fldLock="0"/>
      </w:r>
      <w:r>
        <w:rPr>
          <w:rFonts w:cs="Arial Unicode MS" w:eastAsia="Arial Unicode MS"/>
          <w:rtl w:val="0"/>
        </w:rPr>
        <w:t>24</w:t>
      </w:r>
      <w:r>
        <w:rPr/>
        <w:fldChar w:fldCharType="end" w:fldLock="0"/>
      </w:r>
    </w:p>
    <w:p>
      <w:pPr>
        <w:pStyle w:val="Body"/>
        <w:rPr>
          <w:rFonts w:ascii="Calibri" w:cs="Calibri" w:hAnsi="Calibri" w:eastAsia="Calibri"/>
          <w:sz w:val="22"/>
          <w:szCs w:val="22"/>
        </w:rPr>
      </w:pPr>
      <w:r>
        <w:rPr>
          <w:b w:val="1"/>
          <w:bCs w:val="1"/>
          <w:outline w:val="0"/>
          <w:color w:val="000000"/>
          <w:u w:color="000000"/>
          <w:lang w:val="en-US"/>
          <w14:textFill>
            <w14:solidFill>
              <w14:srgbClr w14:val="000000"/>
            </w14:solidFill>
          </w14:textFill>
        </w:rPr>
        <w:fldChar w:fldCharType="end" w:fldLock="0"/>
      </w:r>
    </w:p>
    <w:p>
      <w:pPr>
        <w:pStyle w:val="Heading"/>
      </w:pPr>
      <w:bookmarkStart w:name="_Toc" w:id="0"/>
      <w:r>
        <w:rPr>
          <w:rFonts w:cs="Arial Unicode MS" w:eastAsia="Arial Unicode MS"/>
          <w:rtl w:val="0"/>
          <w:lang w:val="en-US"/>
        </w:rPr>
        <w:t>1. Executive Summary</w:t>
      </w:r>
      <w:bookmarkEnd w:id="0"/>
    </w:p>
    <w:p>
      <w:pPr>
        <w:pStyle w:val="Body"/>
      </w:pPr>
      <w:r>
        <w:rPr>
          <w:rtl w:val="0"/>
          <w:lang w:val="en-US"/>
        </w:rPr>
        <w:t xml:space="preserve">This report examines Wm Morrison Supermarkets Ltd (Morrisons) from a perspective of its premium private label range </w:t>
      </w:r>
      <w:r>
        <w:rPr>
          <w:rtl w:val="1"/>
          <w:lang w:val="ar-SA" w:bidi="ar-SA"/>
        </w:rPr>
        <w:t>“</w:t>
      </w:r>
      <w:r>
        <w:rPr>
          <w:rtl w:val="0"/>
          <w:lang w:val="en-US"/>
        </w:rPr>
        <w:t>The Best</w:t>
      </w:r>
      <w:r>
        <w:rPr>
          <w:rtl w:val="0"/>
        </w:rPr>
        <w:t xml:space="preserve">” </w:t>
      </w:r>
      <w:r>
        <w:rPr>
          <w:rtl w:val="0"/>
          <w:lang w:val="en-US"/>
        </w:rPr>
        <w:t xml:space="preserve">and its opportunity to grow in the United Arab Emirates (UAE), the Gulf Cooperation Council (GCC) and Saudi Arabia (KSA). To assess the company's current international standing, a growth opportunity is considered in the premium grocery business in the Middle East, and a business expansion plan is devised for growing </w:t>
      </w:r>
      <w:r>
        <w:rPr>
          <w:rtl w:val="1"/>
          <w:lang w:val="ar-SA" w:bidi="ar-SA"/>
        </w:rPr>
        <w:t>“</w:t>
      </w:r>
      <w:r>
        <w:rPr>
          <w:rtl w:val="0"/>
          <w:lang w:val="en-US"/>
        </w:rPr>
        <w:t>The Best</w:t>
      </w:r>
      <w:r>
        <w:rPr>
          <w:rtl w:val="0"/>
          <w:lang w:val="en-US"/>
        </w:rPr>
        <w:t xml:space="preserve">” — </w:t>
      </w:r>
      <w:r>
        <w:rPr>
          <w:rtl w:val="0"/>
          <w:lang w:val="en-US"/>
        </w:rPr>
        <w:t>with market analysis and business models.</w:t>
      </w:r>
    </w:p>
    <w:p>
      <w:pPr>
        <w:pStyle w:val="Body"/>
      </w:pPr>
      <w:r>
        <w:rPr>
          <w:rtl w:val="0"/>
          <w:lang w:val="en-US"/>
        </w:rPr>
        <w:t>The market research indicates that the food markets in the GCC are expanding at a moderate pace, are highly import reliant and that there is rising demand for premium, high quality food products and ambient grocery products such as biscuits and confectionery in the region (Alpen Capital, 2025; GCC Food Market Report, 2026). UK</w:t>
      </w:r>
      <w:r>
        <w:rPr>
          <w:rtl w:val="0"/>
        </w:rPr>
        <w:t>–</w:t>
      </w:r>
      <w:r>
        <w:rPr>
          <w:rtl w:val="0"/>
          <w:lang w:val="en-US"/>
        </w:rPr>
        <w:t>GCC Free Trade Agreement is likely to further increase UK Food and Drink exports by lowering tariffs and opening up markets (Gulf Today, 2025; UK Government, 2026a, 2026b).</w:t>
      </w:r>
    </w:p>
    <w:p>
      <w:pPr>
        <w:pStyle w:val="Body"/>
      </w:pPr>
      <w:r>
        <w:rPr>
          <w:rtl w:val="0"/>
          <w:lang w:val="en-US"/>
        </w:rPr>
        <w:t>The projection is based on the PESTLE analysis, SWOT, Porter</w:t>
      </w:r>
      <w:r>
        <w:rPr>
          <w:rtl w:val="1"/>
        </w:rPr>
        <w:t>’</w:t>
      </w:r>
      <w:r>
        <w:rPr>
          <w:rtl w:val="0"/>
          <w:lang w:val="en-US"/>
        </w:rPr>
        <w:t xml:space="preserve">s Five Forces, Ansoff Matrix and competitor analysis, that Morrisons could identify a growth opportunity to intensify and structure the expansion of </w:t>
      </w:r>
      <w:r>
        <w:rPr>
          <w:rtl w:val="1"/>
          <w:lang w:val="ar-SA" w:bidi="ar-SA"/>
        </w:rPr>
        <w:t>“</w:t>
      </w:r>
      <w:r>
        <w:rPr>
          <w:rtl w:val="0"/>
          <w:lang w:val="en-US"/>
        </w:rPr>
        <w:t>The Best</w:t>
      </w:r>
      <w:r>
        <w:rPr>
          <w:rtl w:val="0"/>
        </w:rPr>
        <w:t xml:space="preserve">” </w:t>
      </w:r>
      <w:r>
        <w:rPr>
          <w:rtl w:val="0"/>
          <w:lang w:val="en-US"/>
        </w:rPr>
        <w:t xml:space="preserve">products in UAE and KSA through its partnership with Lulu Retail Group and other online platforms (Morrisons, 2022; 2025a). The suggested approach is a selective premiumisation and channel expansion strategy: only pursuing high-value </w:t>
      </w:r>
      <w:r>
        <w:rPr>
          <w:rtl w:val="1"/>
        </w:rPr>
        <w:t>‘</w:t>
      </w:r>
      <w:r>
        <w:rPr>
          <w:rtl w:val="0"/>
          <w:lang w:val="en-US"/>
        </w:rPr>
        <w:t xml:space="preserve">The Best' ambient; reinforcing the brand's positioning as a British premium label; and adopting modern trade and e commerce to scale. A high-level financial review using public information suggests that Morrisons is spending heavily on food production in the UK and has wholesale/export partnerships in place to enable food to be imported into other countries (Morrisons, 2022; 2026). </w:t>
      </w:r>
    </w:p>
    <w:p>
      <w:pPr>
        <w:pStyle w:val="Body"/>
      </w:pPr>
      <w:r>
        <w:rPr>
          <w:rFonts w:ascii="Arial Unicode MS" w:cs="Arial Unicode MS" w:hAnsi="Arial Unicode MS" w:eastAsia="Arial Unicode MS"/>
          <w:b w:val="0"/>
          <w:bCs w:val="0"/>
          <w:i w:val="0"/>
          <w:iCs w:val="0"/>
        </w:rPr>
        <w:br w:type="page"/>
      </w:r>
    </w:p>
    <w:p>
      <w:pPr>
        <w:pStyle w:val="Heading"/>
      </w:pPr>
      <w:bookmarkStart w:name="_Toc1" w:id="1"/>
      <w:r>
        <w:rPr>
          <w:rFonts w:cs="Arial Unicode MS" w:eastAsia="Arial Unicode MS"/>
          <w:rtl w:val="0"/>
          <w:lang w:val="en-US"/>
        </w:rPr>
        <w:t>2. Company Description</w:t>
      </w:r>
      <w:bookmarkEnd w:id="1"/>
    </w:p>
    <w:p>
      <w:pPr>
        <w:pStyle w:val="Body"/>
      </w:pPr>
      <w:r>
        <w:rPr>
          <w:b w:val="1"/>
          <w:bCs w:val="1"/>
          <w:rtl w:val="0"/>
          <w:lang w:val="en-US"/>
        </w:rPr>
        <w:t>Business name and overview</w:t>
      </w:r>
    </w:p>
    <w:p>
      <w:pPr>
        <w:pStyle w:val="Body"/>
      </w:pPr>
      <w:r>
        <w:rPr>
          <w:rtl w:val="0"/>
          <w:lang w:val="en-US"/>
        </w:rPr>
        <w:t>As one of the UK's largest food retailers, Wm Morrison Supermarkets Ltd has an integrated business model with food manufacturing, wholesale and retail activities (World Benchmarking Alliance, 2024). It is mainly sold under the Morrisons brand and has a tiered own label structure - value range, standard range and premium range.</w:t>
      </w:r>
    </w:p>
    <w:p>
      <w:pPr>
        <w:pStyle w:val="Body"/>
        <w:rPr>
          <w:b w:val="1"/>
          <w:bCs w:val="1"/>
        </w:rPr>
      </w:pPr>
      <w:r>
        <w:rPr>
          <w:b w:val="1"/>
          <w:bCs w:val="1"/>
          <w:rtl w:val="0"/>
          <w:lang w:val="en-US"/>
        </w:rPr>
        <w:t>History and ownership</w:t>
      </w:r>
    </w:p>
    <w:p>
      <w:pPr>
        <w:pStyle w:val="Body"/>
      </w:pPr>
      <w:r>
        <w:rPr>
          <w:rtl w:val="0"/>
          <w:lang w:val="en-US"/>
        </w:rPr>
        <w:t>After starting off as a market stall in Bradford in 1899, Morrisons has developed into a national supermarket chain that provides millions of customers with fresh produce every week (Morrisons, 2025a). It has experienced a number of strategic changes, such as entering food production, convenience and online, and now wholesale and export channels. It has been sold off by a private equity consortium, making it a private property.</w:t>
      </w:r>
    </w:p>
    <w:p>
      <w:pPr>
        <w:pStyle w:val="Body"/>
        <w:rPr>
          <w:b w:val="1"/>
          <w:bCs w:val="1"/>
        </w:rPr>
      </w:pPr>
      <w:r>
        <w:rPr>
          <w:b w:val="1"/>
          <w:bCs w:val="1"/>
          <w:rtl w:val="0"/>
          <w:lang w:val="en-US"/>
        </w:rPr>
        <w:t>Proposing a product or service and its value to the customer.</w:t>
      </w:r>
    </w:p>
    <w:p>
      <w:pPr>
        <w:pStyle w:val="Body"/>
      </w:pPr>
      <w:r>
        <w:rPr>
          <w:rtl w:val="0"/>
          <w:lang w:val="en-US"/>
        </w:rPr>
        <w:t xml:space="preserve">Morrisons Fresh, Chilled, Frozen, Ambient Grocery, Non-Food and Services are all available at Morrisons. Its </w:t>
      </w:r>
      <w:r>
        <w:rPr>
          <w:rtl w:val="1"/>
          <w:lang w:val="ar-SA" w:bidi="ar-SA"/>
        </w:rPr>
        <w:t>“</w:t>
      </w:r>
      <w:r>
        <w:rPr>
          <w:rtl w:val="0"/>
          <w:lang w:val="en-US"/>
        </w:rPr>
        <w:t>The Best</w:t>
      </w:r>
      <w:r>
        <w:rPr>
          <w:rtl w:val="0"/>
        </w:rPr>
        <w:t xml:space="preserve">” </w:t>
      </w:r>
      <w:r>
        <w:rPr>
          <w:rtl w:val="0"/>
          <w:lang w:val="en-US"/>
        </w:rPr>
        <w:t xml:space="preserve">range is the most expensive, with an emphasis on higher quality ingredients, more indulgent recipes and different packaging to target </w:t>
      </w:r>
      <w:r>
        <w:rPr>
          <w:rtl w:val="1"/>
        </w:rPr>
        <w:t>‘</w:t>
      </w:r>
      <w:r>
        <w:rPr>
          <w:rtl w:val="0"/>
          <w:lang w:val="en-US"/>
        </w:rPr>
        <w:t xml:space="preserve">affordable luxury' and </w:t>
      </w:r>
      <w:r>
        <w:rPr>
          <w:rtl w:val="1"/>
        </w:rPr>
        <w:t>‘</w:t>
      </w:r>
      <w:r>
        <w:rPr>
          <w:rtl w:val="0"/>
          <w:lang w:val="en-US"/>
        </w:rPr>
        <w:t>restaurant style products at home' customers (Morrisons, 2025a; 2026).</w:t>
      </w:r>
    </w:p>
    <w:p>
      <w:pPr>
        <w:pStyle w:val="Body"/>
        <w:rPr>
          <w:b w:val="1"/>
          <w:bCs w:val="1"/>
        </w:rPr>
      </w:pPr>
      <w:r>
        <w:rPr>
          <w:b w:val="1"/>
          <w:bCs w:val="1"/>
          <w:rtl w:val="0"/>
          <w:lang w:val="en-US"/>
        </w:rPr>
        <w:t>International presence, and gap in the market.</w:t>
      </w:r>
    </w:p>
    <w:p>
      <w:pPr>
        <w:pStyle w:val="Body"/>
      </w:pPr>
      <w:r>
        <w:rPr>
          <w:rtl w:val="0"/>
          <w:lang w:val="en-US"/>
        </w:rPr>
        <w:t xml:space="preserve">Morrisons had long been heavily concentrated on the UK market, but have increasingly taken advantage of wholesale and export partners to expand on to retail markets abroad. One significant collaboration is with Lulu Retail Group, with Morrisons products now available in approximately 260 stores in the GCC countries, with initial trials in Qatar and the subsequent expansion to other GCC nations (Morrisons, 2025b; Supermarket News, 2025). This is evidence of demand for British food products, provided that there is a lack of structured brand development and category specific strategy for premium ranges such as </w:t>
      </w:r>
      <w:r>
        <w:rPr>
          <w:rtl w:val="1"/>
          <w:lang w:val="ar-SA" w:bidi="ar-SA"/>
        </w:rPr>
        <w:t>“</w:t>
      </w:r>
      <w:r>
        <w:rPr>
          <w:rtl w:val="0"/>
          <w:lang w:val="en-US"/>
        </w:rPr>
        <w:t>The Best</w:t>
      </w:r>
      <w:r>
        <w:rPr>
          <w:rtl w:val="0"/>
        </w:rPr>
        <w:t xml:space="preserve">” </w:t>
      </w:r>
      <w:r>
        <w:rPr>
          <w:rtl w:val="0"/>
          <w:lang w:val="en-US"/>
        </w:rPr>
        <w:t>in UAE and KSA.</w:t>
      </w:r>
    </w:p>
    <w:p>
      <w:pPr>
        <w:pStyle w:val="Body"/>
        <w:rPr>
          <w:b w:val="1"/>
          <w:bCs w:val="1"/>
        </w:rPr>
      </w:pPr>
      <w:r>
        <w:rPr>
          <w:b w:val="1"/>
          <w:bCs w:val="1"/>
          <w:rtl w:val="0"/>
          <w:lang w:val="en-US"/>
        </w:rPr>
        <w:t>Mission, vision and objectives</w:t>
      </w:r>
    </w:p>
    <w:p>
      <w:pPr>
        <w:pStyle w:val="Body"/>
      </w:pPr>
      <w:r>
        <w:rPr>
          <w:rtl w:val="0"/>
          <w:lang w:val="en-US"/>
        </w:rPr>
        <w:t xml:space="preserve">The current strategy of Morrisons is to focus on brand strengthening, increasing value and quality perception and extending into wholesale and export business (Morrisons, 2022; 2025a). The specific goal for this proposal is to build a business plan to enable </w:t>
      </w:r>
      <w:r>
        <w:rPr>
          <w:rtl w:val="1"/>
          <w:lang w:val="ar-SA" w:bidi="ar-SA"/>
        </w:rPr>
        <w:t>“</w:t>
      </w:r>
      <w:r>
        <w:rPr>
          <w:rtl w:val="0"/>
          <w:lang w:val="en-US"/>
        </w:rPr>
        <w:t>The Best</w:t>
      </w:r>
      <w:r>
        <w:rPr>
          <w:rtl w:val="0"/>
        </w:rPr>
        <w:t xml:space="preserve">” </w:t>
      </w:r>
      <w:r>
        <w:rPr>
          <w:rtl w:val="0"/>
          <w:lang w:val="en-US"/>
        </w:rPr>
        <w:t>range to grow profitably in UAE and KSA through:</w:t>
      </w:r>
    </w:p>
    <w:p>
      <w:pPr>
        <w:pStyle w:val="List Paragraph"/>
        <w:numPr>
          <w:ilvl w:val="0"/>
          <w:numId w:val="2"/>
        </w:numPr>
        <w:rPr>
          <w:lang w:val="en-US"/>
        </w:rPr>
      </w:pPr>
      <w:r>
        <w:rPr>
          <w:rtl w:val="0"/>
          <w:lang w:val="en-US"/>
        </w:rPr>
        <w:t xml:space="preserve">Increasing distribution and visibility of selected </w:t>
      </w:r>
      <w:r>
        <w:rPr>
          <w:rtl w:val="0"/>
          <w:lang w:val="en-US"/>
        </w:rPr>
        <w:t>“</w:t>
      </w:r>
      <w:r>
        <w:rPr>
          <w:rtl w:val="0"/>
          <w:lang w:val="en-US"/>
        </w:rPr>
        <w:t>The Best</w:t>
      </w:r>
      <w:r>
        <w:rPr>
          <w:rtl w:val="0"/>
          <w:lang w:val="en-US"/>
        </w:rPr>
        <w:t xml:space="preserve">” </w:t>
      </w:r>
      <w:r>
        <w:rPr>
          <w:rtl w:val="0"/>
          <w:lang w:val="en-US"/>
        </w:rPr>
        <w:t>categories.</w:t>
      </w:r>
    </w:p>
    <w:p>
      <w:pPr>
        <w:pStyle w:val="List Paragraph"/>
        <w:numPr>
          <w:ilvl w:val="0"/>
          <w:numId w:val="2"/>
        </w:numPr>
        <w:rPr>
          <w:lang w:val="en-US"/>
        </w:rPr>
      </w:pPr>
      <w:r>
        <w:rPr>
          <w:rtl w:val="0"/>
          <w:lang w:val="en-US"/>
        </w:rPr>
        <w:t xml:space="preserve">Placing </w:t>
      </w:r>
      <w:r>
        <w:rPr>
          <w:rtl w:val="0"/>
          <w:lang w:val="en-US"/>
        </w:rPr>
        <w:t>“</w:t>
      </w:r>
      <w:r>
        <w:rPr>
          <w:rtl w:val="0"/>
          <w:lang w:val="en-US"/>
        </w:rPr>
        <w:t>The Best</w:t>
      </w:r>
      <w:r>
        <w:rPr>
          <w:rtl w:val="0"/>
          <w:lang w:val="en-US"/>
        </w:rPr>
        <w:t xml:space="preserve">” </w:t>
      </w:r>
      <w:r>
        <w:rPr>
          <w:rtl w:val="0"/>
          <w:lang w:val="en-US"/>
        </w:rPr>
        <w:t>as a trusted British premium brand.</w:t>
      </w:r>
    </w:p>
    <w:p>
      <w:pPr>
        <w:pStyle w:val="List Paragraph"/>
        <w:numPr>
          <w:ilvl w:val="0"/>
          <w:numId w:val="2"/>
        </w:numPr>
        <w:rPr>
          <w:lang w:val="en-US"/>
        </w:rPr>
      </w:pPr>
      <w:r>
        <w:rPr>
          <w:rtl w:val="0"/>
          <w:lang w:val="en-US"/>
        </w:rPr>
        <w:t>Enhancing Morrisons' international income and brand value, and promoting British agriculture and food production (Morrisons, 2026).</w:t>
      </w:r>
    </w:p>
    <w:p>
      <w:pPr>
        <w:pStyle w:val="Heading"/>
      </w:pPr>
      <w:bookmarkStart w:name="_Toc2" w:id="2"/>
      <w:r>
        <w:rPr>
          <w:rFonts w:cs="Arial Unicode MS" w:eastAsia="Arial Unicode MS"/>
          <w:rtl w:val="0"/>
          <w:lang w:val="en-US"/>
        </w:rPr>
        <w:t>3. Market Research and Validation</w:t>
      </w:r>
      <w:bookmarkEnd w:id="2"/>
    </w:p>
    <w:p>
      <w:pPr>
        <w:pStyle w:val="Heading 2"/>
      </w:pPr>
      <w:bookmarkStart w:name="_Toc3" w:id="3"/>
      <w:r>
        <w:rPr>
          <w:rFonts w:cs="Arial Unicode MS" w:eastAsia="Arial Unicode MS"/>
          <w:rtl w:val="0"/>
          <w:lang w:val="en-US"/>
        </w:rPr>
        <w:t>Theoretical Framing of GCC Expansion</w:t>
      </w:r>
      <w:bookmarkEnd w:id="3"/>
    </w:p>
    <w:p>
      <w:pPr>
        <w:pStyle w:val="Body"/>
        <w:rPr>
          <w:b w:val="1"/>
          <w:bCs w:val="1"/>
        </w:rPr>
      </w:pPr>
      <w:r>
        <w:rPr>
          <w:b w:val="1"/>
          <w:bCs w:val="1"/>
          <w:rtl w:val="0"/>
          <w:lang w:val="fr-FR"/>
        </w:rPr>
        <w:t>Internationalisation</w:t>
      </w:r>
    </w:p>
    <w:p>
      <w:pPr>
        <w:pStyle w:val="Body"/>
      </w:pPr>
      <w:r>
        <w:rPr>
          <w:rtl w:val="0"/>
          <w:lang w:val="en-US"/>
        </w:rPr>
        <w:t xml:space="preserve">The classic Uppsala internationalisation process model suggests that firms gradually enter more distant markets from psychically close ones, and gain experiential knowledge to reduce the uncertainty involved in the process (Johanson and Vahlne, 1977). Later, Johanson and Vahlne (2009) focus on the business network in their revisions, claiming that firms are more prone to internationalisation through business networks than just a step-by-step expansion in geographical scope. In this regard, Morrisons' approach to adopting relational </w:t>
      </w:r>
      <w:r>
        <w:rPr>
          <w:rtl w:val="1"/>
          <w:lang w:val="ar-SA" w:bidi="ar-SA"/>
        </w:rPr>
        <w:t>“</w:t>
      </w:r>
      <w:r>
        <w:rPr>
          <w:rtl w:val="0"/>
          <w:lang w:val="en-US"/>
        </w:rPr>
        <w:t>bridges</w:t>
      </w:r>
      <w:r>
        <w:rPr>
          <w:rtl w:val="0"/>
        </w:rPr>
        <w:t xml:space="preserve">” </w:t>
      </w:r>
      <w:r>
        <w:rPr>
          <w:rtl w:val="0"/>
          <w:lang w:val="en-US"/>
        </w:rPr>
        <w:t>such as wholesale and retail partners (e.g., Lulu, British Corner Shop) towards geographically and institutionally remote GCC markets is in line with the logic of network-based internationalisation (Johanson and Vahlne, 2009).</w:t>
      </w:r>
    </w:p>
    <w:p>
      <w:pPr>
        <w:pStyle w:val="Body"/>
        <w:rPr>
          <w:b w:val="1"/>
          <w:bCs w:val="1"/>
        </w:rPr>
      </w:pPr>
      <w:r>
        <w:rPr>
          <w:b w:val="1"/>
          <w:bCs w:val="1"/>
          <w:rtl w:val="0"/>
        </w:rPr>
        <w:t>Market Entry</w:t>
      </w:r>
    </w:p>
    <w:p>
      <w:pPr>
        <w:pStyle w:val="Body"/>
      </w:pPr>
      <w:r>
        <w:rPr>
          <w:rtl w:val="0"/>
          <w:lang w:val="en-US"/>
        </w:rPr>
        <w:t xml:space="preserve">This approach of using existing GCC retailers and distributors is in line with entry mode theory that balances control, risk, and resource. In contrast, Root (1994) and Hill et al. (1990) suggest that firms with less experience in international operation or with high environmental uncertainty will prefer the export based or contractual modes of entry to high commitment options, such as wholly owned subsidiaries or joint ventures. In a company with integrated sourcing, manufacturing and branding operations (as is true for a UK food retailer); an indirect export / contractual partnership model is potentially suitable. This enables Morrisons to enter the GCC markets without the risk of political change or fixed investment, and also makes sense for a wholesale approach with </w:t>
      </w:r>
      <w:r>
        <w:rPr>
          <w:rtl w:val="1"/>
          <w:lang w:val="ar-SA" w:bidi="ar-SA"/>
        </w:rPr>
        <w:t>“</w:t>
      </w:r>
      <w:r>
        <w:rPr>
          <w:rtl w:val="0"/>
          <w:lang w:val="en-US"/>
        </w:rPr>
        <w:t>The Best</w:t>
      </w:r>
      <w:r>
        <w:rPr>
          <w:rtl w:val="0"/>
        </w:rPr>
        <w:t xml:space="preserve">” </w:t>
      </w:r>
      <w:r>
        <w:rPr>
          <w:rtl w:val="0"/>
        </w:rPr>
        <w:t>range.</w:t>
      </w:r>
    </w:p>
    <w:p>
      <w:pPr>
        <w:pStyle w:val="Body"/>
        <w:rPr>
          <w:b w:val="1"/>
          <w:bCs w:val="1"/>
        </w:rPr>
      </w:pPr>
      <w:r>
        <w:rPr>
          <w:b w:val="1"/>
          <w:bCs w:val="1"/>
          <w:rtl w:val="0"/>
        </w:rPr>
        <w:t>Branding</w:t>
      </w:r>
    </w:p>
    <w:p>
      <w:pPr>
        <w:pStyle w:val="Body"/>
      </w:pPr>
      <w:r>
        <w:rPr>
          <w:rtl w:val="0"/>
          <w:lang w:val="en-US"/>
        </w:rPr>
        <w:t xml:space="preserve">The meaning of premiumisation of </w:t>
      </w:r>
      <w:r>
        <w:rPr>
          <w:rtl w:val="1"/>
          <w:lang w:val="ar-SA" w:bidi="ar-SA"/>
        </w:rPr>
        <w:t>“</w:t>
      </w:r>
      <w:r>
        <w:rPr>
          <w:rtl w:val="0"/>
          <w:lang w:val="en-US"/>
        </w:rPr>
        <w:t>The Best</w:t>
      </w:r>
      <w:r>
        <w:rPr>
          <w:rtl w:val="0"/>
        </w:rPr>
        <w:t xml:space="preserve">” </w:t>
      </w:r>
      <w:r>
        <w:rPr>
          <w:rtl w:val="0"/>
          <w:lang w:val="en-US"/>
        </w:rPr>
        <w:t xml:space="preserve">in UAE and in KSA must be looked at from the point of perspective of retailer brand and country of origin effect. Research into the performance of premium private labels reveals that supermarket own brands can go beyond being a pure price competitor and act as </w:t>
      </w:r>
      <w:r>
        <w:rPr>
          <w:rtl w:val="1"/>
          <w:lang w:val="ar-SA" w:bidi="ar-SA"/>
        </w:rPr>
        <w:t>“</w:t>
      </w:r>
      <w:r>
        <w:rPr>
          <w:rtl w:val="0"/>
          <w:lang w:val="it-IT"/>
        </w:rPr>
        <w:t>quasi brands</w:t>
      </w:r>
      <w:r>
        <w:rPr>
          <w:rtl w:val="0"/>
        </w:rPr>
        <w:t xml:space="preserve">” </w:t>
      </w:r>
      <w:r>
        <w:rPr>
          <w:rtl w:val="0"/>
          <w:lang w:val="en-US"/>
        </w:rPr>
        <w:t xml:space="preserve">that can provide unique quality and image that are competitive with manufacturer brands (Kumar and Steenkamp, 2007). Meanwhile, Country of Origin research suggests that </w:t>
      </w:r>
      <w:r>
        <w:rPr>
          <w:rtl w:val="1"/>
          <w:lang w:val="ar-SA" w:bidi="ar-SA"/>
        </w:rPr>
        <w:t>“</w:t>
      </w:r>
      <w:r>
        <w:rPr>
          <w:rtl w:val="0"/>
          <w:lang w:val="nl-NL"/>
        </w:rPr>
        <w:t>Made in Britain</w:t>
      </w:r>
      <w:r>
        <w:rPr>
          <w:rtl w:val="0"/>
        </w:rPr>
        <w:t xml:space="preserve">” </w:t>
      </w:r>
      <w:r>
        <w:rPr>
          <w:rtl w:val="0"/>
        </w:rPr>
        <w:t xml:space="preserve">or </w:t>
      </w:r>
      <w:r>
        <w:rPr>
          <w:rtl w:val="1"/>
          <w:lang w:val="ar-SA" w:bidi="ar-SA"/>
        </w:rPr>
        <w:t>“</w:t>
      </w:r>
      <w:r>
        <w:rPr>
          <w:rtl w:val="0"/>
          <w:lang w:val="de-DE"/>
        </w:rPr>
        <w:t>British</w:t>
      </w:r>
      <w:r>
        <w:rPr>
          <w:rtl w:val="0"/>
        </w:rPr>
        <w:t xml:space="preserve">” </w:t>
      </w:r>
      <w:r>
        <w:rPr>
          <w:rtl w:val="0"/>
          <w:lang w:val="en-US"/>
        </w:rPr>
        <w:t>cues have the potential to positively influence perceptions of the perceived food quality, safety and authenticity in the foreign market (Aichner, 2014). In a bid to extend its UK brand equity into the GCC territory where it has no store presence, Morrisons is doing this with its high quality private label architecture (</w:t>
      </w:r>
      <w:r>
        <w:rPr>
          <w:rtl w:val="1"/>
          <w:lang w:val="ar-SA" w:bidi="ar-SA"/>
        </w:rPr>
        <w:t>“</w:t>
      </w:r>
      <w:r>
        <w:rPr>
          <w:rtl w:val="0"/>
          <w:lang w:val="en-US"/>
        </w:rPr>
        <w:t>The Best</w:t>
      </w:r>
      <w:r>
        <w:rPr>
          <w:rtl w:val="0"/>
        </w:rPr>
        <w:t>”</w:t>
      </w:r>
      <w:r>
        <w:rPr>
          <w:rtl w:val="0"/>
          <w:lang w:val="en-US"/>
        </w:rPr>
        <w:t>) and with UK cues, following literature on international retailer brand extensions (Burt and Sparks, 2002).</w:t>
      </w:r>
    </w:p>
    <w:p>
      <w:pPr>
        <w:pStyle w:val="Body"/>
        <w:rPr>
          <w:b w:val="1"/>
          <w:bCs w:val="1"/>
        </w:rPr>
      </w:pPr>
      <w:r>
        <w:rPr>
          <w:b w:val="1"/>
          <w:bCs w:val="1"/>
          <w:rtl w:val="0"/>
          <w:lang w:val="en-US"/>
        </w:rPr>
        <w:t>Competitive Advantage</w:t>
      </w:r>
    </w:p>
    <w:p>
      <w:pPr>
        <w:pStyle w:val="Body"/>
      </w:pPr>
      <w:r>
        <w:rPr>
          <w:rtl w:val="0"/>
          <w:lang w:val="en-US"/>
        </w:rPr>
        <w:t>The proposed approach can be described via the Porter's generic strategies (Porter, 1985) and related research on hybrid strategies (Parnell, 2010) to competitive strategy and advantage. The Best" is positioned as a high quality British premium line, and is a differentiation strategy designed to achieve a premium margin above standard private labels through the perception of value and uniqueness (Porter, 1985). Morrisons' premium supermarket private labels are, however, usually cost competitive with global manufacturer labels, and Morrisons also has a hybrid approach of differentiation with a relative cost advantage over other labels (Parnell, 2010). Whether this will be sustainable will depend on Morrisons' ability to ensure quality, manage their sourcing costs and ensure that rival retailer brands can't easily copy them.</w:t>
      </w:r>
    </w:p>
    <w:p>
      <w:pPr>
        <w:pStyle w:val="Heading 2"/>
      </w:pPr>
      <w:bookmarkStart w:name="_Toc4" w:id="4"/>
      <w:r>
        <w:rPr>
          <w:rFonts w:cs="Arial Unicode MS" w:eastAsia="Arial Unicode MS"/>
          <w:rtl w:val="0"/>
          <w:lang w:val="en-US"/>
        </w:rPr>
        <w:t>Market size, trends and customer trends</w:t>
      </w:r>
      <w:bookmarkEnd w:id="4"/>
    </w:p>
    <w:p>
      <w:pPr>
        <w:pStyle w:val="Body"/>
      </w:pPr>
      <w:r>
        <w:rPr>
          <w:rtl w:val="0"/>
          <w:lang w:val="en-US"/>
        </w:rPr>
        <w:t>The GCC food and beverage market is expected to see a steady growth rate due to urbanisation, dependence on imports, particularly in UAE and KSA (Alpen Capital, 2025), population growth and rising income levels (GCC Food Market Report, 2026). However, it is projected that food consumption will grow in volume, particularly in Saudi Arabia with its population and also in the UAE where tourism and the demand of expatriates are expected to be a considerable part of the demand (Alpen Capital, 2025; GCC Food Market Report, 2026).</w:t>
      </w:r>
    </w:p>
    <w:p>
      <w:pPr>
        <w:pStyle w:val="Body"/>
      </w:pPr>
      <w:r>
        <w:rPr>
          <w:rtl w:val="0"/>
          <w:lang w:val="en-US"/>
        </w:rPr>
        <w:t xml:space="preserve">Consumer trends highlight a premium, health-conscious and convenience-driven consumer landscape, featuring an increasing appetite for foreign brands, indulgent snacks, and </w:t>
      </w:r>
      <w:r>
        <w:rPr>
          <w:rtl w:val="1"/>
          <w:lang w:val="ar-SA" w:bidi="ar-SA"/>
        </w:rPr>
        <w:t>“</w:t>
      </w:r>
      <w:r>
        <w:rPr>
          <w:rtl w:val="0"/>
          <w:lang w:val="en-US"/>
        </w:rPr>
        <w:t>better for you</w:t>
      </w:r>
      <w:r>
        <w:rPr>
          <w:rtl w:val="0"/>
        </w:rPr>
        <w:t xml:space="preserve">” </w:t>
      </w:r>
      <w:r>
        <w:rPr>
          <w:rtl w:val="0"/>
          <w:lang w:val="en-US"/>
        </w:rPr>
        <w:t>options (Bain &amp; Company, 2022; YouGov, 2024). According to surveys conducted in UAE and KSA, there is a clear indication that a significant percentage of consumers are willing to pay more for high quality, healthy and imported FMCG brands, such as biscuits and other snack categories (YouGov, 2024; Alpen Capital, 2025).</w:t>
      </w:r>
    </w:p>
    <w:p>
      <w:pPr>
        <w:pStyle w:val="Heading 2"/>
      </w:pPr>
      <w:bookmarkStart w:name="_Toc5" w:id="5"/>
      <w:r>
        <w:rPr>
          <w:rFonts w:cs="Arial Unicode MS" w:eastAsia="Arial Unicode MS"/>
          <w:rtl w:val="0"/>
          <w:lang w:val="en-US"/>
        </w:rPr>
        <w:t>Competitive landscape and pricing</w:t>
      </w:r>
      <w:bookmarkEnd w:id="5"/>
    </w:p>
    <w:p>
      <w:pPr>
        <w:pStyle w:val="Body"/>
      </w:pPr>
      <w:r>
        <w:rPr>
          <w:rtl w:val="0"/>
          <w:lang w:val="en-US"/>
        </w:rPr>
        <w:t>Large modern retailers (e.g. Carrefour, Lulu, Tamimi, Panda) dominate the GCC grocery market and the online grocery market is also growing (Bain &amp; Company, 2022; WTA, 2025). There are many UK brands on the market such as Heinz, McVitie</w:t>
      </w:r>
      <w:r>
        <w:rPr>
          <w:rtl w:val="1"/>
        </w:rPr>
        <w:t>’</w:t>
      </w:r>
      <w:r>
        <w:rPr>
          <w:rtl w:val="0"/>
          <w:lang w:val="en-US"/>
        </w:rPr>
        <w:t>s, Cadbury and other brands of tea and biscuits, which are already here and are often marketed as quality imports (Leverbrook Export, 2022; Meydan Free Zone, 2026). There are differences between value, mainstream, and premium products with competition in the middle; premium products from imports still have a niche, due to origin, quality and brand heritage (Strategy&amp;/PwC, 2024).</w:t>
      </w:r>
    </w:p>
    <w:p>
      <w:pPr>
        <w:pStyle w:val="Body"/>
      </w:pPr>
      <w:r>
        <w:rPr>
          <w:rtl w:val="0"/>
          <w:lang w:val="en-US"/>
        </w:rPr>
        <w:t>Morrisons are an indirect competitor because they are a new name in the imported private label market. The products are already available in UAE through Lulu, and other online platforms like Noon and Kibsons, which shows the price and positioning reference of the products. Currently, the company also has a presence in UAE via Lulu (Hypermarket) and online platforms like Noon and Kibsons, which means there already exists a price and positioning reference for its products.</w:t>
      </w:r>
    </w:p>
    <w:p>
      <w:pPr>
        <w:pStyle w:val="Heading 2"/>
      </w:pPr>
      <w:bookmarkStart w:name="_Toc6" w:id="6"/>
      <w:r>
        <w:rPr>
          <w:rFonts w:cs="Arial Unicode MS" w:eastAsia="Arial Unicode MS"/>
          <w:rtl w:val="0"/>
          <w:lang w:val="en-US"/>
        </w:rPr>
        <w:t>Industry challenges, opportunities and validation of growth opportunity</w:t>
      </w:r>
      <w:bookmarkEnd w:id="6"/>
    </w:p>
    <w:p>
      <w:pPr>
        <w:pStyle w:val="Body"/>
      </w:pPr>
      <w:r>
        <w:rPr>
          <w:rtl w:val="0"/>
          <w:lang w:val="en-US"/>
        </w:rPr>
        <w:t>FMCG exporters face key challenges in the GCC such as regulatory and labelling requirements (including Arabic labelling, as well as Halal certification where applicable), challenging logistics, significant competition from global and Gulf brands, and a heightened sensitivity to geopolitical risks (WTA, 2025; Source International, 2026; UK Government, 2026b).</w:t>
      </w:r>
    </w:p>
    <w:p>
      <w:pPr>
        <w:pStyle w:val="Body"/>
      </w:pPr>
      <w:r>
        <w:rPr>
          <w:rtl w:val="0"/>
          <w:lang w:val="en-US"/>
        </w:rPr>
        <w:t>In contrast, opportunities are enhanced through:</w:t>
      </w:r>
    </w:p>
    <w:p>
      <w:pPr>
        <w:pStyle w:val="List Paragraph"/>
        <w:numPr>
          <w:ilvl w:val="0"/>
          <w:numId w:val="4"/>
        </w:numPr>
        <w:rPr>
          <w:lang w:val="en-US"/>
        </w:rPr>
      </w:pPr>
      <w:r>
        <w:rPr>
          <w:rtl w:val="0"/>
          <w:lang w:val="en-US"/>
        </w:rPr>
        <w:t>The UK-GCC Free Trade Agreement, which is anticipated to lower tariffs and make it easier to gain access to the markets, could have a major impact on the UK food and drink sector exports (Gulf Today, 2025; UK Government, 2026a; 2026b).</w:t>
      </w:r>
    </w:p>
    <w:p>
      <w:pPr>
        <w:pStyle w:val="List Paragraph"/>
        <w:numPr>
          <w:ilvl w:val="0"/>
          <w:numId w:val="4"/>
        </w:numPr>
        <w:rPr>
          <w:lang w:val="en-US"/>
        </w:rPr>
      </w:pPr>
      <w:r>
        <w:rPr>
          <w:rtl w:val="0"/>
          <w:lang w:val="en-US"/>
        </w:rPr>
        <w:t>There was a strong demand for high quality British products, and exporters indicated continued demand for British food staples and premium lines (Leverbrook Export, 2022; Meydan Free Zone, 2026; Westo Direct International, 2026).</w:t>
      </w:r>
    </w:p>
    <w:p>
      <w:pPr>
        <w:pStyle w:val="Body"/>
      </w:pPr>
      <w:r>
        <w:rPr>
          <w:rtl w:val="0"/>
          <w:lang w:val="en-US"/>
        </w:rPr>
        <w:t xml:space="preserve">The trends reflect a growth opportunity for Morrisons to progressively diversify their presence to a clear growth plan for </w:t>
      </w:r>
      <w:r>
        <w:rPr>
          <w:rtl w:val="1"/>
          <w:lang w:val="ar-SA" w:bidi="ar-SA"/>
        </w:rPr>
        <w:t>“</w:t>
      </w:r>
      <w:r>
        <w:rPr>
          <w:rtl w:val="0"/>
          <w:lang w:val="en-US"/>
        </w:rPr>
        <w:t>The Best</w:t>
      </w:r>
      <w:r>
        <w:rPr>
          <w:rtl w:val="0"/>
        </w:rPr>
        <w:t xml:space="preserve">” </w:t>
      </w:r>
      <w:r>
        <w:rPr>
          <w:rtl w:val="0"/>
          <w:lang w:val="en-US"/>
        </w:rPr>
        <w:t>range in UAE and KSA through premiumisation and British provenance.</w:t>
      </w:r>
    </w:p>
    <w:p>
      <w:pPr>
        <w:pStyle w:val="Heading"/>
      </w:pPr>
      <w:bookmarkStart w:name="_Toc7" w:id="7"/>
      <w:r>
        <w:rPr>
          <w:rFonts w:cs="Arial Unicode MS" w:eastAsia="Arial Unicode MS"/>
          <w:rtl w:val="0"/>
          <w:lang w:val="en-US"/>
        </w:rPr>
        <w:t>4. Business Model Canvas (Path B)</w:t>
      </w:r>
      <w:bookmarkEnd w:id="7"/>
    </w:p>
    <w:p>
      <w:pPr>
        <w:pStyle w:val="Body"/>
      </w:pPr>
      <w:r>
        <w:rPr>
          <w:b w:val="1"/>
          <w:bCs w:val="1"/>
          <w:rtl w:val="0"/>
          <w:lang w:val="en-US"/>
        </w:rPr>
        <w:t>Key Partners</w:t>
      </w:r>
    </w:p>
    <w:p>
      <w:pPr>
        <w:pStyle w:val="Body"/>
        <w:numPr>
          <w:ilvl w:val="0"/>
          <w:numId w:val="6"/>
        </w:numPr>
        <w:rPr>
          <w:lang w:val="en-US"/>
        </w:rPr>
      </w:pPr>
      <w:r>
        <w:rPr>
          <w:rtl w:val="0"/>
          <w:lang w:val="en-US"/>
        </w:rPr>
        <w:t>Lulu Retail Group and Y International (regional retailer and sourcing/packing partner).</w:t>
      </w:r>
    </w:p>
    <w:p>
      <w:pPr>
        <w:pStyle w:val="Body"/>
        <w:numPr>
          <w:ilvl w:val="0"/>
          <w:numId w:val="6"/>
        </w:numPr>
        <w:rPr>
          <w:lang w:val="en-US"/>
        </w:rPr>
      </w:pPr>
      <w:r>
        <w:rPr>
          <w:rtl w:val="0"/>
          <w:lang w:val="en-US"/>
        </w:rPr>
        <w:t>Other regional retailers and online platforms (e.g. Noon, Kibsons).</w:t>
      </w:r>
    </w:p>
    <w:p>
      <w:pPr>
        <w:pStyle w:val="Body"/>
        <w:numPr>
          <w:ilvl w:val="0"/>
          <w:numId w:val="6"/>
        </w:numPr>
        <w:rPr>
          <w:lang w:val="en-US"/>
        </w:rPr>
      </w:pPr>
      <w:r>
        <w:rPr>
          <w:rtl w:val="0"/>
          <w:lang w:val="en-US"/>
        </w:rPr>
        <w:t>Logistics providers and export agents.</w:t>
      </w:r>
    </w:p>
    <w:p>
      <w:pPr>
        <w:pStyle w:val="Body"/>
      </w:pPr>
      <w:r>
        <w:rPr>
          <w:b w:val="1"/>
          <w:bCs w:val="1"/>
          <w:rtl w:val="0"/>
          <w:lang w:val="en-US"/>
        </w:rPr>
        <w:t>Key Activities</w:t>
      </w:r>
    </w:p>
    <w:p>
      <w:pPr>
        <w:pStyle w:val="Body"/>
        <w:numPr>
          <w:ilvl w:val="0"/>
          <w:numId w:val="8"/>
        </w:numPr>
        <w:rPr>
          <w:lang w:val="en-US"/>
        </w:rPr>
      </w:pPr>
      <w:r>
        <w:rPr>
          <w:rtl w:val="0"/>
          <w:lang w:val="en-US"/>
        </w:rPr>
        <w:t>Product sourcing and manufacturing in the UK.</w:t>
      </w:r>
    </w:p>
    <w:p>
      <w:pPr>
        <w:pStyle w:val="Body"/>
        <w:numPr>
          <w:ilvl w:val="0"/>
          <w:numId w:val="8"/>
        </w:numPr>
        <w:rPr>
          <w:lang w:val="en-US"/>
        </w:rPr>
      </w:pPr>
      <w:r>
        <w:rPr>
          <w:rtl w:val="0"/>
          <w:lang w:val="en-US"/>
        </w:rPr>
        <w:t>Export logistics and compliance (labelling, documentation).</w:t>
      </w:r>
    </w:p>
    <w:p>
      <w:pPr>
        <w:pStyle w:val="Body"/>
        <w:numPr>
          <w:ilvl w:val="0"/>
          <w:numId w:val="8"/>
        </w:numPr>
        <w:rPr>
          <w:lang w:val="en-US"/>
        </w:rPr>
      </w:pPr>
      <w:r>
        <w:rPr>
          <w:rtl w:val="0"/>
          <w:lang w:val="en-US"/>
        </w:rPr>
        <w:t>Category management and joint business planning with GCC retailers.</w:t>
      </w:r>
    </w:p>
    <w:p>
      <w:pPr>
        <w:pStyle w:val="Body"/>
        <w:numPr>
          <w:ilvl w:val="0"/>
          <w:numId w:val="8"/>
        </w:numPr>
        <w:rPr>
          <w:lang w:val="en-US"/>
        </w:rPr>
      </w:pPr>
      <w:r>
        <w:rPr>
          <w:rtl w:val="0"/>
          <w:lang w:val="en-US"/>
        </w:rPr>
        <w:t xml:space="preserve">Brand development and marketing for </w:t>
      </w:r>
      <w:r>
        <w:rPr>
          <w:rtl w:val="1"/>
          <w:lang w:val="ar-SA" w:bidi="ar-SA"/>
        </w:rPr>
        <w:t>“</w:t>
      </w:r>
      <w:r>
        <w:rPr>
          <w:rtl w:val="0"/>
          <w:lang w:val="en-US"/>
        </w:rPr>
        <w:t>The Best</w:t>
      </w:r>
      <w:r>
        <w:rPr>
          <w:rtl w:val="0"/>
        </w:rPr>
        <w:t xml:space="preserve">” </w:t>
      </w:r>
      <w:r>
        <w:rPr>
          <w:rtl w:val="0"/>
          <w:lang w:val="it-IT"/>
        </w:rPr>
        <w:t>in GCC.</w:t>
      </w:r>
    </w:p>
    <w:p>
      <w:pPr>
        <w:pStyle w:val="Body"/>
      </w:pPr>
      <w:r>
        <w:rPr>
          <w:b w:val="1"/>
          <w:bCs w:val="1"/>
          <w:rtl w:val="0"/>
          <w:lang w:val="en-US"/>
        </w:rPr>
        <w:t>Key Resources</w:t>
      </w:r>
    </w:p>
    <w:p>
      <w:pPr>
        <w:pStyle w:val="Body"/>
        <w:numPr>
          <w:ilvl w:val="0"/>
          <w:numId w:val="10"/>
        </w:numPr>
        <w:rPr>
          <w:lang w:val="fr-FR"/>
        </w:rPr>
      </w:pPr>
      <w:r>
        <w:rPr>
          <w:rtl w:val="0"/>
          <w:lang w:val="fr-FR"/>
        </w:rPr>
        <w:t>Morrisons</w:t>
      </w:r>
      <w:r>
        <w:rPr>
          <w:rtl w:val="1"/>
        </w:rPr>
        <w:t xml:space="preserve">’ </w:t>
      </w:r>
      <w:r>
        <w:rPr>
          <w:rtl w:val="0"/>
          <w:lang w:val="en-US"/>
        </w:rPr>
        <w:t>manufacturing base and supplier relationships.</w:t>
      </w:r>
    </w:p>
    <w:p>
      <w:pPr>
        <w:pStyle w:val="Body"/>
        <w:numPr>
          <w:ilvl w:val="0"/>
          <w:numId w:val="10"/>
        </w:numPr>
        <w:rPr>
          <w:lang w:val="ar-SA" w:bidi="ar-SA"/>
        </w:rPr>
      </w:pPr>
      <w:r>
        <w:rPr>
          <w:rtl w:val="1"/>
          <w:lang w:val="ar-SA" w:bidi="ar-SA"/>
        </w:rPr>
        <w:t>“</w:t>
      </w:r>
      <w:r>
        <w:rPr>
          <w:rtl w:val="0"/>
          <w:lang w:val="en-US"/>
        </w:rPr>
        <w:t>The Best</w:t>
      </w:r>
      <w:r>
        <w:rPr>
          <w:rtl w:val="0"/>
        </w:rPr>
        <w:t xml:space="preserve">” </w:t>
      </w:r>
      <w:r>
        <w:rPr>
          <w:rtl w:val="0"/>
          <w:lang w:val="en-US"/>
        </w:rPr>
        <w:t>brand equity and product development capabilities.</w:t>
      </w:r>
    </w:p>
    <w:p>
      <w:pPr>
        <w:pStyle w:val="Body"/>
        <w:numPr>
          <w:ilvl w:val="0"/>
          <w:numId w:val="10"/>
        </w:numPr>
        <w:rPr>
          <w:lang w:val="en-US"/>
        </w:rPr>
      </w:pPr>
      <w:r>
        <w:rPr>
          <w:rtl w:val="0"/>
          <w:lang w:val="en-US"/>
        </w:rPr>
        <w:t>Wholesale/export team and data from existing GCC sales.</w:t>
      </w:r>
    </w:p>
    <w:p>
      <w:pPr>
        <w:pStyle w:val="Body"/>
      </w:pPr>
      <w:r>
        <w:rPr>
          <w:b w:val="1"/>
          <w:bCs w:val="1"/>
          <w:rtl w:val="0"/>
          <w:lang w:val="fr-FR"/>
        </w:rPr>
        <w:t>Value Proposition</w:t>
      </w:r>
    </w:p>
    <w:p>
      <w:pPr>
        <w:pStyle w:val="Body"/>
        <w:numPr>
          <w:ilvl w:val="0"/>
          <w:numId w:val="12"/>
        </w:numPr>
        <w:rPr>
          <w:lang w:val="en-US"/>
        </w:rPr>
      </w:pPr>
      <w:r>
        <w:rPr>
          <w:rtl w:val="0"/>
          <w:lang w:val="en-US"/>
        </w:rPr>
        <w:t>Highquality</w:t>
      </w:r>
      <w:r>
        <w:rPr>
          <w:rtl w:val="0"/>
        </w:rPr>
        <w:t> </w:t>
      </w:r>
      <w:r>
        <w:rPr>
          <w:b w:val="1"/>
          <w:bCs w:val="1"/>
          <w:rtl w:val="0"/>
          <w:lang w:val="en-US"/>
        </w:rPr>
        <w:t>British premium privatelabel products</w:t>
      </w:r>
      <w:r>
        <w:rPr>
          <w:rtl w:val="0"/>
        </w:rPr>
        <w:t> </w:t>
      </w:r>
      <w:r>
        <w:rPr>
          <w:rtl w:val="0"/>
        </w:rPr>
        <w:t>(</w:t>
      </w:r>
      <w:r>
        <w:rPr>
          <w:rtl w:val="1"/>
          <w:lang w:val="ar-SA" w:bidi="ar-SA"/>
        </w:rPr>
        <w:t>“</w:t>
      </w:r>
      <w:r>
        <w:rPr>
          <w:rtl w:val="0"/>
          <w:lang w:val="en-US"/>
        </w:rPr>
        <w:t>The Best</w:t>
      </w:r>
      <w:r>
        <w:rPr>
          <w:rtl w:val="0"/>
        </w:rPr>
        <w:t>”</w:t>
      </w:r>
      <w:r>
        <w:rPr>
          <w:rtl w:val="0"/>
          <w:lang w:val="en-US"/>
        </w:rPr>
        <w:t>) offering restaurantinspired recipes and indulgent treats at accessible prices.</w:t>
      </w:r>
    </w:p>
    <w:p>
      <w:pPr>
        <w:pStyle w:val="Body"/>
        <w:numPr>
          <w:ilvl w:val="0"/>
          <w:numId w:val="12"/>
        </w:numPr>
        <w:rPr>
          <w:lang w:val="en-US"/>
        </w:rPr>
      </w:pPr>
      <w:r>
        <w:rPr>
          <w:rtl w:val="0"/>
          <w:lang w:val="en-US"/>
        </w:rPr>
        <w:t>A broad, reliable supply of British grocery lines, aligned with UK standards and sourcing commitments.</w:t>
      </w:r>
    </w:p>
    <w:p>
      <w:pPr>
        <w:pStyle w:val="Body"/>
      </w:pPr>
      <w:r>
        <w:rPr>
          <w:b w:val="1"/>
          <w:bCs w:val="1"/>
          <w:rtl w:val="0"/>
          <w:lang w:val="en-US"/>
        </w:rPr>
        <w:t>Customer Relationships</w:t>
      </w:r>
    </w:p>
    <w:p>
      <w:pPr>
        <w:pStyle w:val="Body"/>
        <w:numPr>
          <w:ilvl w:val="0"/>
          <w:numId w:val="14"/>
        </w:numPr>
        <w:rPr>
          <w:lang w:val="en-US"/>
        </w:rPr>
      </w:pPr>
      <w:r>
        <w:rPr>
          <w:rtl w:val="0"/>
          <w:lang w:val="en-US"/>
        </w:rPr>
        <w:t>B2B relationships with retailers and distributors (joint promotions, category plans).</w:t>
      </w:r>
    </w:p>
    <w:p>
      <w:pPr>
        <w:pStyle w:val="Body"/>
        <w:numPr>
          <w:ilvl w:val="0"/>
          <w:numId w:val="14"/>
        </w:numPr>
        <w:rPr>
          <w:lang w:val="en-US"/>
        </w:rPr>
      </w:pPr>
      <w:r>
        <w:rPr>
          <w:rtl w:val="0"/>
          <w:lang w:val="en-US"/>
        </w:rPr>
        <w:t xml:space="preserve">B2C engagement via instore and digital marketing to build recognition of </w:t>
      </w:r>
      <w:r>
        <w:rPr>
          <w:rtl w:val="1"/>
          <w:lang w:val="ar-SA" w:bidi="ar-SA"/>
        </w:rPr>
        <w:t>“</w:t>
      </w:r>
      <w:r>
        <w:rPr>
          <w:rtl w:val="0"/>
          <w:lang w:val="en-US"/>
        </w:rPr>
        <w:t>The Best</w:t>
      </w:r>
      <w:r>
        <w:rPr>
          <w:rtl w:val="0"/>
        </w:rPr>
        <w:t xml:space="preserve">” </w:t>
      </w:r>
      <w:r>
        <w:rPr>
          <w:rtl w:val="0"/>
          <w:lang w:val="pt-PT"/>
        </w:rPr>
        <w:t>as a premium range.</w:t>
      </w:r>
    </w:p>
    <w:p>
      <w:pPr>
        <w:pStyle w:val="Body"/>
      </w:pPr>
      <w:r>
        <w:rPr>
          <w:b w:val="1"/>
          <w:bCs w:val="1"/>
          <w:rtl w:val="0"/>
          <w:lang w:val="da-DK"/>
        </w:rPr>
        <w:t>Channels</w:t>
      </w:r>
    </w:p>
    <w:p>
      <w:pPr>
        <w:pStyle w:val="Body"/>
        <w:numPr>
          <w:ilvl w:val="0"/>
          <w:numId w:val="16"/>
        </w:numPr>
        <w:rPr>
          <w:lang w:val="en-US"/>
        </w:rPr>
      </w:pPr>
      <w:r>
        <w:rPr>
          <w:rtl w:val="0"/>
          <w:lang w:val="en-US"/>
        </w:rPr>
        <w:t>GCC hypermarkets and supermarkets (Lulu, others).</w:t>
      </w:r>
    </w:p>
    <w:p>
      <w:pPr>
        <w:pStyle w:val="Body"/>
        <w:numPr>
          <w:ilvl w:val="0"/>
          <w:numId w:val="16"/>
        </w:numPr>
        <w:rPr>
          <w:lang w:val="en-US"/>
        </w:rPr>
      </w:pPr>
      <w:r>
        <w:rPr>
          <w:rtl w:val="0"/>
          <w:lang w:val="en-US"/>
        </w:rPr>
        <w:t>Online grocery platforms (Noon, Kibsons and retailer ecommerce).</w:t>
      </w:r>
    </w:p>
    <w:p>
      <w:pPr>
        <w:pStyle w:val="Body"/>
      </w:pPr>
      <w:r>
        <w:rPr>
          <w:b w:val="1"/>
          <w:bCs w:val="1"/>
          <w:rtl w:val="0"/>
          <w:lang w:val="en-US"/>
        </w:rPr>
        <w:t>Customer Segments</w:t>
      </w:r>
    </w:p>
    <w:p>
      <w:pPr>
        <w:pStyle w:val="Body"/>
        <w:numPr>
          <w:ilvl w:val="0"/>
          <w:numId w:val="18"/>
        </w:numPr>
        <w:rPr>
          <w:lang w:val="en-US"/>
        </w:rPr>
      </w:pPr>
      <w:r>
        <w:rPr>
          <w:rtl w:val="0"/>
          <w:lang w:val="en-US"/>
        </w:rPr>
        <w:t>GCC retailers and distributors as direct clients.</w:t>
      </w:r>
    </w:p>
    <w:p>
      <w:pPr>
        <w:pStyle w:val="Body"/>
        <w:numPr>
          <w:ilvl w:val="0"/>
          <w:numId w:val="18"/>
        </w:numPr>
        <w:rPr>
          <w:lang w:val="en-US"/>
        </w:rPr>
      </w:pPr>
      <w:r>
        <w:rPr>
          <w:rtl w:val="0"/>
          <w:lang w:val="en-US"/>
        </w:rPr>
        <w:t>End consumers: mid to highincome locals and expatriates seeking premium imported products.</w:t>
      </w:r>
    </w:p>
    <w:p>
      <w:pPr>
        <w:pStyle w:val="Body"/>
      </w:pPr>
      <w:r>
        <w:rPr>
          <w:b w:val="1"/>
          <w:bCs w:val="1"/>
          <w:rtl w:val="0"/>
          <w:lang w:val="de-DE"/>
        </w:rPr>
        <w:t>Cost Structure</w:t>
      </w:r>
    </w:p>
    <w:p>
      <w:pPr>
        <w:pStyle w:val="Body"/>
        <w:numPr>
          <w:ilvl w:val="0"/>
          <w:numId w:val="20"/>
        </w:numPr>
        <w:rPr>
          <w:lang w:val="en-US"/>
        </w:rPr>
      </w:pPr>
      <w:r>
        <w:rPr>
          <w:rtl w:val="0"/>
          <w:lang w:val="en-US"/>
        </w:rPr>
        <w:t>Manufacturing and sourcing costs.</w:t>
      </w:r>
    </w:p>
    <w:p>
      <w:pPr>
        <w:pStyle w:val="Body"/>
        <w:numPr>
          <w:ilvl w:val="0"/>
          <w:numId w:val="20"/>
        </w:numPr>
        <w:rPr>
          <w:lang w:val="en-US"/>
        </w:rPr>
      </w:pPr>
      <w:r>
        <w:rPr>
          <w:rtl w:val="0"/>
          <w:lang w:val="en-US"/>
        </w:rPr>
        <w:t>Export logistics, duties, compliance and labelling adaptation.</w:t>
      </w:r>
    </w:p>
    <w:p>
      <w:pPr>
        <w:pStyle w:val="Body"/>
        <w:numPr>
          <w:ilvl w:val="0"/>
          <w:numId w:val="20"/>
        </w:numPr>
        <w:rPr>
          <w:lang w:val="en-US"/>
        </w:rPr>
      </w:pPr>
      <w:r>
        <w:rPr>
          <w:rtl w:val="0"/>
          <w:lang w:val="en-US"/>
        </w:rPr>
        <w:t>Marketing and promotional spend in GCC.</w:t>
      </w:r>
    </w:p>
    <w:p>
      <w:pPr>
        <w:pStyle w:val="Body"/>
      </w:pPr>
      <w:r>
        <w:rPr>
          <w:b w:val="1"/>
          <w:bCs w:val="1"/>
          <w:rtl w:val="0"/>
          <w:lang w:val="en-US"/>
        </w:rPr>
        <w:t>Revenue Streams</w:t>
      </w:r>
    </w:p>
    <w:p>
      <w:pPr>
        <w:pStyle w:val="Body"/>
        <w:numPr>
          <w:ilvl w:val="0"/>
          <w:numId w:val="22"/>
        </w:numPr>
        <w:rPr>
          <w:lang w:val="en-US"/>
        </w:rPr>
      </w:pPr>
      <w:r>
        <w:rPr>
          <w:rtl w:val="0"/>
          <w:lang w:val="en-US"/>
        </w:rPr>
        <w:t>Wholesale revenue from sales of Morrisons</w:t>
      </w:r>
      <w:r>
        <w:rPr>
          <w:rtl w:val="1"/>
        </w:rPr>
        <w:t xml:space="preserve">’ </w:t>
      </w:r>
      <w:r>
        <w:rPr>
          <w:rtl w:val="0"/>
          <w:lang w:val="en-US"/>
        </w:rPr>
        <w:t>products to GCC retailers.</w:t>
      </w:r>
    </w:p>
    <w:p>
      <w:pPr>
        <w:pStyle w:val="Body"/>
        <w:numPr>
          <w:ilvl w:val="0"/>
          <w:numId w:val="22"/>
        </w:numPr>
        <w:rPr>
          <w:lang w:val="en-US"/>
        </w:rPr>
      </w:pPr>
      <w:r>
        <w:rPr>
          <w:rtl w:val="0"/>
          <w:lang w:val="en-US"/>
        </w:rPr>
        <w:t xml:space="preserve">Potential incremental revenue from extended </w:t>
      </w:r>
      <w:r>
        <w:rPr>
          <w:rtl w:val="1"/>
          <w:lang w:val="ar-SA" w:bidi="ar-SA"/>
        </w:rPr>
        <w:t>“</w:t>
      </w:r>
      <w:r>
        <w:rPr>
          <w:rtl w:val="0"/>
          <w:lang w:val="en-US"/>
        </w:rPr>
        <w:t>The Best</w:t>
      </w:r>
      <w:r>
        <w:rPr>
          <w:rtl w:val="0"/>
        </w:rPr>
        <w:t xml:space="preserve">” </w:t>
      </w:r>
      <w:r>
        <w:rPr>
          <w:rtl w:val="0"/>
          <w:lang w:val="en-US"/>
        </w:rPr>
        <w:t>range and new channels.</w:t>
      </w:r>
    </w:p>
    <w:p>
      <w:pPr>
        <w:pStyle w:val="Body"/>
      </w:pPr>
      <w:r>
        <w:rPr>
          <w:b w:val="1"/>
          <w:bCs w:val="1"/>
          <w:rtl w:val="0"/>
          <w:lang w:val="en-US"/>
        </w:rPr>
        <w:t>Interpretation and improvement areas</w:t>
      </w:r>
    </w:p>
    <w:p>
      <w:pPr>
        <w:pStyle w:val="Body"/>
      </w:pPr>
      <w:r>
        <w:rPr>
          <w:rtl w:val="0"/>
          <w:lang w:val="en-US"/>
        </w:rPr>
        <w:t xml:space="preserve">While the canvas reveals that Morrisons is already in a basic B2B wholesale model for the GCC, it has a few key gaps to fill; focusing on </w:t>
      </w:r>
      <w:r>
        <w:rPr>
          <w:rtl w:val="1"/>
          <w:lang w:val="ar-SA" w:bidi="ar-SA"/>
        </w:rPr>
        <w:t>“</w:t>
      </w:r>
      <w:r>
        <w:rPr>
          <w:rtl w:val="0"/>
          <w:lang w:val="en-US"/>
        </w:rPr>
        <w:t>The Best</w:t>
      </w:r>
      <w:r>
        <w:rPr>
          <w:rtl w:val="0"/>
        </w:rPr>
        <w:t xml:space="preserve">” </w:t>
      </w:r>
      <w:r>
        <w:rPr>
          <w:rtl w:val="0"/>
          <w:lang w:val="en-US"/>
        </w:rPr>
        <w:t>value proposition and customer relationship, investing more on GCC specific marketing, and using online channels more effectively. An opportunity for improvement is to shift from opportunistic export to more structured regional strategy using a brand approach.</w:t>
      </w:r>
    </w:p>
    <w:p>
      <w:pPr>
        <w:pStyle w:val="Heading"/>
      </w:pPr>
      <w:bookmarkStart w:name="_Toc8" w:id="8"/>
      <w:r>
        <w:rPr>
          <w:rFonts w:cs="Arial Unicode MS" w:eastAsia="Arial Unicode MS"/>
          <w:rtl w:val="0"/>
          <w:lang w:val="en-US"/>
        </w:rPr>
        <w:t>5. Marketing and Sales Strategy (Path B)</w:t>
      </w:r>
      <w:bookmarkEnd w:id="8"/>
    </w:p>
    <w:p>
      <w:pPr>
        <w:pStyle w:val="Body"/>
      </w:pPr>
      <w:r>
        <w:rPr>
          <w:rtl w:val="0"/>
          <w:lang w:val="en-US"/>
        </w:rPr>
        <w:t xml:space="preserve">The brand positioning theory and retailer brand theory can be used to interpret the proposed marketing strategy for </w:t>
      </w:r>
      <w:r>
        <w:rPr>
          <w:rtl w:val="1"/>
          <w:lang w:val="ar-SA" w:bidi="ar-SA"/>
        </w:rPr>
        <w:t>“</w:t>
      </w:r>
      <w:r>
        <w:rPr>
          <w:rtl w:val="0"/>
          <w:lang w:val="en-US"/>
        </w:rPr>
        <w:t>The Best</w:t>
      </w:r>
      <w:r>
        <w:rPr>
          <w:rtl w:val="0"/>
        </w:rPr>
        <w:t xml:space="preserve">” </w:t>
      </w:r>
      <w:r>
        <w:rPr>
          <w:rtl w:val="0"/>
          <w:lang w:val="en-US"/>
        </w:rPr>
        <w:t xml:space="preserve">in UAE and KSA. Premium supermarket private brands are increasingly being viewed as </w:t>
      </w:r>
      <w:r>
        <w:rPr>
          <w:rtl w:val="1"/>
          <w:lang w:val="ar-SA" w:bidi="ar-SA"/>
        </w:rPr>
        <w:t>“</w:t>
      </w:r>
      <w:r>
        <w:rPr>
          <w:rtl w:val="0"/>
          <w:lang w:val="it-IT"/>
        </w:rPr>
        <w:t>quasi brands</w:t>
      </w:r>
      <w:r>
        <w:rPr>
          <w:rtl w:val="0"/>
        </w:rPr>
        <w:t xml:space="preserve">” </w:t>
      </w:r>
      <w:r>
        <w:rPr>
          <w:rtl w:val="0"/>
          <w:lang w:val="en-US"/>
        </w:rPr>
        <w:t xml:space="preserve">and are able to compete directly with manufacturer brands by providing differentiated quality and image at lower prices (Kumar and Steenkamp, 2007). In this case, positioning </w:t>
      </w:r>
      <w:r>
        <w:rPr>
          <w:rtl w:val="1"/>
          <w:lang w:val="ar-SA" w:bidi="ar-SA"/>
        </w:rPr>
        <w:t>“</w:t>
      </w:r>
      <w:r>
        <w:rPr>
          <w:rtl w:val="0"/>
          <w:lang w:val="en-US"/>
        </w:rPr>
        <w:t>The Best</w:t>
      </w:r>
      <w:r>
        <w:rPr>
          <w:rtl w:val="0"/>
        </w:rPr>
        <w:t xml:space="preserve">” </w:t>
      </w:r>
      <w:r>
        <w:rPr>
          <w:rtl w:val="0"/>
          <w:lang w:val="en-US"/>
        </w:rPr>
        <w:t>as a British premium range in GCC is an attempt to benefit from country-of-origin effects (UK as a symbol for quality and safety) as well as retailer brand equity transfer via Morrisons' country of origin brand reputation in the UK (Aichner, 2014).</w:t>
      </w:r>
    </w:p>
    <w:p>
      <w:pPr>
        <w:pStyle w:val="Body"/>
      </w:pPr>
      <w:r>
        <w:rPr>
          <w:rtl w:val="0"/>
          <w:lang w:val="en-US"/>
        </w:rPr>
        <w:t xml:space="preserve">Therefore, sustainable advantage is not likely to be attained based on functional attributes alone in the biscuit and confectionery sector where there is high rivalry and strong global brands. Rather, the theories of brand led difference argue that focusing on emotional and symbolic benefits such as </w:t>
      </w:r>
      <w:r>
        <w:rPr>
          <w:rtl w:val="1"/>
          <w:lang w:val="ar-SA" w:bidi="ar-SA"/>
        </w:rPr>
        <w:t>“</w:t>
      </w:r>
      <w:r>
        <w:rPr>
          <w:rtl w:val="0"/>
          <w:lang w:val="en-US"/>
        </w:rPr>
        <w:t>authentic British indulgence</w:t>
      </w:r>
      <w:r>
        <w:rPr>
          <w:rtl w:val="0"/>
        </w:rPr>
        <w:t xml:space="preserve">” </w:t>
      </w:r>
      <w:r>
        <w:rPr>
          <w:rtl w:val="0"/>
          <w:lang w:val="en-US"/>
        </w:rPr>
        <w:t xml:space="preserve">and </w:t>
      </w:r>
      <w:r>
        <w:rPr>
          <w:rtl w:val="1"/>
          <w:lang w:val="ar-SA" w:bidi="ar-SA"/>
        </w:rPr>
        <w:t>“</w:t>
      </w:r>
      <w:r>
        <w:rPr>
          <w:rtl w:val="0"/>
          <w:lang w:val="en-US"/>
        </w:rPr>
        <w:t>restaurant quality treats at home</w:t>
      </w:r>
      <w:r>
        <w:rPr>
          <w:rtl w:val="0"/>
        </w:rPr>
        <w:t xml:space="preserve">” </w:t>
      </w:r>
      <w:r>
        <w:rPr>
          <w:rtl w:val="0"/>
          <w:lang w:val="en-US"/>
        </w:rPr>
        <w:t xml:space="preserve">as well as tangible quality cues (Porter, 1985; Keller, 2013). The focus on the </w:t>
      </w:r>
      <w:r>
        <w:rPr>
          <w:rtl w:val="1"/>
          <w:lang w:val="ar-SA" w:bidi="ar-SA"/>
        </w:rPr>
        <w:t>“</w:t>
      </w:r>
      <w:r>
        <w:rPr>
          <w:rtl w:val="0"/>
        </w:rPr>
        <w:t>Best</w:t>
      </w:r>
      <w:r>
        <w:rPr>
          <w:rtl w:val="0"/>
        </w:rPr>
        <w:t xml:space="preserve">” </w:t>
      </w:r>
      <w:r>
        <w:rPr>
          <w:rtl w:val="0"/>
          <w:lang w:val="en-US"/>
        </w:rPr>
        <w:t>series of hero SKUs, consistent narrative across the retail space and online presence, and the premium pricing for certain SKUs are all in keeping with present branding literature on private labels and international retail brands (Kumar and Steenkamp, 2007; Burt and Sparks, 2002).</w:t>
      </w:r>
    </w:p>
    <w:p>
      <w:pPr>
        <w:pStyle w:val="Body"/>
      </w:pPr>
      <w:r>
        <w:rPr>
          <w:rtl w:val="0"/>
          <w:lang w:val="en-US"/>
        </w:rPr>
        <w:t xml:space="preserve">Moreover, the following sales and marketing strategies are recommended in going ahead with </w:t>
      </w:r>
      <w:r>
        <w:rPr>
          <w:rtl w:val="1"/>
          <w:lang w:val="ar-SA" w:bidi="ar-SA"/>
        </w:rPr>
        <w:t>“</w:t>
      </w:r>
      <w:r>
        <w:rPr>
          <w:rtl w:val="0"/>
          <w:lang w:val="en-US"/>
        </w:rPr>
        <w:t>The Best</w:t>
      </w:r>
      <w:r>
        <w:rPr>
          <w:rtl w:val="0"/>
        </w:rPr>
        <w:t>”</w:t>
      </w:r>
      <w:r>
        <w:rPr>
          <w:rtl w:val="0"/>
        </w:rPr>
        <w:t>:</w:t>
      </w:r>
    </w:p>
    <w:p>
      <w:pPr>
        <w:pStyle w:val="Body"/>
      </w:pPr>
      <w:r>
        <w:rPr>
          <w:rtl w:val="0"/>
          <w:lang w:val="en-US"/>
        </w:rPr>
        <w:t xml:space="preserve">1. The location of </w:t>
      </w:r>
      <w:r>
        <w:rPr>
          <w:rtl w:val="1"/>
          <w:lang w:val="ar-SA" w:bidi="ar-SA"/>
        </w:rPr>
        <w:t>“</w:t>
      </w:r>
      <w:r>
        <w:rPr>
          <w:rtl w:val="0"/>
          <w:lang w:val="en-US"/>
        </w:rPr>
        <w:t>The Best</w:t>
      </w:r>
      <w:r>
        <w:rPr>
          <w:rtl w:val="0"/>
        </w:rPr>
        <w:t xml:space="preserve">” </w:t>
      </w:r>
      <w:r>
        <w:rPr>
          <w:rtl w:val="0"/>
          <w:lang w:val="en-US"/>
        </w:rPr>
        <w:t xml:space="preserve">is adequately positioned in GCC: </w:t>
      </w:r>
      <w:r>
        <w:rPr>
          <w:rtl w:val="1"/>
          <w:lang w:val="ar-SA" w:bidi="ar-SA"/>
        </w:rPr>
        <w:t>“</w:t>
      </w:r>
      <w:r>
        <w:rPr>
          <w:rtl w:val="0"/>
          <w:lang w:val="en-US"/>
        </w:rPr>
        <w:t>The Best</w:t>
      </w:r>
      <w:r>
        <w:rPr>
          <w:rtl w:val="0"/>
        </w:rPr>
        <w:t xml:space="preserve">” </w:t>
      </w:r>
      <w:r>
        <w:rPr>
          <w:rtl w:val="0"/>
          <w:lang w:val="en-US"/>
        </w:rPr>
        <w:t xml:space="preserve">to be positioned as </w:t>
      </w:r>
      <w:r>
        <w:rPr>
          <w:rtl w:val="1"/>
          <w:lang w:val="ar-SA" w:bidi="ar-SA"/>
        </w:rPr>
        <w:t>“</w:t>
      </w:r>
      <w:r>
        <w:rPr>
          <w:rtl w:val="0"/>
          <w:lang w:val="en-US"/>
        </w:rPr>
        <w:t>premium British supermarket quality at accessible prices</w:t>
      </w:r>
      <w:r>
        <w:rPr>
          <w:rtl w:val="0"/>
        </w:rPr>
        <w:t>”</w:t>
      </w:r>
      <w:r>
        <w:rPr>
          <w:rtl w:val="0"/>
          <w:lang w:val="en-US"/>
        </w:rPr>
        <w:t>, emphasizing British sourcing and indulgent recipes and quality standards, in sync with consumer aspirations in UAE and KSA (YouGov, 2024; Alpen Capital, 2025).</w:t>
      </w:r>
    </w:p>
    <w:p>
      <w:pPr>
        <w:pStyle w:val="Body"/>
      </w:pPr>
      <w:r>
        <w:rPr>
          <w:rtl w:val="0"/>
          <w:lang w:val="en-US"/>
        </w:rPr>
        <w:t>2. Identifies target market and customer profile: Target the UAE and KSA mid to high income shoppers, professionals, and expatriates who visit modern retail stores and online platforms for their snack and grocery shopping, and already purchase foreign snack and grocery products (Bain &amp; Company, 2022; WTA, 2025).</w:t>
      </w:r>
    </w:p>
    <w:p>
      <w:pPr>
        <w:pStyle w:val="Body"/>
      </w:pPr>
      <w:r>
        <w:rPr>
          <w:rtl w:val="0"/>
          <w:lang w:val="en-US"/>
        </w:rPr>
        <w:t xml:space="preserve">3. Prices and portfolio strategy: Keep the premium pricing range while keeping it affordable in comparison to the ultra-luxury imports. Moreover, appeal to different segments by using </w:t>
      </w:r>
      <w:r>
        <w:rPr>
          <w:rtl w:val="1"/>
          <w:lang w:val="ar-SA" w:bidi="ar-SA"/>
        </w:rPr>
        <w:t>“</w:t>
      </w:r>
      <w:r>
        <w:rPr>
          <w:rtl w:val="0"/>
          <w:lang w:val="en-US"/>
        </w:rPr>
        <w:t>good better best</w:t>
      </w:r>
      <w:r>
        <w:rPr>
          <w:rtl w:val="0"/>
        </w:rPr>
        <w:t xml:space="preserve">” </w:t>
      </w:r>
      <w:r>
        <w:rPr>
          <w:rtl w:val="0"/>
          <w:lang w:val="en-US"/>
        </w:rPr>
        <w:t>structures within the categories.</w:t>
      </w:r>
    </w:p>
    <w:p>
      <w:pPr>
        <w:pStyle w:val="Body"/>
      </w:pPr>
      <w:r>
        <w:rPr>
          <w:rtl w:val="0"/>
          <w:lang w:val="en-US"/>
        </w:rPr>
        <w:t xml:space="preserve">4. Branding and promotion: Co-develop promotional campaigns with GCC retailers (e.g., British Food Festivals, themed in store displays, sampling events). Leverage digital marketing (social media, retailer app, influencers) to create awareness of </w:t>
      </w:r>
      <w:r>
        <w:rPr>
          <w:rtl w:val="1"/>
          <w:lang w:val="ar-SA" w:bidi="ar-SA"/>
        </w:rPr>
        <w:t>“</w:t>
      </w:r>
      <w:r>
        <w:rPr>
          <w:rtl w:val="0"/>
          <w:lang w:val="en-US"/>
        </w:rPr>
        <w:t>The Best</w:t>
      </w:r>
      <w:r>
        <w:rPr>
          <w:rtl w:val="0"/>
        </w:rPr>
        <w:t xml:space="preserve">” </w:t>
      </w:r>
      <w:r>
        <w:rPr>
          <w:rtl w:val="0"/>
          <w:lang w:val="en-US"/>
        </w:rPr>
        <w:t>labels and important SKUs.</w:t>
      </w:r>
    </w:p>
    <w:p>
      <w:pPr>
        <w:pStyle w:val="Body"/>
      </w:pPr>
      <w:r>
        <w:rPr>
          <w:rtl w:val="0"/>
          <w:lang w:val="en-US"/>
        </w:rPr>
        <w:t>7. Advertising and promotions: Improve Lulu listings and look for other top UAE and KSA chains. Increase visibility on top online grocery platforms such as Noon and top local e grocery companies, quality product pages, and product images (Stratich Consulting, 2024).</w:t>
      </w:r>
    </w:p>
    <w:p>
      <w:pPr>
        <w:pStyle w:val="Body"/>
      </w:pPr>
      <w:r>
        <w:rPr>
          <w:rtl w:val="0"/>
          <w:lang w:val="en-US"/>
        </w:rPr>
        <w:t>6. Retention of customers and measurement of performance: Monitor repeat purchase and category share/basket data through retail partners. Offer promotions and loyalty program to get people to try again.</w:t>
      </w:r>
    </w:p>
    <w:p>
      <w:pPr>
        <w:pStyle w:val="Heading"/>
      </w:pPr>
      <w:bookmarkStart w:name="_Toc9" w:id="9"/>
      <w:r>
        <w:rPr>
          <w:rFonts w:cs="Arial Unicode MS" w:eastAsia="Arial Unicode MS"/>
          <w:rtl w:val="0"/>
          <w:lang w:val="en-US"/>
        </w:rPr>
        <w:t>6. Operation Plan (Path B)</w:t>
      </w:r>
      <w:bookmarkEnd w:id="9"/>
    </w:p>
    <w:p>
      <w:pPr>
        <w:pStyle w:val="Body"/>
        <w:rPr>
          <w:b w:val="1"/>
          <w:bCs w:val="1"/>
        </w:rPr>
      </w:pPr>
      <w:r>
        <w:rPr>
          <w:b w:val="1"/>
          <w:bCs w:val="1"/>
          <w:rtl w:val="0"/>
          <w:lang w:val="en-US"/>
        </w:rPr>
        <w:t>Current operations</w:t>
      </w:r>
    </w:p>
    <w:p>
      <w:pPr>
        <w:pStyle w:val="Body"/>
      </w:pPr>
      <w:r>
        <w:rPr>
          <w:rtl w:val="0"/>
          <w:lang w:val="en-US"/>
        </w:rPr>
        <w:t>Morrisons has vertical integrated supply chains, operating in the UK, and they rely on partners that pack, label and distribute products to the GCC region, such as Y International and other export specialists (Morrisons, 2025b; Leverbrook Export, 2022). Operational activities include bulk shipping, adapting labels, and distributing to retailers, as well as in store handling by partners.</w:t>
      </w:r>
    </w:p>
    <w:p>
      <w:pPr>
        <w:pStyle w:val="Body"/>
        <w:rPr>
          <w:b w:val="1"/>
          <w:bCs w:val="1"/>
        </w:rPr>
      </w:pPr>
      <w:r>
        <w:rPr>
          <w:b w:val="1"/>
          <w:bCs w:val="1"/>
          <w:rtl w:val="0"/>
          <w:lang w:val="en-US"/>
        </w:rPr>
        <w:t>The strengths and weaknesses of the operations.</w:t>
      </w:r>
    </w:p>
    <w:p>
      <w:pPr>
        <w:pStyle w:val="Body"/>
        <w:numPr>
          <w:ilvl w:val="0"/>
          <w:numId w:val="24"/>
        </w:numPr>
        <w:rPr>
          <w:lang w:val="en-US"/>
        </w:rPr>
      </w:pPr>
      <w:r>
        <w:rPr>
          <w:rtl w:val="0"/>
          <w:lang w:val="en-US"/>
        </w:rPr>
        <w:t>Strengths: integrated manufacturing, robust UK sourcing, established export partnerships, existing shelf presence in GCC.</w:t>
      </w:r>
    </w:p>
    <w:p>
      <w:pPr>
        <w:pStyle w:val="List Paragraph"/>
        <w:numPr>
          <w:ilvl w:val="0"/>
          <w:numId w:val="20"/>
        </w:numPr>
        <w:rPr>
          <w:lang w:val="en-US"/>
        </w:rPr>
      </w:pPr>
      <w:r>
        <w:rPr>
          <w:rtl w:val="0"/>
          <w:lang w:val="en-US"/>
        </w:rPr>
        <w:t>Weaknesses: Lack of operational visibility across GCC, delays in adaptation of products and lack of granular data on performance at SKU level.</w:t>
      </w:r>
    </w:p>
    <w:p>
      <w:pPr>
        <w:pStyle w:val="Body"/>
        <w:rPr>
          <w:b w:val="1"/>
          <w:bCs w:val="1"/>
        </w:rPr>
      </w:pPr>
      <w:r>
        <w:rPr>
          <w:b w:val="1"/>
          <w:bCs w:val="1"/>
          <w:rtl w:val="0"/>
          <w:lang w:val="en-US"/>
        </w:rPr>
        <w:t>Recommended operational improvements</w:t>
      </w:r>
    </w:p>
    <w:p>
      <w:pPr>
        <w:pStyle w:val="List Paragraph"/>
        <w:numPr>
          <w:ilvl w:val="0"/>
          <w:numId w:val="26"/>
        </w:numPr>
        <w:rPr>
          <w:lang w:val="en-US"/>
        </w:rPr>
      </w:pPr>
      <w:r>
        <w:rPr>
          <w:rtl w:val="0"/>
          <w:lang w:val="en-US"/>
        </w:rPr>
        <w:t xml:space="preserve">Supply and assortment planning: Focus on SKUs for GCC conditions </w:t>
      </w:r>
      <w:r>
        <w:rPr>
          <w:rtl w:val="0"/>
          <w:lang w:val="en-US"/>
        </w:rPr>
        <w:t>– “</w:t>
      </w:r>
      <w:r>
        <w:rPr>
          <w:rtl w:val="0"/>
          <w:lang w:val="en-US"/>
        </w:rPr>
        <w:t>The Best</w:t>
      </w:r>
      <w:r>
        <w:rPr>
          <w:rtl w:val="0"/>
          <w:lang w:val="en-US"/>
        </w:rPr>
        <w:t xml:space="preserve">” </w:t>
      </w:r>
      <w:r>
        <w:rPr>
          <w:rtl w:val="0"/>
          <w:lang w:val="en-US"/>
        </w:rPr>
        <w:t xml:space="preserve">range </w:t>
      </w:r>
      <w:r>
        <w:rPr>
          <w:rtl w:val="0"/>
          <w:lang w:val="en-US"/>
        </w:rPr>
        <w:t xml:space="preserve">– </w:t>
      </w:r>
      <w:r>
        <w:rPr>
          <w:rtl w:val="0"/>
          <w:lang w:val="en-US"/>
        </w:rPr>
        <w:t>such as products that are stable on the shelf under local conditions and flavours that meet local preferences.</w:t>
      </w:r>
    </w:p>
    <w:p>
      <w:pPr>
        <w:pStyle w:val="List Paragraph"/>
        <w:numPr>
          <w:ilvl w:val="0"/>
          <w:numId w:val="26"/>
        </w:numPr>
        <w:rPr>
          <w:lang w:val="en-US"/>
        </w:rPr>
      </w:pPr>
      <w:r>
        <w:rPr>
          <w:rtl w:val="0"/>
          <w:lang w:val="en-US"/>
        </w:rPr>
        <w:t xml:space="preserve">Regulatory compliance &amp; packaging: Ensure that all </w:t>
      </w:r>
      <w:r>
        <w:rPr>
          <w:rtl w:val="0"/>
          <w:lang w:val="en-US"/>
        </w:rPr>
        <w:t>“</w:t>
      </w:r>
      <w:r>
        <w:rPr>
          <w:rtl w:val="0"/>
          <w:lang w:val="en-US"/>
        </w:rPr>
        <w:t>The Best</w:t>
      </w:r>
      <w:r>
        <w:rPr>
          <w:rtl w:val="0"/>
          <w:lang w:val="en-US"/>
        </w:rPr>
        <w:t xml:space="preserve">” </w:t>
      </w:r>
      <w:r>
        <w:rPr>
          <w:rtl w:val="0"/>
          <w:lang w:val="en-US"/>
        </w:rPr>
        <w:t>packages contain specific Arabic labelling, nutritional information, and provide necessary halal and/or other certificate if applicable (Source International, 2026, WTA, 2025).</w:t>
      </w:r>
    </w:p>
    <w:p>
      <w:pPr>
        <w:pStyle w:val="List Paragraph"/>
        <w:numPr>
          <w:ilvl w:val="0"/>
          <w:numId w:val="26"/>
        </w:numPr>
        <w:rPr>
          <w:lang w:val="en-US"/>
        </w:rPr>
      </w:pPr>
      <w:r>
        <w:rPr>
          <w:rtl w:val="0"/>
          <w:lang w:val="en-US"/>
        </w:rPr>
        <w:t>Optimise shipping routes and stocking allocation between UAE and KSA to minimise stock outs and over-production. And, work closely with regional partners in forecasting and replenishing.</w:t>
      </w:r>
    </w:p>
    <w:p>
      <w:pPr>
        <w:pStyle w:val="List Paragraph"/>
        <w:numPr>
          <w:ilvl w:val="0"/>
          <w:numId w:val="26"/>
        </w:numPr>
        <w:rPr>
          <w:lang w:val="en-US"/>
        </w:rPr>
      </w:pPr>
      <w:r>
        <w:rPr>
          <w:rtl w:val="0"/>
          <w:lang w:val="en-US"/>
        </w:rPr>
        <w:t>Quality control/customer service: Ensure product quality is consistent throughout the transport and store life cycle and listen to feedback from the GCC retailers.</w:t>
      </w:r>
    </w:p>
    <w:p>
      <w:pPr>
        <w:pStyle w:val="Body"/>
      </w:pPr>
      <w:r>
        <w:rPr>
          <w:rFonts w:ascii="Arial Unicode MS" w:cs="Arial Unicode MS" w:hAnsi="Arial Unicode MS" w:eastAsia="Arial Unicode MS"/>
          <w:b w:val="0"/>
          <w:bCs w:val="0"/>
          <w:i w:val="0"/>
          <w:iCs w:val="0"/>
        </w:rPr>
        <w:br w:type="page"/>
      </w:r>
    </w:p>
    <w:p>
      <w:pPr>
        <w:pStyle w:val="Heading"/>
      </w:pPr>
      <w:bookmarkStart w:name="_Toc10" w:id="10"/>
      <w:r>
        <w:rPr>
          <w:rFonts w:cs="Arial Unicode MS" w:eastAsia="Arial Unicode MS"/>
          <w:rtl w:val="0"/>
          <w:lang w:val="en-US"/>
        </w:rPr>
        <w:t>7. Human Resource Capital Allocation (Path B)</w:t>
      </w:r>
      <w:bookmarkEnd w:id="10"/>
    </w:p>
    <w:p>
      <w:pPr>
        <w:pStyle w:val="Body"/>
        <w:rPr>
          <w:b w:val="1"/>
          <w:bCs w:val="1"/>
        </w:rPr>
      </w:pPr>
      <w:r>
        <w:rPr>
          <w:b w:val="1"/>
          <w:bCs w:val="1"/>
          <w:rtl w:val="0"/>
          <w:lang w:val="en-US"/>
        </w:rPr>
        <w:t>Current staffing and management</w:t>
      </w:r>
    </w:p>
    <w:p>
      <w:pPr>
        <w:pStyle w:val="Body"/>
      </w:pPr>
      <w:r>
        <w:rPr>
          <w:rtl w:val="0"/>
          <w:lang w:val="fr-FR"/>
        </w:rPr>
        <w:t>Morrisons</w:t>
      </w:r>
      <w:r>
        <w:rPr>
          <w:rtl w:val="1"/>
        </w:rPr>
        <w:t xml:space="preserve">’ </w:t>
      </w:r>
      <w:r>
        <w:rPr>
          <w:rtl w:val="0"/>
          <w:lang w:val="en-US"/>
        </w:rPr>
        <w:t>international wholesale/export function is managed by a dedicated team responsible for building relationships with partners and managing global trade (Morrisons, 2022; 2025b; The Grocer, 2022). This team coordinates with category, supply chain, finance and marketing departments in the UK.</w:t>
      </w:r>
    </w:p>
    <w:p>
      <w:pPr>
        <w:pStyle w:val="Body"/>
        <w:rPr>
          <w:b w:val="1"/>
          <w:bCs w:val="1"/>
        </w:rPr>
      </w:pPr>
      <w:r>
        <w:rPr>
          <w:b w:val="1"/>
          <w:bCs w:val="1"/>
          <w:rtl w:val="0"/>
          <w:lang w:val="en-US"/>
        </w:rPr>
        <w:t>Skills and gaps related to GCC expansion</w:t>
      </w:r>
    </w:p>
    <w:p>
      <w:pPr>
        <w:pStyle w:val="Body"/>
      </w:pPr>
      <w:r>
        <w:rPr>
          <w:rtl w:val="0"/>
          <w:lang w:val="en-US"/>
        </w:rPr>
        <w:t>To support the recommended strategy, key capabilities include:</w:t>
      </w:r>
    </w:p>
    <w:p>
      <w:pPr>
        <w:pStyle w:val="Body"/>
        <w:numPr>
          <w:ilvl w:val="0"/>
          <w:numId w:val="28"/>
        </w:numPr>
        <w:rPr>
          <w:lang w:val="en-US"/>
        </w:rPr>
      </w:pPr>
      <w:r>
        <w:rPr>
          <w:rtl w:val="0"/>
          <w:lang w:val="en-US"/>
        </w:rPr>
        <w:t>International category management and</w:t>
      </w:r>
      <w:r>
        <w:rPr>
          <w:rtl w:val="0"/>
        </w:rPr>
        <w:t> </w:t>
      </w:r>
      <w:r>
        <w:rPr>
          <w:b w:val="1"/>
          <w:bCs w:val="1"/>
          <w:rtl w:val="0"/>
          <w:lang w:val="en-US"/>
        </w:rPr>
        <w:t>GCCspecific market insight</w:t>
      </w:r>
      <w:r>
        <w:rPr>
          <w:rtl w:val="0"/>
        </w:rPr>
        <w:t>.</w:t>
      </w:r>
    </w:p>
    <w:p>
      <w:pPr>
        <w:pStyle w:val="Body"/>
        <w:numPr>
          <w:ilvl w:val="0"/>
          <w:numId w:val="28"/>
        </w:numPr>
        <w:rPr>
          <w:lang w:val="de-DE"/>
        </w:rPr>
      </w:pPr>
      <w:r>
        <w:rPr>
          <w:rtl w:val="0"/>
          <w:lang w:val="de-DE"/>
        </w:rPr>
        <w:t>Expertise in</w:t>
      </w:r>
      <w:r>
        <w:rPr>
          <w:rtl w:val="0"/>
        </w:rPr>
        <w:t> </w:t>
      </w:r>
      <w:r>
        <w:rPr>
          <w:b w:val="1"/>
          <w:bCs w:val="1"/>
          <w:rtl w:val="0"/>
          <w:lang w:val="en-US"/>
        </w:rPr>
        <w:t>export logistics, regulatory compliance and labelling</w:t>
      </w:r>
      <w:r>
        <w:rPr>
          <w:rtl w:val="0"/>
        </w:rPr>
        <w:t>.</w:t>
      </w:r>
    </w:p>
    <w:p>
      <w:pPr>
        <w:pStyle w:val="Body"/>
        <w:numPr>
          <w:ilvl w:val="0"/>
          <w:numId w:val="28"/>
        </w:numPr>
        <w:rPr>
          <w:lang w:val="en-US"/>
        </w:rPr>
      </w:pPr>
      <w:r>
        <w:rPr>
          <w:rtl w:val="0"/>
          <w:lang w:val="en-US"/>
        </w:rPr>
        <w:t>Brand and trade marketing specific to Middle East consumers and channels.</w:t>
      </w:r>
    </w:p>
    <w:p>
      <w:pPr>
        <w:pStyle w:val="Body"/>
        <w:numPr>
          <w:ilvl w:val="0"/>
          <w:numId w:val="28"/>
        </w:numPr>
        <w:rPr>
          <w:lang w:val="en-US"/>
        </w:rPr>
      </w:pPr>
      <w:r>
        <w:rPr>
          <w:rtl w:val="0"/>
          <w:lang w:val="en-US"/>
        </w:rPr>
        <w:t>Data analytics to interpret sales and shopper data from GCC partners (Bain &amp; Company, 2022).</w:t>
      </w:r>
    </w:p>
    <w:p>
      <w:pPr>
        <w:pStyle w:val="Body"/>
      </w:pPr>
      <w:r>
        <w:rPr>
          <w:b w:val="1"/>
          <w:bCs w:val="1"/>
          <w:rtl w:val="0"/>
          <w:lang w:val="en-US"/>
        </w:rPr>
        <w:t>Recommended HR allocation and development</w:t>
      </w:r>
    </w:p>
    <w:p>
      <w:pPr>
        <w:pStyle w:val="Body"/>
        <w:numPr>
          <w:ilvl w:val="0"/>
          <w:numId w:val="30"/>
        </w:numPr>
        <w:rPr>
          <w:lang w:val="it-IT"/>
        </w:rPr>
      </w:pPr>
      <w:r>
        <w:rPr>
          <w:rtl w:val="0"/>
          <w:lang w:val="it-IT"/>
        </w:rPr>
        <w:t>Designate</w:t>
      </w:r>
      <w:r>
        <w:rPr>
          <w:rtl w:val="0"/>
        </w:rPr>
        <w:t> </w:t>
      </w:r>
      <w:r>
        <w:rPr>
          <w:b w:val="1"/>
          <w:bCs w:val="1"/>
          <w:rtl w:val="0"/>
          <w:lang w:val="en-US"/>
        </w:rPr>
        <w:t>a GCC category manager</w:t>
      </w:r>
      <w:r>
        <w:rPr>
          <w:rtl w:val="0"/>
        </w:rPr>
        <w:t> </w:t>
      </w:r>
      <w:r>
        <w:rPr>
          <w:rtl w:val="0"/>
        </w:rPr>
        <w:t xml:space="preserve">for </w:t>
      </w:r>
      <w:r>
        <w:rPr>
          <w:rtl w:val="1"/>
          <w:lang w:val="ar-SA" w:bidi="ar-SA"/>
        </w:rPr>
        <w:t>“</w:t>
      </w:r>
      <w:r>
        <w:rPr>
          <w:rtl w:val="0"/>
          <w:lang w:val="en-US"/>
        </w:rPr>
        <w:t>The Best</w:t>
      </w:r>
      <w:r>
        <w:rPr>
          <w:rtl w:val="0"/>
        </w:rPr>
        <w:t xml:space="preserve">” </w:t>
      </w:r>
      <w:r>
        <w:rPr>
          <w:rtl w:val="0"/>
          <w:lang w:val="en-US"/>
        </w:rPr>
        <w:t>range, responsible for assortment, pricing and promotion strategy with regional partners.</w:t>
      </w:r>
    </w:p>
    <w:p>
      <w:pPr>
        <w:pStyle w:val="Body"/>
        <w:numPr>
          <w:ilvl w:val="0"/>
          <w:numId w:val="30"/>
        </w:numPr>
        <w:rPr>
          <w:lang w:val="pt-PT"/>
        </w:rPr>
      </w:pPr>
      <w:r>
        <w:rPr>
          <w:rtl w:val="0"/>
          <w:lang w:val="pt-PT"/>
        </w:rPr>
        <w:t>Enhance</w:t>
      </w:r>
      <w:r>
        <w:rPr>
          <w:rtl w:val="0"/>
        </w:rPr>
        <w:t> </w:t>
      </w:r>
      <w:r>
        <w:rPr>
          <w:b w:val="1"/>
          <w:bCs w:val="1"/>
          <w:rtl w:val="0"/>
          <w:lang w:val="en-US"/>
        </w:rPr>
        <w:t>local market insight</w:t>
      </w:r>
      <w:r>
        <w:rPr>
          <w:rtl w:val="0"/>
        </w:rPr>
        <w:t> </w:t>
      </w:r>
      <w:r>
        <w:rPr>
          <w:rtl w:val="0"/>
          <w:lang w:val="en-US"/>
        </w:rPr>
        <w:t>by hiring or contracting regional marketing specialists or working closely with inmarket partner teams.</w:t>
      </w:r>
    </w:p>
    <w:p>
      <w:pPr>
        <w:pStyle w:val="Body"/>
        <w:numPr>
          <w:ilvl w:val="0"/>
          <w:numId w:val="30"/>
        </w:numPr>
        <w:rPr>
          <w:lang w:val="en-US"/>
        </w:rPr>
      </w:pPr>
      <w:r>
        <w:rPr>
          <w:rtl w:val="0"/>
          <w:lang w:val="en-US"/>
        </w:rPr>
        <w:t>Provide training to UK staff on GCC cultural and regulatory context to improve adaptation decisions.</w:t>
      </w:r>
    </w:p>
    <w:p>
      <w:pPr>
        <w:pStyle w:val="Body"/>
      </w:pPr>
      <w:r>
        <w:rPr>
          <w:rFonts w:ascii="Arial Unicode MS" w:cs="Arial Unicode MS" w:hAnsi="Arial Unicode MS" w:eastAsia="Arial Unicode MS"/>
          <w:b w:val="0"/>
          <w:bCs w:val="0"/>
          <w:i w:val="0"/>
          <w:iCs w:val="0"/>
        </w:rPr>
        <w:br w:type="page"/>
      </w:r>
    </w:p>
    <w:p>
      <w:pPr>
        <w:pStyle w:val="Heading"/>
      </w:pPr>
      <w:bookmarkStart w:name="_Toc11" w:id="11"/>
      <w:r>
        <w:rPr>
          <w:rFonts w:cs="Arial Unicode MS" w:eastAsia="Arial Unicode MS"/>
          <w:rtl w:val="0"/>
          <w:lang w:val="en-US"/>
        </w:rPr>
        <w:t>8. Business Analysis Models</w:t>
      </w:r>
      <w:bookmarkEnd w:id="11"/>
    </w:p>
    <w:p>
      <w:pPr>
        <w:pStyle w:val="Heading 2"/>
      </w:pPr>
      <w:bookmarkStart w:name="_Toc12" w:id="12"/>
      <w:r>
        <w:rPr>
          <w:rFonts w:cs="Arial Unicode MS" w:eastAsia="Arial Unicode MS"/>
          <w:rtl w:val="0"/>
          <w:lang w:val="en-US"/>
        </w:rPr>
        <w:t>PESTLE Analysis</w:t>
      </w:r>
      <w:bookmarkEnd w:id="12"/>
    </w:p>
    <w:p>
      <w:pPr>
        <w:pStyle w:val="Body"/>
      </w:pPr>
      <w:bookmarkStart w:name="_Hlk231159684" w:id="13"/>
      <w:r>
        <w:rPr>
          <w:b w:val="1"/>
          <w:bCs w:val="1"/>
          <w:rtl w:val="0"/>
        </w:rPr>
        <w:t>Political:</w:t>
      </w:r>
      <w:r>
        <w:rPr>
          <w:rtl w:val="0"/>
        </w:rPr>
        <w:t xml:space="preserve"> UK</w:t>
      </w:r>
      <w:r>
        <w:rPr>
          <w:rtl w:val="0"/>
        </w:rPr>
        <w:t>–</w:t>
      </w:r>
      <w:r>
        <w:rPr>
          <w:rtl w:val="0"/>
          <w:lang w:val="en-US"/>
        </w:rPr>
        <w:t>GCC trade talks and new FTA open up potential for better trade but geopolitical conflicts in the region pose risk (UK Government, 2026a, 2026b; Gulf Today, 2025).</w:t>
      </w:r>
    </w:p>
    <w:p>
      <w:pPr>
        <w:pStyle w:val="Body"/>
      </w:pPr>
      <w:r>
        <w:rPr>
          <w:b w:val="1"/>
          <w:bCs w:val="1"/>
          <w:rtl w:val="0"/>
          <w:lang w:val="it-IT"/>
        </w:rPr>
        <w:t>Economic:</w:t>
      </w:r>
      <w:r>
        <w:rPr>
          <w:rtl w:val="0"/>
          <w:lang w:val="en-US"/>
        </w:rPr>
        <w:t xml:space="preserve"> UAE and KSA's GDP growth is stable to positive and their high disposable income coupled with strong government spending boosts the demand for FMCG (Alpen Capital, 2025; GCC Food Market Report, 2026).</w:t>
      </w:r>
    </w:p>
    <w:p>
      <w:pPr>
        <w:pStyle w:val="Body"/>
      </w:pPr>
      <w:r>
        <w:rPr>
          <w:b w:val="1"/>
          <w:bCs w:val="1"/>
          <w:rtl w:val="0"/>
          <w:lang w:val="pt-PT"/>
        </w:rPr>
        <w:t>Social:</w:t>
      </w:r>
      <w:r>
        <w:rPr>
          <w:rtl w:val="0"/>
          <w:lang w:val="en-US"/>
        </w:rPr>
        <w:t xml:space="preserve"> Young populations, urban living, high expat population, rising awareness of health and openness to imported premium foods (YouGov, 2024; Bain &amp; Company, 2022).</w:t>
      </w:r>
    </w:p>
    <w:p>
      <w:pPr>
        <w:pStyle w:val="Body"/>
      </w:pPr>
      <w:r>
        <w:rPr>
          <w:b w:val="1"/>
          <w:bCs w:val="1"/>
          <w:rtl w:val="0"/>
          <w:lang w:val="en-US"/>
        </w:rPr>
        <w:t>Technological:</w:t>
      </w:r>
      <w:r>
        <w:rPr>
          <w:rtl w:val="0"/>
          <w:lang w:val="en-US"/>
        </w:rPr>
        <w:t xml:space="preserve"> Advanced in retail and e-commerce infrastructure and adoption of digital payments, as well as data-driven retailing (Stratich Consulting, 2024; Bain &amp; Company, 2022).</w:t>
      </w:r>
    </w:p>
    <w:p>
      <w:pPr>
        <w:pStyle w:val="Body"/>
      </w:pPr>
      <w:r>
        <w:rPr>
          <w:b w:val="1"/>
          <w:bCs w:val="1"/>
          <w:rtl w:val="0"/>
          <w:lang w:val="it-IT"/>
        </w:rPr>
        <w:t>Legal</w:t>
      </w:r>
      <w:r>
        <w:rPr>
          <w:rtl w:val="0"/>
          <w:lang w:val="en-US"/>
        </w:rPr>
        <w:t>: Food safety laws, labelling and any possible halal standards need to be carefully adhered to (Source International, 2026; WTA, 2025).</w:t>
      </w:r>
      <w:bookmarkEnd w:id="13"/>
    </w:p>
    <w:p>
      <w:pPr>
        <w:pStyle w:val="Body"/>
      </w:pPr>
      <w:r>
        <w:rPr>
          <w:b w:val="1"/>
          <w:bCs w:val="1"/>
          <w:rtl w:val="0"/>
          <w:lang w:val="en-US"/>
        </w:rPr>
        <w:t>Environmental:</w:t>
      </w:r>
      <w:r>
        <w:rPr>
          <w:rtl w:val="0"/>
          <w:lang w:val="en-US"/>
        </w:rPr>
        <w:t xml:space="preserve"> Emphasis on food security, sustainability and imported food will have to comply with standards and packaging sustainability requirements may be adapted over time (UK Government, 2017; Strategy&amp;/PwC, 2024).</w:t>
      </w:r>
    </w:p>
    <w:p>
      <w:pPr>
        <w:pStyle w:val="Heading 2"/>
      </w:pPr>
      <w:bookmarkStart w:name="_Toc13" w:id="14"/>
      <w:r>
        <w:rPr>
          <w:rFonts w:cs="Arial Unicode MS" w:eastAsia="Arial Unicode MS"/>
          <w:rtl w:val="0"/>
          <w:lang w:val="en-US"/>
        </w:rPr>
        <w:t xml:space="preserve">SWOT Analysis </w:t>
      </w:r>
      <w:bookmarkEnd w:id="14"/>
    </w:p>
    <w:p>
      <w:pPr>
        <w:pStyle w:val="List Paragraph"/>
        <w:numPr>
          <w:ilvl w:val="0"/>
          <w:numId w:val="32"/>
        </w:numPr>
        <w:rPr>
          <w:lang w:val="en-US"/>
        </w:rPr>
      </w:pPr>
      <w:r>
        <w:rPr>
          <w:rtl w:val="0"/>
          <w:lang w:val="en-US"/>
        </w:rPr>
        <w:t xml:space="preserve">Strengths: British brand heritage, integrated supply chain, existing footprint in 260 GCC stores, </w:t>
      </w:r>
      <w:r>
        <w:rPr>
          <w:rtl w:val="0"/>
          <w:lang w:val="en-US"/>
        </w:rPr>
        <w:t>“</w:t>
      </w:r>
      <w:r>
        <w:rPr>
          <w:rtl w:val="0"/>
          <w:lang w:val="en-US"/>
        </w:rPr>
        <w:t>The Best</w:t>
      </w:r>
      <w:r>
        <w:rPr>
          <w:rtl w:val="0"/>
          <w:lang w:val="en-US"/>
        </w:rPr>
        <w:t xml:space="preserve">” </w:t>
      </w:r>
      <w:r>
        <w:rPr>
          <w:rtl w:val="0"/>
          <w:lang w:val="en-US"/>
        </w:rPr>
        <w:t>premium product range, and export partnerships with Morrisons and 2025b (Supermarket News, 2025).</w:t>
      </w:r>
    </w:p>
    <w:p>
      <w:pPr>
        <w:pStyle w:val="List Paragraph"/>
        <w:numPr>
          <w:ilvl w:val="0"/>
          <w:numId w:val="32"/>
        </w:numPr>
        <w:rPr>
          <w:lang w:val="en-US"/>
        </w:rPr>
      </w:pPr>
      <w:r>
        <w:rPr>
          <w:rtl w:val="0"/>
          <w:lang w:val="en-US"/>
        </w:rPr>
        <w:t>Weakness: The brand is not widely recognized in GCC as compared to FMCG brands from the rest of the world; weak private label recognition in GCC; weak local marketing (Leverbrook Export, 2022).</w:t>
      </w:r>
    </w:p>
    <w:p>
      <w:pPr>
        <w:pStyle w:val="List Paragraph"/>
        <w:numPr>
          <w:ilvl w:val="0"/>
          <w:numId w:val="32"/>
        </w:numPr>
        <w:rPr>
          <w:lang w:val="en-US"/>
        </w:rPr>
      </w:pPr>
      <w:r>
        <w:rPr>
          <w:rtl w:val="0"/>
          <w:lang w:val="en-US"/>
        </w:rPr>
        <w:t>Opportunities: GCC premiumisation trend, UK</w:t>
      </w:r>
      <w:r>
        <w:rPr>
          <w:rtl w:val="0"/>
          <w:lang w:val="en-US"/>
        </w:rPr>
        <w:t>–</w:t>
      </w:r>
      <w:r>
        <w:rPr>
          <w:rtl w:val="0"/>
          <w:lang w:val="en-US"/>
        </w:rPr>
        <w:t>GCC FTA, e commerce growth and capacity to harness the British sourcing narrative (Alpen Capital, 2025; UK Government, 2026a; Stratrich Consulting, 2024).</w:t>
      </w:r>
    </w:p>
    <w:p>
      <w:pPr>
        <w:pStyle w:val="List Paragraph"/>
        <w:numPr>
          <w:ilvl w:val="0"/>
          <w:numId w:val="32"/>
        </w:numPr>
        <w:rPr>
          <w:lang w:val="en-US"/>
        </w:rPr>
      </w:pPr>
      <w:r>
        <w:rPr>
          <w:rtl w:val="0"/>
          <w:lang w:val="en-US"/>
        </w:rPr>
        <w:t>Threats: High competition with global brands and local private labels, regulatory changes, geopolitical risk in supply routes (Bain &amp; Company, 2022; Strategy&amp;/PwC, 2024).</w:t>
      </w:r>
    </w:p>
    <w:p>
      <w:pPr>
        <w:pStyle w:val="Body"/>
        <w:rPr>
          <w:b w:val="1"/>
          <w:bCs w:val="1"/>
        </w:rPr>
      </w:pPr>
      <w:r>
        <w:rPr>
          <w:b w:val="1"/>
          <w:bCs w:val="1"/>
          <w:rtl w:val="0"/>
          <w:lang w:val="en-US"/>
        </w:rPr>
        <w:t>Competitor Analysis</w:t>
      </w:r>
    </w:p>
    <w:p>
      <w:pPr>
        <w:pStyle w:val="Body"/>
      </w:pPr>
      <w:r>
        <w:rPr>
          <w:rtl w:val="0"/>
          <w:lang w:val="en-US"/>
        </w:rPr>
        <w:t xml:space="preserve">The main competitors are multinational brands (such as well-known biscuit and confectionery companies) and private labels of the host retailers in the region. These have high brand recognition and penetration. Their high-end products, however, are frequently costly when compared to supermarket private labels, and there is likely a substantial opportunity for a value for money premium offer such as </w:t>
      </w:r>
      <w:r>
        <w:rPr>
          <w:rtl w:val="1"/>
          <w:lang w:val="ar-SA" w:bidi="ar-SA"/>
        </w:rPr>
        <w:t>“</w:t>
      </w:r>
      <w:r>
        <w:rPr>
          <w:rtl w:val="0"/>
          <w:lang w:val="en-US"/>
        </w:rPr>
        <w:t>The Best</w:t>
      </w:r>
      <w:r>
        <w:rPr>
          <w:rtl w:val="0"/>
        </w:rPr>
        <w:t xml:space="preserve">” </w:t>
      </w:r>
      <w:r>
        <w:rPr>
          <w:rtl w:val="0"/>
          <w:lang w:val="en-US"/>
        </w:rPr>
        <w:t>(Strategy&amp;/PwC, 2024; YouGov, 2024).</w:t>
      </w:r>
    </w:p>
    <w:p>
      <w:pPr>
        <w:pStyle w:val="Heading 2"/>
      </w:pPr>
      <w:bookmarkStart w:name="_Toc14" w:id="15"/>
      <w:r>
        <w:rPr>
          <w:rFonts w:cs="Arial Unicode MS" w:eastAsia="Arial Unicode MS"/>
          <w:rtl w:val="0"/>
          <w:lang w:val="pt-PT"/>
        </w:rPr>
        <w:t>Porter</w:t>
      </w:r>
      <w:r>
        <w:rPr>
          <w:rFonts w:cs="Arial Unicode MS" w:eastAsia="Arial Unicode MS" w:hint="default"/>
          <w:rtl w:val="1"/>
        </w:rPr>
        <w:t>’</w:t>
      </w:r>
      <w:r>
        <w:rPr>
          <w:rFonts w:cs="Arial Unicode MS" w:eastAsia="Arial Unicode MS"/>
          <w:rtl w:val="0"/>
          <w:lang w:val="en-US"/>
        </w:rPr>
        <w:t>s Five Forces (biscuits/premium grocery in GCC)</w:t>
      </w:r>
      <w:bookmarkEnd w:id="15"/>
    </w:p>
    <w:p>
      <w:pPr>
        <w:pStyle w:val="Body"/>
      </w:pPr>
      <w:r>
        <w:rPr>
          <w:b w:val="1"/>
          <w:bCs w:val="1"/>
          <w:rtl w:val="0"/>
          <w:lang w:val="en-US"/>
        </w:rPr>
        <w:t xml:space="preserve">Threat of new entrants </w:t>
      </w:r>
      <w:r>
        <w:rPr>
          <w:b w:val="1"/>
          <w:bCs w:val="1"/>
          <w:rtl w:val="0"/>
        </w:rPr>
        <w:t xml:space="preserve">– </w:t>
      </w:r>
      <w:r>
        <w:rPr>
          <w:b w:val="1"/>
          <w:bCs w:val="1"/>
          <w:rtl w:val="0"/>
          <w:lang w:val="de-DE"/>
        </w:rPr>
        <w:t>moderate:</w:t>
      </w:r>
      <w:r>
        <w:rPr>
          <w:rtl w:val="0"/>
          <w:lang w:val="en-US"/>
        </w:rPr>
        <w:t xml:space="preserve"> Retailer listing requirements, need for local import partners, scale economies in distribution, regulatory and labelling compliance are some of the entry barriers in the GCC grocery categories (Alpen Capital, 2025; Source International, 2026). For ambient FMCG, however, the retail and importer regularly bring in new brands and private labels, thus making entry structurally not difficult. This indicates an intermediate entry threat level; something is more difficult to hack but not very difficult to hack either.</w:t>
      </w:r>
    </w:p>
    <w:p>
      <w:pPr>
        <w:pStyle w:val="Body"/>
      </w:pPr>
      <w:r>
        <w:rPr>
          <w:b w:val="1"/>
          <w:bCs w:val="1"/>
          <w:rtl w:val="0"/>
          <w:lang w:val="en-US"/>
        </w:rPr>
        <w:t xml:space="preserve">Bargaining power of suppliers </w:t>
      </w:r>
      <w:r>
        <w:rPr>
          <w:b w:val="1"/>
          <w:bCs w:val="1"/>
          <w:rtl w:val="0"/>
        </w:rPr>
        <w:t xml:space="preserve">– </w:t>
      </w:r>
      <w:r>
        <w:rPr>
          <w:b w:val="1"/>
          <w:bCs w:val="1"/>
          <w:rtl w:val="0"/>
          <w:lang w:val="en-US"/>
        </w:rPr>
        <w:t>low to moderate:</w:t>
      </w:r>
      <w:r>
        <w:rPr>
          <w:rtl w:val="0"/>
          <w:lang w:val="en-US"/>
        </w:rPr>
        <w:t xml:space="preserve"> Morrisons is not a small brand buyer as it is an integrated retailer and manufacturer, giving it strong buying power within the UK agricultural and ingredient markets (Morrisons, 2026). The individual power of upstream suppliers is restricted as they are fragmented and traded internationally for core raw materials like flour and sugar, and cocoa. But, while commodity price volatility can still impact margins (Strategy&amp;/PwC, 2024). Overall supplier power is low to moderate, more macro price driven than firm driven.</w:t>
      </w:r>
    </w:p>
    <w:p>
      <w:pPr>
        <w:pStyle w:val="Body"/>
      </w:pPr>
      <w:r>
        <w:rPr>
          <w:b w:val="1"/>
          <w:bCs w:val="1"/>
          <w:rtl w:val="0"/>
          <w:lang w:val="en-US"/>
        </w:rPr>
        <w:t xml:space="preserve">Bargaining power of buyers (GCC retailers and platforms) </w:t>
      </w:r>
      <w:r>
        <w:rPr>
          <w:b w:val="1"/>
          <w:bCs w:val="1"/>
          <w:rtl w:val="0"/>
        </w:rPr>
        <w:t xml:space="preserve">– </w:t>
      </w:r>
      <w:r>
        <w:rPr>
          <w:b w:val="1"/>
          <w:bCs w:val="1"/>
          <w:rtl w:val="0"/>
          <w:lang w:val="en-US"/>
        </w:rPr>
        <w:t>high:</w:t>
      </w:r>
      <w:r>
        <w:rPr>
          <w:rtl w:val="0"/>
          <w:lang w:val="en-US"/>
        </w:rPr>
        <w:t xml:space="preserve"> The grocery markets are relatively concentrated in GCC with a few large grocery retailers, such as Lulu, Carrefour, Panda, and Tamimi, dominating shelf and screen space, and the growing online grocery market players gaining access (Bain and Company, 2022; WTA, 2025). Such buyers are able to ask for promotional assistance, better conditions and can switch easily from one range of imports to another. Morrisons being a late private label supplier have limited leverage vis a vis large FMCG manufacturers. Buyer power is therefore significant further emphasising the importance of Morrisons having distinctive value propositions and having reliable supplies to fill the shelf space.</w:t>
      </w:r>
    </w:p>
    <w:p>
      <w:pPr>
        <w:pStyle w:val="Body"/>
      </w:pPr>
      <w:r>
        <w:rPr>
          <w:b w:val="1"/>
          <w:bCs w:val="1"/>
          <w:rtl w:val="0"/>
          <w:lang w:val="en-US"/>
        </w:rPr>
        <w:t xml:space="preserve">Threat of substitutes </w:t>
      </w:r>
      <w:r>
        <w:rPr>
          <w:b w:val="1"/>
          <w:bCs w:val="1"/>
          <w:rtl w:val="0"/>
        </w:rPr>
        <w:t xml:space="preserve">– </w:t>
      </w:r>
      <w:r>
        <w:rPr>
          <w:b w:val="1"/>
          <w:bCs w:val="1"/>
          <w:rtl w:val="0"/>
          <w:lang w:val="en-US"/>
        </w:rPr>
        <w:t>high:</w:t>
      </w:r>
      <w:r>
        <w:rPr>
          <w:rtl w:val="0"/>
          <w:lang w:val="en-US"/>
        </w:rPr>
        <w:t xml:space="preserve"> Premium biscuits and other </w:t>
      </w:r>
      <w:r>
        <w:rPr>
          <w:rtl w:val="1"/>
        </w:rPr>
        <w:t>‘</w:t>
      </w:r>
      <w:r>
        <w:rPr>
          <w:rtl w:val="0"/>
          <w:lang w:val="en-US"/>
        </w:rPr>
        <w:t xml:space="preserve">treat' categories face a broad range of substitutes, including chocolate, local sweets, savoury snacks, healthier options and even non food indulgences (NFIs) (YouGov, 2024). Biscuits are also a space where global brands and local private labels merge, and so do the lines of different categories. With low switching costs, high threat of substitutes and </w:t>
      </w:r>
      <w:r>
        <w:rPr>
          <w:rtl w:val="1"/>
          <w:lang w:val="ar-SA" w:bidi="ar-SA"/>
        </w:rPr>
        <w:t>“</w:t>
      </w:r>
      <w:r>
        <w:rPr>
          <w:rtl w:val="0"/>
          <w:lang w:val="en-US"/>
        </w:rPr>
        <w:t>The Best</w:t>
      </w:r>
      <w:r>
        <w:rPr>
          <w:rtl w:val="0"/>
        </w:rPr>
        <w:t xml:space="preserve">” </w:t>
      </w:r>
      <w:r>
        <w:rPr>
          <w:rtl w:val="0"/>
          <w:lang w:val="en-US"/>
        </w:rPr>
        <w:t>requiring differentiation based on taste, quality cues and British origin (not category loyalty), the ease of changing suppliers is a significant concern for Morrisons.</w:t>
      </w:r>
    </w:p>
    <w:p>
      <w:pPr>
        <w:pStyle w:val="Body"/>
      </w:pPr>
      <w:r>
        <w:rPr>
          <w:b w:val="1"/>
          <w:bCs w:val="1"/>
          <w:rtl w:val="0"/>
          <w:lang w:val="en-US"/>
        </w:rPr>
        <w:t xml:space="preserve">Industry rivalry </w:t>
      </w:r>
      <w:r>
        <w:rPr>
          <w:b w:val="1"/>
          <w:bCs w:val="1"/>
          <w:rtl w:val="0"/>
        </w:rPr>
        <w:t xml:space="preserve">– </w:t>
      </w:r>
      <w:r>
        <w:rPr>
          <w:b w:val="1"/>
          <w:bCs w:val="1"/>
          <w:rtl w:val="0"/>
          <w:lang w:val="en-US"/>
        </w:rPr>
        <w:t>high (not low):</w:t>
      </w:r>
      <w:r>
        <w:rPr>
          <w:rtl w:val="0"/>
          <w:lang w:val="en-US"/>
        </w:rPr>
        <w:t xml:space="preserve"> The rivalries in the premium grocery and biscuits in GCC are high as opposed to earlier brief statement. There is competition for shelf space and consumer attention from global FMCG brands, regional brands and more and more sophisticated private brands from retailers (Strategy&amp;/PwC, 2024; YouGov, 2024). New imported ranges are introduced and aggressive promotions are made regularly by the retailers. A new competitor such as Morrisons faces increased competition because of the need to create awareness, as the brand is not known in markets where it is offering its products. This competitive intensity emphasizes the need to differentiate the product (Porter, 1985) and careful selection of categories so as not to have too many spread too thin.</w:t>
      </w:r>
    </w:p>
    <w:p>
      <w:pPr>
        <w:pStyle w:val="Body"/>
      </w:pPr>
      <w:r>
        <w:rPr>
          <w:b w:val="1"/>
          <w:bCs w:val="1"/>
          <w:rtl w:val="0"/>
          <w:lang w:val="en-US"/>
        </w:rPr>
        <w:t>Strategic implications:</w:t>
      </w:r>
      <w:r>
        <w:rPr>
          <w:rtl w:val="0"/>
          <w:lang w:val="en-US"/>
        </w:rPr>
        <w:t xml:space="preserve"> Morrisons has significant competition and buyer power, so it is unlikely to be a sustainable strategy to compete on price alone. Theory would therefore suggest that it needs to enhance its differentiated value (its quality, its nationality, its relationship with retailers), and better its negotiating position by providing value to retailers (Porter, 1985; Parnell, 2010). The idea of </w:t>
      </w:r>
      <w:r>
        <w:rPr>
          <w:rtl w:val="1"/>
          <w:lang w:val="ar-SA" w:bidi="ar-SA"/>
        </w:rPr>
        <w:t>“</w:t>
      </w:r>
      <w:r>
        <w:rPr>
          <w:rtl w:val="0"/>
          <w:lang w:val="en-US"/>
        </w:rPr>
        <w:t>The Best</w:t>
      </w:r>
      <w:r>
        <w:rPr>
          <w:rtl w:val="0"/>
        </w:rPr>
        <w:t xml:space="preserve">” </w:t>
      </w:r>
      <w:r>
        <w:rPr>
          <w:rtl w:val="0"/>
          <w:lang w:val="en-US"/>
        </w:rPr>
        <w:t>as a British top range, in carefully selected categories, is therefore making a strategic sense in these industry conditions, where the focus is on top brands that are also budget-friendly.</w:t>
      </w:r>
    </w:p>
    <w:p>
      <w:pPr>
        <w:pStyle w:val="Heading"/>
      </w:pPr>
      <w:bookmarkStart w:name="_Toc15" w:id="16"/>
      <w:r>
        <w:rPr>
          <w:rFonts w:cs="Arial Unicode MS" w:eastAsia="Arial Unicode MS"/>
          <w:rtl w:val="0"/>
          <w:lang w:val="de-DE"/>
        </w:rPr>
        <w:t>Ansoff Matrix</w:t>
      </w:r>
      <w:bookmarkEnd w:id="16"/>
    </w:p>
    <w:p>
      <w:pPr>
        <w:pStyle w:val="Body"/>
      </w:pPr>
      <w:r>
        <w:rPr>
          <w:rtl w:val="0"/>
          <w:lang w:val="en-US"/>
        </w:rPr>
        <w:t>For Morrisons in GCC:</w:t>
      </w:r>
    </w:p>
    <w:p>
      <w:pPr>
        <w:pStyle w:val="Body"/>
      </w:pPr>
      <w:r>
        <w:rPr>
          <w:b w:val="1"/>
          <w:bCs w:val="1"/>
          <w:rtl w:val="0"/>
          <w:lang w:val="en-US"/>
        </w:rPr>
        <w:t>Market penetration</w:t>
      </w:r>
      <w:r>
        <w:rPr>
          <w:rtl w:val="0"/>
          <w:lang w:val="en-US"/>
        </w:rPr>
        <w:t>: Increase sales of existing Morrisons products in existing GCC channels (shortterm).</w:t>
      </w:r>
    </w:p>
    <w:p>
      <w:pPr>
        <w:pStyle w:val="Body"/>
      </w:pPr>
      <w:r>
        <w:rPr>
          <w:b w:val="1"/>
          <w:bCs w:val="1"/>
          <w:rtl w:val="0"/>
          <w:lang w:val="en-US"/>
        </w:rPr>
        <w:t>Market development</w:t>
      </w:r>
      <w:r>
        <w:rPr>
          <w:rtl w:val="0"/>
          <w:lang w:val="en-US"/>
        </w:rPr>
        <w:t>: Expand into new markets (e.g. deeper in KSA, beyond current cities).</w:t>
      </w:r>
    </w:p>
    <w:p>
      <w:pPr>
        <w:pStyle w:val="Body"/>
      </w:pPr>
      <w:r>
        <w:rPr>
          <w:b w:val="1"/>
          <w:bCs w:val="1"/>
          <w:rtl w:val="0"/>
          <w:lang w:val="en-US"/>
        </w:rPr>
        <w:t>Product development</w:t>
      </w:r>
      <w:r>
        <w:rPr>
          <w:rtl w:val="0"/>
          <w:lang w:val="en-US"/>
        </w:rPr>
        <w:t xml:space="preserve">: Introduce GCCtailored </w:t>
      </w:r>
      <w:r>
        <w:rPr>
          <w:rtl w:val="1"/>
          <w:lang w:val="ar-SA" w:bidi="ar-SA"/>
        </w:rPr>
        <w:t>“</w:t>
      </w:r>
      <w:r>
        <w:rPr>
          <w:rtl w:val="0"/>
          <w:lang w:val="en-US"/>
        </w:rPr>
        <w:t>The Best</w:t>
      </w:r>
      <w:r>
        <w:rPr>
          <w:rtl w:val="0"/>
        </w:rPr>
        <w:t xml:space="preserve">” </w:t>
      </w:r>
      <w:r>
        <w:rPr>
          <w:rtl w:val="0"/>
          <w:lang w:val="en-US"/>
        </w:rPr>
        <w:t>SKUs (e.g. flavours suited to local tastes).</w:t>
      </w:r>
    </w:p>
    <w:p>
      <w:pPr>
        <w:pStyle w:val="Body"/>
      </w:pPr>
      <w:r>
        <w:rPr>
          <w:b w:val="1"/>
          <w:bCs w:val="1"/>
          <w:rtl w:val="0"/>
          <w:lang w:val="fr-FR"/>
        </w:rPr>
        <w:t>Diversification</w:t>
      </w:r>
      <w:r>
        <w:rPr>
          <w:rtl w:val="0"/>
          <w:lang w:val="en-US"/>
        </w:rPr>
        <w:t>: Not a priority for this proposal.</w:t>
      </w:r>
    </w:p>
    <w:p>
      <w:pPr>
        <w:pStyle w:val="Body"/>
      </w:pPr>
      <w:r>
        <w:rPr>
          <w:rtl w:val="0"/>
          <w:lang w:val="en-US"/>
        </w:rPr>
        <w:t xml:space="preserve">The proposed strategy focuses on the development of the market (into the UAE/KSA), as well as the development of the product (the </w:t>
      </w:r>
      <w:r>
        <w:rPr>
          <w:rtl w:val="1"/>
          <w:lang w:val="ar-SA" w:bidi="ar-SA"/>
        </w:rPr>
        <w:t>“</w:t>
      </w:r>
      <w:r>
        <w:rPr>
          <w:rtl w:val="0"/>
          <w:lang w:val="en-US"/>
        </w:rPr>
        <w:t>The Best</w:t>
      </w:r>
      <w:r>
        <w:rPr>
          <w:rtl w:val="0"/>
        </w:rPr>
        <w:t xml:space="preserve">” </w:t>
      </w:r>
      <w:r>
        <w:rPr>
          <w:rtl w:val="0"/>
          <w:lang w:val="en-US"/>
        </w:rPr>
        <w:t>assortment to the taste of the GCC), but there are also other possible strategic paths, which are outlined in Ansoff's matrix (Ansoff, 1957). A pure market penetration approach may be to sell as much as possible of the Morrisons products in the GCC without prioritising the premium products, hence, the entry would be low complex and would not benefit from premiumisation's margin and brand equity. In contrast, increased diversification (e.g., new adjacent services or non-food categories in GCC), would create more risk and demand for more capabilities than the current wholesale model.</w:t>
      </w:r>
    </w:p>
    <w:p>
      <w:pPr>
        <w:pStyle w:val="Body"/>
      </w:pPr>
      <w:r>
        <w:rPr>
          <w:rtl w:val="0"/>
          <w:lang w:val="en-US"/>
        </w:rPr>
        <w:t>Critically, the recommended strategy falls in between conservative penetration and high-risk diversification, as the strategy aims to focus on market and product development within categories in which Morrisons already has competence (premium private label food) and is consistent with the risk managed growth logic in Ansoff's framework (Ansoff, 1957; Johnson et al., 2020). But it also implies that, should premium biscuit and ambient be less successful in UAE/KSA, then Morrisons will need to rethink and shift towards a more value-focused private label strategy or to exit certain categories.</w:t>
      </w:r>
    </w:p>
    <w:p>
      <w:pPr>
        <w:pStyle w:val="Body"/>
      </w:pPr>
    </w:p>
    <w:p>
      <w:pPr>
        <w:pStyle w:val="Body"/>
      </w:pPr>
      <w:r>
        <w:rPr>
          <w:rFonts w:ascii="Arial Unicode MS" w:cs="Arial Unicode MS" w:hAnsi="Arial Unicode MS" w:eastAsia="Arial Unicode MS"/>
          <w:b w:val="0"/>
          <w:bCs w:val="0"/>
          <w:i w:val="0"/>
          <w:iCs w:val="0"/>
        </w:rPr>
        <w:br w:type="page"/>
      </w:r>
    </w:p>
    <w:p>
      <w:pPr>
        <w:pStyle w:val="Heading"/>
      </w:pPr>
      <w:bookmarkStart w:name="_Toc16" w:id="17"/>
      <w:r>
        <w:rPr>
          <w:rFonts w:cs="Arial Unicode MS" w:eastAsia="Arial Unicode MS"/>
          <w:rtl w:val="0"/>
          <w:lang w:val="en-US"/>
        </w:rPr>
        <w:t xml:space="preserve">9. Financial Plan (Path B </w:t>
      </w:r>
      <w:r>
        <w:rPr>
          <w:rFonts w:cs="Arial Unicode MS" w:eastAsia="Arial Unicode MS" w:hint="default"/>
          <w:rtl w:val="0"/>
        </w:rPr>
        <w:t xml:space="preserve">– </w:t>
      </w:r>
      <w:r>
        <w:rPr>
          <w:rFonts w:cs="Arial Unicode MS" w:eastAsia="Arial Unicode MS"/>
          <w:rtl w:val="0"/>
          <w:lang w:val="en-US"/>
        </w:rPr>
        <w:t>high level)</w:t>
      </w:r>
      <w:bookmarkEnd w:id="17"/>
    </w:p>
    <w:p>
      <w:pPr>
        <w:pStyle w:val="Body"/>
      </w:pPr>
      <w:r>
        <w:rPr>
          <w:rtl w:val="0"/>
          <w:lang w:val="en-US"/>
        </w:rPr>
        <w:t>This section evaluates whether the proposed expansion of Morrisons</w:t>
      </w:r>
      <w:r>
        <w:rPr>
          <w:rtl w:val="1"/>
        </w:rPr>
        <w:t>’ “</w:t>
      </w:r>
      <w:r>
        <w:rPr>
          <w:rtl w:val="0"/>
          <w:lang w:val="en-US"/>
        </w:rPr>
        <w:t>The Best</w:t>
      </w:r>
      <w:r>
        <w:rPr>
          <w:rtl w:val="0"/>
        </w:rPr>
        <w:t xml:space="preserve">” </w:t>
      </w:r>
      <w:r>
        <w:rPr>
          <w:rtl w:val="0"/>
          <w:lang w:val="en-US"/>
        </w:rPr>
        <w:t>range in UAE and KSA is financially realistic, using 2023/24 Group figures as a baseline and constructing indicative, scenariobased projections.</w:t>
      </w:r>
    </w:p>
    <w:p>
      <w:pPr>
        <w:pStyle w:val="Heading 2"/>
      </w:pPr>
      <w:bookmarkStart w:name="_Toc17" w:id="18"/>
      <w:r>
        <w:rPr>
          <w:rFonts w:cs="Arial Unicode MS" w:eastAsia="Arial Unicode MS"/>
          <w:rtl w:val="0"/>
          <w:lang w:val="en-US"/>
        </w:rPr>
        <w:t>1. Baseline financial capacity (2023/24)</w:t>
      </w:r>
      <w:bookmarkEnd w:id="18"/>
    </w:p>
    <w:p>
      <w:pPr>
        <w:pStyle w:val="Body"/>
      </w:pPr>
      <w:r>
        <w:rPr>
          <w:rtl w:val="0"/>
          <w:lang w:val="en-US"/>
        </w:rPr>
        <w:t xml:space="preserve">The 52 weeks to 27 October 2024 saw Morrisons' continuing operations revenue rise to </w:t>
      </w:r>
      <w:r>
        <w:rPr>
          <w:rtl w:val="0"/>
        </w:rPr>
        <w:t>£</w:t>
      </w:r>
      <w:r>
        <w:rPr>
          <w:rtl w:val="0"/>
          <w:lang w:val="en-US"/>
        </w:rPr>
        <w:t xml:space="preserve">15,276m, its underlying EBITDA margin to 5.5% (2022/23: 5.1%) and its underlying EBITDA to </w:t>
      </w:r>
      <w:r>
        <w:rPr>
          <w:rtl w:val="0"/>
        </w:rPr>
        <w:t>£</w:t>
      </w:r>
      <w:r>
        <w:rPr>
          <w:rtl w:val="0"/>
          <w:lang w:val="en-US"/>
        </w:rPr>
        <w:t xml:space="preserve">835m. Profit from continuing operations was </w:t>
      </w:r>
      <w:r>
        <w:rPr>
          <w:rtl w:val="0"/>
        </w:rPr>
        <w:t>£</w:t>
      </w:r>
      <w:r>
        <w:rPr>
          <w:rtl w:val="0"/>
          <w:lang w:val="en-US"/>
        </w:rPr>
        <w:t xml:space="preserve">416m and operating profit before exceptional items was </w:t>
      </w:r>
      <w:r>
        <w:rPr>
          <w:rtl w:val="0"/>
        </w:rPr>
        <w:t>£</w:t>
      </w:r>
      <w:r>
        <w:rPr>
          <w:rtl w:val="0"/>
          <w:lang w:val="en-US"/>
        </w:rPr>
        <w:t xml:space="preserve">206m, in both cases showing an improvement in profitability in the core grocery business even as inflation has risen and the fuel forecourts have been sold. Net cash inflow from operating activities (total, including the divested fuel business) was </w:t>
      </w:r>
      <w:r>
        <w:rPr>
          <w:rtl w:val="0"/>
        </w:rPr>
        <w:t>£</w:t>
      </w:r>
      <w:r>
        <w:rPr>
          <w:rtl w:val="0"/>
          <w:lang w:val="en-US"/>
        </w:rPr>
        <w:t xml:space="preserve">838m, with </w:t>
      </w:r>
      <w:r>
        <w:rPr>
          <w:rtl w:val="0"/>
        </w:rPr>
        <w:t>£</w:t>
      </w:r>
      <w:r>
        <w:rPr>
          <w:rtl w:val="0"/>
          <w:lang w:val="en-US"/>
        </w:rPr>
        <w:t>849m of cash and cash equivalents and no external debt remaining at 27 October 2024.</w:t>
      </w:r>
    </w:p>
    <w:p>
      <w:pPr>
        <w:pStyle w:val="Body"/>
      </w:pPr>
      <w:r>
        <w:rPr>
          <w:rtl w:val="0"/>
          <w:lang w:val="en-US"/>
        </w:rPr>
        <w:t xml:space="preserve">These are ample enough to support </w:t>
      </w:r>
      <w:r>
        <w:rPr>
          <w:rtl w:val="1"/>
          <w:lang w:val="ar-SA" w:bidi="ar-SA"/>
        </w:rPr>
        <w:t>“</w:t>
      </w:r>
      <w:r>
        <w:rPr>
          <w:rtl w:val="0"/>
          <w:lang w:val="en-US"/>
        </w:rPr>
        <w:t>The Best</w:t>
      </w:r>
      <w:r>
        <w:rPr>
          <w:rtl w:val="0"/>
        </w:rPr>
        <w:t xml:space="preserve">” </w:t>
      </w:r>
      <w:r>
        <w:rPr>
          <w:rtl w:val="0"/>
          <w:lang w:val="en-US"/>
        </w:rPr>
        <w:t xml:space="preserve">product to be launched on the international market as a small international element of the Group's investment portfolio, particularly given that the Group is focussed on </w:t>
      </w:r>
      <w:r>
        <w:rPr>
          <w:rtl w:val="1"/>
          <w:lang w:val="ar-SA" w:bidi="ar-SA"/>
        </w:rPr>
        <w:t>“</w:t>
      </w:r>
      <w:r>
        <w:rPr>
          <w:rtl w:val="0"/>
          <w:lang w:val="en-US"/>
        </w:rPr>
        <w:t>capital light</w:t>
      </w:r>
      <w:r>
        <w:rPr>
          <w:rtl w:val="0"/>
        </w:rPr>
        <w:t xml:space="preserve">” </w:t>
      </w:r>
      <w:r>
        <w:rPr>
          <w:rtl w:val="0"/>
          <w:lang w:val="en-US"/>
        </w:rPr>
        <w:t>growth through wholesale and franchise channels.</w:t>
      </w:r>
    </w:p>
    <w:p>
      <w:pPr>
        <w:pStyle w:val="Heading 2"/>
      </w:pPr>
      <w:bookmarkStart w:name="_Toc18" w:id="19"/>
      <w:r>
        <w:rPr>
          <w:rFonts w:cs="Arial Unicode MS" w:eastAsia="Arial Unicode MS"/>
          <w:rtl w:val="0"/>
          <w:lang w:val="en-US"/>
        </w:rPr>
        <w:t>2. Revenue potential from GCC premium expansion</w:t>
      </w:r>
      <w:bookmarkEnd w:id="19"/>
    </w:p>
    <w:p>
      <w:pPr>
        <w:pStyle w:val="Body"/>
      </w:pPr>
      <w:r>
        <w:rPr>
          <w:rtl w:val="0"/>
          <w:lang w:val="en-US"/>
        </w:rPr>
        <w:t>Annual report data does not break down revenues for the GCC so indicative market share scenarios are used for the premium biscuits/ambient category in UAE and KSA. According to the GCC Food Market Report (2026) and GC Food Sector Reports (2025), the food sector is experiencing a steady growth in premium and packaged foods. For illustration:</w:t>
      </w:r>
    </w:p>
    <w:p>
      <w:pPr>
        <w:pStyle w:val="List Paragraph"/>
        <w:numPr>
          <w:ilvl w:val="0"/>
          <w:numId w:val="34"/>
        </w:numPr>
        <w:rPr>
          <w:lang w:val="en-US"/>
        </w:rPr>
      </w:pPr>
      <w:r>
        <w:rPr>
          <w:rtl w:val="0"/>
          <w:lang w:val="en-US"/>
        </w:rPr>
        <w:t xml:space="preserve">Based on the combined premium biscuits / confectionery segment in UAE and KSA to be accessible to imported British brands, the penetration of modern retailers in the premium biscuit market is high and per capita spends on imported snacks is high, estimated at </w:t>
      </w:r>
      <w:r>
        <w:rPr>
          <w:rtl w:val="0"/>
          <w:lang w:val="en-US"/>
        </w:rPr>
        <w:t>£</w:t>
      </w:r>
      <w:r>
        <w:rPr>
          <w:rtl w:val="0"/>
          <w:lang w:val="en-US"/>
        </w:rPr>
        <w:t>200m per year (in sterling equivalent) (Alpen Capital, 2025; Strategy&amp;/PwC, 2024).</w:t>
      </w:r>
    </w:p>
    <w:p>
      <w:pPr>
        <w:pStyle w:val="List Paragraph"/>
        <w:numPr>
          <w:ilvl w:val="0"/>
          <w:numId w:val="34"/>
        </w:numPr>
        <w:rPr>
          <w:lang w:val="en-US"/>
        </w:rPr>
      </w:pPr>
      <w:r>
        <w:rPr>
          <w:rtl w:val="0"/>
          <w:lang w:val="en-US"/>
        </w:rPr>
        <w:t xml:space="preserve">Make an assumption that Morrisons is selling to a very small percentage of this segment through </w:t>
      </w:r>
      <w:r>
        <w:rPr>
          <w:rtl w:val="0"/>
          <w:lang w:val="en-US"/>
        </w:rPr>
        <w:t>“</w:t>
      </w:r>
      <w:r>
        <w:rPr>
          <w:rtl w:val="0"/>
          <w:lang w:val="en-US"/>
        </w:rPr>
        <w:t>The Best</w:t>
      </w:r>
      <w:r>
        <w:rPr>
          <w:rtl w:val="0"/>
          <w:lang w:val="en-US"/>
        </w:rPr>
        <w:t>”</w:t>
      </w:r>
      <w:r>
        <w:rPr>
          <w:rtl w:val="0"/>
          <w:lang w:val="en-US"/>
        </w:rPr>
        <w:t>.</w:t>
      </w:r>
    </w:p>
    <w:p>
      <w:pPr>
        <w:pStyle w:val="Body"/>
      </w:pPr>
      <w:r>
        <w:rPr>
          <w:rtl w:val="0"/>
          <w:lang w:val="en-US"/>
        </w:rPr>
        <w:t>Using this, three scenarios are constructed:</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36"/>
        <w:gridCol w:w="2744"/>
        <w:gridCol w:w="2121"/>
        <w:gridCol w:w="2815"/>
      </w:tblGrid>
      <w:tr>
        <w:tblPrEx>
          <w:shd w:val="clear" w:color="auto" w:fill="cdd4e9"/>
        </w:tblPrEx>
        <w:trPr>
          <w:trHeight w:val="1190" w:hRule="atLeast"/>
        </w:trPr>
        <w:tc>
          <w:tcPr>
            <w:tcW w:type="dxa" w:w="133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Scenario</w:t>
            </w:r>
          </w:p>
        </w:tc>
        <w:tc>
          <w:tcPr>
            <w:tcW w:type="dxa" w:w="27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Assumed premium segment value (UAE + KSA)</w:t>
            </w:r>
          </w:p>
        </w:tc>
        <w:tc>
          <w:tcPr>
            <w:tcW w:type="dxa" w:w="21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Assumed Morrisons market share</w:t>
            </w:r>
          </w:p>
        </w:tc>
        <w:tc>
          <w:tcPr>
            <w:tcW w:type="dxa" w:w="28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 xml:space="preserve">Indicative annual </w:t>
            </w:r>
            <w:r>
              <w:rPr>
                <w:b w:val="1"/>
                <w:bCs w:val="1"/>
                <w:shd w:val="nil" w:color="auto" w:fill="auto"/>
                <w:rtl w:val="0"/>
                <w:lang w:val="en-US"/>
              </w:rPr>
              <w:t>“</w:t>
            </w:r>
            <w:r>
              <w:rPr>
                <w:b w:val="1"/>
                <w:bCs w:val="1"/>
                <w:shd w:val="nil" w:color="auto" w:fill="auto"/>
                <w:rtl w:val="0"/>
                <w:lang w:val="en-US"/>
              </w:rPr>
              <w:t>The Best</w:t>
            </w:r>
            <w:r>
              <w:rPr>
                <w:b w:val="1"/>
                <w:bCs w:val="1"/>
                <w:shd w:val="nil" w:color="auto" w:fill="auto"/>
                <w:rtl w:val="0"/>
                <w:lang w:val="en-US"/>
              </w:rPr>
              <w:t xml:space="preserve">” </w:t>
            </w:r>
            <w:r>
              <w:rPr>
                <w:b w:val="1"/>
                <w:bCs w:val="1"/>
                <w:shd w:val="nil" w:color="auto" w:fill="auto"/>
                <w:rtl w:val="0"/>
                <w:lang w:val="en-US"/>
              </w:rPr>
              <w:t>sales (UAE + KSA)</w:t>
            </w:r>
          </w:p>
        </w:tc>
      </w:tr>
      <w:tr>
        <w:tblPrEx>
          <w:shd w:val="clear" w:color="auto" w:fill="cdd4e9"/>
        </w:tblPrEx>
        <w:trPr>
          <w:trHeight w:val="300" w:hRule="atLeast"/>
        </w:trPr>
        <w:tc>
          <w:tcPr>
            <w:tcW w:type="dxa" w:w="133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Pessimistic</w:t>
            </w:r>
          </w:p>
        </w:tc>
        <w:tc>
          <w:tcPr>
            <w:tcW w:type="dxa" w:w="27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200m</w:t>
            </w:r>
          </w:p>
        </w:tc>
        <w:tc>
          <w:tcPr>
            <w:tcW w:type="dxa" w:w="21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0.25%</w:t>
            </w:r>
          </w:p>
        </w:tc>
        <w:tc>
          <w:tcPr>
            <w:tcW w:type="dxa" w:w="28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0.50m</w:t>
            </w:r>
          </w:p>
        </w:tc>
      </w:tr>
      <w:tr>
        <w:tblPrEx>
          <w:shd w:val="clear" w:color="auto" w:fill="cdd4e9"/>
        </w:tblPrEx>
        <w:trPr>
          <w:trHeight w:val="300" w:hRule="atLeast"/>
        </w:trPr>
        <w:tc>
          <w:tcPr>
            <w:tcW w:type="dxa" w:w="133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Base</w:t>
            </w:r>
          </w:p>
        </w:tc>
        <w:tc>
          <w:tcPr>
            <w:tcW w:type="dxa" w:w="27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200m</w:t>
            </w:r>
          </w:p>
        </w:tc>
        <w:tc>
          <w:tcPr>
            <w:tcW w:type="dxa" w:w="21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0.50%</w:t>
            </w:r>
          </w:p>
        </w:tc>
        <w:tc>
          <w:tcPr>
            <w:tcW w:type="dxa" w:w="28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1.00m</w:t>
            </w:r>
          </w:p>
        </w:tc>
      </w:tr>
      <w:tr>
        <w:tblPrEx>
          <w:shd w:val="clear" w:color="auto" w:fill="cdd4e9"/>
        </w:tblPrEx>
        <w:trPr>
          <w:trHeight w:val="300" w:hRule="atLeast"/>
        </w:trPr>
        <w:tc>
          <w:tcPr>
            <w:tcW w:type="dxa" w:w="133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Optimistic</w:t>
            </w:r>
          </w:p>
        </w:tc>
        <w:tc>
          <w:tcPr>
            <w:tcW w:type="dxa" w:w="27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200m</w:t>
            </w:r>
          </w:p>
        </w:tc>
        <w:tc>
          <w:tcPr>
            <w:tcW w:type="dxa" w:w="21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1.00%</w:t>
            </w:r>
          </w:p>
        </w:tc>
        <w:tc>
          <w:tcPr>
            <w:tcW w:type="dxa" w:w="28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2.00m</w:t>
            </w:r>
          </w:p>
        </w:tc>
      </w:tr>
    </w:tbl>
    <w:p>
      <w:pPr>
        <w:pStyle w:val="Body"/>
        <w:widowControl w:val="0"/>
        <w:spacing w:line="240" w:lineRule="auto"/>
      </w:pPr>
    </w:p>
    <w:p>
      <w:pPr>
        <w:pStyle w:val="Heading 2"/>
      </w:pPr>
      <w:bookmarkStart w:name="_Toc19" w:id="20"/>
      <w:r>
        <w:rPr>
          <w:rFonts w:cs="Arial Unicode MS" w:eastAsia="Arial Unicode MS"/>
          <w:rtl w:val="0"/>
          <w:lang w:val="en-US"/>
        </w:rPr>
        <w:t>3. Contribution margin and breakeven considerations</w:t>
      </w:r>
      <w:bookmarkEnd w:id="20"/>
    </w:p>
    <w:p>
      <w:pPr>
        <w:pStyle w:val="Body"/>
      </w:pPr>
      <w:r>
        <w:rPr>
          <w:rtl w:val="0"/>
          <w:lang w:val="en-US"/>
        </w:rPr>
        <w:t>A contribution margin is assumed (after manufacturing, export logistics and retailer margins but before Morrisons' central marketing and overheads) that is broadly in line with the Group's overall EBITDA margin derived from continuing operations to test the commercial viability of the business. The 2023/24 underlying EBITDA margin was 5.5%. The contribution rate for premium private label products is usually slightly higher, but to be conservative, it is assumed to be the same at 5.5% contribution.</w:t>
      </w:r>
    </w:p>
    <w:p>
      <w:pPr>
        <w:pStyle w:val="Body"/>
      </w:pPr>
      <w:r>
        <w:rPr>
          <w:rtl w:val="0"/>
          <w:lang w:val="en-US"/>
        </w:rPr>
        <w:t>Applying 5.5% to the scenario revenues: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37"/>
        <w:gridCol w:w="2167"/>
        <w:gridCol w:w="1956"/>
        <w:gridCol w:w="1980"/>
        <w:gridCol w:w="1576"/>
      </w:tblGrid>
      <w:tr>
        <w:tblPrEx>
          <w:shd w:val="clear" w:color="auto" w:fill="cdd4e9"/>
        </w:tblPrEx>
        <w:trPr>
          <w:trHeight w:val="1190" w:hRule="atLeast"/>
        </w:trPr>
        <w:tc>
          <w:tcPr>
            <w:tcW w:type="dxa" w:w="133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Scenario</w:t>
            </w:r>
          </w:p>
        </w:tc>
        <w:tc>
          <w:tcPr>
            <w:tcW w:type="dxa" w:w="216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Indicative annual sales (UAE + KSA)</w:t>
            </w:r>
          </w:p>
        </w:tc>
        <w:tc>
          <w:tcPr>
            <w:tcW w:type="dxa" w:w="195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Assumed contribution margin</w:t>
            </w:r>
          </w:p>
        </w:tc>
        <w:tc>
          <w:tcPr>
            <w:tcW w:type="dxa" w:w="198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Indicative annual contribution</w:t>
            </w:r>
          </w:p>
        </w:tc>
        <w:tc>
          <w:tcPr>
            <w:tcW w:type="dxa" w:w="157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Approximate value</w:t>
            </w:r>
          </w:p>
        </w:tc>
      </w:tr>
      <w:tr>
        <w:tblPrEx>
          <w:shd w:val="clear" w:color="auto" w:fill="cdd4e9"/>
        </w:tblPrEx>
        <w:trPr>
          <w:trHeight w:val="300" w:hRule="atLeast"/>
        </w:trPr>
        <w:tc>
          <w:tcPr>
            <w:tcW w:type="dxa" w:w="133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Pessimistic</w:t>
            </w:r>
          </w:p>
        </w:tc>
        <w:tc>
          <w:tcPr>
            <w:tcW w:type="dxa" w:w="216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0.50m</w:t>
            </w:r>
          </w:p>
        </w:tc>
        <w:tc>
          <w:tcPr>
            <w:tcW w:type="dxa" w:w="195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5.5%</w:t>
            </w:r>
          </w:p>
        </w:tc>
        <w:tc>
          <w:tcPr>
            <w:tcW w:type="dxa" w:w="198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0.028m</w:t>
            </w:r>
          </w:p>
        </w:tc>
        <w:tc>
          <w:tcPr>
            <w:tcW w:type="dxa" w:w="157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w:t>
            </w:r>
            <w:r>
              <w:rPr>
                <w:shd w:val="nil" w:color="auto" w:fill="auto"/>
                <w:rtl w:val="0"/>
                <w:lang w:val="en-US"/>
              </w:rPr>
              <w:t>28k</w:t>
            </w:r>
          </w:p>
        </w:tc>
      </w:tr>
      <w:tr>
        <w:tblPrEx>
          <w:shd w:val="clear" w:color="auto" w:fill="cdd4e9"/>
        </w:tblPrEx>
        <w:trPr>
          <w:trHeight w:val="300" w:hRule="atLeast"/>
        </w:trPr>
        <w:tc>
          <w:tcPr>
            <w:tcW w:type="dxa" w:w="133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Base</w:t>
            </w:r>
          </w:p>
        </w:tc>
        <w:tc>
          <w:tcPr>
            <w:tcW w:type="dxa" w:w="216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1.00m</w:t>
            </w:r>
          </w:p>
        </w:tc>
        <w:tc>
          <w:tcPr>
            <w:tcW w:type="dxa" w:w="195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5.5%</w:t>
            </w:r>
          </w:p>
        </w:tc>
        <w:tc>
          <w:tcPr>
            <w:tcW w:type="dxa" w:w="198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0.055m</w:t>
            </w:r>
          </w:p>
        </w:tc>
        <w:tc>
          <w:tcPr>
            <w:tcW w:type="dxa" w:w="157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w:t>
            </w:r>
            <w:r>
              <w:rPr>
                <w:shd w:val="nil" w:color="auto" w:fill="auto"/>
                <w:rtl w:val="0"/>
                <w:lang w:val="en-US"/>
              </w:rPr>
              <w:t>55k</w:t>
            </w:r>
          </w:p>
        </w:tc>
      </w:tr>
      <w:tr>
        <w:tblPrEx>
          <w:shd w:val="clear" w:color="auto" w:fill="cdd4e9"/>
        </w:tblPrEx>
        <w:trPr>
          <w:trHeight w:val="300" w:hRule="atLeast"/>
        </w:trPr>
        <w:tc>
          <w:tcPr>
            <w:tcW w:type="dxa" w:w="133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Optimistic</w:t>
            </w:r>
          </w:p>
        </w:tc>
        <w:tc>
          <w:tcPr>
            <w:tcW w:type="dxa" w:w="2167"/>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2.00m</w:t>
            </w:r>
          </w:p>
        </w:tc>
        <w:tc>
          <w:tcPr>
            <w:tcW w:type="dxa" w:w="195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5.5%</w:t>
            </w:r>
          </w:p>
        </w:tc>
        <w:tc>
          <w:tcPr>
            <w:tcW w:type="dxa" w:w="198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0.110m</w:t>
            </w:r>
          </w:p>
        </w:tc>
        <w:tc>
          <w:tcPr>
            <w:tcW w:type="dxa" w:w="1576"/>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w:t>
            </w:r>
            <w:r>
              <w:rPr>
                <w:shd w:val="nil" w:color="auto" w:fill="auto"/>
                <w:rtl w:val="0"/>
                <w:lang w:val="en-US"/>
              </w:rPr>
              <w:t>£</w:t>
            </w:r>
            <w:r>
              <w:rPr>
                <w:shd w:val="nil" w:color="auto" w:fill="auto"/>
                <w:rtl w:val="0"/>
                <w:lang w:val="en-US"/>
              </w:rPr>
              <w:t>110k</w:t>
            </w:r>
          </w:p>
        </w:tc>
      </w:tr>
    </w:tbl>
    <w:p>
      <w:pPr>
        <w:pStyle w:val="Body"/>
        <w:widowControl w:val="0"/>
        <w:spacing w:line="240" w:lineRule="auto"/>
      </w:pPr>
    </w:p>
    <w:p>
      <w:pPr>
        <w:pStyle w:val="Body"/>
      </w:pPr>
      <w:r>
        <w:rPr>
          <w:rtl w:val="0"/>
          <w:lang w:val="en-US"/>
        </w:rPr>
        <w:t xml:space="preserve">While small compared to the overall Group EBITDA of </w:t>
      </w:r>
      <w:r>
        <w:rPr>
          <w:rtl w:val="0"/>
          <w:lang w:val="en-US"/>
        </w:rPr>
        <w:t>£</w:t>
      </w:r>
      <w:r>
        <w:rPr>
          <w:rtl w:val="0"/>
          <w:lang w:val="en-US"/>
        </w:rPr>
        <w:t>835m, the incremental and recurring nature of the amounts in the range if the range is maintained. The export development costs of testing and launching this range into the GCC market are likely to be easily matched against Morrisons' strong cash generator (</w:t>
      </w:r>
      <w:r>
        <w:rPr>
          <w:rtl w:val="0"/>
          <w:lang w:val="en-US"/>
        </w:rPr>
        <w:t>£</w:t>
      </w:r>
      <w:r>
        <w:rPr>
          <w:rtl w:val="0"/>
          <w:lang w:val="en-US"/>
        </w:rPr>
        <w:t>838m operating cash inflow) and cost saving programme (</w:t>
      </w:r>
      <w:r>
        <w:rPr>
          <w:rtl w:val="0"/>
          <w:lang w:val="en-US"/>
        </w:rPr>
        <w:t>£</w:t>
      </w:r>
      <w:r>
        <w:rPr>
          <w:rtl w:val="0"/>
          <w:lang w:val="en-US"/>
        </w:rPr>
        <w:t xml:space="preserve">312m of savings in the period, and </w:t>
      </w:r>
      <w:r>
        <w:rPr>
          <w:rtl w:val="0"/>
          <w:lang w:val="en-US"/>
        </w:rPr>
        <w:t>£</w:t>
      </w:r>
      <w:r>
        <w:rPr>
          <w:rtl w:val="0"/>
          <w:lang w:val="en-US"/>
        </w:rPr>
        <w:t xml:space="preserve">612m since 2023) if </w:t>
      </w:r>
      <w:r>
        <w:rPr>
          <w:rtl w:val="0"/>
          <w:lang w:val="en-US"/>
        </w:rPr>
        <w:t>“</w:t>
      </w:r>
      <w:r>
        <w:rPr>
          <w:rtl w:val="0"/>
          <w:lang w:val="en-US"/>
        </w:rPr>
        <w:t>The Best</w:t>
      </w:r>
      <w:r>
        <w:rPr>
          <w:rtl w:val="0"/>
          <w:lang w:val="en-US"/>
        </w:rPr>
        <w:t xml:space="preserve">” </w:t>
      </w:r>
      <w:r>
        <w:rPr>
          <w:rtl w:val="0"/>
          <w:lang w:val="en-US"/>
        </w:rPr>
        <w:t>sells according to the minimum scenario.</w:t>
      </w:r>
    </w:p>
    <w:p>
      <w:pPr>
        <w:pStyle w:val="List Paragraph"/>
        <w:numPr>
          <w:ilvl w:val="0"/>
          <w:numId w:val="36"/>
        </w:numPr>
        <w:bidi w:val="0"/>
        <w:ind w:right="0"/>
        <w:jc w:val="both"/>
        <w:rPr>
          <w:rtl w:val="0"/>
          <w:lang w:val="en-US"/>
        </w:rPr>
      </w:pPr>
      <w:r>
        <w:rPr>
          <w:rtl w:val="0"/>
          <w:lang w:val="en-US"/>
        </w:rPr>
        <w:t xml:space="preserve">Simple Break-Even View: If Morrisons spend, say </w:t>
      </w:r>
      <w:r>
        <w:rPr>
          <w:rtl w:val="0"/>
          <w:lang w:val="en-US"/>
        </w:rPr>
        <w:t>£</w:t>
      </w:r>
      <w:r>
        <w:rPr>
          <w:rtl w:val="0"/>
          <w:lang w:val="en-US"/>
        </w:rPr>
        <w:t xml:space="preserve">250k </w:t>
      </w:r>
      <w:r>
        <w:rPr>
          <w:rtl w:val="0"/>
          <w:lang w:val="en-US"/>
        </w:rPr>
        <w:t>– £</w:t>
      </w:r>
      <w:r>
        <w:rPr>
          <w:rtl w:val="0"/>
          <w:lang w:val="en-US"/>
        </w:rPr>
        <w:t xml:space="preserve">300k over 2-3 years on the Gulf specific marketing, trade promotion/marketing of </w:t>
      </w:r>
      <w:r>
        <w:rPr>
          <w:rtl w:val="0"/>
          <w:lang w:val="en-US"/>
        </w:rPr>
        <w:t>“</w:t>
      </w:r>
      <w:r>
        <w:rPr>
          <w:rtl w:val="0"/>
          <w:lang w:val="en-US"/>
        </w:rPr>
        <w:t>The Best</w:t>
      </w:r>
      <w:r>
        <w:rPr>
          <w:rtl w:val="0"/>
          <w:lang w:val="en-US"/>
        </w:rPr>
        <w:t xml:space="preserve">” </w:t>
      </w:r>
      <w:r>
        <w:rPr>
          <w:rtl w:val="0"/>
          <w:lang w:val="en-US"/>
        </w:rPr>
        <w:t xml:space="preserve">range, and the packaging changes to the </w:t>
      </w:r>
      <w:r>
        <w:rPr>
          <w:rtl w:val="0"/>
          <w:lang w:val="en-US"/>
        </w:rPr>
        <w:t>“</w:t>
      </w:r>
      <w:r>
        <w:rPr>
          <w:rtl w:val="0"/>
          <w:lang w:val="en-US"/>
        </w:rPr>
        <w:t>The Best</w:t>
      </w:r>
      <w:r>
        <w:rPr>
          <w:rtl w:val="0"/>
          <w:lang w:val="en-US"/>
        </w:rPr>
        <w:t xml:space="preserve">” </w:t>
      </w:r>
      <w:r>
        <w:rPr>
          <w:rtl w:val="0"/>
          <w:lang w:val="en-US"/>
        </w:rPr>
        <w:t>range, then:</w:t>
      </w:r>
    </w:p>
    <w:p>
      <w:pPr>
        <w:pStyle w:val="List Paragraph"/>
        <w:numPr>
          <w:ilvl w:val="0"/>
          <w:numId w:val="36"/>
        </w:numPr>
        <w:bidi w:val="0"/>
        <w:ind w:right="0"/>
        <w:jc w:val="both"/>
        <w:rPr>
          <w:rtl w:val="0"/>
          <w:lang w:val="en-US"/>
        </w:rPr>
      </w:pPr>
      <w:r>
        <w:rPr>
          <w:rtl w:val="0"/>
          <w:lang w:val="en-US"/>
        </w:rPr>
        <w:t>If the sales remained constant, then these incremental investments would be paid back in about 5</w:t>
      </w:r>
      <w:r>
        <w:rPr>
          <w:rtl w:val="0"/>
          <w:lang w:val="en-US"/>
        </w:rPr>
        <w:t>–</w:t>
      </w:r>
      <w:r>
        <w:rPr>
          <w:rtl w:val="0"/>
          <w:lang w:val="en-US"/>
        </w:rPr>
        <w:t>6 years in the base scenario (</w:t>
      </w:r>
      <w:r>
        <w:rPr>
          <w:rtl w:val="0"/>
          <w:lang w:val="en-US"/>
        </w:rPr>
        <w:t>£</w:t>
      </w:r>
      <w:r>
        <w:rPr>
          <w:rtl w:val="0"/>
          <w:lang w:val="en-US"/>
        </w:rPr>
        <w:t>55k contribution per year).</w:t>
      </w:r>
    </w:p>
    <w:p>
      <w:pPr>
        <w:pStyle w:val="List Paragraph"/>
        <w:numPr>
          <w:ilvl w:val="0"/>
          <w:numId w:val="36"/>
        </w:numPr>
        <w:bidi w:val="0"/>
        <w:ind w:right="0"/>
        <w:jc w:val="both"/>
        <w:rPr>
          <w:rtl w:val="0"/>
          <w:lang w:val="en-US"/>
        </w:rPr>
      </w:pPr>
      <w:r>
        <w:rPr>
          <w:rtl w:val="0"/>
          <w:lang w:val="en-US"/>
        </w:rPr>
        <w:t>Under an optimistic scenario (</w:t>
      </w:r>
      <w:r>
        <w:rPr>
          <w:rtl w:val="0"/>
          <w:lang w:val="en-US"/>
        </w:rPr>
        <w:t>£</w:t>
      </w:r>
      <w:r>
        <w:rPr>
          <w:rtl w:val="0"/>
          <w:lang w:val="en-US"/>
        </w:rPr>
        <w:t>110k per year) break-even2 would happen in approximately 2-3 years.</w:t>
      </w:r>
    </w:p>
    <w:p>
      <w:pPr>
        <w:pStyle w:val="List Paragraph"/>
        <w:numPr>
          <w:ilvl w:val="0"/>
          <w:numId w:val="36"/>
        </w:numPr>
        <w:bidi w:val="0"/>
        <w:ind w:right="0"/>
        <w:jc w:val="both"/>
        <w:rPr>
          <w:rtl w:val="0"/>
          <w:lang w:val="en-US"/>
        </w:rPr>
      </w:pPr>
      <w:r>
        <w:rPr>
          <w:rtl w:val="0"/>
          <w:lang w:val="en-US"/>
        </w:rPr>
        <w:t>If the pessimistic scenario (</w:t>
      </w:r>
      <w:r>
        <w:rPr>
          <w:rtl w:val="0"/>
          <w:lang w:val="en-US"/>
        </w:rPr>
        <w:t>£</w:t>
      </w:r>
      <w:r>
        <w:rPr>
          <w:rtl w:val="0"/>
          <w:lang w:val="en-US"/>
        </w:rPr>
        <w:t>28k per year) is assumed, the investment will not pay back in the foreseeable future and Morrisons' scope or scale would need to be reconsidered.</w:t>
      </w:r>
    </w:p>
    <w:p>
      <w:pPr>
        <w:pStyle w:val="Heading 2"/>
      </w:pPr>
      <w:bookmarkStart w:name="_Toc20" w:id="21"/>
      <w:r>
        <w:rPr>
          <w:rFonts w:cs="Arial Unicode MS" w:eastAsia="Arial Unicode MS"/>
          <w:rtl w:val="0"/>
          <w:lang w:val="en-US"/>
        </w:rPr>
        <w:t>4. Implementation costs and capitallight nature</w:t>
      </w:r>
      <w:bookmarkEnd w:id="21"/>
    </w:p>
    <w:p>
      <w:pPr>
        <w:pStyle w:val="Body"/>
      </w:pPr>
      <w:r>
        <w:rPr>
          <w:rtl w:val="0"/>
          <w:lang w:val="en-US"/>
        </w:rPr>
        <w:t xml:space="preserve">The annual report highlights Morrisons' desire to grow </w:t>
      </w:r>
      <w:r>
        <w:rPr>
          <w:rtl w:val="0"/>
          <w:lang w:val="en-US"/>
        </w:rPr>
        <w:t>“</w:t>
      </w:r>
      <w:r>
        <w:rPr>
          <w:rtl w:val="0"/>
          <w:lang w:val="en-US"/>
        </w:rPr>
        <w:t>meaningfully and sustainably</w:t>
      </w:r>
      <w:r>
        <w:rPr>
          <w:rtl w:val="0"/>
          <w:lang w:val="en-US"/>
        </w:rPr>
        <w:t xml:space="preserve">” </w:t>
      </w:r>
      <w:r>
        <w:rPr>
          <w:rtl w:val="0"/>
          <w:lang w:val="en-US"/>
        </w:rPr>
        <w:t xml:space="preserve">without the need for capital investment, and how the brand and seamless supply chain is being used to help realize that growth. The GCC expansion for </w:t>
      </w:r>
      <w:r>
        <w:rPr>
          <w:rtl w:val="0"/>
          <w:lang w:val="en-US"/>
        </w:rPr>
        <w:t>“</w:t>
      </w:r>
      <w:r>
        <w:rPr>
          <w:rtl w:val="0"/>
          <w:lang w:val="en-US"/>
        </w:rPr>
        <w:t>The Best</w:t>
      </w:r>
      <w:r>
        <w:rPr>
          <w:rtl w:val="0"/>
          <w:lang w:val="en-US"/>
        </w:rPr>
        <w:t xml:space="preserve">” </w:t>
      </w:r>
      <w:r>
        <w:rPr>
          <w:rtl w:val="0"/>
          <w:lang w:val="en-US"/>
        </w:rPr>
        <w:t>ticking this box is because:</w:t>
      </w:r>
    </w:p>
    <w:p>
      <w:pPr>
        <w:pStyle w:val="List Paragraph"/>
        <w:numPr>
          <w:ilvl w:val="0"/>
          <w:numId w:val="38"/>
        </w:numPr>
        <w:bidi w:val="0"/>
        <w:ind w:right="0"/>
        <w:jc w:val="both"/>
        <w:rPr>
          <w:rtl w:val="0"/>
          <w:lang w:val="en-US"/>
        </w:rPr>
      </w:pPr>
      <w:r>
        <w:rPr>
          <w:rtl w:val="0"/>
          <w:lang w:val="en-US"/>
        </w:rPr>
        <w:t>No additional physical stores or significant fixed asset investments needed in GCC; Morrisons exports using established manufacturing/wholesale infrastructure in the UK.</w:t>
      </w:r>
    </w:p>
    <w:p>
      <w:pPr>
        <w:pStyle w:val="List Paragraph"/>
        <w:numPr>
          <w:ilvl w:val="0"/>
          <w:numId w:val="38"/>
        </w:numPr>
        <w:bidi w:val="0"/>
        <w:ind w:right="0"/>
        <w:jc w:val="both"/>
        <w:rPr>
          <w:rtl w:val="0"/>
          <w:lang w:val="en-US"/>
        </w:rPr>
      </w:pPr>
      <w:r>
        <w:rPr>
          <w:rtl w:val="0"/>
          <w:lang w:val="en-US"/>
        </w:rPr>
        <w:t>Distribution is based on partners (Lulu / Y International / others), therefore capital expenditures are constrained, primarily packaging adaptation only, category development and IT / data integration.</w:t>
      </w:r>
    </w:p>
    <w:p>
      <w:pPr>
        <w:pStyle w:val="List Paragraph"/>
        <w:numPr>
          <w:ilvl w:val="0"/>
          <w:numId w:val="38"/>
        </w:numPr>
        <w:bidi w:val="0"/>
        <w:ind w:right="0"/>
        <w:jc w:val="both"/>
        <w:rPr>
          <w:rtl w:val="0"/>
          <w:lang w:val="en-US"/>
        </w:rPr>
      </w:pPr>
      <w:r>
        <w:rPr>
          <w:rtl w:val="0"/>
          <w:lang w:val="en-US"/>
        </w:rPr>
        <w:t xml:space="preserve">Operating cash flow was </w:t>
      </w:r>
      <w:r>
        <w:rPr>
          <w:rtl w:val="0"/>
          <w:lang w:val="en-US"/>
        </w:rPr>
        <w:t>£</w:t>
      </w:r>
      <w:r>
        <w:rPr>
          <w:rtl w:val="0"/>
          <w:lang w:val="en-US"/>
        </w:rPr>
        <w:t xml:space="preserve">838m and cash at the end of the year was </w:t>
      </w:r>
      <w:r>
        <w:rPr>
          <w:rtl w:val="0"/>
          <w:lang w:val="en-US"/>
        </w:rPr>
        <w:t>£</w:t>
      </w:r>
      <w:r>
        <w:rPr>
          <w:rtl w:val="0"/>
          <w:lang w:val="en-US"/>
        </w:rPr>
        <w:t>849m, and the balance sheet was free from external debt, meaning that there is scope to invest in modest growth projects without overstretching the balance sheet.</w:t>
      </w:r>
    </w:p>
    <w:p>
      <w:pPr>
        <w:pStyle w:val="Body"/>
      </w:pPr>
      <w:r>
        <w:rPr>
          <w:rtl w:val="0"/>
          <w:lang w:val="en-US"/>
        </w:rPr>
        <w:t>So, even if the first step from global premiums is modest, the downside risk is relatively low because of the capital light nature of the design, and the upside is the incremental profit and strategic learning experience in the model of Morrisons' international wholesale business.</w:t>
      </w:r>
    </w:p>
    <w:p>
      <w:pPr>
        <w:pStyle w:val="Heading 2"/>
      </w:pPr>
      <w:bookmarkStart w:name="_Toc21" w:id="22"/>
      <w:r>
        <w:rPr>
          <w:rFonts w:cs="Arial Unicode MS" w:eastAsia="Arial Unicode MS"/>
          <w:rtl w:val="0"/>
          <w:lang w:val="en-US"/>
        </w:rPr>
        <w:t>5. Scenariobased riskadjusted justification</w:t>
      </w:r>
      <w:bookmarkEnd w:id="22"/>
    </w:p>
    <w:p>
      <w:pPr>
        <w:pStyle w:val="Body"/>
      </w:pPr>
      <w:r>
        <w:rPr>
          <w:rtl w:val="0"/>
          <w:lang w:val="en-US"/>
        </w:rPr>
        <w:t>A three-scenario risk adjusted perspective can be outlined:</w:t>
      </w:r>
    </w:p>
    <w:p>
      <w:pPr>
        <w:pStyle w:val="Body"/>
        <w:rPr>
          <w:b w:val="1"/>
          <w:bCs w:val="1"/>
        </w:rPr>
      </w:pPr>
      <w:r>
        <w:rPr>
          <w:b w:val="1"/>
          <w:bCs w:val="1"/>
          <w:rtl w:val="0"/>
          <w:lang w:val="en-US"/>
        </w:rPr>
        <w:t xml:space="preserve">1. Optimistic scenario </w:t>
      </w:r>
    </w:p>
    <w:p>
      <w:pPr>
        <w:pStyle w:val="Body"/>
      </w:pPr>
      <w:r>
        <w:rPr>
          <w:rtl w:val="0"/>
          <w:lang w:val="en-US"/>
        </w:rPr>
        <w:t>This scenario represents a high share (1%) and a high sales volume (</w:t>
      </w:r>
      <w:r>
        <w:rPr>
          <w:rtl w:val="0"/>
          <w:lang w:val="en-US"/>
        </w:rPr>
        <w:t>£</w:t>
      </w:r>
      <w:r>
        <w:rPr>
          <w:rtl w:val="0"/>
          <w:lang w:val="en-US"/>
        </w:rPr>
        <w:t xml:space="preserve">2.0m) with a moderate contribution (around </w:t>
      </w:r>
      <w:r>
        <w:rPr>
          <w:rtl w:val="0"/>
          <w:lang w:val="en-US"/>
        </w:rPr>
        <w:t>£</w:t>
      </w:r>
      <w:r>
        <w:rPr>
          <w:rtl w:val="0"/>
          <w:lang w:val="en-US"/>
        </w:rPr>
        <w:t>110k per year).</w:t>
      </w:r>
    </w:p>
    <w:p>
      <w:pPr>
        <w:pStyle w:val="Body"/>
      </w:pPr>
      <w:r>
        <w:rPr>
          <w:rtl w:val="0"/>
          <w:lang w:val="en-US"/>
        </w:rPr>
        <w:t xml:space="preserve">The distribution build-up is accelerated by strong retailer support, effective positioning of </w:t>
      </w:r>
      <w:r>
        <w:rPr>
          <w:rtl w:val="0"/>
          <w:lang w:val="en-US"/>
        </w:rPr>
        <w:t>“</w:t>
      </w:r>
      <w:r>
        <w:rPr>
          <w:rtl w:val="0"/>
          <w:lang w:val="en-US"/>
        </w:rPr>
        <w:t>The Best</w:t>
      </w:r>
      <w:r>
        <w:rPr>
          <w:rtl w:val="0"/>
          <w:lang w:val="en-US"/>
        </w:rPr>
        <w:t xml:space="preserve">” </w:t>
      </w:r>
      <w:r>
        <w:rPr>
          <w:rtl w:val="0"/>
          <w:lang w:val="en-US"/>
        </w:rPr>
        <w:t>and the macro conditions.</w:t>
      </w:r>
    </w:p>
    <w:p>
      <w:pPr>
        <w:pStyle w:val="Body"/>
      </w:pPr>
      <w:r>
        <w:rPr>
          <w:rtl w:val="0"/>
          <w:lang w:val="en-US"/>
        </w:rPr>
        <w:t>The GCC premium pilot is no longer a cost center but is a small contributor of profits, and break even realized in 2-3 years, and positive NPV if continued.</w:t>
      </w:r>
    </w:p>
    <w:p>
      <w:pPr>
        <w:pStyle w:val="Body"/>
        <w:rPr>
          <w:b w:val="1"/>
          <w:bCs w:val="1"/>
        </w:rPr>
      </w:pPr>
      <w:r>
        <w:rPr>
          <w:b w:val="1"/>
          <w:bCs w:val="1"/>
          <w:rtl w:val="0"/>
          <w:lang w:val="en-US"/>
        </w:rPr>
        <w:t>2. Base Scenario</w:t>
      </w:r>
    </w:p>
    <w:p>
      <w:pPr>
        <w:pStyle w:val="Body"/>
      </w:pPr>
      <w:r>
        <w:rPr>
          <w:rtl w:val="0"/>
          <w:lang w:val="en-US"/>
        </w:rPr>
        <w:t>This scenario represents a low share (0.5%) and a low sales volume (</w:t>
      </w:r>
      <w:r>
        <w:rPr>
          <w:rtl w:val="0"/>
          <w:lang w:val="en-US"/>
        </w:rPr>
        <w:t>£</w:t>
      </w:r>
      <w:r>
        <w:rPr>
          <w:rtl w:val="0"/>
          <w:lang w:val="en-US"/>
        </w:rPr>
        <w:t xml:space="preserve">1.0m) with a medium contribution (around </w:t>
      </w:r>
      <w:r>
        <w:rPr>
          <w:rtl w:val="0"/>
          <w:lang w:val="en-US"/>
        </w:rPr>
        <w:t>£</w:t>
      </w:r>
      <w:r>
        <w:rPr>
          <w:rtl w:val="0"/>
          <w:lang w:val="en-US"/>
        </w:rPr>
        <w:t>55k per year).</w:t>
      </w:r>
    </w:p>
    <w:p>
      <w:pPr>
        <w:pStyle w:val="Body"/>
      </w:pPr>
      <w:r>
        <w:rPr>
          <w:rtl w:val="0"/>
          <w:lang w:val="en-US"/>
        </w:rPr>
        <w:t>The range is incrementally gaining some momentum; performance merits sustained presence and some growth to other SKUs or channels.</w:t>
      </w:r>
    </w:p>
    <w:p>
      <w:pPr>
        <w:pStyle w:val="Body"/>
      </w:pPr>
      <w:r>
        <w:rPr>
          <w:rtl w:val="0"/>
          <w:lang w:val="en-US"/>
        </w:rPr>
        <w:t>The break-even point is in the fifth to sixth year, but strategic learning and brand exposure may outweigh the moderate value of pure financial returns.</w:t>
      </w:r>
    </w:p>
    <w:p>
      <w:pPr>
        <w:pStyle w:val="Body"/>
        <w:rPr>
          <w:b w:val="1"/>
          <w:bCs w:val="1"/>
        </w:rPr>
      </w:pPr>
      <w:r>
        <w:rPr>
          <w:b w:val="1"/>
          <w:bCs w:val="1"/>
          <w:rtl w:val="0"/>
          <w:lang w:val="en-US"/>
        </w:rPr>
        <w:t>3. Pessimistic Scenario</w:t>
      </w:r>
    </w:p>
    <w:p>
      <w:pPr>
        <w:pStyle w:val="Body"/>
      </w:pPr>
      <w:r>
        <w:rPr>
          <w:rtl w:val="0"/>
          <w:lang w:val="en-US"/>
        </w:rPr>
        <w:t>This is the worst-case scenario, with only 0.25% share of sales (</w:t>
      </w:r>
      <w:r>
        <w:rPr>
          <w:rtl w:val="0"/>
          <w:lang w:val="en-US"/>
        </w:rPr>
        <w:t>£</w:t>
      </w:r>
      <w:r>
        <w:rPr>
          <w:rtl w:val="0"/>
          <w:lang w:val="en-US"/>
        </w:rPr>
        <w:t>0.50m) and an annual contribution of ~</w:t>
      </w:r>
      <w:r>
        <w:rPr>
          <w:rtl w:val="0"/>
          <w:lang w:val="en-US"/>
        </w:rPr>
        <w:t>£</w:t>
      </w:r>
      <w:r>
        <w:rPr>
          <w:rtl w:val="0"/>
          <w:lang w:val="en-US"/>
        </w:rPr>
        <w:t>28k.</w:t>
      </w:r>
    </w:p>
    <w:p>
      <w:pPr>
        <w:pStyle w:val="Body"/>
      </w:pPr>
      <w:r>
        <w:rPr>
          <w:rtl w:val="0"/>
          <w:lang w:val="en-US"/>
        </w:rPr>
        <w:t>Competitive pressures, lack of marketing or regulatory barriers limit scale up.</w:t>
      </w:r>
    </w:p>
    <w:p>
      <w:pPr>
        <w:pStyle w:val="Body"/>
      </w:pPr>
      <w:r>
        <w:rPr>
          <w:rtl w:val="0"/>
          <w:lang w:val="en-US"/>
        </w:rPr>
        <w:t>If contribution is not going to recover dedicated spend on marketing and adaptation in a reasonable timeframe, then scale back or refocus (e.g. fewer SKUs, or focus on just one market).</w:t>
      </w:r>
    </w:p>
    <w:p>
      <w:pPr>
        <w:pStyle w:val="Body"/>
      </w:pPr>
      <w:r>
        <w:rPr>
          <w:rtl w:val="0"/>
          <w:lang w:val="en-US"/>
        </w:rPr>
        <w:t xml:space="preserve">The GCC premium expansion, viewed from a real options perspective, can be regarded as a growth option for Morrisons that is a relatively small, staged investment which allows the Group the right, but not the obligation, to expand its international </w:t>
      </w:r>
      <w:r>
        <w:rPr>
          <w:rtl w:val="0"/>
          <w:lang w:val="en-US"/>
        </w:rPr>
        <w:t>“</w:t>
      </w:r>
      <w:r>
        <w:rPr>
          <w:rtl w:val="0"/>
          <w:lang w:val="en-US"/>
        </w:rPr>
        <w:t>The Best</w:t>
      </w:r>
      <w:r>
        <w:rPr>
          <w:rtl w:val="0"/>
          <w:lang w:val="en-US"/>
        </w:rPr>
        <w:t xml:space="preserve">” </w:t>
      </w:r>
      <w:r>
        <w:rPr>
          <w:rtl w:val="0"/>
          <w:lang w:val="en-US"/>
        </w:rPr>
        <w:t>business when the performance data are positive (Trigeorgis, 1996; Cornelius et al., 2005). In the event that the positive or bottom case scenarios come true, Morrisons could expand its activities in the GCC region or expand to other categories; if the negative scenario happens, the Group can terminate or scale it down with limited sunk cost impact on its financial position.</w:t>
      </w:r>
    </w:p>
    <w:p>
      <w:pPr>
        <w:pStyle w:val="Body"/>
        <w:rPr>
          <w:b w:val="1"/>
          <w:bCs w:val="1"/>
        </w:rPr>
      </w:pPr>
      <w:r>
        <w:rPr>
          <w:b w:val="1"/>
          <w:bCs w:val="1"/>
          <w:rtl w:val="0"/>
          <w:lang w:val="en-US"/>
        </w:rPr>
        <w:t>6. Overall financial conclusion</w:t>
      </w:r>
    </w:p>
    <w:p>
      <w:pPr>
        <w:pStyle w:val="Body"/>
      </w:pPr>
      <w:r>
        <w:rPr>
          <w:rtl w:val="0"/>
          <w:lang w:val="en-US"/>
        </w:rPr>
        <w:t xml:space="preserve">Based on the 2023/24 data, it looks like the expansion of </w:t>
      </w:r>
      <w:r>
        <w:rPr>
          <w:rtl w:val="0"/>
          <w:lang w:val="en-US"/>
        </w:rPr>
        <w:t>“</w:t>
      </w:r>
      <w:r>
        <w:rPr>
          <w:rtl w:val="0"/>
          <w:lang w:val="en-US"/>
        </w:rPr>
        <w:t>The Best</w:t>
      </w:r>
      <w:r>
        <w:rPr>
          <w:rtl w:val="0"/>
          <w:lang w:val="en-US"/>
        </w:rPr>
        <w:t xml:space="preserve">” </w:t>
      </w:r>
      <w:r>
        <w:rPr>
          <w:rtl w:val="0"/>
          <w:lang w:val="en-US"/>
        </w:rPr>
        <w:t>range into the GCC countries seems to be a plausible financial proposition and fits in with Morrisons' objective of capital light growth:</w:t>
      </w:r>
    </w:p>
    <w:p>
      <w:pPr>
        <w:pStyle w:val="List Paragraph"/>
        <w:numPr>
          <w:ilvl w:val="0"/>
          <w:numId w:val="40"/>
        </w:numPr>
        <w:bidi w:val="0"/>
        <w:ind w:right="0"/>
        <w:jc w:val="both"/>
        <w:rPr>
          <w:rtl w:val="0"/>
          <w:lang w:val="en-US"/>
        </w:rPr>
      </w:pPr>
      <w:r>
        <w:rPr>
          <w:rtl w:val="0"/>
          <w:lang w:val="en-US"/>
        </w:rPr>
        <w:t>The Group's robust underlying EBITDA (</w:t>
      </w:r>
      <w:r>
        <w:rPr>
          <w:rtl w:val="0"/>
          <w:lang w:val="en-US"/>
        </w:rPr>
        <w:t>£</w:t>
      </w:r>
      <w:r>
        <w:rPr>
          <w:rtl w:val="0"/>
          <w:lang w:val="en-US"/>
        </w:rPr>
        <w:t>835m) and operating cash flow (</w:t>
      </w:r>
      <w:r>
        <w:rPr>
          <w:rtl w:val="0"/>
          <w:lang w:val="en-US"/>
        </w:rPr>
        <w:t>£</w:t>
      </w:r>
      <w:r>
        <w:rPr>
          <w:rtl w:val="0"/>
          <w:lang w:val="en-US"/>
        </w:rPr>
        <w:t>838m) gives it the ability to meet the relatively small additional costs required for GCC premium development.</w:t>
      </w:r>
    </w:p>
    <w:p>
      <w:pPr>
        <w:pStyle w:val="List Paragraph"/>
        <w:numPr>
          <w:ilvl w:val="0"/>
          <w:numId w:val="40"/>
        </w:numPr>
        <w:bidi w:val="0"/>
        <w:ind w:right="0"/>
        <w:jc w:val="both"/>
        <w:rPr>
          <w:rtl w:val="0"/>
          <w:lang w:val="en-US"/>
        </w:rPr>
      </w:pPr>
      <w:r>
        <w:rPr>
          <w:rtl w:val="0"/>
          <w:lang w:val="en-US"/>
        </w:rPr>
        <w:t>Contribution margin is positive in both Base and Optimistic case in even small percentage shares of the target premium segments, in UAE and KSA.</w:t>
      </w:r>
    </w:p>
    <w:p>
      <w:pPr>
        <w:pStyle w:val="List Paragraph"/>
        <w:numPr>
          <w:ilvl w:val="0"/>
          <w:numId w:val="40"/>
        </w:numPr>
        <w:bidi w:val="0"/>
        <w:ind w:right="0"/>
        <w:jc w:val="both"/>
        <w:rPr>
          <w:rtl w:val="0"/>
          <w:lang w:val="en-US"/>
        </w:rPr>
      </w:pPr>
      <w:r>
        <w:rPr>
          <w:rtl w:val="0"/>
          <w:lang w:val="en-US"/>
        </w:rPr>
        <w:t xml:space="preserve">The results of scenario analysis indicate that financial risk is within a manageable range when Morrisons takes a </w:t>
      </w:r>
      <w:r>
        <w:rPr>
          <w:rtl w:val="0"/>
          <w:lang w:val="en-US"/>
        </w:rPr>
        <w:t>‘</w:t>
      </w:r>
      <w:r>
        <w:rPr>
          <w:rtl w:val="0"/>
          <w:lang w:val="en-US"/>
        </w:rPr>
        <w:t>test and learn' approach, monitoring results before expanding.</w:t>
      </w:r>
    </w:p>
    <w:p>
      <w:pPr>
        <w:pStyle w:val="Body"/>
      </w:pPr>
      <w:r>
        <w:rPr>
          <w:rtl w:val="0"/>
          <w:lang w:val="en-US"/>
        </w:rPr>
        <w:t>The financial modelling therefore underpins the teacher's need for some quantified and scenario justification and demonstrates that, with reasonable assumptions, the proposed method is financially feasible and provides downside protection.</w:t>
      </w:r>
    </w:p>
    <w:p>
      <w:pPr>
        <w:pStyle w:val="Heading"/>
      </w:pPr>
      <w:bookmarkStart w:name="_Toc22" w:id="23"/>
      <w:r>
        <w:rPr>
          <w:rFonts w:cs="Arial Unicode MS" w:eastAsia="Arial Unicode MS"/>
          <w:rtl w:val="0"/>
          <w:lang w:val="en-US"/>
        </w:rPr>
        <w:t>10. Reflection</w:t>
      </w:r>
      <w:bookmarkEnd w:id="23"/>
    </w:p>
    <w:p>
      <w:pPr>
        <w:pStyle w:val="Body"/>
      </w:pPr>
      <w:r>
        <w:rPr>
          <w:rtl w:val="0"/>
          <w:lang w:val="en-US"/>
        </w:rPr>
        <w:t xml:space="preserve">The primary drawback of the proposal is that whilst it recognises a viable growth trajectory within the context of market development and product development in Ansoff's growth matrix it also assumes that the premiumisation strategy of </w:t>
      </w:r>
      <w:r>
        <w:rPr>
          <w:rtl w:val="1"/>
          <w:lang w:val="ar-SA" w:bidi="ar-SA"/>
        </w:rPr>
        <w:t>“</w:t>
      </w:r>
      <w:r>
        <w:rPr>
          <w:rtl w:val="0"/>
          <w:lang w:val="en-US"/>
        </w:rPr>
        <w:t>The Best</w:t>
      </w:r>
      <w:r>
        <w:rPr>
          <w:rtl w:val="0"/>
        </w:rPr>
        <w:t xml:space="preserve">” </w:t>
      </w:r>
      <w:r>
        <w:rPr>
          <w:rtl w:val="0"/>
          <w:lang w:val="en-US"/>
        </w:rPr>
        <w:t>will be viable in a highly competitive marketplace. From a theoretical perspective, Kumar and Steenkamp (2007) argue that it is difficult to sustain differentiation advantage for long if rivals copy the quality cue or if retailers adopt their own brand high-end private label (Porter, 1985). Additionally, the brand equity transfer may be lower than assumed due to the absence of consumer face-to-face contact with Morrisons in the GCC, relative to the UK, which will have implications for long term pricing power.</w:t>
      </w:r>
    </w:p>
    <w:p>
      <w:pPr>
        <w:pStyle w:val="Body"/>
      </w:pPr>
      <w:r>
        <w:rPr>
          <w:rtl w:val="0"/>
          <w:lang w:val="en-US"/>
        </w:rPr>
        <w:t xml:space="preserve">In the future, the company could think about using the GCC premium expansion as an indicator of their internationalisation model; if the network-based wholesale expansion with moderate marketing investment is not successful in providing sustainable differentiation, Morrisons might have to rethink the concept of building strong retailer brands internationally without operating its own stores overseas (Johanson and Vahlne, 2009; Burt and Sparks, 2002). The recommended approach is to roll out a limited group of </w:t>
      </w:r>
      <w:r>
        <w:rPr>
          <w:rtl w:val="1"/>
          <w:lang w:val="ar-SA" w:bidi="ar-SA"/>
        </w:rPr>
        <w:t>“</w:t>
      </w:r>
      <w:r>
        <w:rPr>
          <w:rtl w:val="0"/>
          <w:lang w:val="en-US"/>
        </w:rPr>
        <w:t>The Best</w:t>
      </w:r>
      <w:r>
        <w:rPr>
          <w:rtl w:val="0"/>
        </w:rPr>
        <w:t xml:space="preserve">” </w:t>
      </w:r>
      <w:r>
        <w:rPr>
          <w:rtl w:val="0"/>
          <w:lang w:val="en-US"/>
        </w:rPr>
        <w:t>lines to specific UAE and KSA outlets, test against specific financial and brand KPIs and then decide whether to scale, tweak the positioning or redirect resources.</w:t>
      </w:r>
      <w:r>
        <w:rPr>
          <w:rFonts w:ascii="Arial Unicode MS" w:cs="Arial Unicode MS" w:hAnsi="Arial Unicode MS" w:eastAsia="Arial Unicode MS"/>
          <w:b w:val="0"/>
          <w:bCs w:val="0"/>
          <w:i w:val="0"/>
          <w:iCs w:val="0"/>
        </w:rPr>
        <w:br w:type="page"/>
      </w:r>
    </w:p>
    <w:p>
      <w:pPr>
        <w:pStyle w:val="Heading"/>
      </w:pPr>
      <w:bookmarkStart w:name="_Toc23" w:id="24"/>
      <w:r>
        <w:rPr>
          <w:rFonts w:cs="Arial Unicode MS" w:eastAsia="Arial Unicode MS"/>
          <w:rtl w:val="0"/>
          <w:lang w:val="en-US"/>
        </w:rPr>
        <w:t>11. References</w:t>
      </w:r>
      <w:bookmarkEnd w:id="24"/>
    </w:p>
    <w:p>
      <w:pPr>
        <w:pStyle w:val="Body"/>
        <w:ind w:left="720" w:hanging="720"/>
      </w:pPr>
      <w:r>
        <w:rPr>
          <w:rtl w:val="0"/>
          <w:lang w:val="de-DE"/>
        </w:rPr>
        <w:t xml:space="preserve">Aichner, T. (2014) </w:t>
      </w:r>
      <w:r>
        <w:rPr>
          <w:rtl w:val="1"/>
        </w:rPr>
        <w:t>‘</w:t>
      </w:r>
      <w:r>
        <w:rPr>
          <w:rtl w:val="0"/>
          <w:lang w:val="en-US"/>
        </w:rPr>
        <w:t>Country-of-origin marketing: A list of typical strategies with examples</w:t>
      </w:r>
      <w:r>
        <w:rPr>
          <w:rtl w:val="1"/>
        </w:rPr>
        <w:t>’</w:t>
      </w:r>
      <w:r>
        <w:rPr>
          <w:rtl w:val="0"/>
        </w:rPr>
        <w:t>,</w:t>
      </w:r>
      <w:r>
        <w:rPr>
          <w:rtl w:val="0"/>
        </w:rPr>
        <w:t> </w:t>
      </w:r>
      <w:r>
        <w:rPr>
          <w:i w:val="1"/>
          <w:iCs w:val="1"/>
          <w:rtl w:val="0"/>
          <w:lang w:val="en-US"/>
        </w:rPr>
        <w:t>Journal of Brand Management</w:t>
      </w:r>
      <w:r>
        <w:rPr>
          <w:rtl w:val="0"/>
        </w:rPr>
        <w:t>, 21(1), pp. 81</w:t>
      </w:r>
      <w:r>
        <w:rPr>
          <w:rtl w:val="0"/>
        </w:rPr>
        <w:t>–</w:t>
      </w:r>
      <w:r>
        <w:rPr>
          <w:rtl w:val="0"/>
        </w:rPr>
        <w:t>93.</w:t>
      </w:r>
    </w:p>
    <w:p>
      <w:pPr>
        <w:pStyle w:val="Body"/>
        <w:ind w:left="720" w:hanging="720"/>
      </w:pPr>
      <w:r>
        <w:rPr>
          <w:rtl w:val="0"/>
          <w:lang w:val="en-US"/>
        </w:rPr>
        <w:t>Alpen Capital (2025)</w:t>
      </w:r>
      <w:r>
        <w:rPr>
          <w:rtl w:val="0"/>
        </w:rPr>
        <w:t> </w:t>
      </w:r>
      <w:r>
        <w:rPr>
          <w:i w:val="1"/>
          <w:iCs w:val="1"/>
          <w:rtl w:val="0"/>
          <w:lang w:val="en-US"/>
        </w:rPr>
        <w:t>GCC Food Industry Report 2025</w:t>
      </w:r>
      <w:r>
        <w:rPr>
          <w:rtl w:val="0"/>
        </w:rPr>
        <w:t>. Alpen Capital, Dubai.</w:t>
      </w:r>
    </w:p>
    <w:p>
      <w:pPr>
        <w:pStyle w:val="Body"/>
        <w:ind w:left="720" w:hanging="720"/>
      </w:pPr>
      <w:r>
        <w:rPr>
          <w:rtl w:val="0"/>
          <w:lang w:val="en-US"/>
        </w:rPr>
        <w:t xml:space="preserve">Bain &amp; Company (2022) </w:t>
      </w:r>
      <w:r>
        <w:rPr>
          <w:rtl w:val="1"/>
        </w:rPr>
        <w:t>‘</w:t>
      </w:r>
      <w:r>
        <w:rPr>
          <w:rtl w:val="0"/>
          <w:lang w:val="en-US"/>
        </w:rPr>
        <w:t>How to drive profitable growth in the Middle East in the new normal</w:t>
      </w:r>
      <w:r>
        <w:rPr>
          <w:rtl w:val="1"/>
        </w:rPr>
        <w:t>’</w:t>
      </w:r>
      <w:r>
        <w:rPr>
          <w:rtl w:val="0"/>
        </w:rPr>
        <w:t>,</w:t>
      </w:r>
      <w:r>
        <w:rPr>
          <w:rtl w:val="0"/>
        </w:rPr>
        <w:t> </w:t>
      </w:r>
      <w:r>
        <w:rPr>
          <w:i w:val="1"/>
          <w:iCs w:val="1"/>
          <w:rtl w:val="0"/>
          <w:lang w:val="en-US"/>
        </w:rPr>
        <w:t>Bain Insights</w:t>
      </w:r>
      <w:r>
        <w:rPr>
          <w:rtl w:val="0"/>
          <w:lang w:val="en-US"/>
        </w:rPr>
        <w:t>, 24 February.</w:t>
      </w:r>
    </w:p>
    <w:p>
      <w:pPr>
        <w:pStyle w:val="Body"/>
        <w:ind w:left="720" w:hanging="720"/>
      </w:pPr>
      <w:r>
        <w:rPr>
          <w:rtl w:val="0"/>
        </w:rPr>
        <w:t xml:space="preserve">Burt, S. and Sparks, L. (2002) </w:t>
      </w:r>
      <w:r>
        <w:rPr>
          <w:rtl w:val="1"/>
        </w:rPr>
        <w:t>‘</w:t>
      </w:r>
      <w:r>
        <w:rPr>
          <w:rtl w:val="0"/>
          <w:lang w:val="en-US"/>
        </w:rPr>
        <w:t>Corporate branding, retailing, and retail internationalization</w:t>
      </w:r>
      <w:r>
        <w:rPr>
          <w:rtl w:val="1"/>
        </w:rPr>
        <w:t>’</w:t>
      </w:r>
      <w:r>
        <w:rPr>
          <w:rtl w:val="0"/>
        </w:rPr>
        <w:t>,</w:t>
      </w:r>
      <w:r>
        <w:rPr>
          <w:rtl w:val="0"/>
        </w:rPr>
        <w:t> </w:t>
      </w:r>
      <w:r>
        <w:rPr>
          <w:i w:val="1"/>
          <w:iCs w:val="1"/>
          <w:rtl w:val="0"/>
          <w:lang w:val="en-US"/>
        </w:rPr>
        <w:t>Corporate Reputation Review</w:t>
      </w:r>
      <w:r>
        <w:rPr>
          <w:rtl w:val="0"/>
        </w:rPr>
        <w:t>, 5(2</w:t>
      </w:r>
      <w:r>
        <w:rPr>
          <w:rtl w:val="0"/>
        </w:rPr>
        <w:t>–</w:t>
      </w:r>
      <w:r>
        <w:rPr>
          <w:rtl w:val="0"/>
        </w:rPr>
        <w:t>3), pp. 194</w:t>
      </w:r>
      <w:r>
        <w:rPr>
          <w:rtl w:val="0"/>
        </w:rPr>
        <w:t>–</w:t>
      </w:r>
      <w:r>
        <w:rPr>
          <w:rtl w:val="0"/>
        </w:rPr>
        <w:t>212.</w:t>
      </w:r>
    </w:p>
    <w:p>
      <w:pPr>
        <w:pStyle w:val="Body"/>
        <w:ind w:left="720" w:hanging="720"/>
      </w:pPr>
      <w:r>
        <w:rPr>
          <w:rtl w:val="0"/>
          <w:lang w:val="it-IT"/>
        </w:rPr>
        <w:t xml:space="preserve">Cornelius, P., Van de Putte, A. and Romani, M. (2005) </w:t>
      </w:r>
      <w:r>
        <w:rPr>
          <w:rtl w:val="1"/>
        </w:rPr>
        <w:t>‘</w:t>
      </w:r>
      <w:r>
        <w:rPr>
          <w:rtl w:val="0"/>
          <w:lang w:val="en-US"/>
        </w:rPr>
        <w:t>Three decades of scenario planning in Shell</w:t>
      </w:r>
      <w:r>
        <w:rPr>
          <w:rtl w:val="1"/>
        </w:rPr>
        <w:t>’</w:t>
      </w:r>
      <w:r>
        <w:rPr>
          <w:rtl w:val="0"/>
        </w:rPr>
        <w:t>,</w:t>
      </w:r>
      <w:r>
        <w:rPr>
          <w:rtl w:val="0"/>
        </w:rPr>
        <w:t> </w:t>
      </w:r>
      <w:r>
        <w:rPr>
          <w:i w:val="1"/>
          <w:iCs w:val="1"/>
          <w:rtl w:val="0"/>
          <w:lang w:val="en-US"/>
        </w:rPr>
        <w:t>California Management Review</w:t>
      </w:r>
      <w:r>
        <w:rPr>
          <w:rtl w:val="0"/>
        </w:rPr>
        <w:t>, 48(1), pp. 92</w:t>
      </w:r>
      <w:r>
        <w:rPr>
          <w:rtl w:val="0"/>
        </w:rPr>
        <w:t>–</w:t>
      </w:r>
      <w:r>
        <w:rPr>
          <w:rtl w:val="0"/>
        </w:rPr>
        <w:t>109.</w:t>
      </w:r>
    </w:p>
    <w:p>
      <w:pPr>
        <w:pStyle w:val="Body"/>
        <w:ind w:left="720" w:hanging="720"/>
      </w:pPr>
      <w:r>
        <w:rPr>
          <w:rtl w:val="0"/>
        </w:rPr>
        <w:t>Damodaran, A. (2012)</w:t>
      </w:r>
      <w:r>
        <w:rPr>
          <w:rtl w:val="0"/>
        </w:rPr>
        <w:t> </w:t>
      </w:r>
      <w:r>
        <w:rPr>
          <w:i w:val="1"/>
          <w:iCs w:val="1"/>
          <w:rtl w:val="0"/>
          <w:lang w:val="en-US"/>
        </w:rPr>
        <w:t>Investment Valuation: Tools and Techniques for Determining the Value of Any Asset</w:t>
      </w:r>
      <w:r>
        <w:rPr>
          <w:rtl w:val="0"/>
          <w:lang w:val="en-US"/>
        </w:rPr>
        <w:t>. 3rd edn. Hoboken, NJ: Wiley.</w:t>
      </w:r>
    </w:p>
    <w:p>
      <w:pPr>
        <w:pStyle w:val="Body"/>
        <w:ind w:left="720" w:hanging="720"/>
      </w:pPr>
      <w:r>
        <w:rPr>
          <w:rtl w:val="0"/>
          <w:lang w:val="en-US"/>
        </w:rPr>
        <w:t>GCC Food Market Report (2026)</w:t>
      </w:r>
      <w:r>
        <w:rPr>
          <w:rtl w:val="0"/>
        </w:rPr>
        <w:t> </w:t>
      </w:r>
      <w:r>
        <w:rPr>
          <w:i w:val="1"/>
          <w:iCs w:val="1"/>
          <w:rtl w:val="0"/>
          <w:lang w:val="en-US"/>
        </w:rPr>
        <w:t>GCC Food Market Report 2026: Consumption in the Fragmented Market</w:t>
      </w:r>
      <w:r>
        <w:rPr>
          <w:rtl w:val="0"/>
        </w:rPr>
        <w:t>.</w:t>
      </w:r>
    </w:p>
    <w:p>
      <w:pPr>
        <w:pStyle w:val="Body"/>
        <w:ind w:left="720" w:hanging="720"/>
      </w:pPr>
      <w:r>
        <w:rPr>
          <w:rtl w:val="0"/>
          <w:lang w:val="en-US"/>
        </w:rPr>
        <w:t xml:space="preserve">Gulf Today (2025) </w:t>
      </w:r>
      <w:r>
        <w:rPr>
          <w:rtl w:val="1"/>
        </w:rPr>
        <w:t>‘</w:t>
      </w:r>
      <w:r>
        <w:rPr>
          <w:rtl w:val="0"/>
          <w:lang w:val="en-US"/>
        </w:rPr>
        <w:t>UKGCC free trade deal will provide big boost to UK exporters</w:t>
      </w:r>
      <w:r>
        <w:rPr>
          <w:rtl w:val="1"/>
        </w:rPr>
        <w:t>’</w:t>
      </w:r>
      <w:r>
        <w:rPr>
          <w:rtl w:val="0"/>
        </w:rPr>
        <w:t>,</w:t>
      </w:r>
      <w:r>
        <w:rPr>
          <w:rtl w:val="0"/>
        </w:rPr>
        <w:t> </w:t>
      </w:r>
      <w:r>
        <w:rPr>
          <w:i w:val="1"/>
          <w:iCs w:val="1"/>
          <w:rtl w:val="0"/>
          <w:lang w:val="en-US"/>
        </w:rPr>
        <w:t>Gulf Today</w:t>
      </w:r>
      <w:r>
        <w:rPr>
          <w:rtl w:val="0"/>
        </w:rPr>
        <w:t>, 4 March.</w:t>
      </w:r>
    </w:p>
    <w:p>
      <w:pPr>
        <w:pStyle w:val="Body"/>
        <w:ind w:left="720" w:hanging="720"/>
      </w:pPr>
      <w:r>
        <w:rPr>
          <w:rtl w:val="0"/>
          <w:lang w:val="en-US"/>
        </w:rPr>
        <w:t xml:space="preserve">Hill, C.W.L., Hwang, P. and Kim, W.C. (1990) </w:t>
      </w:r>
      <w:r>
        <w:rPr>
          <w:rtl w:val="1"/>
        </w:rPr>
        <w:t>‘</w:t>
      </w:r>
      <w:r>
        <w:rPr>
          <w:rtl w:val="0"/>
          <w:lang w:val="en-US"/>
        </w:rPr>
        <w:t>An eclectic theory of the choice of international entry mode</w:t>
      </w:r>
      <w:r>
        <w:rPr>
          <w:rtl w:val="1"/>
        </w:rPr>
        <w:t>’</w:t>
      </w:r>
      <w:r>
        <w:rPr>
          <w:rtl w:val="0"/>
        </w:rPr>
        <w:t>,</w:t>
      </w:r>
      <w:r>
        <w:rPr>
          <w:rtl w:val="0"/>
        </w:rPr>
        <w:t> </w:t>
      </w:r>
      <w:r>
        <w:rPr>
          <w:i w:val="1"/>
          <w:iCs w:val="1"/>
          <w:rtl w:val="0"/>
          <w:lang w:val="en-US"/>
        </w:rPr>
        <w:t>Strategic Management Journal</w:t>
      </w:r>
      <w:r>
        <w:rPr>
          <w:rtl w:val="0"/>
        </w:rPr>
        <w:t>, 11(2), pp. 117</w:t>
      </w:r>
      <w:r>
        <w:rPr>
          <w:rtl w:val="0"/>
        </w:rPr>
        <w:t>–</w:t>
      </w:r>
      <w:r>
        <w:rPr>
          <w:rtl w:val="0"/>
        </w:rPr>
        <w:t>128.</w:t>
      </w:r>
    </w:p>
    <w:p>
      <w:pPr>
        <w:pStyle w:val="Body"/>
        <w:ind w:left="720" w:hanging="720"/>
      </w:pPr>
      <w:r>
        <w:rPr>
          <w:rtl w:val="0"/>
          <w:lang w:val="de-DE"/>
        </w:rPr>
        <w:t xml:space="preserve">Johanson, J. and Vahlne, J.-E. (1977) </w:t>
      </w:r>
      <w:r>
        <w:rPr>
          <w:rtl w:val="1"/>
        </w:rPr>
        <w:t>‘</w:t>
      </w:r>
      <w:r>
        <w:rPr>
          <w:rtl w:val="0"/>
          <w:lang w:val="en-US"/>
        </w:rPr>
        <w:t>The internationalization process of the firm: A model of knowledge development and increasing foreign market commitments</w:t>
      </w:r>
      <w:r>
        <w:rPr>
          <w:rtl w:val="1"/>
        </w:rPr>
        <w:t>’</w:t>
      </w:r>
      <w:r>
        <w:rPr>
          <w:rtl w:val="0"/>
        </w:rPr>
        <w:t>,</w:t>
      </w:r>
      <w:r>
        <w:rPr>
          <w:rtl w:val="0"/>
        </w:rPr>
        <w:t> </w:t>
      </w:r>
      <w:r>
        <w:rPr>
          <w:i w:val="1"/>
          <w:iCs w:val="1"/>
          <w:rtl w:val="0"/>
          <w:lang w:val="en-US"/>
        </w:rPr>
        <w:t>Journal of International Business Studies</w:t>
      </w:r>
      <w:r>
        <w:rPr>
          <w:rtl w:val="0"/>
        </w:rPr>
        <w:t>, 8(1), pp. 23</w:t>
      </w:r>
      <w:r>
        <w:rPr>
          <w:rtl w:val="0"/>
        </w:rPr>
        <w:t>–</w:t>
      </w:r>
      <w:r>
        <w:rPr>
          <w:rtl w:val="0"/>
        </w:rPr>
        <w:t>32.</w:t>
      </w:r>
    </w:p>
    <w:p>
      <w:pPr>
        <w:pStyle w:val="Body"/>
        <w:ind w:left="720" w:hanging="720"/>
      </w:pPr>
      <w:r>
        <w:rPr>
          <w:rtl w:val="0"/>
          <w:lang w:val="de-DE"/>
        </w:rPr>
        <w:t xml:space="preserve">Johanson, J. and Vahlne, J.-E. (2009) </w:t>
      </w:r>
      <w:r>
        <w:rPr>
          <w:rtl w:val="1"/>
        </w:rPr>
        <w:t>‘</w:t>
      </w:r>
      <w:r>
        <w:rPr>
          <w:rtl w:val="0"/>
          <w:lang w:val="en-US"/>
        </w:rPr>
        <w:t>The Uppsala internationalization process model revisited: From liability of foreignness to liability of outsidership</w:t>
      </w:r>
      <w:r>
        <w:rPr>
          <w:rtl w:val="1"/>
        </w:rPr>
        <w:t>’</w:t>
      </w:r>
      <w:r>
        <w:rPr>
          <w:rtl w:val="0"/>
        </w:rPr>
        <w:t>,</w:t>
      </w:r>
      <w:r>
        <w:rPr>
          <w:rtl w:val="0"/>
        </w:rPr>
        <w:t> </w:t>
      </w:r>
      <w:r>
        <w:rPr>
          <w:i w:val="1"/>
          <w:iCs w:val="1"/>
          <w:rtl w:val="0"/>
          <w:lang w:val="en-US"/>
        </w:rPr>
        <w:t>Journal of International Business Studies</w:t>
      </w:r>
      <w:r>
        <w:rPr>
          <w:rtl w:val="0"/>
        </w:rPr>
        <w:t>, 40(9), pp. 1411</w:t>
      </w:r>
      <w:r>
        <w:rPr>
          <w:rtl w:val="0"/>
        </w:rPr>
        <w:t>–</w:t>
      </w:r>
      <w:r>
        <w:rPr>
          <w:rtl w:val="0"/>
        </w:rPr>
        <w:t>1431.</w:t>
      </w:r>
    </w:p>
    <w:p>
      <w:pPr>
        <w:pStyle w:val="Body"/>
        <w:ind w:left="720" w:hanging="720"/>
      </w:pPr>
      <w:r>
        <w:rPr>
          <w:rtl w:val="0"/>
        </w:rPr>
        <w:t>Keller, K.L. (2013)</w:t>
      </w:r>
      <w:r>
        <w:rPr>
          <w:rtl w:val="0"/>
        </w:rPr>
        <w:t> </w:t>
      </w:r>
      <w:r>
        <w:rPr>
          <w:i w:val="1"/>
          <w:iCs w:val="1"/>
          <w:rtl w:val="0"/>
          <w:lang w:val="en-US"/>
        </w:rPr>
        <w:t>Strategic Brand Management: Building, Measuring, and Managing Brand Equity</w:t>
      </w:r>
      <w:r>
        <w:rPr>
          <w:rtl w:val="0"/>
          <w:lang w:val="en-US"/>
        </w:rPr>
        <w:t>. 4th edn. Harlow: Pearson.</w:t>
      </w:r>
    </w:p>
    <w:p>
      <w:pPr>
        <w:pStyle w:val="Body"/>
        <w:ind w:left="720" w:hanging="720"/>
      </w:pPr>
      <w:r>
        <w:rPr>
          <w:rtl w:val="0"/>
        </w:rPr>
        <w:t xml:space="preserve">Kibsons (2026) </w:t>
      </w:r>
      <w:r>
        <w:rPr>
          <w:rtl w:val="1"/>
        </w:rPr>
        <w:t>‘</w:t>
      </w:r>
      <w:r>
        <w:rPr>
          <w:rtl w:val="0"/>
          <w:lang w:val="en-US"/>
        </w:rPr>
        <w:t>Kibsons brings global flavours to the UAE with RedMart, Morrisons and Iceland launch</w:t>
      </w:r>
      <w:r>
        <w:rPr>
          <w:rtl w:val="1"/>
        </w:rPr>
        <w:t>’</w:t>
      </w:r>
      <w:r>
        <w:rPr>
          <w:rtl w:val="0"/>
        </w:rPr>
        <w:t>,</w:t>
      </w:r>
      <w:r>
        <w:rPr>
          <w:rtl w:val="0"/>
        </w:rPr>
        <w:t> </w:t>
      </w:r>
      <w:r>
        <w:rPr>
          <w:i w:val="1"/>
          <w:iCs w:val="1"/>
          <w:rtl w:val="0"/>
          <w:lang w:val="en-US"/>
        </w:rPr>
        <w:t>MidEast Info</w:t>
      </w:r>
      <w:r>
        <w:rPr>
          <w:rtl w:val="0"/>
          <w:lang w:val="en-US"/>
        </w:rPr>
        <w:t>, 13 January.</w:t>
      </w:r>
    </w:p>
    <w:p>
      <w:pPr>
        <w:pStyle w:val="Body"/>
        <w:ind w:left="720" w:hanging="720"/>
      </w:pPr>
      <w:r>
        <w:rPr>
          <w:rtl w:val="0"/>
          <w:lang w:val="nl-NL"/>
        </w:rPr>
        <w:t>Kumar, N. and Steenkamp, J.-B.E.M. (2007)</w:t>
      </w:r>
      <w:r>
        <w:rPr>
          <w:rtl w:val="0"/>
        </w:rPr>
        <w:t> </w:t>
      </w:r>
      <w:r>
        <w:rPr>
          <w:i w:val="1"/>
          <w:iCs w:val="1"/>
          <w:rtl w:val="0"/>
          <w:lang w:val="en-US"/>
        </w:rPr>
        <w:t>Private Label Strategy: How to Meet the Store Brand Challenge</w:t>
      </w:r>
      <w:r>
        <w:rPr>
          <w:rtl w:val="0"/>
          <w:lang w:val="en-US"/>
        </w:rPr>
        <w:t>. Boston, MA: Harvard Business School Press.</w:t>
      </w:r>
    </w:p>
    <w:p>
      <w:pPr>
        <w:pStyle w:val="Body"/>
        <w:ind w:left="720" w:hanging="720"/>
      </w:pPr>
      <w:r>
        <w:rPr>
          <w:rtl w:val="0"/>
          <w:lang w:val="nl-NL"/>
        </w:rPr>
        <w:t xml:space="preserve">Leverbrook Export (2022) </w:t>
      </w:r>
      <w:r>
        <w:rPr>
          <w:rtl w:val="1"/>
        </w:rPr>
        <w:t>‘</w:t>
      </w:r>
      <w:r>
        <w:rPr>
          <w:rtl w:val="0"/>
          <w:lang w:val="en-US"/>
        </w:rPr>
        <w:t>What are the top UK food &amp; drink exports to the Middle East?</w:t>
      </w:r>
      <w:r>
        <w:rPr>
          <w:rtl w:val="1"/>
        </w:rPr>
        <w:t>’</w:t>
      </w:r>
      <w:r>
        <w:rPr>
          <w:rtl w:val="0"/>
          <w:lang w:val="nl-NL"/>
        </w:rPr>
        <w:t>, Leverbrook Export, 18 April.</w:t>
      </w:r>
    </w:p>
    <w:p>
      <w:pPr>
        <w:pStyle w:val="Body"/>
        <w:ind w:left="720" w:hanging="720"/>
      </w:pPr>
      <w:r>
        <w:rPr>
          <w:rtl w:val="0"/>
        </w:rPr>
        <w:t xml:space="preserve">Meydan Free Zone (2026) </w:t>
      </w:r>
      <w:r>
        <w:rPr>
          <w:rtl w:val="1"/>
        </w:rPr>
        <w:t>‘</w:t>
      </w:r>
      <w:r>
        <w:rPr>
          <w:rtl w:val="0"/>
          <w:lang w:val="en-US"/>
        </w:rPr>
        <w:t>Top niche British products to export to Dubai in 2026</w:t>
      </w:r>
      <w:r>
        <w:rPr>
          <w:rtl w:val="1"/>
        </w:rPr>
        <w:t>’</w:t>
      </w:r>
      <w:r>
        <w:rPr>
          <w:rtl w:val="0"/>
        </w:rPr>
        <w:t>, Meydan Free Zone, 17 February.</w:t>
      </w:r>
    </w:p>
    <w:p>
      <w:pPr>
        <w:pStyle w:val="Body"/>
        <w:ind w:left="720" w:hanging="720"/>
      </w:pPr>
      <w:r>
        <w:rPr>
          <w:rtl w:val="0"/>
        </w:rPr>
        <w:t xml:space="preserve">Morrisons (2022) </w:t>
      </w:r>
      <w:r>
        <w:rPr>
          <w:rtl w:val="1"/>
        </w:rPr>
        <w:t>‘</w:t>
      </w:r>
      <w:r>
        <w:rPr>
          <w:rtl w:val="0"/>
          <w:lang w:val="en-US"/>
        </w:rPr>
        <w:t>Morrisons expands global trade with new exporter partnership</w:t>
      </w:r>
      <w:r>
        <w:rPr>
          <w:rtl w:val="1"/>
        </w:rPr>
        <w:t>’</w:t>
      </w:r>
      <w:r>
        <w:rPr>
          <w:rtl w:val="0"/>
        </w:rPr>
        <w:t>,</w:t>
      </w:r>
      <w:r>
        <w:rPr>
          <w:rtl w:val="0"/>
        </w:rPr>
        <w:t> </w:t>
      </w:r>
      <w:r>
        <w:rPr>
          <w:i w:val="1"/>
          <w:iCs w:val="1"/>
          <w:rtl w:val="0"/>
          <w:lang w:val="en-US"/>
        </w:rPr>
        <w:t>The Grocer</w:t>
      </w:r>
      <w:r>
        <w:rPr>
          <w:rtl w:val="0"/>
          <w:lang w:val="en-US"/>
        </w:rPr>
        <w:t>, 24 July.</w:t>
      </w:r>
    </w:p>
    <w:p>
      <w:pPr>
        <w:pStyle w:val="Body"/>
        <w:ind w:left="720" w:hanging="720"/>
      </w:pPr>
      <w:r>
        <w:rPr>
          <w:rtl w:val="0"/>
          <w:lang w:val="en-US"/>
        </w:rPr>
        <w:t xml:space="preserve">Morrisons (2025a) </w:t>
      </w:r>
      <w:r>
        <w:rPr>
          <w:rtl w:val="1"/>
        </w:rPr>
        <w:t>‘</w:t>
      </w:r>
      <w:r>
        <w:rPr>
          <w:rtl w:val="0"/>
          <w:lang w:val="en-US"/>
        </w:rPr>
        <w:t>Morrisons business update</w:t>
      </w:r>
      <w:r>
        <w:rPr>
          <w:rtl w:val="1"/>
        </w:rPr>
        <w:t>’</w:t>
      </w:r>
      <w:r>
        <w:rPr>
          <w:rtl w:val="0"/>
          <w:lang w:val="en-US"/>
        </w:rPr>
        <w:t>, IGD, 27 January.</w:t>
      </w:r>
    </w:p>
    <w:p>
      <w:pPr>
        <w:pStyle w:val="Body"/>
        <w:ind w:left="720" w:hanging="720"/>
      </w:pPr>
      <w:r>
        <w:rPr>
          <w:rtl w:val="0"/>
          <w:lang w:val="en-US"/>
        </w:rPr>
        <w:t xml:space="preserve">Morrisons (2025b) </w:t>
      </w:r>
      <w:r>
        <w:rPr>
          <w:rtl w:val="1"/>
        </w:rPr>
        <w:t>‘</w:t>
      </w:r>
      <w:r>
        <w:rPr>
          <w:rtl w:val="0"/>
          <w:lang w:val="en-US"/>
        </w:rPr>
        <w:t>Morrisons celebrates growing its presence in the Gulf with Lulu Retail at British Food Festival in Qatar</w:t>
      </w:r>
      <w:r>
        <w:rPr>
          <w:rtl w:val="1"/>
        </w:rPr>
        <w:t>’</w:t>
      </w:r>
      <w:r>
        <w:rPr>
          <w:rtl w:val="0"/>
          <w:lang w:val="en-US"/>
        </w:rPr>
        <w:t>, Morrisons Corporate News, 9 June.</w:t>
      </w:r>
    </w:p>
    <w:p>
      <w:pPr>
        <w:pStyle w:val="Body"/>
        <w:ind w:left="720" w:hanging="720"/>
      </w:pPr>
      <w:r>
        <w:rPr>
          <w:rtl w:val="0"/>
        </w:rPr>
        <w:t xml:space="preserve">Morrisons (2026) </w:t>
      </w:r>
      <w:r>
        <w:rPr>
          <w:rtl w:val="1"/>
        </w:rPr>
        <w:t>‘</w:t>
      </w:r>
      <w:r>
        <w:rPr>
          <w:rtl w:val="0"/>
          <w:lang w:val="en-US"/>
        </w:rPr>
        <w:t xml:space="preserve">Morrisons is committing over </w:t>
      </w:r>
      <w:r>
        <w:rPr>
          <w:rtl w:val="0"/>
        </w:rPr>
        <w:t>£</w:t>
      </w:r>
      <w:r>
        <w:rPr>
          <w:rtl w:val="0"/>
          <w:lang w:val="en-US"/>
        </w:rPr>
        <w:t>1.6bn to British agriculture and food production in 2026</w:t>
      </w:r>
      <w:r>
        <w:rPr>
          <w:rtl w:val="1"/>
        </w:rPr>
        <w:t>’</w:t>
      </w:r>
      <w:r>
        <w:rPr>
          <w:rtl w:val="0"/>
          <w:lang w:val="en-US"/>
        </w:rPr>
        <w:t>, Morrisons News, 7 May.</w:t>
      </w:r>
    </w:p>
    <w:p>
      <w:pPr>
        <w:pStyle w:val="Body"/>
        <w:ind w:left="720" w:hanging="720"/>
      </w:pPr>
      <w:r>
        <w:rPr>
          <w:rtl w:val="0"/>
        </w:rPr>
        <w:t xml:space="preserve">Noon (2025) </w:t>
      </w:r>
      <w:r>
        <w:rPr>
          <w:rtl w:val="1"/>
        </w:rPr>
        <w:t>‘</w:t>
      </w:r>
      <w:r>
        <w:rPr>
          <w:rtl w:val="0"/>
          <w:lang w:val="en-US"/>
        </w:rPr>
        <w:t>Morrisons UAE store</w:t>
      </w:r>
      <w:r>
        <w:rPr>
          <w:rtl w:val="1"/>
        </w:rPr>
        <w:t>’</w:t>
      </w:r>
      <w:r>
        <w:rPr>
          <w:rtl w:val="0"/>
          <w:lang w:val="en-US"/>
        </w:rPr>
        <w:t>, Noon.com, 22 July.</w:t>
      </w:r>
    </w:p>
    <w:p>
      <w:pPr>
        <w:pStyle w:val="Body"/>
        <w:ind w:left="720" w:hanging="720"/>
      </w:pPr>
      <w:r>
        <w:rPr>
          <w:rtl w:val="0"/>
        </w:rPr>
        <w:t xml:space="preserve">Parnell, J.A. (2010) </w:t>
      </w:r>
      <w:r>
        <w:rPr>
          <w:rtl w:val="1"/>
        </w:rPr>
        <w:t>‘</w:t>
      </w:r>
      <w:r>
        <w:rPr>
          <w:rtl w:val="0"/>
          <w:lang w:val="en-US"/>
        </w:rPr>
        <w:t>Strategic clarity, business strategy and performance</w:t>
      </w:r>
      <w:r>
        <w:rPr>
          <w:rtl w:val="1"/>
        </w:rPr>
        <w:t>’</w:t>
      </w:r>
      <w:r>
        <w:rPr>
          <w:rtl w:val="0"/>
        </w:rPr>
        <w:t>,</w:t>
      </w:r>
      <w:r>
        <w:rPr>
          <w:rtl w:val="0"/>
        </w:rPr>
        <w:t> </w:t>
      </w:r>
      <w:r>
        <w:rPr>
          <w:i w:val="1"/>
          <w:iCs w:val="1"/>
          <w:rtl w:val="0"/>
          <w:lang w:val="en-US"/>
        </w:rPr>
        <w:t>Journal of Strategy and Management</w:t>
      </w:r>
      <w:r>
        <w:rPr>
          <w:rtl w:val="0"/>
        </w:rPr>
        <w:t>, 3(4), pp. 304</w:t>
      </w:r>
      <w:r>
        <w:rPr>
          <w:rtl w:val="0"/>
        </w:rPr>
        <w:t>–</w:t>
      </w:r>
      <w:r>
        <w:rPr>
          <w:rtl w:val="0"/>
        </w:rPr>
        <w:t>324.</w:t>
      </w:r>
    </w:p>
    <w:p>
      <w:pPr>
        <w:pStyle w:val="Body"/>
        <w:ind w:left="720" w:hanging="720"/>
      </w:pPr>
      <w:r>
        <w:rPr>
          <w:rtl w:val="0"/>
        </w:rPr>
        <w:t>Porter, M.E. (1985)</w:t>
      </w:r>
      <w:r>
        <w:rPr>
          <w:rtl w:val="0"/>
        </w:rPr>
        <w:t> </w:t>
      </w:r>
      <w:r>
        <w:rPr>
          <w:i w:val="1"/>
          <w:iCs w:val="1"/>
          <w:rtl w:val="0"/>
          <w:lang w:val="en-US"/>
        </w:rPr>
        <w:t>Competitive Advantage: Creating and Sustaining Superior Performance</w:t>
      </w:r>
      <w:r>
        <w:rPr>
          <w:rtl w:val="0"/>
          <w:lang w:val="en-US"/>
        </w:rPr>
        <w:t>. New York: Free Press.</w:t>
      </w:r>
    </w:p>
    <w:p>
      <w:pPr>
        <w:pStyle w:val="Body"/>
        <w:ind w:left="720" w:hanging="720"/>
      </w:pPr>
      <w:r>
        <w:rPr>
          <w:rtl w:val="0"/>
        </w:rPr>
        <w:t>Root, F.R. (1994)</w:t>
      </w:r>
      <w:r>
        <w:rPr>
          <w:rtl w:val="0"/>
        </w:rPr>
        <w:t> </w:t>
      </w:r>
      <w:r>
        <w:rPr>
          <w:i w:val="1"/>
          <w:iCs w:val="1"/>
          <w:rtl w:val="0"/>
          <w:lang w:val="en-US"/>
        </w:rPr>
        <w:t>Entry Strategies for International Markets</w:t>
      </w:r>
      <w:r>
        <w:rPr>
          <w:rtl w:val="0"/>
          <w:lang w:val="en-US"/>
        </w:rPr>
        <w:t>. Lexington, MA: Lexington Books.</w:t>
      </w:r>
    </w:p>
    <w:p>
      <w:pPr>
        <w:pStyle w:val="Body"/>
        <w:ind w:left="720" w:hanging="720"/>
      </w:pPr>
      <w:r>
        <w:rPr>
          <w:rtl w:val="0"/>
          <w:lang w:val="en-US"/>
        </w:rPr>
        <w:t xml:space="preserve">Source International (2026) </w:t>
      </w:r>
      <w:r>
        <w:rPr>
          <w:rtl w:val="1"/>
        </w:rPr>
        <w:t>‘</w:t>
      </w:r>
      <w:r>
        <w:rPr>
          <w:rtl w:val="0"/>
          <w:lang w:val="en-US"/>
        </w:rPr>
        <w:t>Market entry food brands GCC solutions</w:t>
      </w:r>
      <w:r>
        <w:rPr>
          <w:rtl w:val="1"/>
        </w:rPr>
        <w:t>’</w:t>
      </w:r>
      <w:r>
        <w:rPr>
          <w:rtl w:val="0"/>
          <w:lang w:val="en-US"/>
        </w:rPr>
        <w:t>, Source International FZCO, 2 February.</w:t>
      </w:r>
    </w:p>
    <w:p>
      <w:pPr>
        <w:pStyle w:val="Body"/>
        <w:ind w:left="720" w:hanging="720"/>
      </w:pPr>
      <w:r>
        <w:rPr>
          <w:rtl w:val="0"/>
          <w:lang w:val="en-US"/>
        </w:rPr>
        <w:t>Strategy&amp;/PwC (2024)</w:t>
      </w:r>
      <w:r>
        <w:rPr>
          <w:rtl w:val="0"/>
        </w:rPr>
        <w:t> </w:t>
      </w:r>
      <w:r>
        <w:rPr>
          <w:i w:val="1"/>
          <w:iCs w:val="1"/>
          <w:rtl w:val="0"/>
          <w:lang w:val="en-US"/>
        </w:rPr>
        <w:t>Opportunities in the GCC Food Landscape: Strategies for Growth</w:t>
      </w:r>
      <w:r>
        <w:rPr>
          <w:rtl w:val="0"/>
          <w:lang w:val="en-US"/>
        </w:rPr>
        <w:t>, Strategy&amp;, Middle East.</w:t>
      </w:r>
    </w:p>
    <w:p>
      <w:pPr>
        <w:pStyle w:val="Body"/>
        <w:ind w:left="720" w:hanging="720"/>
      </w:pPr>
      <w:r>
        <w:rPr>
          <w:rtl w:val="0"/>
          <w:lang w:val="en-US"/>
        </w:rPr>
        <w:t>Stratrich Consulting (2024)</w:t>
      </w:r>
      <w:r>
        <w:rPr>
          <w:rtl w:val="0"/>
        </w:rPr>
        <w:t> </w:t>
      </w:r>
      <w:r>
        <w:rPr>
          <w:i w:val="1"/>
          <w:iCs w:val="1"/>
          <w:rtl w:val="0"/>
          <w:lang w:val="en-US"/>
        </w:rPr>
        <w:t>UAE ECommerce Outlook 2024</w:t>
      </w:r>
      <w:r>
        <w:rPr>
          <w:rtl w:val="0"/>
        </w:rPr>
        <w:t>, Stratrich Consulting.</w:t>
      </w:r>
    </w:p>
    <w:p>
      <w:pPr>
        <w:pStyle w:val="Body"/>
        <w:ind w:left="720" w:hanging="720"/>
      </w:pPr>
      <w:r>
        <w:rPr>
          <w:rtl w:val="0"/>
          <w:lang w:val="en-US"/>
        </w:rPr>
        <w:t xml:space="preserve">Supermarket News (2025) </w:t>
      </w:r>
      <w:r>
        <w:rPr>
          <w:rtl w:val="1"/>
        </w:rPr>
        <w:t>‘</w:t>
      </w:r>
      <w:r>
        <w:rPr>
          <w:rtl w:val="0"/>
          <w:lang w:val="en-US"/>
        </w:rPr>
        <w:t>Morrisons celebrates Gulf growth with Lulu Retail</w:t>
      </w:r>
      <w:r>
        <w:rPr>
          <w:rtl w:val="1"/>
        </w:rPr>
        <w:t>’</w:t>
      </w:r>
      <w:r>
        <w:rPr>
          <w:rtl w:val="0"/>
        </w:rPr>
        <w:t>,</w:t>
      </w:r>
      <w:r>
        <w:rPr>
          <w:rtl w:val="0"/>
        </w:rPr>
        <w:t> </w:t>
      </w:r>
      <w:r>
        <w:rPr>
          <w:i w:val="1"/>
          <w:iCs w:val="1"/>
          <w:rtl w:val="0"/>
          <w:lang w:val="en-US"/>
        </w:rPr>
        <w:t>Supermarket News</w:t>
      </w:r>
      <w:r>
        <w:rPr>
          <w:rtl w:val="0"/>
          <w:lang w:val="en-US"/>
        </w:rPr>
        <w:t>, 12 June.</w:t>
      </w:r>
    </w:p>
    <w:p>
      <w:pPr>
        <w:pStyle w:val="Body"/>
        <w:ind w:left="720" w:hanging="720"/>
      </w:pPr>
      <w:r>
        <w:rPr>
          <w:rtl w:val="0"/>
        </w:rPr>
        <w:t>Trigeorgis, L. (1996)</w:t>
      </w:r>
      <w:r>
        <w:rPr>
          <w:rtl w:val="0"/>
        </w:rPr>
        <w:t> </w:t>
      </w:r>
      <w:r>
        <w:rPr>
          <w:i w:val="1"/>
          <w:iCs w:val="1"/>
          <w:rtl w:val="0"/>
          <w:lang w:val="en-US"/>
        </w:rPr>
        <w:t>Real Options: Managerial Flexibility and Strategy in Resource Allocation</w:t>
      </w:r>
      <w:r>
        <w:rPr>
          <w:rtl w:val="0"/>
          <w:lang w:val="en-US"/>
        </w:rPr>
        <w:t>. Cambridge, MA: MIT Press.</w:t>
      </w:r>
    </w:p>
    <w:p>
      <w:pPr>
        <w:pStyle w:val="Body"/>
        <w:ind w:left="720" w:hanging="720"/>
      </w:pPr>
      <w:r>
        <w:rPr>
          <w:rtl w:val="0"/>
          <w:lang w:val="en-US"/>
        </w:rPr>
        <w:t xml:space="preserve">UK Government (2017) </w:t>
      </w:r>
      <w:r>
        <w:rPr>
          <w:rtl w:val="1"/>
        </w:rPr>
        <w:t>‘</w:t>
      </w:r>
      <w:r>
        <w:rPr>
          <w:rtl w:val="0"/>
          <w:lang w:val="en-US"/>
        </w:rPr>
        <w:t>UK food takes centre stage at world</w:t>
      </w:r>
      <w:r>
        <w:rPr>
          <w:rtl w:val="1"/>
        </w:rPr>
        <w:t>’</w:t>
      </w:r>
      <w:r>
        <w:rPr>
          <w:rtl w:val="0"/>
          <w:lang w:val="en-US"/>
        </w:rPr>
        <w:t>s largest annual trade show</w:t>
      </w:r>
      <w:r>
        <w:rPr>
          <w:rtl w:val="1"/>
        </w:rPr>
        <w:t>’</w:t>
      </w:r>
      <w:r>
        <w:rPr>
          <w:rtl w:val="0"/>
          <w:lang w:val="en-US"/>
        </w:rPr>
        <w:t>, Department for Environment, Food &amp; Rural Affairs, 26 February.</w:t>
      </w:r>
    </w:p>
    <w:p>
      <w:pPr>
        <w:pStyle w:val="Body"/>
        <w:ind w:left="720" w:hanging="720"/>
      </w:pPr>
      <w:r>
        <w:rPr>
          <w:rtl w:val="0"/>
          <w:lang w:val="en-US"/>
        </w:rPr>
        <w:t xml:space="preserve">UK Government (2026a) </w:t>
      </w:r>
      <w:r>
        <w:rPr>
          <w:rtl w:val="1"/>
        </w:rPr>
        <w:t>‘</w:t>
      </w:r>
      <w:r>
        <w:rPr>
          <w:rtl w:val="0"/>
          <w:lang w:val="en-US"/>
        </w:rPr>
        <w:t>UKGulf Cooperation Council (GCC) trade deal: conclusion summary</w:t>
      </w:r>
      <w:r>
        <w:rPr>
          <w:rtl w:val="1"/>
        </w:rPr>
        <w:t>’</w:t>
      </w:r>
      <w:r>
        <w:rPr>
          <w:rtl w:val="0"/>
          <w:lang w:val="en-US"/>
        </w:rPr>
        <w:t>, Department for Business and Trade, 19 May.</w:t>
      </w:r>
    </w:p>
    <w:p>
      <w:pPr>
        <w:pStyle w:val="Body"/>
        <w:ind w:left="720" w:hanging="720"/>
      </w:pPr>
      <w:r>
        <w:rPr>
          <w:rtl w:val="0"/>
          <w:lang w:val="en-US"/>
        </w:rPr>
        <w:t xml:space="preserve">UK Government (2026b) </w:t>
      </w:r>
      <w:r>
        <w:rPr>
          <w:rtl w:val="1"/>
        </w:rPr>
        <w:t>‘</w:t>
      </w:r>
      <w:r>
        <w:rPr>
          <w:rtl w:val="0"/>
          <w:lang w:val="en-US"/>
        </w:rPr>
        <w:t>Top benefits of the UKGulf Cooperation Council (GCC) FTA</w:t>
      </w:r>
      <w:r>
        <w:rPr>
          <w:rtl w:val="1"/>
        </w:rPr>
        <w:t>’</w:t>
      </w:r>
      <w:r>
        <w:rPr>
          <w:rtl w:val="0"/>
          <w:lang w:val="en-US"/>
        </w:rPr>
        <w:t>, Department for Business and Trade, 19 May.</w:t>
      </w:r>
    </w:p>
    <w:p>
      <w:pPr>
        <w:pStyle w:val="Body"/>
        <w:ind w:left="720" w:hanging="720"/>
      </w:pPr>
      <w:r>
        <w:rPr>
          <w:rtl w:val="0"/>
          <w:lang w:val="en-US"/>
        </w:rPr>
        <w:t xml:space="preserve">Westo Direct International (2026) </w:t>
      </w:r>
      <w:r>
        <w:rPr>
          <w:rtl w:val="1"/>
        </w:rPr>
        <w:t>‘</w:t>
      </w:r>
      <w:r>
        <w:rPr>
          <w:rtl w:val="0"/>
          <w:lang w:val="en-US"/>
        </w:rPr>
        <w:t>British grocery export to GCC countries</w:t>
      </w:r>
      <w:r>
        <w:rPr>
          <w:rtl w:val="1"/>
        </w:rPr>
        <w:t>’</w:t>
      </w:r>
      <w:r>
        <w:rPr>
          <w:rtl w:val="0"/>
          <w:lang w:val="en-US"/>
        </w:rPr>
        <w:t>, LinkedIn, 16 February.</w:t>
      </w:r>
    </w:p>
    <w:p>
      <w:pPr>
        <w:pStyle w:val="Body"/>
        <w:ind w:left="720" w:hanging="720"/>
      </w:pPr>
      <w:r>
        <w:rPr>
          <w:rtl w:val="0"/>
        </w:rPr>
        <w:t xml:space="preserve">WTA (2025) </w:t>
      </w:r>
      <w:r>
        <w:rPr>
          <w:rtl w:val="1"/>
        </w:rPr>
        <w:t>‘</w:t>
      </w:r>
      <w:r>
        <w:rPr>
          <w:rtl w:val="0"/>
          <w:lang w:val="en-US"/>
        </w:rPr>
        <w:t>Opportunities exporting food and drink to the Middle East</w:t>
      </w:r>
      <w:r>
        <w:rPr>
          <w:rtl w:val="1"/>
        </w:rPr>
        <w:t>’</w:t>
      </w:r>
      <w:r>
        <w:rPr>
          <w:rtl w:val="0"/>
          <w:lang w:val="en-US"/>
        </w:rPr>
        <w:t>, WTA Group, 17 February.</w:t>
      </w:r>
    </w:p>
    <w:p>
      <w:pPr>
        <w:pStyle w:val="Body"/>
        <w:ind w:left="720" w:hanging="720"/>
      </w:pPr>
      <w:r>
        <w:rPr>
          <w:rtl w:val="0"/>
        </w:rPr>
        <w:t>YouGov (2024)</w:t>
      </w:r>
      <w:r>
        <w:rPr>
          <w:rtl w:val="0"/>
        </w:rPr>
        <w:t> </w:t>
      </w:r>
      <w:r>
        <w:rPr>
          <w:i w:val="1"/>
          <w:iCs w:val="1"/>
          <w:rtl w:val="0"/>
          <w:lang w:val="en-US"/>
        </w:rPr>
        <w:t>FMCG Rankings 2024: UAE &amp; KSA</w:t>
      </w:r>
      <w:r>
        <w:rPr>
          <w:rtl w:val="0"/>
          <w:lang w:val="en-US"/>
        </w:rPr>
        <w:t>, YouGov MENA.</w:t>
      </w:r>
      <w:r/>
    </w:p>
    <w:sectPr>
      <w:headerReference w:type="default" r:id="rId5"/>
      <w:footerReference w:type="default" r:id="rId6"/>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800" w:hanging="7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2">
    <w:multiLevelType w:val="hybridMultilevel"/>
    <w:numStyleLink w:val="Imported Style 12"/>
  </w:abstractNum>
  <w:abstractNum w:abstractNumId="23">
    <w:multiLevelType w:val="hybridMultilevel"/>
    <w:styleLink w:val="Imported Style 1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4">
    <w:multiLevelType w:val="hybridMultilevel"/>
    <w:numStyleLink w:val="Imported Style 13"/>
  </w:abstractNum>
  <w:abstractNum w:abstractNumId="25">
    <w:multiLevelType w:val="hybridMultilevel"/>
    <w:styleLink w:val="Imported Style 13"/>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6">
    <w:multiLevelType w:val="hybridMultilevel"/>
    <w:numStyleLink w:val="Imported Style 14"/>
  </w:abstractNum>
  <w:abstractNum w:abstractNumId="27">
    <w:multiLevelType w:val="hybridMultilevel"/>
    <w:styleLink w:val="Imported Style 1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8">
    <w:multiLevelType w:val="hybridMultilevel"/>
    <w:numStyleLink w:val="Imported Style 15"/>
  </w:abstractNum>
  <w:abstractNum w:abstractNumId="29">
    <w:multiLevelType w:val="hybridMultilevel"/>
    <w:styleLink w:val="Imported Style 1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
      <w:lvlJc w:val="left"/>
      <w:pPr>
        <w:tabs>
          <w:tab w:val="left" w:pos="720"/>
        </w:tabs>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0">
    <w:multiLevelType w:val="hybridMultilevel"/>
    <w:numStyleLink w:val="Imported Style 16"/>
  </w:abstractNum>
  <w:abstractNum w:abstractNumId="31">
    <w:multiLevelType w:val="hybridMultilevel"/>
    <w:styleLink w:val="Imported Style 16"/>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2">
    <w:multiLevelType w:val="hybridMultilevel"/>
    <w:numStyleLink w:val="Imported Style 17"/>
  </w:abstractNum>
  <w:abstractNum w:abstractNumId="33">
    <w:multiLevelType w:val="hybridMultilevel"/>
    <w:styleLink w:val="Imported Style 17"/>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4">
    <w:multiLevelType w:val="hybridMultilevel"/>
    <w:numStyleLink w:val="Imported Style 18"/>
  </w:abstractNum>
  <w:abstractNum w:abstractNumId="35">
    <w:multiLevelType w:val="hybridMultilevel"/>
    <w:styleLink w:val="Imported Style 18"/>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6">
    <w:multiLevelType w:val="hybridMultilevel"/>
    <w:numStyleLink w:val="Imported Style 19"/>
  </w:abstractNum>
  <w:abstractNum w:abstractNumId="37">
    <w:multiLevelType w:val="hybridMultilevel"/>
    <w:styleLink w:val="Imported Style 19"/>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8">
    <w:multiLevelType w:val="hybridMultilevel"/>
    <w:numStyleLink w:val="Imported Style 20"/>
  </w:abstractNum>
  <w:abstractNum w:abstractNumId="39">
    <w:multiLevelType w:val="hybridMultilevel"/>
    <w:styleLink w:val="Imported Style 20"/>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 w:numId="23">
    <w:abstractNumId w:val="23"/>
  </w:num>
  <w:num w:numId="24">
    <w:abstractNumId w:val="22"/>
  </w:num>
  <w:num w:numId="25">
    <w:abstractNumId w:val="25"/>
  </w:num>
  <w:num w:numId="26">
    <w:abstractNumId w:val="24"/>
  </w:num>
  <w:num w:numId="27">
    <w:abstractNumId w:val="27"/>
  </w:num>
  <w:num w:numId="28">
    <w:abstractNumId w:val="26"/>
  </w:num>
  <w:num w:numId="29">
    <w:abstractNumId w:val="29"/>
  </w:num>
  <w:num w:numId="30">
    <w:abstractNumId w:val="28"/>
  </w:num>
  <w:num w:numId="31">
    <w:abstractNumId w:val="31"/>
  </w:num>
  <w:num w:numId="32">
    <w:abstractNumId w:val="30"/>
  </w:num>
  <w:num w:numId="33">
    <w:abstractNumId w:val="33"/>
  </w:num>
  <w:num w:numId="34">
    <w:abstractNumId w:val="32"/>
  </w:num>
  <w:num w:numId="35">
    <w:abstractNumId w:val="35"/>
  </w:num>
  <w:num w:numId="36">
    <w:abstractNumId w:val="34"/>
  </w:num>
  <w:num w:numId="37">
    <w:abstractNumId w:val="37"/>
  </w:num>
  <w:num w:numId="38">
    <w:abstractNumId w:val="36"/>
  </w:num>
  <w:num w:numId="39">
    <w:abstractNumId w:val="39"/>
  </w:num>
  <w:num w:numId="40">
    <w:abstractNumId w:val="3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2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12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12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120" w:after="160" w:line="360" w:lineRule="auto"/>
      <w:ind w:left="72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 w:type="numbering" w:styleId="Imported Style 12">
    <w:name w:val="Imported Style 12"/>
    <w:pPr>
      <w:numPr>
        <w:numId w:val="23"/>
      </w:numPr>
    </w:pPr>
  </w:style>
  <w:style w:type="numbering" w:styleId="Imported Style 13">
    <w:name w:val="Imported Style 13"/>
    <w:pPr>
      <w:numPr>
        <w:numId w:val="25"/>
      </w:numPr>
    </w:pPr>
  </w:style>
  <w:style w:type="numbering" w:styleId="Imported Style 14">
    <w:name w:val="Imported Style 14"/>
    <w:pPr>
      <w:numPr>
        <w:numId w:val="27"/>
      </w:numPr>
    </w:pPr>
  </w:style>
  <w:style w:type="numbering" w:styleId="Imported Style 15">
    <w:name w:val="Imported Style 15"/>
    <w:pPr>
      <w:numPr>
        <w:numId w:val="29"/>
      </w:numPr>
    </w:pPr>
  </w:style>
  <w:style w:type="numbering" w:styleId="Imported Style 16">
    <w:name w:val="Imported Style 16"/>
    <w:pPr>
      <w:numPr>
        <w:numId w:val="31"/>
      </w:numPr>
    </w:pPr>
  </w:style>
  <w:style w:type="numbering" w:styleId="Imported Style 17">
    <w:name w:val="Imported Style 17"/>
    <w:pPr>
      <w:numPr>
        <w:numId w:val="33"/>
      </w:numPr>
    </w:pPr>
  </w:style>
  <w:style w:type="numbering" w:styleId="Imported Style 18">
    <w:name w:val="Imported Style 18"/>
    <w:pPr>
      <w:numPr>
        <w:numId w:val="35"/>
      </w:numPr>
    </w:pPr>
  </w:style>
  <w:style w:type="numbering" w:styleId="Imported Style 19">
    <w:name w:val="Imported Style 19"/>
    <w:pPr>
      <w:numPr>
        <w:numId w:val="37"/>
      </w:numPr>
    </w:pPr>
  </w:style>
  <w:style w:type="numbering" w:styleId="Imported Style 20">
    <w:name w:val="Imported Style 20"/>
    <w:pPr>
      <w:numPr>
        <w:numId w:val="39"/>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