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AC9113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07DF8">
              <w:rPr>
                <w:b/>
                <w:color w:val="auto"/>
                <w:sz w:val="32"/>
              </w:rPr>
              <w:t>Thomas Price</w:t>
            </w:r>
            <w:r w:rsidR="005A1BA3">
              <w:rPr>
                <w:b/>
                <w:color w:val="auto"/>
                <w:sz w:val="32"/>
              </w:rPr>
              <w:t>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15768D7" w:rsidR="005A1BA3" w:rsidRDefault="00E07DF8" w:rsidP="00340E9A">
            <w:pPr>
              <w:overflowPunct/>
              <w:autoSpaceDE/>
              <w:autoSpaceDN/>
              <w:adjustRightInd/>
              <w:ind w:right="237"/>
              <w:textAlignment w:val="auto"/>
              <w:rPr>
                <w:b/>
                <w:color w:val="auto"/>
                <w:sz w:val="32"/>
              </w:rPr>
            </w:pPr>
            <w:r>
              <w:rPr>
                <w:b/>
                <w:color w:val="auto"/>
                <w:sz w:val="32"/>
              </w:rPr>
              <w:t>1916387</w:t>
            </w:r>
            <w:bookmarkStart w:id="0" w:name="_GoBack"/>
            <w:bookmarkEnd w:id="0"/>
            <w:r w:rsidR="005A1BA3">
              <w:rPr>
                <w:b/>
                <w:color w:val="auto"/>
                <w:sz w:val="32"/>
              </w:rPr>
              <w:t>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7B6D1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7B6D1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7B6D1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7B6D1D"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05DF3D1A" w14:textId="77777777" w:rsidR="00F637A2" w:rsidRPr="00880E6B" w:rsidRDefault="00F637A2" w:rsidP="00F637A2">
      <w:pPr>
        <w:spacing w:line="480" w:lineRule="auto"/>
        <w:rPr>
          <w:sz w:val="28"/>
          <w:szCs w:val="28"/>
        </w:rPr>
      </w:pPr>
      <w:r w:rsidRPr="00880E6B">
        <w:rPr>
          <w:sz w:val="28"/>
          <w:szCs w:val="28"/>
        </w:rPr>
        <w:t>This essay will reflect upon the impact that organisational justice has potentially had upon me as a member of the police service. I will also consider the steps that my organisation are taking in order to raise and maintain ethical standards.</w:t>
      </w:r>
    </w:p>
    <w:p w14:paraId="6037D04E" w14:textId="77777777" w:rsidR="00F637A2" w:rsidRPr="00880E6B" w:rsidRDefault="00F637A2" w:rsidP="00F637A2">
      <w:pPr>
        <w:spacing w:line="480" w:lineRule="auto"/>
        <w:rPr>
          <w:sz w:val="28"/>
          <w:szCs w:val="28"/>
        </w:rPr>
      </w:pPr>
      <w:r w:rsidRPr="00880E6B">
        <w:rPr>
          <w:sz w:val="28"/>
          <w:szCs w:val="28"/>
        </w:rPr>
        <w:t>Organisational justice is generally defined as the feeling of fairness, or otherwise, felt by employees belonging to an organisation. In the policing sense, this can be affected by multiple factors. I will discuss some of these factors and the possible consequences that this can have on a policing organisation.</w:t>
      </w:r>
    </w:p>
    <w:p w14:paraId="583F3393" w14:textId="77777777" w:rsidR="00F637A2" w:rsidRPr="00880E6B" w:rsidRDefault="00F637A2" w:rsidP="00F637A2">
      <w:pPr>
        <w:spacing w:line="480" w:lineRule="auto"/>
        <w:rPr>
          <w:sz w:val="28"/>
          <w:szCs w:val="28"/>
        </w:rPr>
      </w:pPr>
      <w:r w:rsidRPr="00880E6B">
        <w:rPr>
          <w:sz w:val="28"/>
          <w:szCs w:val="28"/>
        </w:rPr>
        <w:t xml:space="preserve">The concept of organisational justice was introduced by a Professor Greenburg in 1987. GREENBURG theorised that employees that felt valued and fairly treated were more productive and effective at their jobs. The theory was supported by evidence as he conducted a test of proof reading amongst employees of a company. The test subjects were </w:t>
      </w:r>
      <w:r w:rsidRPr="00880E6B">
        <w:rPr>
          <w:sz w:val="28"/>
          <w:szCs w:val="28"/>
        </w:rPr>
        <w:lastRenderedPageBreak/>
        <w:t>comprised of one group of staff who believed that they were fairly payed in their role, compared to a group who believed that they were underpaid following a disclosure to them that their equally skilled colleagues may be being paid a higher rate than them. The result of this study supported Greenburg’s theory that employees who felt they were treated fairly were more productive (Greenburg, 1987).</w:t>
      </w:r>
    </w:p>
    <w:p w14:paraId="0BAA762E" w14:textId="77777777" w:rsidR="00F637A2" w:rsidRPr="00880E6B" w:rsidRDefault="00F637A2" w:rsidP="00F637A2">
      <w:pPr>
        <w:spacing w:line="480" w:lineRule="auto"/>
        <w:rPr>
          <w:sz w:val="28"/>
          <w:szCs w:val="28"/>
        </w:rPr>
      </w:pPr>
      <w:r w:rsidRPr="00880E6B">
        <w:rPr>
          <w:sz w:val="28"/>
          <w:szCs w:val="28"/>
        </w:rPr>
        <w:t>In my personal experience and opinion, a police officer should be less subject to the impact of organisational justice as many consider their job as a duty to provide a service to a professional standard despite external factors. This is not to say that there are not obvious benefits to effective man management, cumulating in positive organisational justice, which is likely to encourage an officer to perform to a higher level as opposed to being solely reliant on an individual sense of duty as motivation alone.</w:t>
      </w:r>
    </w:p>
    <w:p w14:paraId="25848C25" w14:textId="77777777" w:rsidR="00F637A2" w:rsidRPr="00880E6B" w:rsidRDefault="00F637A2" w:rsidP="00F637A2">
      <w:pPr>
        <w:spacing w:line="480" w:lineRule="auto"/>
        <w:rPr>
          <w:sz w:val="28"/>
          <w:szCs w:val="28"/>
        </w:rPr>
      </w:pPr>
      <w:r w:rsidRPr="00880E6B">
        <w:rPr>
          <w:sz w:val="28"/>
          <w:szCs w:val="28"/>
        </w:rPr>
        <w:t>By reflecting upon my career within a policing organisation so far, I can already see a benefit to effective man management as it has provided me with a sense of positive organisational justice which has given me a greater desire to perform my duties. This positive organisational justice in my experience has been implemented primarily by my line manager and supervisors.</w:t>
      </w:r>
    </w:p>
    <w:p w14:paraId="69011B37" w14:textId="77777777" w:rsidR="00F637A2" w:rsidRPr="00880E6B" w:rsidRDefault="00F637A2" w:rsidP="00F637A2">
      <w:pPr>
        <w:spacing w:line="480" w:lineRule="auto"/>
        <w:rPr>
          <w:sz w:val="28"/>
          <w:szCs w:val="28"/>
        </w:rPr>
      </w:pPr>
      <w:r w:rsidRPr="00880E6B">
        <w:rPr>
          <w:sz w:val="28"/>
          <w:szCs w:val="28"/>
        </w:rPr>
        <w:t xml:space="preserve">An example of positive enforcement of good performance in attempts to instil a positive sense of organisational justice which I have been witness to so far in my career is the awarding of staff with coveted training in </w:t>
      </w:r>
      <w:r w:rsidRPr="00880E6B">
        <w:rPr>
          <w:sz w:val="28"/>
          <w:szCs w:val="28"/>
        </w:rPr>
        <w:lastRenderedPageBreak/>
        <w:t>order to gain specialist skills should they exhibit good performance in their duties. This in itself also benefits the organisation as it provides their staff with more specialist skills to be utilised in carrying out their duties, cumulating in improved levels of service provided to the public. This is just one example of why organisational justice should be considered as important in policing organisations as it promotes positive behaviour autonomously, which in turn can improve the levels of service being delivered.</w:t>
      </w:r>
    </w:p>
    <w:p w14:paraId="6A7DFA86" w14:textId="77777777" w:rsidR="00F637A2" w:rsidRPr="00880E6B" w:rsidRDefault="00F637A2" w:rsidP="00F637A2">
      <w:pPr>
        <w:spacing w:line="480" w:lineRule="auto"/>
        <w:rPr>
          <w:sz w:val="28"/>
          <w:szCs w:val="28"/>
        </w:rPr>
      </w:pPr>
      <w:r w:rsidRPr="00880E6B">
        <w:rPr>
          <w:sz w:val="28"/>
          <w:szCs w:val="28"/>
        </w:rPr>
        <w:t>As well as rewarding and enforcing positive behaviours is important when considering organisational justice, so to is the identifying and resolving of negative attitudes and behaviours.</w:t>
      </w:r>
    </w:p>
    <w:p w14:paraId="7E00D5F2" w14:textId="77777777" w:rsidR="00F637A2" w:rsidRPr="00880E6B" w:rsidRDefault="00F637A2" w:rsidP="00F637A2">
      <w:pPr>
        <w:spacing w:line="480" w:lineRule="auto"/>
        <w:rPr>
          <w:sz w:val="28"/>
          <w:szCs w:val="28"/>
        </w:rPr>
      </w:pPr>
      <w:r w:rsidRPr="00880E6B">
        <w:rPr>
          <w:sz w:val="28"/>
          <w:szCs w:val="28"/>
        </w:rPr>
        <w:t>This fact is recognised by policing organisations across the country as evidenced by the existence of internal Professional Standards Departments. These departments are focussed on scrutinising the actions of policing employees both inside and sometimes outside of their professional lives. The aim being to ensure that employees are always adhering to the Code of Ethics (CoE).</w:t>
      </w:r>
    </w:p>
    <w:p w14:paraId="011C9B01" w14:textId="77777777" w:rsidR="00F637A2" w:rsidRPr="00880E6B" w:rsidRDefault="00F637A2" w:rsidP="00F637A2">
      <w:pPr>
        <w:spacing w:line="480" w:lineRule="auto"/>
        <w:rPr>
          <w:sz w:val="28"/>
          <w:szCs w:val="28"/>
        </w:rPr>
      </w:pPr>
      <w:r w:rsidRPr="00880E6B">
        <w:rPr>
          <w:sz w:val="28"/>
          <w:szCs w:val="28"/>
        </w:rPr>
        <w:t>The Code of Ethics was produced by the College of Policing in 2014. It’s aim was to bring in a set of enforceable guidelines that would provide fundamental qualities and attitudes that should be adopted and displayed by competent police officers. The CoE is defined by the CoP as “</w:t>
      </w:r>
      <w:r w:rsidRPr="00880E6B">
        <w:rPr>
          <w:i/>
          <w:iCs/>
          <w:sz w:val="28"/>
          <w:szCs w:val="28"/>
        </w:rPr>
        <w:t xml:space="preserve">a supportive, positive, everyday decision-making framework and is a </w:t>
      </w:r>
      <w:r w:rsidRPr="00880E6B">
        <w:rPr>
          <w:i/>
          <w:iCs/>
          <w:sz w:val="28"/>
          <w:szCs w:val="28"/>
        </w:rPr>
        <w:lastRenderedPageBreak/>
        <w:t>constant reinforcement of the values and standards that policing is proud of. It is intended to encourage personal responsibility and the exercise of professional judgement; empowering everyone in policing to ensure they always do the right thing</w:t>
      </w:r>
      <w:r w:rsidRPr="00880E6B">
        <w:rPr>
          <w:sz w:val="28"/>
          <w:szCs w:val="28"/>
        </w:rPr>
        <w:t>” (College of Policing, 2021). The CoE are formulated by 9 core principles and 10 areas in which officers are expected to display professional and competent behaviours. They are listed as follows;</w:t>
      </w:r>
    </w:p>
    <w:p w14:paraId="41733308" w14:textId="77777777" w:rsidR="00F637A2" w:rsidRPr="00880E6B" w:rsidRDefault="00F637A2" w:rsidP="00F637A2">
      <w:pPr>
        <w:spacing w:line="480" w:lineRule="auto"/>
        <w:rPr>
          <w:sz w:val="28"/>
          <w:szCs w:val="28"/>
        </w:rPr>
      </w:pPr>
      <w:r w:rsidRPr="00880E6B">
        <w:rPr>
          <w:sz w:val="28"/>
          <w:szCs w:val="28"/>
        </w:rPr>
        <w:t>9 Core Principles;</w:t>
      </w:r>
    </w:p>
    <w:p w14:paraId="7B798030"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Honesty</w:t>
      </w:r>
    </w:p>
    <w:p w14:paraId="7F37A546"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Integrity</w:t>
      </w:r>
    </w:p>
    <w:p w14:paraId="14CC67BE"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Openness</w:t>
      </w:r>
    </w:p>
    <w:p w14:paraId="00B49A80"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Selflessness</w:t>
      </w:r>
    </w:p>
    <w:p w14:paraId="2B97D600"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Respect</w:t>
      </w:r>
    </w:p>
    <w:p w14:paraId="7AF98C00"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Fairness</w:t>
      </w:r>
    </w:p>
    <w:p w14:paraId="527CC4B6"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Accountability</w:t>
      </w:r>
    </w:p>
    <w:p w14:paraId="17936125"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Objectivity</w:t>
      </w:r>
    </w:p>
    <w:p w14:paraId="0C0298EB" w14:textId="77777777" w:rsidR="00F637A2" w:rsidRPr="00880E6B" w:rsidRDefault="00F637A2" w:rsidP="00F637A2">
      <w:pPr>
        <w:spacing w:line="480" w:lineRule="auto"/>
        <w:rPr>
          <w:sz w:val="28"/>
          <w:szCs w:val="28"/>
        </w:rPr>
      </w:pPr>
      <w:r w:rsidRPr="00880E6B">
        <w:rPr>
          <w:sz w:val="28"/>
          <w:szCs w:val="28"/>
        </w:rPr>
        <w:t>10 Areas of Professional Behaviours (College of Policing, 2021);</w:t>
      </w:r>
    </w:p>
    <w:p w14:paraId="5AB125FE"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Honesty and integrity</w:t>
      </w:r>
    </w:p>
    <w:p w14:paraId="590B6B12"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Authority, respect and courtesy</w:t>
      </w:r>
    </w:p>
    <w:p w14:paraId="26177DAA"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Equality and diversity</w:t>
      </w:r>
    </w:p>
    <w:p w14:paraId="6E3C9A5A"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Use of force</w:t>
      </w:r>
    </w:p>
    <w:p w14:paraId="25FA665C"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Orders and instructions</w:t>
      </w:r>
    </w:p>
    <w:p w14:paraId="12358E0C" w14:textId="77777777" w:rsidR="00F637A2" w:rsidRPr="00880E6B" w:rsidRDefault="00F637A2" w:rsidP="00F637A2">
      <w:pPr>
        <w:spacing w:line="480" w:lineRule="auto"/>
        <w:rPr>
          <w:sz w:val="28"/>
          <w:szCs w:val="28"/>
        </w:rPr>
      </w:pPr>
      <w:r w:rsidRPr="00880E6B">
        <w:rPr>
          <w:sz w:val="28"/>
          <w:szCs w:val="28"/>
        </w:rPr>
        <w:lastRenderedPageBreak/>
        <w:t>-</w:t>
      </w:r>
      <w:r w:rsidRPr="00880E6B">
        <w:rPr>
          <w:sz w:val="28"/>
          <w:szCs w:val="28"/>
        </w:rPr>
        <w:tab/>
        <w:t>Duties and responsibilities</w:t>
      </w:r>
    </w:p>
    <w:p w14:paraId="2B9725CC"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Confidentiality</w:t>
      </w:r>
    </w:p>
    <w:p w14:paraId="6091C8DE"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Fitness for work</w:t>
      </w:r>
    </w:p>
    <w:p w14:paraId="53D3CA9C"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Conduct</w:t>
      </w:r>
    </w:p>
    <w:p w14:paraId="7F1093F7" w14:textId="77777777" w:rsidR="00F637A2" w:rsidRPr="00880E6B" w:rsidRDefault="00F637A2" w:rsidP="00F637A2">
      <w:pPr>
        <w:spacing w:line="480" w:lineRule="auto"/>
        <w:rPr>
          <w:sz w:val="28"/>
          <w:szCs w:val="28"/>
        </w:rPr>
      </w:pPr>
      <w:r w:rsidRPr="00880E6B">
        <w:rPr>
          <w:sz w:val="28"/>
          <w:szCs w:val="28"/>
        </w:rPr>
        <w:t>-</w:t>
      </w:r>
      <w:r w:rsidRPr="00880E6B">
        <w:rPr>
          <w:sz w:val="28"/>
          <w:szCs w:val="28"/>
        </w:rPr>
        <w:tab/>
        <w:t>Challenging and reporting improper conduct</w:t>
      </w:r>
    </w:p>
    <w:p w14:paraId="3A096E01" w14:textId="77777777" w:rsidR="00F637A2" w:rsidRPr="00880E6B" w:rsidRDefault="00F637A2" w:rsidP="00F637A2">
      <w:pPr>
        <w:spacing w:line="480" w:lineRule="auto"/>
        <w:rPr>
          <w:sz w:val="28"/>
          <w:szCs w:val="28"/>
        </w:rPr>
      </w:pPr>
      <w:r w:rsidRPr="00880E6B">
        <w:rPr>
          <w:sz w:val="28"/>
          <w:szCs w:val="28"/>
        </w:rPr>
        <w:t>These core principles and areas of professional behaviours are considered at all times when carrying out duties, making decisions, or taking action as a police constable and underpin every thought process that is undertaken.</w:t>
      </w:r>
    </w:p>
    <w:p w14:paraId="16CDFF32" w14:textId="77777777" w:rsidR="00F637A2" w:rsidRPr="00880E6B" w:rsidRDefault="00F637A2" w:rsidP="00F637A2">
      <w:pPr>
        <w:spacing w:line="480" w:lineRule="auto"/>
        <w:rPr>
          <w:sz w:val="28"/>
          <w:szCs w:val="28"/>
        </w:rPr>
      </w:pPr>
      <w:r w:rsidRPr="00880E6B">
        <w:rPr>
          <w:sz w:val="28"/>
          <w:szCs w:val="28"/>
        </w:rPr>
        <w:t>Just one example of many which highlights the steps being taken by my organisation in attempts to raise and maintain professional and ethical standards can be found in July 2020 where a serving Gwent Police officer was dismissed after an investigation by PSD found them to be acting below the expected standards of professional behaviour after being found to be driving their vehicle illegally without proper documentation. (Wales Online, 2020).</w:t>
      </w:r>
    </w:p>
    <w:p w14:paraId="77C3EB0A" w14:textId="77777777" w:rsidR="00F637A2" w:rsidRPr="00880E6B" w:rsidRDefault="00F637A2" w:rsidP="00F637A2">
      <w:pPr>
        <w:spacing w:line="480" w:lineRule="auto"/>
        <w:rPr>
          <w:sz w:val="28"/>
          <w:szCs w:val="28"/>
        </w:rPr>
      </w:pPr>
      <w:r w:rsidRPr="00880E6B">
        <w:rPr>
          <w:sz w:val="28"/>
          <w:szCs w:val="28"/>
        </w:rPr>
        <w:t>By using the Rolfe et al. ‘So What?’ reflective model, I can outline the impact that organisational justice has had upon me since joining a police service.</w:t>
      </w:r>
    </w:p>
    <w:p w14:paraId="321CE295" w14:textId="77777777" w:rsidR="00F637A2" w:rsidRPr="00880E6B" w:rsidRDefault="00F637A2" w:rsidP="00F637A2">
      <w:pPr>
        <w:spacing w:line="480" w:lineRule="auto"/>
        <w:rPr>
          <w:sz w:val="28"/>
          <w:szCs w:val="28"/>
        </w:rPr>
      </w:pPr>
      <w:r w:rsidRPr="00880E6B">
        <w:rPr>
          <w:sz w:val="28"/>
          <w:szCs w:val="28"/>
        </w:rPr>
        <w:t>What?</w:t>
      </w:r>
    </w:p>
    <w:p w14:paraId="192D4306" w14:textId="77777777" w:rsidR="00F637A2" w:rsidRPr="00880E6B" w:rsidRDefault="00F637A2" w:rsidP="00F637A2">
      <w:pPr>
        <w:spacing w:line="480" w:lineRule="auto"/>
        <w:rPr>
          <w:sz w:val="28"/>
          <w:szCs w:val="28"/>
        </w:rPr>
      </w:pPr>
      <w:r w:rsidRPr="00880E6B">
        <w:rPr>
          <w:sz w:val="28"/>
          <w:szCs w:val="28"/>
        </w:rPr>
        <w:t>Policing organisations ensure that there is a sense of positive organisational justice held by their staff.</w:t>
      </w:r>
    </w:p>
    <w:p w14:paraId="78710F4C" w14:textId="77777777" w:rsidR="00F637A2" w:rsidRPr="00880E6B" w:rsidRDefault="00F637A2" w:rsidP="00F637A2">
      <w:pPr>
        <w:spacing w:line="480" w:lineRule="auto"/>
        <w:rPr>
          <w:sz w:val="28"/>
          <w:szCs w:val="28"/>
        </w:rPr>
      </w:pPr>
      <w:r w:rsidRPr="00880E6B">
        <w:rPr>
          <w:sz w:val="28"/>
          <w:szCs w:val="28"/>
        </w:rPr>
        <w:lastRenderedPageBreak/>
        <w:t>So what?</w:t>
      </w:r>
    </w:p>
    <w:p w14:paraId="2464D9D0" w14:textId="77777777" w:rsidR="00F637A2" w:rsidRPr="00880E6B" w:rsidRDefault="00F637A2" w:rsidP="00F637A2">
      <w:pPr>
        <w:spacing w:line="480" w:lineRule="auto"/>
        <w:rPr>
          <w:sz w:val="28"/>
          <w:szCs w:val="28"/>
        </w:rPr>
      </w:pPr>
      <w:r w:rsidRPr="00880E6B">
        <w:rPr>
          <w:sz w:val="28"/>
          <w:szCs w:val="28"/>
        </w:rPr>
        <w:t>This ensures that staff, now including myself, are suitably motivated in carrying out their duties in serving the public and ensuring that they provide a professional level of service while doing so. By ensuring that staff carry out their duties in a professional and ethical manner while adhering to the CoE, public confidence in policing organisations will increase. This increase of public confidence will potentially lead to the ultimate goal of maintaining order and the safety of the public being achieved without unnecessary resistance when considering the Peelian Principle of ‘Policing by Consent’. Policing by consent is derived from the original Peelian principles of policing which stated that if the public agree with the actions of the policing organisations then they will provide much less resistance in opposing any potential actions being carried out. (Home Office, 2012).</w:t>
      </w:r>
    </w:p>
    <w:p w14:paraId="4C04B623" w14:textId="77777777" w:rsidR="00F637A2" w:rsidRPr="00880E6B" w:rsidRDefault="00F637A2" w:rsidP="00F637A2">
      <w:pPr>
        <w:spacing w:line="480" w:lineRule="auto"/>
        <w:rPr>
          <w:sz w:val="28"/>
          <w:szCs w:val="28"/>
        </w:rPr>
      </w:pPr>
      <w:r w:rsidRPr="00880E6B">
        <w:rPr>
          <w:sz w:val="28"/>
          <w:szCs w:val="28"/>
        </w:rPr>
        <w:t>Now what?</w:t>
      </w:r>
    </w:p>
    <w:p w14:paraId="6BCC31AE" w14:textId="77777777" w:rsidR="00F637A2" w:rsidRPr="00880E6B" w:rsidRDefault="00F637A2" w:rsidP="00F637A2">
      <w:pPr>
        <w:spacing w:line="480" w:lineRule="auto"/>
        <w:rPr>
          <w:sz w:val="28"/>
          <w:szCs w:val="28"/>
        </w:rPr>
      </w:pPr>
      <w:r w:rsidRPr="00880E6B">
        <w:rPr>
          <w:sz w:val="28"/>
          <w:szCs w:val="28"/>
        </w:rPr>
        <w:t>I will continue to endeavour to conduct myself according to the CoE and strive to deliver a service to the public of the highest level. This is partly down to a sense of duty which I believe all police officers feel, as well as due to positive enforcement by my employers as they maintain a positive sense of organisational justice internally.</w:t>
      </w:r>
    </w:p>
    <w:p w14:paraId="139ADFAB" w14:textId="77777777" w:rsidR="00F637A2" w:rsidRPr="00880E6B" w:rsidRDefault="00F637A2" w:rsidP="00F637A2">
      <w:pPr>
        <w:spacing w:line="480" w:lineRule="auto"/>
        <w:rPr>
          <w:sz w:val="28"/>
          <w:szCs w:val="28"/>
        </w:rPr>
      </w:pPr>
      <w:r w:rsidRPr="00880E6B">
        <w:rPr>
          <w:sz w:val="28"/>
          <w:szCs w:val="28"/>
        </w:rPr>
        <w:t>(Word count: 1056)</w:t>
      </w:r>
    </w:p>
    <w:p w14:paraId="616003F9" w14:textId="77777777" w:rsidR="00FF7784" w:rsidRPr="00270EEB" w:rsidRDefault="00FF7784" w:rsidP="00340E9A">
      <w:pPr>
        <w:ind w:right="237"/>
        <w:jc w:val="both"/>
        <w:rPr>
          <w:sz w:val="24"/>
          <w:szCs w:val="24"/>
        </w:r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4FE79767"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This essay will reflect upon my dealing with a policing incident in which I utilised a multi-agency approach in order to find resolution.</w:t>
      </w:r>
    </w:p>
    <w:p w14:paraId="02A8241C"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The incident in question became apparent following a female victim attending a police premises to disclose that she had been assaulted by her male partner. The assault resulted in the victim suffering an injury in the form of a black eye and a small cut to her eyebrow. The crime being considered in this instance was a Common Assault with an aggravating circumstance of being domestic violence due to the relationship between victim and subject.</w:t>
      </w:r>
    </w:p>
    <w:p w14:paraId="077E09E9"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 xml:space="preserve">As an initial response, I obtained a statement from the victim at the earliest opportunity so as to capture the best quality of evidence possible while still </w:t>
      </w:r>
      <w:r w:rsidRPr="00DC6672">
        <w:rPr>
          <w:rFonts w:asciiTheme="minorHAnsi" w:hAnsiTheme="minorHAnsi" w:cstheme="minorHAnsi"/>
          <w:sz w:val="28"/>
          <w:szCs w:val="28"/>
        </w:rPr>
        <w:lastRenderedPageBreak/>
        <w:t>paying consideration to the wellbeing of the victim. No medical attention was required, so the injuries were photographed and the statement taken at the station where the victim had attended.</w:t>
      </w:r>
    </w:p>
    <w:p w14:paraId="094EEAEB"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Following the statement, it became apparent that the subject in this matter was suffering with mental ill health which was in part a contributing factor for them committing the assault. Despite suffering with mental ill health however, it was confirmed that the subject was compos mentis and therefore police action could indeed be pursued.</w:t>
      </w:r>
    </w:p>
    <w:p w14:paraId="3396F77A"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 xml:space="preserve">Once the evidence had been collected and documented, my attention turned to safeguarding the victim. A risk assessment was completed as per force policy in order to identify the level of safeguarding that would be needed and it was identified that alternative short term accommodation would need to be facilitated. I identified that this was something that a policing organisation would not be best placed to facilitated, and therefore had to utilise contacts within local housing authorities in order to request assistance in facilitating accommodation. By good fortune, there was a community funded and managed premises in which victims of domestic abuse were afforded short term accommodation locally. By contacting the local authority, I was able to speak to a case worker who, with the consent of the victim, was given contact details of the aggrieved in order to facilitate her acceptance within the </w:t>
      </w:r>
      <w:r w:rsidRPr="00DC6672">
        <w:rPr>
          <w:rFonts w:asciiTheme="minorHAnsi" w:hAnsiTheme="minorHAnsi" w:cstheme="minorHAnsi"/>
          <w:sz w:val="28"/>
          <w:szCs w:val="28"/>
        </w:rPr>
        <w:lastRenderedPageBreak/>
        <w:t>accommodation. This is a level of safeguarding which would not have been able to have been afforded to the victim without effective partnership working as it was determined that it would be impossible for the victim to find herself accommodation in the short term. Other options were considered but the victim’s lack of access to funds meant that she could not facilitate this privately and required support from police and other safeguarding services. Without this support, it was evident that the victim would have no choice but to return to the address belonging to the subject which would place her at increased risk of further harm.</w:t>
      </w:r>
    </w:p>
    <w:p w14:paraId="41A0E428"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 xml:space="preserve">As well as this unique safeguarding implemented in this instance, other partners such as an assertive outreach team that specialise in supporting and identifying safeguarding needs of domestic violence victims were engaged, as is common in modern policing. One reason for such implementation of expertise becoming common in modern policing is due to the recognition that police organisations in the past have been expected to provide services in which their staff are not particularly skilled. This can lead to gaps in expertise and when dealing with something as damaging to an individual as domestic violence, these gaps in expertise can be catastrophic in terms of failing to safeguard effectively. In this instance, I recognised that despite being competent in policing and providing a service which safeguards effectively, by </w:t>
      </w:r>
      <w:r w:rsidRPr="00DC6672">
        <w:rPr>
          <w:rFonts w:asciiTheme="minorHAnsi" w:hAnsiTheme="minorHAnsi" w:cstheme="minorHAnsi"/>
          <w:sz w:val="28"/>
          <w:szCs w:val="28"/>
        </w:rPr>
        <w:lastRenderedPageBreak/>
        <w:t>utilising a partnership approach an involving the domestic outreach team, I could be safe in the knowledge that any gaps in my knowledge would be identified and covered by the trained members of their teams.</w:t>
      </w:r>
    </w:p>
    <w:p w14:paraId="545DA780"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Once safeguarded effectively, I turned my attention to dealing with the subject in this instance. When reflecting upon my dealing with this incident as a whole, I feel that my decision making in this matter in particular was a primary reason of the successful resolution to this incident.</w:t>
      </w:r>
    </w:p>
    <w:p w14:paraId="27EFB297"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Due to the disclosure of a criminal offence and the existence of an appropriate necessity, I had the option to arrest the subject. By effective utilisation of the National Decision Making model, and by conducting a robust dynamic risk assessment, I decided that the most proportionate response to this incident would however be to facilitate the subject’s attendance for interview on a voluntary basis. This was partly due to my consideration that the subject suffered from mental ill health which may have contributed to the committing of the offence in question.</w:t>
      </w:r>
    </w:p>
    <w:p w14:paraId="31A32392"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When making decisions of this nature, police officers utilise a process called the National Decision Making Model (NDM) (Bryant, 2020). This is detailed below;</w:t>
      </w:r>
    </w:p>
    <w:p w14:paraId="5A987446" w14:textId="77777777" w:rsidR="00F637A2" w:rsidRPr="00DC6672" w:rsidRDefault="00F637A2" w:rsidP="00F637A2">
      <w:pPr>
        <w:pStyle w:val="ListParagraph"/>
        <w:numPr>
          <w:ilvl w:val="0"/>
          <w:numId w:val="6"/>
        </w:numPr>
        <w:overflowPunct/>
        <w:autoSpaceDE/>
        <w:autoSpaceDN/>
        <w:adjustRightInd/>
        <w:spacing w:after="160" w:line="480" w:lineRule="auto"/>
        <w:contextualSpacing w:val="0"/>
        <w:textAlignment w:val="auto"/>
        <w:rPr>
          <w:rFonts w:asciiTheme="minorHAnsi" w:hAnsiTheme="minorHAnsi" w:cstheme="minorHAnsi"/>
          <w:sz w:val="28"/>
          <w:szCs w:val="28"/>
        </w:rPr>
      </w:pPr>
      <w:r w:rsidRPr="00DC6672">
        <w:rPr>
          <w:rFonts w:asciiTheme="minorHAnsi" w:hAnsiTheme="minorHAnsi" w:cstheme="minorHAnsi"/>
          <w:noProof/>
          <w:sz w:val="28"/>
          <w:szCs w:val="28"/>
        </w:rPr>
        <w:lastRenderedPageBreak/>
        <w:drawing>
          <wp:anchor distT="0" distB="0" distL="114300" distR="114300" simplePos="0" relativeHeight="251659264" behindDoc="1" locked="0" layoutInCell="1" allowOverlap="1" wp14:anchorId="168599C3" wp14:editId="1E689147">
            <wp:simplePos x="0" y="0"/>
            <wp:positionH relativeFrom="page">
              <wp:align>right</wp:align>
            </wp:positionH>
            <wp:positionV relativeFrom="paragraph">
              <wp:posOffset>99060</wp:posOffset>
            </wp:positionV>
            <wp:extent cx="3559810" cy="2506980"/>
            <wp:effectExtent l="0" t="0" r="0" b="7620"/>
            <wp:wrapTight wrapText="bothSides">
              <wp:wrapPolygon edited="0">
                <wp:start x="7513" y="0"/>
                <wp:lineTo x="5895" y="2626"/>
                <wp:lineTo x="4739" y="5252"/>
                <wp:lineTo x="1618" y="5909"/>
                <wp:lineTo x="694" y="6565"/>
                <wp:lineTo x="694" y="11325"/>
                <wp:lineTo x="3005" y="13131"/>
                <wp:lineTo x="3930" y="13131"/>
                <wp:lineTo x="4739" y="15757"/>
                <wp:lineTo x="3699" y="16249"/>
                <wp:lineTo x="3352" y="16906"/>
                <wp:lineTo x="3468" y="21009"/>
                <wp:lineTo x="3814" y="21502"/>
                <wp:lineTo x="17917" y="21502"/>
                <wp:lineTo x="18148" y="21009"/>
                <wp:lineTo x="18263" y="17398"/>
                <wp:lineTo x="17801" y="16249"/>
                <wp:lineTo x="16992" y="15757"/>
                <wp:lineTo x="17685" y="13131"/>
                <wp:lineTo x="18263" y="13131"/>
                <wp:lineTo x="20806" y="10997"/>
                <wp:lineTo x="20922" y="6565"/>
                <wp:lineTo x="19997" y="5909"/>
                <wp:lineTo x="16992" y="5252"/>
                <wp:lineTo x="15836" y="3447"/>
                <wp:lineTo x="15258" y="2626"/>
                <wp:lineTo x="14218" y="164"/>
                <wp:lineTo x="14102" y="0"/>
                <wp:lineTo x="7513"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59810" cy="2506980"/>
                    </a:xfrm>
                    <a:prstGeom prst="rect">
                      <a:avLst/>
                    </a:prstGeom>
                    <a:noFill/>
                  </pic:spPr>
                </pic:pic>
              </a:graphicData>
            </a:graphic>
            <wp14:sizeRelH relativeFrom="margin">
              <wp14:pctWidth>0</wp14:pctWidth>
            </wp14:sizeRelH>
            <wp14:sizeRelV relativeFrom="margin">
              <wp14:pctHeight>0</wp14:pctHeight>
            </wp14:sizeRelV>
          </wp:anchor>
        </w:drawing>
      </w:r>
      <w:r w:rsidRPr="00DC6672">
        <w:rPr>
          <w:rFonts w:asciiTheme="minorHAnsi" w:hAnsiTheme="minorHAnsi" w:cstheme="minorHAnsi"/>
          <w:sz w:val="28"/>
          <w:szCs w:val="28"/>
        </w:rPr>
        <w:t>Code of Ethics – All decisions are made in accordance with the core policing principles and standards of professional behaviour.</w:t>
      </w:r>
    </w:p>
    <w:p w14:paraId="25B19246" w14:textId="77777777" w:rsidR="00F637A2" w:rsidRPr="00DC6672" w:rsidRDefault="00F637A2" w:rsidP="00F637A2">
      <w:pPr>
        <w:pStyle w:val="ListParagraph"/>
        <w:numPr>
          <w:ilvl w:val="0"/>
          <w:numId w:val="6"/>
        </w:numPr>
        <w:overflowPunct/>
        <w:autoSpaceDE/>
        <w:autoSpaceDN/>
        <w:adjustRightInd/>
        <w:spacing w:after="160" w:line="480" w:lineRule="auto"/>
        <w:contextualSpacing w:val="0"/>
        <w:textAlignment w:val="auto"/>
        <w:rPr>
          <w:rFonts w:asciiTheme="minorHAnsi" w:hAnsiTheme="minorHAnsi" w:cstheme="minorHAnsi"/>
          <w:sz w:val="28"/>
          <w:szCs w:val="28"/>
        </w:rPr>
      </w:pPr>
      <w:r w:rsidRPr="00DC6672">
        <w:rPr>
          <w:rFonts w:asciiTheme="minorHAnsi" w:hAnsiTheme="minorHAnsi" w:cstheme="minorHAnsi"/>
          <w:sz w:val="28"/>
          <w:szCs w:val="28"/>
        </w:rPr>
        <w:t>Information – Gather information and intelligence available to you in relation to the situation.</w:t>
      </w:r>
    </w:p>
    <w:p w14:paraId="28455009" w14:textId="77777777" w:rsidR="00F637A2" w:rsidRPr="00DC6672" w:rsidRDefault="00F637A2" w:rsidP="00F637A2">
      <w:pPr>
        <w:pStyle w:val="ListParagraph"/>
        <w:numPr>
          <w:ilvl w:val="0"/>
          <w:numId w:val="6"/>
        </w:numPr>
        <w:overflowPunct/>
        <w:autoSpaceDE/>
        <w:autoSpaceDN/>
        <w:adjustRightInd/>
        <w:spacing w:after="160" w:line="480" w:lineRule="auto"/>
        <w:contextualSpacing w:val="0"/>
        <w:textAlignment w:val="auto"/>
        <w:rPr>
          <w:rFonts w:asciiTheme="minorHAnsi" w:hAnsiTheme="minorHAnsi" w:cstheme="minorHAnsi"/>
          <w:sz w:val="28"/>
          <w:szCs w:val="28"/>
        </w:rPr>
      </w:pPr>
      <w:r w:rsidRPr="00DC6672">
        <w:rPr>
          <w:rFonts w:asciiTheme="minorHAnsi" w:hAnsiTheme="minorHAnsi" w:cstheme="minorHAnsi"/>
          <w:sz w:val="28"/>
          <w:szCs w:val="28"/>
        </w:rPr>
        <w:t>Assessment – Asses the threat and risk of harm as a result of any possible decision.</w:t>
      </w:r>
    </w:p>
    <w:p w14:paraId="061C437D" w14:textId="77777777" w:rsidR="00F637A2" w:rsidRPr="00DC6672" w:rsidRDefault="00F637A2" w:rsidP="00F637A2">
      <w:pPr>
        <w:pStyle w:val="ListParagraph"/>
        <w:numPr>
          <w:ilvl w:val="0"/>
          <w:numId w:val="6"/>
        </w:numPr>
        <w:overflowPunct/>
        <w:autoSpaceDE/>
        <w:autoSpaceDN/>
        <w:adjustRightInd/>
        <w:spacing w:after="160" w:line="480" w:lineRule="auto"/>
        <w:contextualSpacing w:val="0"/>
        <w:textAlignment w:val="auto"/>
        <w:rPr>
          <w:rFonts w:asciiTheme="minorHAnsi" w:hAnsiTheme="minorHAnsi" w:cstheme="minorHAnsi"/>
          <w:sz w:val="28"/>
          <w:szCs w:val="28"/>
        </w:rPr>
      </w:pPr>
      <w:r w:rsidRPr="00DC6672">
        <w:rPr>
          <w:rFonts w:asciiTheme="minorHAnsi" w:hAnsiTheme="minorHAnsi" w:cstheme="minorHAnsi"/>
          <w:sz w:val="28"/>
          <w:szCs w:val="28"/>
        </w:rPr>
        <w:t>Powers and Policy – What powers do you have available to utilise?</w:t>
      </w:r>
    </w:p>
    <w:p w14:paraId="0555BA33" w14:textId="77777777" w:rsidR="00F637A2" w:rsidRPr="00DC6672" w:rsidRDefault="00F637A2" w:rsidP="00F637A2">
      <w:pPr>
        <w:pStyle w:val="ListParagraph"/>
        <w:numPr>
          <w:ilvl w:val="0"/>
          <w:numId w:val="6"/>
        </w:numPr>
        <w:overflowPunct/>
        <w:autoSpaceDE/>
        <w:autoSpaceDN/>
        <w:adjustRightInd/>
        <w:spacing w:after="160" w:line="480" w:lineRule="auto"/>
        <w:contextualSpacing w:val="0"/>
        <w:textAlignment w:val="auto"/>
        <w:rPr>
          <w:rFonts w:asciiTheme="minorHAnsi" w:hAnsiTheme="minorHAnsi" w:cstheme="minorHAnsi"/>
          <w:sz w:val="28"/>
          <w:szCs w:val="28"/>
        </w:rPr>
      </w:pPr>
      <w:r w:rsidRPr="00DC6672">
        <w:rPr>
          <w:rFonts w:asciiTheme="minorHAnsi" w:hAnsiTheme="minorHAnsi" w:cstheme="minorHAnsi"/>
          <w:sz w:val="28"/>
          <w:szCs w:val="28"/>
        </w:rPr>
        <w:t>Options – Identify options and contingencies to deal with possible consequences of actions.</w:t>
      </w:r>
    </w:p>
    <w:p w14:paraId="44D4FB50" w14:textId="77777777" w:rsidR="00F637A2" w:rsidRPr="00DC6672" w:rsidRDefault="00F637A2" w:rsidP="00F637A2">
      <w:pPr>
        <w:pStyle w:val="ListParagraph"/>
        <w:numPr>
          <w:ilvl w:val="0"/>
          <w:numId w:val="6"/>
        </w:numPr>
        <w:overflowPunct/>
        <w:autoSpaceDE/>
        <w:autoSpaceDN/>
        <w:adjustRightInd/>
        <w:spacing w:after="160" w:line="480" w:lineRule="auto"/>
        <w:contextualSpacing w:val="0"/>
        <w:textAlignment w:val="auto"/>
        <w:rPr>
          <w:rFonts w:asciiTheme="minorHAnsi" w:hAnsiTheme="minorHAnsi" w:cstheme="minorHAnsi"/>
          <w:sz w:val="28"/>
          <w:szCs w:val="28"/>
        </w:rPr>
      </w:pPr>
      <w:r w:rsidRPr="00DC6672">
        <w:rPr>
          <w:rFonts w:asciiTheme="minorHAnsi" w:hAnsiTheme="minorHAnsi" w:cstheme="minorHAnsi"/>
          <w:sz w:val="28"/>
          <w:szCs w:val="28"/>
        </w:rPr>
        <w:t>Action – Take action.</w:t>
      </w:r>
    </w:p>
    <w:p w14:paraId="39B9FC29" w14:textId="77777777" w:rsidR="00F637A2" w:rsidRPr="00DC6672" w:rsidRDefault="00F637A2" w:rsidP="00F637A2">
      <w:pPr>
        <w:pStyle w:val="ListParagraph"/>
        <w:numPr>
          <w:ilvl w:val="0"/>
          <w:numId w:val="6"/>
        </w:numPr>
        <w:overflowPunct/>
        <w:autoSpaceDE/>
        <w:autoSpaceDN/>
        <w:adjustRightInd/>
        <w:spacing w:after="160" w:line="480" w:lineRule="auto"/>
        <w:contextualSpacing w:val="0"/>
        <w:textAlignment w:val="auto"/>
        <w:rPr>
          <w:rFonts w:asciiTheme="minorHAnsi" w:hAnsiTheme="minorHAnsi" w:cstheme="minorHAnsi"/>
          <w:sz w:val="28"/>
          <w:szCs w:val="28"/>
        </w:rPr>
      </w:pPr>
      <w:r w:rsidRPr="00DC6672">
        <w:rPr>
          <w:rFonts w:asciiTheme="minorHAnsi" w:hAnsiTheme="minorHAnsi" w:cstheme="minorHAnsi"/>
          <w:sz w:val="28"/>
          <w:szCs w:val="28"/>
        </w:rPr>
        <w:t>Review – Was the action taken successful? Is further action required?</w:t>
      </w:r>
    </w:p>
    <w:p w14:paraId="2F0B9167"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Once this decision making process was followed, and the risk identified as suitably low enough for the subject to be interview on a voluntary basis, an interview was facilitated with the subject in the presence of an appropriate adult due to the concerns that his mental ill health may affect his ability to be interview alone.</w:t>
      </w:r>
    </w:p>
    <w:p w14:paraId="69D5F475"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lastRenderedPageBreak/>
        <w:t>With the utilisation of an appropriate adult, it was ensured that the subject was aware of what was being asked of him and should there be any communication barriers, the AA could identify and resolve the issue. In the Police and Criminal Evidence Act (PACE, 1984), it states that an appropriate adult must be provided during interview for any person who because of a mental health condition may have difficulty understanding or communicating effectively.</w:t>
      </w:r>
    </w:p>
    <w:p w14:paraId="501016C0"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During the interview, the subject admitted to assaulting the victim and showed genuine remorse. He did however provide an explanation that the actions of the victim prior to the assault had caused him to have an adverse social reaction due to his mental ill health. Upon completion of the interview, I now had yet another decision to make. The committing of an offence had been admitted and therefore it would have been appropriate to refer the case to the Crown Prosecution Service in order to gain a charging decision and seek prosecution of the subject for his actions. Due to the information available to me, and my awareness of my ability to utilise discretion in this instance, I considered alternative disposal options available to me.</w:t>
      </w:r>
    </w:p>
    <w:p w14:paraId="1445B352"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Discretion is defined as the “</w:t>
      </w:r>
      <w:r w:rsidRPr="00DC6672">
        <w:rPr>
          <w:rFonts w:asciiTheme="minorHAnsi" w:hAnsiTheme="minorHAnsi" w:cstheme="minorHAnsi"/>
          <w:i/>
          <w:iCs/>
          <w:sz w:val="28"/>
          <w:szCs w:val="28"/>
        </w:rPr>
        <w:t xml:space="preserve">freedom of an individual officer to act according to his or her own judgement in particular situations” </w:t>
      </w:r>
      <w:r w:rsidRPr="00DC6672">
        <w:rPr>
          <w:rFonts w:asciiTheme="minorHAnsi" w:hAnsiTheme="minorHAnsi" w:cstheme="minorHAnsi"/>
          <w:sz w:val="28"/>
          <w:szCs w:val="28"/>
        </w:rPr>
        <w:t xml:space="preserve">(Newburn and Neyroud, 2008, p82). While considering this definition, I believed that this occurrence of </w:t>
      </w:r>
      <w:r w:rsidRPr="00DC6672">
        <w:rPr>
          <w:rFonts w:asciiTheme="minorHAnsi" w:hAnsiTheme="minorHAnsi" w:cstheme="minorHAnsi"/>
          <w:sz w:val="28"/>
          <w:szCs w:val="28"/>
        </w:rPr>
        <w:lastRenderedPageBreak/>
        <w:t>a criminal offence had more than likely occurred due to the subject’s vulnerability and lack of support network which had caused him to have an adverse social interaction after provocation from the victim.</w:t>
      </w:r>
    </w:p>
    <w:p w14:paraId="50FD1606"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Despite this consideration, I was aware that UK government has introduced legislation stating that positive action is to be taken against instances of domestic violence and that the decision to take no further action in this matter was not mine to make. With this being considered, I decided that the most proportionate course of action may be to dispose of the matter by utilisation of partner agencies.</w:t>
      </w:r>
    </w:p>
    <w:p w14:paraId="1842B7BA"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Through research I was able to identify a local authority led programme in which subjects found guilty of committing domestic violence related offences could be referred in order to engage in education in the hopes that they will not develop a pattern of continued offending. The aim ultimately being to prevent harm becoming the victim or any other member of public.</w:t>
      </w:r>
    </w:p>
    <w:p w14:paraId="528F225A"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 xml:space="preserve"> The programme was facilitated by a group called Future 4 who were recognised by Gwent Police as an official partner agency. The group aimed to work with offenders utilising a whole system approach in order to help them identify negative aspects about themselves or their situation in order to attempt to rectify shortcomings and ultimately avoid future reoffending. The victim was consulted before making this decision and when the decision </w:t>
      </w:r>
      <w:r w:rsidRPr="00DC6672">
        <w:rPr>
          <w:rFonts w:asciiTheme="minorHAnsi" w:hAnsiTheme="minorHAnsi" w:cstheme="minorHAnsi"/>
          <w:sz w:val="28"/>
          <w:szCs w:val="28"/>
        </w:rPr>
        <w:lastRenderedPageBreak/>
        <w:t>making process was explained to them they too agreed that this was the most appropriate and proportionate course of action.</w:t>
      </w:r>
    </w:p>
    <w:p w14:paraId="5825B0FC"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Following completion of the subject’s engagement with the programme I received correspondence from the subject and victim’s families stating that they were grateful for the actions of police in this instance and that the victim and subject were now engaged in a healthy relationship with both parties flourishing due to the new support network that had been put in place as a result of my referral to partnership agencies.</w:t>
      </w:r>
    </w:p>
    <w:p w14:paraId="390388AB"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I believe that this correspondence and positive outcome fully justifies my decision to seek support for the victim and subject in this instance as opposed to prosecution as there is clear evidence that both parties quality of life was improved as a result. The subject continues to engage with support services and according to his family members they believe that his mental ill health has become considerably more manageable, again believed to be a result of the support network he now has in place.</w:t>
      </w:r>
    </w:p>
    <w:p w14:paraId="579EC8C8"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 xml:space="preserve">Upon reflection, I have endeavoured to utilise this kind of robust partnership approach at any opportunity should a risk assessment deem it proportionate and safe to do so. I have been witness to many more examples of how the proper identification of needs and referral to appropriate services has improved the quality of life and safety of members of public who have come </w:t>
      </w:r>
      <w:r w:rsidRPr="00DC6672">
        <w:rPr>
          <w:rFonts w:asciiTheme="minorHAnsi" w:hAnsiTheme="minorHAnsi" w:cstheme="minorHAnsi"/>
          <w:sz w:val="28"/>
          <w:szCs w:val="28"/>
        </w:rPr>
        <w:lastRenderedPageBreak/>
        <w:t>into contact with police. Due to this continuation of positive examples becoming apparent to me, I will continue to engage with a whole system approach when policing and will endeavour to undertake any training which may help me identify needs or new avenues of partnership working possibilities.</w:t>
      </w:r>
    </w:p>
    <w:p w14:paraId="0189977F" w14:textId="77777777" w:rsidR="00F637A2" w:rsidRPr="00DC6672" w:rsidRDefault="00F637A2" w:rsidP="00F637A2">
      <w:pPr>
        <w:spacing w:line="480" w:lineRule="auto"/>
        <w:rPr>
          <w:rFonts w:asciiTheme="minorHAnsi" w:hAnsiTheme="minorHAnsi" w:cstheme="minorHAnsi"/>
          <w:sz w:val="28"/>
          <w:szCs w:val="28"/>
        </w:rPr>
      </w:pPr>
      <w:r w:rsidRPr="00DC6672">
        <w:rPr>
          <w:rFonts w:asciiTheme="minorHAnsi" w:hAnsiTheme="minorHAnsi" w:cstheme="minorHAnsi"/>
          <w:sz w:val="28"/>
          <w:szCs w:val="28"/>
        </w:rPr>
        <w:t>(Word count: 1655).</w:t>
      </w:r>
    </w:p>
    <w:p w14:paraId="6A73DBDF" w14:textId="655411BF"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1810B711" w14:textId="77777777" w:rsidR="007B6D1D" w:rsidRPr="00E96913" w:rsidRDefault="007B6D1D" w:rsidP="007B6D1D">
      <w:pPr>
        <w:spacing w:line="480" w:lineRule="auto"/>
        <w:rPr>
          <w:rFonts w:asciiTheme="minorHAnsi" w:hAnsiTheme="minorHAnsi" w:cstheme="minorHAnsi"/>
          <w:sz w:val="28"/>
          <w:szCs w:val="28"/>
        </w:rPr>
      </w:pPr>
      <w:r w:rsidRPr="00E96913">
        <w:rPr>
          <w:rFonts w:asciiTheme="minorHAnsi" w:hAnsiTheme="minorHAnsi" w:cstheme="minorHAnsi"/>
          <w:sz w:val="28"/>
          <w:szCs w:val="28"/>
        </w:rPr>
        <w:t>This essay will describe an instance of continued anti-social behaviour which I addressed by implementing the theory of Problem Orientated Policing.</w:t>
      </w:r>
    </w:p>
    <w:p w14:paraId="544BC358" w14:textId="77777777" w:rsidR="007B6D1D" w:rsidRPr="00E96913" w:rsidRDefault="007B6D1D" w:rsidP="007B6D1D">
      <w:pPr>
        <w:spacing w:line="480" w:lineRule="auto"/>
        <w:rPr>
          <w:rFonts w:asciiTheme="minorHAnsi" w:hAnsiTheme="minorHAnsi" w:cstheme="minorHAnsi"/>
          <w:sz w:val="28"/>
          <w:szCs w:val="28"/>
        </w:rPr>
      </w:pPr>
      <w:r w:rsidRPr="00E96913">
        <w:rPr>
          <w:rFonts w:asciiTheme="minorHAnsi" w:hAnsiTheme="minorHAnsi" w:cstheme="minorHAnsi"/>
          <w:sz w:val="28"/>
          <w:szCs w:val="28"/>
        </w:rPr>
        <w:t>The instance which I will be using to demonstrate this was a report of unknown youth subjects abusing a disabled male victim. The victim reported that he was just one victim of the subject’s actions. The instance was classified as a hate incident as the victim felt they were being targeted due to their disability.</w:t>
      </w:r>
    </w:p>
    <w:p w14:paraId="7991DB56" w14:textId="77777777" w:rsidR="007B6D1D" w:rsidRPr="00E96913" w:rsidRDefault="007B6D1D" w:rsidP="007B6D1D">
      <w:pPr>
        <w:spacing w:line="480" w:lineRule="auto"/>
        <w:rPr>
          <w:rFonts w:asciiTheme="minorHAnsi" w:hAnsiTheme="minorHAnsi" w:cstheme="minorHAnsi"/>
          <w:sz w:val="28"/>
          <w:szCs w:val="28"/>
        </w:rPr>
      </w:pPr>
      <w:r w:rsidRPr="00E96913">
        <w:rPr>
          <w:rFonts w:asciiTheme="minorHAnsi" w:hAnsiTheme="minorHAnsi" w:cstheme="minorHAnsi"/>
          <w:sz w:val="28"/>
          <w:szCs w:val="28"/>
        </w:rPr>
        <w:t>A brief summary of the incident is that the subject’s were identified and located and I deemed it proportionate to deal with the subjects by way of ASB referral which facilitated a multiagency approach in dealing with the problem.</w:t>
      </w:r>
    </w:p>
    <w:p w14:paraId="6B98604F" w14:textId="77777777" w:rsidR="007B6D1D" w:rsidRPr="00E96913" w:rsidRDefault="007B6D1D" w:rsidP="007B6D1D">
      <w:pPr>
        <w:spacing w:line="480" w:lineRule="auto"/>
        <w:rPr>
          <w:rFonts w:asciiTheme="minorHAnsi" w:hAnsiTheme="minorHAnsi" w:cstheme="minorHAnsi"/>
          <w:sz w:val="28"/>
          <w:szCs w:val="28"/>
        </w:rPr>
      </w:pPr>
      <w:r w:rsidRPr="00E96913">
        <w:rPr>
          <w:rFonts w:asciiTheme="minorHAnsi" w:hAnsiTheme="minorHAnsi" w:cstheme="minorHAnsi"/>
          <w:sz w:val="28"/>
          <w:szCs w:val="28"/>
        </w:rPr>
        <w:t xml:space="preserve">I recognised in this instance that dealing with the occurrence of youth ASB in isolation would not address the wider complex issues attributing to the problem. In order to identify and address these issues, I decided to formulate </w:t>
      </w:r>
      <w:r w:rsidRPr="00E96913">
        <w:rPr>
          <w:rFonts w:asciiTheme="minorHAnsi" w:hAnsiTheme="minorHAnsi" w:cstheme="minorHAnsi"/>
          <w:sz w:val="28"/>
          <w:szCs w:val="28"/>
        </w:rPr>
        <w:lastRenderedPageBreak/>
        <w:t>an action plan by considering the theory of problem orientated policing. When formulating the action plan, I utilised the SARA model of policing, or Problem-orientated policing (POP). The SARA model of policing was formulated by the College of Policing and frontline staff. According to the College of Policing, “</w:t>
      </w:r>
      <w:r w:rsidRPr="00E96913">
        <w:rPr>
          <w:rFonts w:asciiTheme="minorHAnsi" w:hAnsiTheme="minorHAnsi" w:cstheme="minorHAnsi"/>
          <w:i/>
          <w:iCs/>
          <w:sz w:val="28"/>
          <w:szCs w:val="28"/>
        </w:rPr>
        <w:t>Problem-orientated policing (POP), also known as problem solving policing, is an approach to tackling crime and disorder that involves the identification of a specific problem, thorough analysis to understand the problem, the development of a tailored response and an assessment of the effects of the response</w:t>
      </w:r>
      <w:r w:rsidRPr="00E96913">
        <w:rPr>
          <w:rFonts w:asciiTheme="minorHAnsi" w:hAnsiTheme="minorHAnsi" w:cstheme="minorHAnsi"/>
          <w:sz w:val="28"/>
          <w:szCs w:val="28"/>
        </w:rPr>
        <w:t>”. (College of Policing 2017).</w:t>
      </w:r>
    </w:p>
    <w:p w14:paraId="4FB3B075" w14:textId="77777777" w:rsidR="007B6D1D" w:rsidRPr="00E96913" w:rsidRDefault="007B6D1D" w:rsidP="007B6D1D">
      <w:pPr>
        <w:spacing w:line="480" w:lineRule="auto"/>
        <w:rPr>
          <w:rFonts w:asciiTheme="minorHAnsi" w:hAnsiTheme="minorHAnsi" w:cstheme="minorHAnsi"/>
          <w:sz w:val="28"/>
          <w:szCs w:val="28"/>
        </w:rPr>
      </w:pPr>
      <w:r w:rsidRPr="00E96913">
        <w:rPr>
          <w:rFonts w:asciiTheme="minorHAnsi" w:hAnsiTheme="minorHAnsi" w:cstheme="minorHAnsi"/>
          <w:sz w:val="28"/>
          <w:szCs w:val="28"/>
        </w:rPr>
        <w:t>I have detailed the SARA model below;</w:t>
      </w:r>
    </w:p>
    <w:p w14:paraId="3B8558CA" w14:textId="77777777" w:rsidR="007B6D1D" w:rsidRPr="00E96913" w:rsidRDefault="007B6D1D" w:rsidP="007B6D1D">
      <w:pPr>
        <w:spacing w:line="480" w:lineRule="auto"/>
        <w:rPr>
          <w:rFonts w:asciiTheme="minorHAnsi" w:hAnsiTheme="minorHAnsi" w:cstheme="minorHAnsi"/>
          <w:sz w:val="28"/>
          <w:szCs w:val="28"/>
        </w:rPr>
      </w:pPr>
      <w:r w:rsidRPr="00E96913">
        <w:rPr>
          <w:rFonts w:asciiTheme="minorHAnsi" w:hAnsiTheme="minorHAnsi" w:cstheme="minorHAnsi"/>
          <w:sz w:val="28"/>
          <w:szCs w:val="28"/>
        </w:rPr>
        <w:t>•</w:t>
      </w:r>
      <w:r w:rsidRPr="00E96913">
        <w:rPr>
          <w:rFonts w:asciiTheme="minorHAnsi" w:hAnsiTheme="minorHAnsi" w:cstheme="minorHAnsi"/>
          <w:sz w:val="28"/>
          <w:szCs w:val="28"/>
        </w:rPr>
        <w:tab/>
        <w:t xml:space="preserve">S - Scanning: the identifying of a problem. </w:t>
      </w:r>
    </w:p>
    <w:p w14:paraId="05AC0086" w14:textId="77777777" w:rsidR="007B6D1D" w:rsidRPr="00E96913" w:rsidRDefault="007B6D1D" w:rsidP="007B6D1D">
      <w:pPr>
        <w:spacing w:line="480" w:lineRule="auto"/>
        <w:ind w:left="720" w:hanging="720"/>
        <w:rPr>
          <w:rFonts w:asciiTheme="minorHAnsi" w:hAnsiTheme="minorHAnsi" w:cstheme="minorHAnsi"/>
          <w:sz w:val="28"/>
          <w:szCs w:val="28"/>
        </w:rPr>
      </w:pPr>
      <w:r w:rsidRPr="00E96913">
        <w:rPr>
          <w:rFonts w:asciiTheme="minorHAnsi" w:hAnsiTheme="minorHAnsi" w:cstheme="minorHAnsi"/>
          <w:sz w:val="28"/>
          <w:szCs w:val="28"/>
        </w:rPr>
        <w:t>•</w:t>
      </w:r>
      <w:r w:rsidRPr="00E96913">
        <w:rPr>
          <w:rFonts w:asciiTheme="minorHAnsi" w:hAnsiTheme="minorHAnsi" w:cstheme="minorHAnsi"/>
          <w:sz w:val="28"/>
          <w:szCs w:val="28"/>
        </w:rPr>
        <w:tab/>
        <w:t>A - Analysis: the analysis of potential problems, by gathering information and intelligence to identify underlying causes of the problem.</w:t>
      </w:r>
    </w:p>
    <w:p w14:paraId="329CBE91" w14:textId="77777777" w:rsidR="007B6D1D" w:rsidRPr="00E96913" w:rsidRDefault="007B6D1D" w:rsidP="007B6D1D">
      <w:pPr>
        <w:spacing w:line="480" w:lineRule="auto"/>
        <w:ind w:left="720" w:hanging="720"/>
        <w:rPr>
          <w:rFonts w:asciiTheme="minorHAnsi" w:hAnsiTheme="minorHAnsi" w:cstheme="minorHAnsi"/>
          <w:sz w:val="28"/>
          <w:szCs w:val="28"/>
        </w:rPr>
      </w:pPr>
      <w:r w:rsidRPr="00E96913">
        <w:rPr>
          <w:rFonts w:asciiTheme="minorHAnsi" w:hAnsiTheme="minorHAnsi" w:cstheme="minorHAnsi"/>
          <w:sz w:val="28"/>
          <w:szCs w:val="28"/>
        </w:rPr>
        <w:t>•</w:t>
      </w:r>
      <w:r w:rsidRPr="00E96913">
        <w:rPr>
          <w:rFonts w:asciiTheme="minorHAnsi" w:hAnsiTheme="minorHAnsi" w:cstheme="minorHAnsi"/>
          <w:sz w:val="28"/>
          <w:szCs w:val="28"/>
        </w:rPr>
        <w:tab/>
        <w:t>R - Response: the development and implementation of tailored activities to address the causes of the problem, as identified in the analysis phase.</w:t>
      </w:r>
    </w:p>
    <w:p w14:paraId="424788C2" w14:textId="77777777" w:rsidR="007B6D1D" w:rsidRPr="00E96913" w:rsidRDefault="007B6D1D" w:rsidP="007B6D1D">
      <w:pPr>
        <w:spacing w:line="480" w:lineRule="auto"/>
        <w:ind w:left="720" w:hanging="720"/>
        <w:rPr>
          <w:rFonts w:asciiTheme="minorHAnsi" w:hAnsiTheme="minorHAnsi" w:cstheme="minorHAnsi"/>
          <w:sz w:val="28"/>
          <w:szCs w:val="28"/>
        </w:rPr>
      </w:pPr>
      <w:r w:rsidRPr="00E96913">
        <w:rPr>
          <w:rFonts w:asciiTheme="minorHAnsi" w:hAnsiTheme="minorHAnsi" w:cstheme="minorHAnsi"/>
          <w:sz w:val="28"/>
          <w:szCs w:val="28"/>
        </w:rPr>
        <w:t>•</w:t>
      </w:r>
      <w:r w:rsidRPr="00E96913">
        <w:rPr>
          <w:rFonts w:asciiTheme="minorHAnsi" w:hAnsiTheme="minorHAnsi" w:cstheme="minorHAnsi"/>
          <w:sz w:val="28"/>
          <w:szCs w:val="28"/>
        </w:rPr>
        <w:tab/>
        <w:t>A - Assessment: the measurement of the impact of the response to test if it had the desired effect and to make changes to the response if required.</w:t>
      </w:r>
    </w:p>
    <w:p w14:paraId="4D564A46" w14:textId="77777777" w:rsidR="007B6D1D" w:rsidRPr="00E96913" w:rsidRDefault="007B6D1D" w:rsidP="007B6D1D">
      <w:pPr>
        <w:spacing w:line="480" w:lineRule="auto"/>
        <w:rPr>
          <w:rFonts w:asciiTheme="minorHAnsi" w:hAnsiTheme="minorHAnsi" w:cstheme="minorHAnsi"/>
          <w:sz w:val="28"/>
          <w:szCs w:val="28"/>
        </w:rPr>
      </w:pPr>
      <w:r w:rsidRPr="00E96913">
        <w:rPr>
          <w:rFonts w:asciiTheme="minorHAnsi" w:hAnsiTheme="minorHAnsi" w:cstheme="minorHAnsi"/>
          <w:sz w:val="28"/>
          <w:szCs w:val="28"/>
        </w:rPr>
        <w:t xml:space="preserve">In this instance, I was able to identify during the analysis stage of this model that the repeat instances of ASB and crime caused by the subjects in this area </w:t>
      </w:r>
      <w:r w:rsidRPr="00E96913">
        <w:rPr>
          <w:rFonts w:asciiTheme="minorHAnsi" w:hAnsiTheme="minorHAnsi" w:cstheme="minorHAnsi"/>
          <w:sz w:val="28"/>
          <w:szCs w:val="28"/>
        </w:rPr>
        <w:lastRenderedPageBreak/>
        <w:t>derived from the subjects frequenting a bench that was located outside of this victim’s home address. The bench in question had historically been subject to vandalism and was still displaying the scars in the form of damage and graffiti. This would provide supporting evidence for the Broken Window Theory. In summary, the theory suggests that if an area is host to visible signs of crime and ASB, then it will in turn attract similar behaviours. It suggests that in order to address serious issues that have taken root in a locality, efforts should first be focussed on addressing low level problems to help create a greater sense of community and atmosphere of law and order. (Wilson &amp; Kelling 1982).</w:t>
      </w:r>
    </w:p>
    <w:p w14:paraId="026C4A6E" w14:textId="77777777" w:rsidR="007B6D1D" w:rsidRPr="00E96913" w:rsidRDefault="007B6D1D" w:rsidP="007B6D1D">
      <w:pPr>
        <w:spacing w:line="480" w:lineRule="auto"/>
        <w:rPr>
          <w:rFonts w:asciiTheme="minorHAnsi" w:hAnsiTheme="minorHAnsi" w:cstheme="minorHAnsi"/>
          <w:sz w:val="28"/>
          <w:szCs w:val="28"/>
        </w:rPr>
      </w:pPr>
      <w:r w:rsidRPr="00E96913">
        <w:rPr>
          <w:rFonts w:asciiTheme="minorHAnsi" w:hAnsiTheme="minorHAnsi" w:cstheme="minorHAnsi"/>
          <w:sz w:val="28"/>
          <w:szCs w:val="28"/>
        </w:rPr>
        <w:t xml:space="preserve">At a multi-agency meeting scheduled in order to discuss possible solutions to the problem, it was determined that the most effective course of action would be to remove the bench from the area. Many factors were considered and the local residents were even consulted on the decision and it was determined that the local residents were not benefiting from the presence of the bench and that its removal would benefit the local community more in the form of improved quality of life. </w:t>
      </w:r>
    </w:p>
    <w:p w14:paraId="0F702020"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noProof/>
          <w:color w:val="auto"/>
          <w:sz w:val="28"/>
          <w:szCs w:val="28"/>
        </w:rPr>
        <w:drawing>
          <wp:anchor distT="0" distB="0" distL="114300" distR="114300" simplePos="0" relativeHeight="251661312" behindDoc="1" locked="0" layoutInCell="1" allowOverlap="1" wp14:anchorId="34B56877" wp14:editId="2E75658A">
            <wp:simplePos x="0" y="0"/>
            <wp:positionH relativeFrom="page">
              <wp:align>right</wp:align>
            </wp:positionH>
            <wp:positionV relativeFrom="paragraph">
              <wp:posOffset>73025</wp:posOffset>
            </wp:positionV>
            <wp:extent cx="3464560" cy="1767840"/>
            <wp:effectExtent l="0" t="0" r="0" b="0"/>
            <wp:wrapTight wrapText="bothSides">
              <wp:wrapPolygon edited="0">
                <wp:start x="10452" y="1164"/>
                <wp:lineTo x="9145" y="5353"/>
                <wp:lineTo x="8076" y="5586"/>
                <wp:lineTo x="6413" y="7914"/>
                <wp:lineTo x="6057" y="10474"/>
                <wp:lineTo x="6057" y="11638"/>
                <wp:lineTo x="6413" y="12802"/>
                <wp:lineTo x="5107" y="16526"/>
                <wp:lineTo x="4751" y="17922"/>
                <wp:lineTo x="9739" y="20483"/>
                <wp:lineTo x="12233" y="20483"/>
                <wp:lineTo x="14727" y="19784"/>
                <wp:lineTo x="16746" y="18155"/>
                <wp:lineTo x="16390" y="16526"/>
                <wp:lineTo x="15202" y="13034"/>
                <wp:lineTo x="15321" y="10241"/>
                <wp:lineTo x="14965" y="9078"/>
                <wp:lineTo x="14015" y="6052"/>
                <wp:lineTo x="13777" y="5353"/>
                <wp:lineTo x="11045" y="1164"/>
                <wp:lineTo x="10452" y="1164"/>
              </wp:wrapPolygon>
            </wp:wrapTight>
            <wp:docPr id="2" name="Picture 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creen shot of a compu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64560" cy="1767840"/>
                    </a:xfrm>
                    <a:prstGeom prst="rect">
                      <a:avLst/>
                    </a:prstGeom>
                    <a:noFill/>
                  </pic:spPr>
                </pic:pic>
              </a:graphicData>
            </a:graphic>
            <wp14:sizeRelH relativeFrom="margin">
              <wp14:pctWidth>0</wp14:pctWidth>
            </wp14:sizeRelH>
            <wp14:sizeRelV relativeFrom="margin">
              <wp14:pctHeight>0</wp14:pctHeight>
            </wp14:sizeRelV>
          </wp:anchor>
        </w:drawing>
      </w:r>
      <w:r w:rsidRPr="00E96913">
        <w:rPr>
          <w:rFonts w:asciiTheme="minorHAnsi" w:hAnsiTheme="minorHAnsi" w:cstheme="minorHAnsi"/>
          <w:color w:val="111111"/>
          <w:sz w:val="28"/>
          <w:szCs w:val="28"/>
          <w:shd w:val="clear" w:color="auto" w:fill="FFFFFF"/>
        </w:rPr>
        <w:t xml:space="preserve">The removing of the bench is an example of the Problem Analysis Triangle (PAT) being utilised. The triangle is used during the analysis stage of the SARA model. The problem analysis triangle looks at the three things </w:t>
      </w:r>
      <w:r w:rsidRPr="00E96913">
        <w:rPr>
          <w:rFonts w:asciiTheme="minorHAnsi" w:hAnsiTheme="minorHAnsi" w:cstheme="minorHAnsi"/>
          <w:color w:val="111111"/>
          <w:sz w:val="28"/>
          <w:szCs w:val="28"/>
          <w:shd w:val="clear" w:color="auto" w:fill="FFFFFF"/>
        </w:rPr>
        <w:lastRenderedPageBreak/>
        <w:t xml:space="preserve">that need to be present for an offence to occur. Those being a victim, a location, and a motivated offender. By removing one of these things, you effectively prevent a crime from occurring. </w:t>
      </w:r>
    </w:p>
    <w:p w14:paraId="5B8D2E03" w14:textId="77777777" w:rsidR="007B6D1D" w:rsidRPr="00E96913" w:rsidRDefault="007B6D1D" w:rsidP="007B6D1D">
      <w:pPr>
        <w:spacing w:line="480" w:lineRule="auto"/>
        <w:rPr>
          <w:rFonts w:asciiTheme="minorHAnsi" w:hAnsiTheme="minorHAnsi" w:cstheme="minorHAnsi"/>
          <w:sz w:val="28"/>
          <w:szCs w:val="28"/>
        </w:rPr>
      </w:pPr>
      <w:r w:rsidRPr="00E96913">
        <w:rPr>
          <w:rFonts w:asciiTheme="minorHAnsi" w:hAnsiTheme="minorHAnsi" w:cstheme="minorHAnsi"/>
          <w:sz w:val="28"/>
          <w:szCs w:val="28"/>
        </w:rPr>
        <w:t>As well as utilising this theory in identifying physical factors which can be altered in order to prevent reoffending, I was able to gain information about the subject’s personal circumstances. These circumstances can sometimes be considered as contributing factors to an offender’s behaviour.</w:t>
      </w:r>
    </w:p>
    <w:p w14:paraId="522B1762"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One of the offenders in this case disclosed that there were problems at home. It could have been the case that the subject’s behaviours were as a result of their past experiences. This can be related to the Adverse Childhood Experiences (ACEs) theory (CDC, 2014).</w:t>
      </w:r>
    </w:p>
    <w:p w14:paraId="5A2CF2D3"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noProof/>
          <w:color w:val="auto"/>
          <w:sz w:val="28"/>
          <w:szCs w:val="28"/>
        </w:rPr>
        <w:drawing>
          <wp:anchor distT="0" distB="0" distL="114300" distR="114300" simplePos="0" relativeHeight="251662336" behindDoc="1" locked="0" layoutInCell="1" allowOverlap="1" wp14:anchorId="68C51D79" wp14:editId="6D088997">
            <wp:simplePos x="0" y="0"/>
            <wp:positionH relativeFrom="page">
              <wp:posOffset>3828415</wp:posOffset>
            </wp:positionH>
            <wp:positionV relativeFrom="paragraph">
              <wp:posOffset>193040</wp:posOffset>
            </wp:positionV>
            <wp:extent cx="3716655" cy="2918460"/>
            <wp:effectExtent l="0" t="0" r="0" b="0"/>
            <wp:wrapTight wrapText="bothSides">
              <wp:wrapPolygon edited="0">
                <wp:start x="0" y="0"/>
                <wp:lineTo x="0" y="21431"/>
                <wp:lineTo x="21478" y="21431"/>
                <wp:lineTo x="21478"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16655" cy="2918460"/>
                    </a:xfrm>
                    <a:prstGeom prst="rect">
                      <a:avLst/>
                    </a:prstGeom>
                    <a:noFill/>
                  </pic:spPr>
                </pic:pic>
              </a:graphicData>
            </a:graphic>
            <wp14:sizeRelH relativeFrom="margin">
              <wp14:pctWidth>0</wp14:pctWidth>
            </wp14:sizeRelH>
            <wp14:sizeRelV relativeFrom="margin">
              <wp14:pctHeight>0</wp14:pctHeight>
            </wp14:sizeRelV>
          </wp:anchor>
        </w:drawing>
      </w:r>
      <w:r w:rsidRPr="00E96913">
        <w:rPr>
          <w:rFonts w:asciiTheme="minorHAnsi" w:hAnsiTheme="minorHAnsi" w:cstheme="minorHAnsi"/>
          <w:color w:val="111111"/>
          <w:sz w:val="28"/>
          <w:szCs w:val="28"/>
          <w:shd w:val="clear" w:color="auto" w:fill="FFFFFF"/>
        </w:rPr>
        <w:t>The ACE study was carried out by a health maintenance organisation called Kaiser Permanente between the approximate period of 1980-1995. It discovered that subjects who were exposed to childhood trauma were more likely to be victim of health problems and social development problems.</w:t>
      </w:r>
    </w:p>
    <w:p w14:paraId="096C7BE5"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lastRenderedPageBreak/>
        <w:t>The subject in this case reported that his parent suffered from mental ill health and was substance dependent. Being subject to this and the negative associated circumstances would be classified as trauma according to the ACE study.</w:t>
      </w:r>
    </w:p>
    <w:p w14:paraId="21D9C19B"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 xml:space="preserve">By identifying this relevant support services were engaged in the hopes of providing support not only for the subject in deflecting him away from criminal behaviour, but also for the parent. </w:t>
      </w:r>
    </w:p>
    <w:p w14:paraId="39E520BD"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As well as this support that can be provided to subjects, the focus of this process is still to improve the quality of life for victims. A core ethical consideration for policing is that the processes are victim focussed as much as possible. Support from a specially trained hate crime support officer was utilised who acted as a sole point of contact between police and the victim, who was able to keep them updated of actions being taken, as well as listening to any concerns that they may have had and passing them on to the relevant departments to be addressed.</w:t>
      </w:r>
    </w:p>
    <w:p w14:paraId="2625CCCD"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 xml:space="preserve">Aside from support that was offered to both subjects and victims, relevant policing powers were also utilised in attempts to deal with the behaviours of the subjects involved. In 2014, The Anti-Social Behaviour, Crime and Policing Act was enacted which brought about the formation of new powers for police to utilise against subjects found to be causing ASB in their community. </w:t>
      </w:r>
      <w:r w:rsidRPr="00E96913">
        <w:rPr>
          <w:rFonts w:asciiTheme="minorHAnsi" w:hAnsiTheme="minorHAnsi" w:cstheme="minorHAnsi"/>
          <w:color w:val="111111"/>
          <w:sz w:val="28"/>
          <w:szCs w:val="28"/>
          <w:shd w:val="clear" w:color="auto" w:fill="FFFFFF"/>
        </w:rPr>
        <w:lastRenderedPageBreak/>
        <w:t>According to UK government, The Act introduced “</w:t>
      </w:r>
      <w:r w:rsidRPr="00E96913">
        <w:rPr>
          <w:rFonts w:asciiTheme="minorHAnsi" w:hAnsiTheme="minorHAnsi" w:cstheme="minorHAnsi"/>
          <w:i/>
          <w:iCs/>
          <w:color w:val="111111"/>
          <w:sz w:val="28"/>
          <w:szCs w:val="28"/>
          <w:shd w:val="clear" w:color="auto" w:fill="FFFFFF"/>
        </w:rPr>
        <w:t>simpler, more effective powers to tackle anti-social behaviour that provide better protection for victims and communities”</w:t>
      </w:r>
      <w:r w:rsidRPr="00E96913">
        <w:rPr>
          <w:rFonts w:asciiTheme="minorHAnsi" w:hAnsiTheme="minorHAnsi" w:cstheme="minorHAnsi"/>
          <w:color w:val="111111"/>
          <w:sz w:val="28"/>
          <w:szCs w:val="28"/>
          <w:shd w:val="clear" w:color="auto" w:fill="FFFFFF"/>
        </w:rPr>
        <w:t>. (Home Office, 2013). These powers include;</w:t>
      </w:r>
    </w:p>
    <w:p w14:paraId="132E9BA8" w14:textId="77777777" w:rsidR="007B6D1D" w:rsidRPr="00E96913" w:rsidRDefault="007B6D1D" w:rsidP="007B6D1D">
      <w:pPr>
        <w:pStyle w:val="ListParagraph"/>
        <w:numPr>
          <w:ilvl w:val="0"/>
          <w:numId w:val="7"/>
        </w:numPr>
        <w:overflowPunct/>
        <w:autoSpaceDE/>
        <w:autoSpaceDN/>
        <w:adjustRightInd/>
        <w:spacing w:before="100" w:beforeAutospacing="1" w:after="100" w:afterAutospacing="1" w:line="480" w:lineRule="auto"/>
        <w:textAlignment w:val="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Civil injunctions</w:t>
      </w:r>
    </w:p>
    <w:p w14:paraId="7E1644EF" w14:textId="77777777" w:rsidR="007B6D1D" w:rsidRPr="00E96913" w:rsidRDefault="007B6D1D" w:rsidP="007B6D1D">
      <w:pPr>
        <w:pStyle w:val="ListParagraph"/>
        <w:numPr>
          <w:ilvl w:val="0"/>
          <w:numId w:val="7"/>
        </w:numPr>
        <w:overflowPunct/>
        <w:autoSpaceDE/>
        <w:autoSpaceDN/>
        <w:adjustRightInd/>
        <w:spacing w:before="100" w:beforeAutospacing="1" w:after="100" w:afterAutospacing="1" w:line="480" w:lineRule="auto"/>
        <w:textAlignment w:val="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Criminal behaviour orders (CPO)</w:t>
      </w:r>
    </w:p>
    <w:p w14:paraId="375F7AE9" w14:textId="77777777" w:rsidR="007B6D1D" w:rsidRPr="00E96913" w:rsidRDefault="007B6D1D" w:rsidP="007B6D1D">
      <w:pPr>
        <w:pStyle w:val="ListParagraph"/>
        <w:numPr>
          <w:ilvl w:val="0"/>
          <w:numId w:val="7"/>
        </w:numPr>
        <w:overflowPunct/>
        <w:autoSpaceDE/>
        <w:autoSpaceDN/>
        <w:adjustRightInd/>
        <w:spacing w:before="100" w:beforeAutospacing="1" w:after="100" w:afterAutospacing="1" w:line="480" w:lineRule="auto"/>
        <w:textAlignment w:val="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Public space protection orders</w:t>
      </w:r>
    </w:p>
    <w:p w14:paraId="64FB20AC" w14:textId="77777777" w:rsidR="007B6D1D" w:rsidRPr="00E96913" w:rsidRDefault="007B6D1D" w:rsidP="007B6D1D">
      <w:pPr>
        <w:pStyle w:val="ListParagraph"/>
        <w:numPr>
          <w:ilvl w:val="0"/>
          <w:numId w:val="7"/>
        </w:numPr>
        <w:overflowPunct/>
        <w:autoSpaceDE/>
        <w:autoSpaceDN/>
        <w:adjustRightInd/>
        <w:spacing w:before="100" w:beforeAutospacing="1" w:after="100" w:afterAutospacing="1" w:line="480" w:lineRule="auto"/>
        <w:textAlignment w:val="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Community protection notices (CPN)</w:t>
      </w:r>
    </w:p>
    <w:p w14:paraId="11215322" w14:textId="77777777" w:rsidR="007B6D1D" w:rsidRPr="00E96913" w:rsidRDefault="007B6D1D" w:rsidP="007B6D1D">
      <w:pPr>
        <w:pStyle w:val="ListParagraph"/>
        <w:numPr>
          <w:ilvl w:val="0"/>
          <w:numId w:val="7"/>
        </w:numPr>
        <w:overflowPunct/>
        <w:autoSpaceDE/>
        <w:autoSpaceDN/>
        <w:adjustRightInd/>
        <w:spacing w:before="100" w:beforeAutospacing="1" w:after="100" w:afterAutospacing="1" w:line="480" w:lineRule="auto"/>
        <w:textAlignment w:val="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Dispersal powers</w:t>
      </w:r>
    </w:p>
    <w:p w14:paraId="467F015D" w14:textId="77777777" w:rsidR="007B6D1D" w:rsidRPr="00E96913" w:rsidRDefault="007B6D1D" w:rsidP="007B6D1D">
      <w:pPr>
        <w:pStyle w:val="ListParagraph"/>
        <w:numPr>
          <w:ilvl w:val="0"/>
          <w:numId w:val="7"/>
        </w:numPr>
        <w:overflowPunct/>
        <w:autoSpaceDE/>
        <w:autoSpaceDN/>
        <w:adjustRightInd/>
        <w:spacing w:before="100" w:beforeAutospacing="1" w:after="100" w:afterAutospacing="1" w:line="480" w:lineRule="auto"/>
        <w:textAlignment w:val="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Closure powers</w:t>
      </w:r>
    </w:p>
    <w:p w14:paraId="1164279A"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In this instance, many of the subjects were found to be repeat offenders. Due to this, I felt it appropriate to take action against the prolific offenders as I deemed it proportionate to ensure the behaviours were reformed ensuring that the victims and other members of the community did not have to suffer from repeat instances.</w:t>
      </w:r>
    </w:p>
    <w:p w14:paraId="4A4FF81E"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I will now reflect upon my actions using the Gibbs’ reflective model.</w:t>
      </w:r>
    </w:p>
    <w:p w14:paraId="78EE6113"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b/>
          <w:bCs/>
          <w:color w:val="111111"/>
          <w:sz w:val="28"/>
          <w:szCs w:val="28"/>
          <w:u w:val="single"/>
          <w:shd w:val="clear" w:color="auto" w:fill="FFFFFF"/>
        </w:rPr>
        <w:t>Feelings.</w:t>
      </w:r>
    </w:p>
    <w:p w14:paraId="6C0F0F5C"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 xml:space="preserve">The initial report of youths congregating seemed like a very low-level incident and could have been considered as a waste of resources. However, upon attendance and gaining details from the victims about the ongoing nature of </w:t>
      </w:r>
      <w:r w:rsidRPr="00E96913">
        <w:rPr>
          <w:rFonts w:asciiTheme="minorHAnsi" w:hAnsiTheme="minorHAnsi" w:cstheme="minorHAnsi"/>
          <w:color w:val="111111"/>
          <w:sz w:val="28"/>
          <w:szCs w:val="28"/>
          <w:shd w:val="clear" w:color="auto" w:fill="FFFFFF"/>
        </w:rPr>
        <w:lastRenderedPageBreak/>
        <w:t>the problem, and adverse effect on their quality of life, I quickly changed my point of view.</w:t>
      </w:r>
    </w:p>
    <w:p w14:paraId="18CD2733"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I recognised similarities in this situation to that of the case study of Fiona PILKINGTON. (Dolan, 2009).</w:t>
      </w:r>
    </w:p>
    <w:p w14:paraId="11657CDD"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By recognising the similarities between my case and the case study, I ensured that I provided the best possible service to the victim to avoid repeat circumstances.</w:t>
      </w:r>
    </w:p>
    <w:p w14:paraId="7D73D9A3"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I also recognised that however insignificant the incident may have seemed, it was making the victim feel distressed enough to have reached out and asked for help from police.</w:t>
      </w:r>
    </w:p>
    <w:p w14:paraId="60713A9F"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At the completion of this incident, I was able to reflect upon my actions with a feeling of pride that I had taken the necessary steps to solve the problem and improve the quality of life for the victims in this instance.</w:t>
      </w:r>
    </w:p>
    <w:p w14:paraId="72E2E211" w14:textId="77777777" w:rsidR="007B6D1D" w:rsidRPr="00E96913" w:rsidRDefault="007B6D1D" w:rsidP="007B6D1D">
      <w:pPr>
        <w:spacing w:before="100" w:beforeAutospacing="1" w:after="100" w:afterAutospacing="1" w:line="480" w:lineRule="auto"/>
        <w:rPr>
          <w:rFonts w:asciiTheme="minorHAnsi" w:hAnsiTheme="minorHAnsi" w:cstheme="minorHAnsi"/>
          <w:b/>
          <w:bCs/>
          <w:color w:val="111111"/>
          <w:sz w:val="28"/>
          <w:szCs w:val="28"/>
          <w:u w:val="single"/>
          <w:shd w:val="clear" w:color="auto" w:fill="FFFFFF"/>
        </w:rPr>
      </w:pPr>
      <w:r w:rsidRPr="00E96913">
        <w:rPr>
          <w:rFonts w:asciiTheme="minorHAnsi" w:hAnsiTheme="minorHAnsi" w:cstheme="minorHAnsi"/>
          <w:b/>
          <w:bCs/>
          <w:color w:val="111111"/>
          <w:sz w:val="28"/>
          <w:szCs w:val="28"/>
          <w:u w:val="single"/>
          <w:shd w:val="clear" w:color="auto" w:fill="FFFFFF"/>
        </w:rPr>
        <w:t>Evaluation.</w:t>
      </w:r>
    </w:p>
    <w:p w14:paraId="05078D22"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I believe that the actions I took in this instance were successful and had a positive outcome. I was able to identify what needed to be done and utilised robust and proportionate actions in dealing with the multiple factors that needed to be addressed.</w:t>
      </w:r>
    </w:p>
    <w:p w14:paraId="0DBDF4A5"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lastRenderedPageBreak/>
        <w:t>I was able to employ an effective working strategy whereby partner agencies were involved to assist me in areas where police had less expertise.</w:t>
      </w:r>
    </w:p>
    <w:p w14:paraId="4B5F269F" w14:textId="77777777" w:rsidR="007B6D1D" w:rsidRPr="00E96913" w:rsidRDefault="007B6D1D" w:rsidP="007B6D1D">
      <w:pPr>
        <w:spacing w:before="100" w:beforeAutospacing="1" w:after="100" w:afterAutospacing="1" w:line="480" w:lineRule="auto"/>
        <w:rPr>
          <w:rFonts w:asciiTheme="minorHAnsi" w:hAnsiTheme="minorHAnsi" w:cstheme="minorHAnsi"/>
          <w:b/>
          <w:bCs/>
          <w:color w:val="111111"/>
          <w:sz w:val="28"/>
          <w:szCs w:val="28"/>
          <w:u w:val="single"/>
          <w:shd w:val="clear" w:color="auto" w:fill="FFFFFF"/>
        </w:rPr>
      </w:pPr>
      <w:r w:rsidRPr="00E96913">
        <w:rPr>
          <w:rFonts w:asciiTheme="minorHAnsi" w:hAnsiTheme="minorHAnsi" w:cstheme="minorHAnsi"/>
          <w:b/>
          <w:bCs/>
          <w:color w:val="111111"/>
          <w:sz w:val="28"/>
          <w:szCs w:val="28"/>
          <w:u w:val="single"/>
          <w:shd w:val="clear" w:color="auto" w:fill="FFFFFF"/>
        </w:rPr>
        <w:t>Analysis.</w:t>
      </w:r>
    </w:p>
    <w:p w14:paraId="1C5982F2"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In isolation, the incident appeared low level and insignificant, but by digging deeper into the background of the problem I was able to uncover multiple factors that would need to be addressed as they were much more significant than first seemed. I identified also that not dealing effectively with this incident may have resulted in negative future implications for both victims and subjects involved.</w:t>
      </w:r>
    </w:p>
    <w:p w14:paraId="310147F2"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I utilised effective problem solving techniques to identify factors that would need to be addressed in order to solve the overarching issue.</w:t>
      </w:r>
    </w:p>
    <w:p w14:paraId="1931D413"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I also learnt from previous failings of policing by considering other case studies of similar incidents to ensure I could learn from shortcomings that had been apparent in previous dealings.</w:t>
      </w:r>
    </w:p>
    <w:p w14:paraId="27A1A97B" w14:textId="77777777" w:rsidR="007B6D1D" w:rsidRPr="00E96913" w:rsidRDefault="007B6D1D" w:rsidP="007B6D1D">
      <w:pPr>
        <w:spacing w:before="100" w:beforeAutospacing="1" w:after="100" w:afterAutospacing="1" w:line="480" w:lineRule="auto"/>
        <w:rPr>
          <w:rFonts w:asciiTheme="minorHAnsi" w:hAnsiTheme="minorHAnsi" w:cstheme="minorHAnsi"/>
          <w:b/>
          <w:bCs/>
          <w:color w:val="111111"/>
          <w:sz w:val="28"/>
          <w:szCs w:val="28"/>
          <w:u w:val="single"/>
          <w:shd w:val="clear" w:color="auto" w:fill="FFFFFF"/>
        </w:rPr>
      </w:pPr>
      <w:r w:rsidRPr="00E96913">
        <w:rPr>
          <w:rFonts w:asciiTheme="minorHAnsi" w:hAnsiTheme="minorHAnsi" w:cstheme="minorHAnsi"/>
          <w:b/>
          <w:bCs/>
          <w:color w:val="111111"/>
          <w:sz w:val="28"/>
          <w:szCs w:val="28"/>
          <w:u w:val="single"/>
          <w:shd w:val="clear" w:color="auto" w:fill="FFFFFF"/>
        </w:rPr>
        <w:t>Conclusion.</w:t>
      </w:r>
    </w:p>
    <w:p w14:paraId="7FEF9F95"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I believe that I gained a positive outcome for the victims in this instance. I was able to identify and resolve smaller problems which resulted in the cumulation of the initial report.</w:t>
      </w:r>
    </w:p>
    <w:p w14:paraId="26CA1768"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lastRenderedPageBreak/>
        <w:t>I have learnt the value of Problem Orientated Policing (POP) when addressing incidents with underlying complex social issues such as this one. Without the use of analysis, I would be unable to identify and deal with the problem effectively.</w:t>
      </w:r>
    </w:p>
    <w:p w14:paraId="31F0C96C"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One shortcoming I was able to identify was my unconscious bias in initially disregarding the problem as severe enough to warrant a response from police. By doing this, I was at risk of not providing a quality of service that is required, and could have potentially put the victims at risk of further harm.</w:t>
      </w:r>
    </w:p>
    <w:p w14:paraId="7D6C0980" w14:textId="77777777" w:rsidR="007B6D1D" w:rsidRPr="00E96913" w:rsidRDefault="007B6D1D" w:rsidP="007B6D1D">
      <w:pPr>
        <w:spacing w:before="100" w:beforeAutospacing="1" w:after="100" w:afterAutospacing="1" w:line="480" w:lineRule="auto"/>
        <w:rPr>
          <w:rFonts w:asciiTheme="minorHAnsi" w:hAnsiTheme="minorHAnsi" w:cstheme="minorHAnsi"/>
          <w:color w:val="111111"/>
          <w:sz w:val="28"/>
          <w:szCs w:val="28"/>
          <w:shd w:val="clear" w:color="auto" w:fill="FFFFFF"/>
        </w:rPr>
      </w:pPr>
      <w:r w:rsidRPr="00E96913">
        <w:rPr>
          <w:rFonts w:asciiTheme="minorHAnsi" w:hAnsiTheme="minorHAnsi" w:cstheme="minorHAnsi"/>
          <w:color w:val="111111"/>
          <w:sz w:val="28"/>
          <w:szCs w:val="28"/>
          <w:shd w:val="clear" w:color="auto" w:fill="FFFFFF"/>
        </w:rPr>
        <w:t xml:space="preserve">I will ensure to learn from this experience and to fully assess any situation before deciding what a proportionate response would be. By doing this, I can ensure that all needs of a victim are properly assessed before they are overlooked and neglected. </w:t>
      </w: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C2E6419"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This essay will reflect upon a complex investigation which led to disruption of organised criminal activity.</w:t>
      </w:r>
    </w:p>
    <w:p w14:paraId="6AC2DDB5"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 xml:space="preserve">The investigation in question began following the dissemination of intelligence that alleged that young male subjects were believed to be involved in the supply of controlled substances in an area. The intelligence was disseminated after being graded using the National Intelligence Model (NIM). The NIM is a nationwide recognised, standardised system of collecting, grading, sanitizing and disseminating information and intelligence in order for it to be used to target policing based on priorities identified by the information that is </w:t>
      </w:r>
      <w:r w:rsidRPr="00964CA2">
        <w:rPr>
          <w:rFonts w:asciiTheme="minorHAnsi" w:hAnsiTheme="minorHAnsi" w:cstheme="minorHAnsi"/>
          <w:sz w:val="28"/>
          <w:szCs w:val="28"/>
        </w:rPr>
        <w:lastRenderedPageBreak/>
        <w:t>gathered. The Home Office described the model as “</w:t>
      </w:r>
      <w:r w:rsidRPr="00964CA2">
        <w:rPr>
          <w:rFonts w:asciiTheme="minorHAnsi" w:hAnsiTheme="minorHAnsi" w:cstheme="minorHAnsi"/>
          <w:i/>
          <w:iCs/>
          <w:sz w:val="28"/>
          <w:szCs w:val="28"/>
        </w:rPr>
        <w:t xml:space="preserve">a validated model of policing, representing best practice in the use of intelligence to fight crime” </w:t>
      </w:r>
      <w:r w:rsidRPr="00964CA2">
        <w:rPr>
          <w:rFonts w:asciiTheme="minorHAnsi" w:hAnsiTheme="minorHAnsi" w:cstheme="minorHAnsi"/>
          <w:sz w:val="28"/>
          <w:szCs w:val="28"/>
        </w:rPr>
        <w:t>(Home Office, 2001, p45). Simplified, the NIM allows of the identification of a need to build intelligence surrounding a particular subject before targeted policing tactics can be employed. This building of intelligence allows for more successful and efficient deployment of resources. For example, if information is received that a particular area is being affected by criminal activity, work can be done to develop that intelligence which may provide a particular timeframe between which the criminal activity occurs, thus being able to better combat the problem by deploying resources to the area during the affected timeframe as opposed to wastage during times where no criminal activity is occurring.</w:t>
      </w:r>
    </w:p>
    <w:p w14:paraId="50C065A9"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 xml:space="preserve">In this particular instance, I enlisted the help of neighbourhood policing team officers and requested that work be conducted in the area to develop the intelligence with the hopes to being better informed as to the timeframe and individuals responsible for the supply of controlled substances. Upon development of intelligence, I was able to conduct targeted policing in the area which lead to the justifiable stop and search of a male subject in the area. Stop and search powers utilised by police have always been subject of extreme scrutiny. This means that it is important that the grounds on which a search of a subject is based are fully justifiable. The legislation which affords officers to </w:t>
      </w:r>
      <w:r w:rsidRPr="00964CA2">
        <w:rPr>
          <w:rFonts w:asciiTheme="minorHAnsi" w:hAnsiTheme="minorHAnsi" w:cstheme="minorHAnsi"/>
          <w:sz w:val="28"/>
          <w:szCs w:val="28"/>
        </w:rPr>
        <w:lastRenderedPageBreak/>
        <w:t>utilise stop and search powers is s.23 Misuse of Drugs Act 1971. This legislation states that “</w:t>
      </w:r>
      <w:r w:rsidRPr="00964CA2">
        <w:rPr>
          <w:rFonts w:asciiTheme="minorHAnsi" w:hAnsiTheme="minorHAnsi" w:cstheme="minorHAnsi"/>
          <w:i/>
          <w:iCs/>
          <w:sz w:val="28"/>
          <w:szCs w:val="28"/>
        </w:rPr>
        <w:t xml:space="preserve">if a constable has reasonable grounds to suspect that any person is in possession of a controlled drug…the constable may; search that person, and detain him for the purpose of searching him…and seize and detain anything found in the course of the search which appears to be evidence of an offence under this act” </w:t>
      </w:r>
      <w:r w:rsidRPr="00964CA2">
        <w:rPr>
          <w:rFonts w:asciiTheme="minorHAnsi" w:hAnsiTheme="minorHAnsi" w:cstheme="minorHAnsi"/>
          <w:sz w:val="28"/>
          <w:szCs w:val="28"/>
        </w:rPr>
        <w:t>(Misuse of Drugs Act, 1971)</w:t>
      </w:r>
      <w:r w:rsidRPr="00964CA2">
        <w:rPr>
          <w:rFonts w:asciiTheme="minorHAnsi" w:hAnsiTheme="minorHAnsi" w:cstheme="minorHAnsi"/>
          <w:i/>
          <w:iCs/>
          <w:sz w:val="28"/>
          <w:szCs w:val="28"/>
        </w:rPr>
        <w:t xml:space="preserve">. </w:t>
      </w:r>
      <w:r w:rsidRPr="00964CA2">
        <w:rPr>
          <w:rFonts w:asciiTheme="minorHAnsi" w:hAnsiTheme="minorHAnsi" w:cstheme="minorHAnsi"/>
          <w:sz w:val="28"/>
          <w:szCs w:val="28"/>
        </w:rPr>
        <w:t>It is vitally important that powers which restrict the liberty of the public are utilised with the upmost of competence in order to maintain public confidence. Therefore, this stop and search would not have been possible without the development of the intelligence, highlighting its importance as the trigger for the complex and successful investigation and disruption of serious criminal activity that followed.</w:t>
      </w:r>
    </w:p>
    <w:p w14:paraId="0008D65F"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 xml:space="preserve">The subject in question was found to be in possession of a suitable amount of controlled substance for it to be suspected that he was involved in the supply of said substances. Due to the complex nature of investigating offences concerning the supply of controlled substances, the subject was arrested in order to evoke powers such as a s.32 search of the subject. This search was necessary as well as the initial stop and search power because it focussed on the location and subsequent seizing of any evidence believe to be relating to </w:t>
      </w:r>
      <w:r w:rsidRPr="00964CA2">
        <w:rPr>
          <w:rFonts w:asciiTheme="minorHAnsi" w:hAnsiTheme="minorHAnsi" w:cstheme="minorHAnsi"/>
          <w:sz w:val="28"/>
          <w:szCs w:val="28"/>
        </w:rPr>
        <w:lastRenderedPageBreak/>
        <w:t>the offence in question. In this instance, the mobile device found upon the subject’s person at the time of his arrest was seized.</w:t>
      </w:r>
    </w:p>
    <w:p w14:paraId="6E14A30C"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The power to seize such items following a search in this instance are provided to officers under s.23 Misuse of Drugs Act 1971, as previously detailed. Powers which, similarly to the power to complete the initial search itself, must be exercised properly, not only to maintain public confidence, but to ensure the integrity of the investigation. Any error or breach in process at this point of an investigation can lead to evidence being gained illegally and therefore make it inadmissible in a court of law.</w:t>
      </w:r>
    </w:p>
    <w:p w14:paraId="28BFE777"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The mobile device which I recovered following the arrest and search of the subject now needed to be further examined in order to ascertain circumstances surrounding the suspected offence. In order to conduct this, I sought the authorisation of my inspector as is force policy. In order to do this I had to outline the necessity of such an examination as it was in essence a breach of the subject’s privacy. This is a serious undertaking, as encroaching on an individuals privacy is considered to be a breach of a person’s human rights. The Human Rights Act 1998 (HRA) lists a number of rights that a person is entitled to which should not be encroached upon in order to maintain a fair and ethical society. They are listed below;</w:t>
      </w:r>
    </w:p>
    <w:p w14:paraId="651F9B44"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Article 2 – The right to life</w:t>
      </w:r>
    </w:p>
    <w:p w14:paraId="08947425"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lastRenderedPageBreak/>
        <w:t>Article 3 – Prohibition of torture</w:t>
      </w:r>
    </w:p>
    <w:p w14:paraId="42386D42"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Article 4 – Prohibition of slavery</w:t>
      </w:r>
    </w:p>
    <w:p w14:paraId="09C45133"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Article 5 – Right to liberty</w:t>
      </w:r>
    </w:p>
    <w:p w14:paraId="4B6BCB4C"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Article 6 – Right to a fair trial</w:t>
      </w:r>
    </w:p>
    <w:p w14:paraId="0162FE2D"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Article 7 – No punishment without law</w:t>
      </w:r>
    </w:p>
    <w:p w14:paraId="4DBDB679"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Article 8 – Right to respect for privacy and family life</w:t>
      </w:r>
    </w:p>
    <w:p w14:paraId="020E2DA8"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Article 9 – Freedom of thought</w:t>
      </w:r>
    </w:p>
    <w:p w14:paraId="74FA41F9"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Article 10 – Freedom of expression</w:t>
      </w:r>
    </w:p>
    <w:p w14:paraId="3FC1D34A"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Article 11- Freedom of assembly</w:t>
      </w:r>
    </w:p>
    <w:p w14:paraId="09D38298"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Article 12 – Right to marry</w:t>
      </w:r>
    </w:p>
    <w:p w14:paraId="1245CA5A"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Article 14 – Prohibition of discrimination</w:t>
      </w:r>
    </w:p>
    <w:p w14:paraId="1A709CF7" w14:textId="77777777" w:rsidR="007B6D1D" w:rsidRPr="00964CA2" w:rsidRDefault="007B6D1D" w:rsidP="007B6D1D">
      <w:pPr>
        <w:spacing w:line="480" w:lineRule="auto"/>
        <w:rPr>
          <w:rFonts w:asciiTheme="minorHAnsi" w:hAnsiTheme="minorHAnsi" w:cstheme="minorHAnsi"/>
          <w:sz w:val="28"/>
          <w:szCs w:val="28"/>
        </w:rPr>
      </w:pPr>
    </w:p>
    <w:p w14:paraId="6D426108"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Article 8 of the HRA states that a person should have the “</w:t>
      </w:r>
      <w:r w:rsidRPr="00964CA2">
        <w:rPr>
          <w:rFonts w:asciiTheme="minorHAnsi" w:hAnsiTheme="minorHAnsi" w:cstheme="minorHAnsi"/>
          <w:i/>
          <w:iCs/>
          <w:sz w:val="28"/>
          <w:szCs w:val="28"/>
        </w:rPr>
        <w:t xml:space="preserve">Right to respect for private and family life” </w:t>
      </w:r>
      <w:r w:rsidRPr="00964CA2">
        <w:rPr>
          <w:rFonts w:asciiTheme="minorHAnsi" w:hAnsiTheme="minorHAnsi" w:cstheme="minorHAnsi"/>
          <w:sz w:val="28"/>
          <w:szCs w:val="28"/>
        </w:rPr>
        <w:t xml:space="preserve">(Human Rights Act, 1998). These rights are subcategorized into 3 types however; Absolute, Limited, and Qualified. An absolute right is one that is considered to never be restricted or removed due to the interests of the wider community. Limited rights can be restricted in certain circumstances, such as the right to liberty being restricted in order to detain or arrest a person. A qualified right, which the right to privacy is classed </w:t>
      </w:r>
      <w:r w:rsidRPr="00964CA2">
        <w:rPr>
          <w:rFonts w:asciiTheme="minorHAnsi" w:hAnsiTheme="minorHAnsi" w:cstheme="minorHAnsi"/>
          <w:sz w:val="28"/>
          <w:szCs w:val="28"/>
        </w:rPr>
        <w:lastRenderedPageBreak/>
        <w:t>as, is one that can be interfered with by local authority if it is believed to be in the interest of the wider community.</w:t>
      </w:r>
    </w:p>
    <w:p w14:paraId="26915DAE"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Although the right to privacy can be interfered with should it be considered in the interest of the wider community, consideration still needs to be paid as to whether this interference is proportionate and necessary, and ultimately adheres to actions conducted in line with the Code of Ethics (CoE).</w:t>
      </w:r>
    </w:p>
    <w:p w14:paraId="31C393BC"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The Code of Ethics was produced by the College of Policing (CoP) in 2014. It’s aim was to outline fundamental qualities and attitudes that should be adopted and displayed by police officers. The CoE is defined by the CoP as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 (College of Policing, 2021). The CoE are formulated by 9 core principles and 10 areas in which officers are expected to display professional and competent behaviours. They are listed as follows;</w:t>
      </w:r>
    </w:p>
    <w:p w14:paraId="37075DA0"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9 Core Principles;</w:t>
      </w:r>
    </w:p>
    <w:p w14:paraId="309FA429"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Honesty</w:t>
      </w:r>
    </w:p>
    <w:p w14:paraId="776974FC"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Integrity</w:t>
      </w:r>
    </w:p>
    <w:p w14:paraId="23B9DB50"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Openness</w:t>
      </w:r>
    </w:p>
    <w:p w14:paraId="2C1F57F7"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lastRenderedPageBreak/>
        <w:t>-</w:t>
      </w:r>
      <w:r w:rsidRPr="00964CA2">
        <w:rPr>
          <w:rFonts w:asciiTheme="minorHAnsi" w:hAnsiTheme="minorHAnsi" w:cstheme="minorHAnsi"/>
          <w:sz w:val="28"/>
          <w:szCs w:val="28"/>
        </w:rPr>
        <w:tab/>
        <w:t>Selflessness</w:t>
      </w:r>
    </w:p>
    <w:p w14:paraId="497E78A5"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Respect</w:t>
      </w:r>
    </w:p>
    <w:p w14:paraId="13E72A96"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Fairness</w:t>
      </w:r>
    </w:p>
    <w:p w14:paraId="26596B66"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Accountability</w:t>
      </w:r>
    </w:p>
    <w:p w14:paraId="4F79F6A7"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Objectivity</w:t>
      </w:r>
    </w:p>
    <w:p w14:paraId="14F85344"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10 Areas of Professional Behaviours (College of Policing, 2021);</w:t>
      </w:r>
    </w:p>
    <w:p w14:paraId="159F0F14"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Honesty and integrity</w:t>
      </w:r>
    </w:p>
    <w:p w14:paraId="12122EA9"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Authority, respect and courtesy</w:t>
      </w:r>
    </w:p>
    <w:p w14:paraId="5E94CC4E"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Equality and diversity</w:t>
      </w:r>
    </w:p>
    <w:p w14:paraId="0D6EAE0C"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Use of force</w:t>
      </w:r>
    </w:p>
    <w:p w14:paraId="6A17B070"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Orders and instructions</w:t>
      </w:r>
    </w:p>
    <w:p w14:paraId="29D8ADBA"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Duties and responsibilities</w:t>
      </w:r>
    </w:p>
    <w:p w14:paraId="788D87C4"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Confidentiality</w:t>
      </w:r>
    </w:p>
    <w:p w14:paraId="689E6A2E"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Fitness for work</w:t>
      </w:r>
    </w:p>
    <w:p w14:paraId="205C49D8"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Conduct</w:t>
      </w:r>
    </w:p>
    <w:p w14:paraId="0F89A2DD"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w:t>
      </w:r>
      <w:r w:rsidRPr="00964CA2">
        <w:rPr>
          <w:rFonts w:asciiTheme="minorHAnsi" w:hAnsiTheme="minorHAnsi" w:cstheme="minorHAnsi"/>
          <w:sz w:val="28"/>
          <w:szCs w:val="28"/>
        </w:rPr>
        <w:tab/>
        <w:t>Challenging and reporting improper conduct</w:t>
      </w:r>
    </w:p>
    <w:p w14:paraId="2E399F06"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These core principles and values were considered throughout the entirety of my investigation in order to ensure that all my actions and decisions were ethical and adhering to policy and procedure.</w:t>
      </w:r>
    </w:p>
    <w:p w14:paraId="73967F7F"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lastRenderedPageBreak/>
        <w:t>Following the authorisation of further examination of in attempts to gather further evidence, I decided that the most appropriate next step in my investigation was to interview the subject that I had arrested and then apply to release the subject under investigation pending the retrieval of further evidence in order to conduct a further interview. Before doing so, I contacted the detective Sergeant who was on duty in order to make the local CID aware of the investigation due to its potential complex nature. I believe that this investigation can be considered as complex due to the potential discovery of new information from interviewing the subject and examination of his mobile device. The information which could be gained may provide links to organised crime groups within the area. The DS in this instance agreed with the investigation being considered as complex, however stated that I had the suitable expertise to interview the subject without the assistance of CID at this time and should further information come to light that the subject was indeed linked to OCG in the area then a detective could be allocated accordingly.</w:t>
      </w:r>
    </w:p>
    <w:p w14:paraId="6FA60E90"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 xml:space="preserve">The subject had a solicitor present during interview as is their legal right. The solicitor stated that his client had been advised to provide the answer of “NO COMMENT” to all questions at this point. I believe this was due to the fact that the mobile device of the subject had not been examined yet and the solicitor </w:t>
      </w:r>
      <w:r w:rsidRPr="00964CA2">
        <w:rPr>
          <w:rFonts w:asciiTheme="minorHAnsi" w:hAnsiTheme="minorHAnsi" w:cstheme="minorHAnsi"/>
          <w:sz w:val="28"/>
          <w:szCs w:val="28"/>
        </w:rPr>
        <w:lastRenderedPageBreak/>
        <w:t>believed that the subject should await to see what evidence, if any could be gained from the examination before answering questions.</w:t>
      </w:r>
    </w:p>
    <w:p w14:paraId="5089AC03"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As per the advice of their solicitor the subject answered “NO COMMENT” to many of my questions. However, in order to build a detailed picture of the subject’s life and circumstances, I asked a number of questions relating to the lifestyle of the subject. The subject answered these questions willingly.</w:t>
      </w:r>
    </w:p>
    <w:p w14:paraId="4C98D91D"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I managed to gain information such as the subject was unemployed, currently homeless, and had substance abuse problems. These circumstances made it clear to me that the subject could be vulnerable to exploitation, and it was likely that this was the driving factor behind their criminal behaviour. The subject could be selling drugs in this instance in order to fund their habits, to fund their living costs, or in exchange for things such as shelter from an individual likely to have OCG connections.</w:t>
      </w:r>
    </w:p>
    <w:p w14:paraId="1ECE0833"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 xml:space="preserve">The interview was terminated and the subject was released under investigation pending the discovery of new evidence from the examination of his mobile devices, however due to the discovery of the apparent vulnerabilities that I identified during the initial interview, I set about referring the subject for support from partner agencies in order to safeguard him from the potential that he was being exploited into committing criminal activity. These referrals were discussed with him and consent was gained for me to </w:t>
      </w:r>
      <w:r w:rsidRPr="00964CA2">
        <w:rPr>
          <w:rFonts w:asciiTheme="minorHAnsi" w:hAnsiTheme="minorHAnsi" w:cstheme="minorHAnsi"/>
          <w:sz w:val="28"/>
          <w:szCs w:val="28"/>
        </w:rPr>
        <w:lastRenderedPageBreak/>
        <w:t>share information about himself and his circumstances with relevant partner agencies by was of a public protection notification. This report was completed using the internal computer systems of Gwent Police and submitted to a safeguarding hub where relevant support could be identified and notified to contact the individual. The support that I facilitated for the subject included an appointment with a drugs and alcohol addiction service in the hopes that the subject could address his substance misuse problems which may remove a motivation for the to commit criminal activity.</w:t>
      </w:r>
    </w:p>
    <w:p w14:paraId="611D5E1F"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This investigation is currently still ongoing and I am awaiting the return of the results of examination of the subject’s mobile device.</w:t>
      </w:r>
    </w:p>
    <w:p w14:paraId="3EB0C40C"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Upon reflection, I believe my actions so far in this investigation have been competent to a level in order to identify and address an issue of a serious nature in the form of the sale of a controlled substance to potentially vulnerable members of public. As well as being competent in the identification of the issue through the utilisation of information and intelligence, I believe my consideration for ethics throughout my investigation has maintained the integrity of the investigation as well as leading to the identification and facilitation of support in relation to the subject’s own vulnerabilities.</w:t>
      </w:r>
    </w:p>
    <w:p w14:paraId="1E5DD2B5"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 xml:space="preserve">Aside from the criminal charges that will be brought to bear upon the subject should it be considered necessary, I feel that the support that I have identified </w:t>
      </w:r>
      <w:r w:rsidRPr="00964CA2">
        <w:rPr>
          <w:rFonts w:asciiTheme="minorHAnsi" w:hAnsiTheme="minorHAnsi" w:cstheme="minorHAnsi"/>
          <w:sz w:val="28"/>
          <w:szCs w:val="28"/>
        </w:rPr>
        <w:lastRenderedPageBreak/>
        <w:t>as relevant and provided to the subject in this instance may go a way to removing the motivation of the subject in the committing of further criminal activity. This will safeguard members of public from further harm as well as potentially improve the health and quality of life of the subject.</w:t>
      </w:r>
    </w:p>
    <w:p w14:paraId="10693523" w14:textId="77777777" w:rsidR="007B6D1D" w:rsidRPr="00964CA2" w:rsidRDefault="007B6D1D" w:rsidP="007B6D1D">
      <w:pPr>
        <w:spacing w:line="480" w:lineRule="auto"/>
        <w:rPr>
          <w:rFonts w:asciiTheme="minorHAnsi" w:hAnsiTheme="minorHAnsi" w:cstheme="minorHAnsi"/>
          <w:sz w:val="28"/>
          <w:szCs w:val="28"/>
        </w:rPr>
      </w:pPr>
      <w:r w:rsidRPr="00964CA2">
        <w:rPr>
          <w:rFonts w:asciiTheme="minorHAnsi" w:hAnsiTheme="minorHAnsi" w:cstheme="minorHAnsi"/>
          <w:sz w:val="28"/>
          <w:szCs w:val="28"/>
        </w:rPr>
        <w:t>Upon the completion of the examination of the subject’s mobile device, I plan to ascertain if there is any relevant evidence contained upon the device to warrant the further interview and possible arrest following the discovery of further evidence. A detective from CID can also be enlisted should the investigation prove to have links to organised crime.</w:t>
      </w:r>
    </w:p>
    <w:p w14:paraId="0797331D" w14:textId="31604CB3" w:rsidR="00025650" w:rsidRPr="00270EEB" w:rsidRDefault="00025650" w:rsidP="00340E9A">
      <w:pPr>
        <w:ind w:right="237"/>
        <w:jc w:val="both"/>
        <w:rPr>
          <w:sz w:val="24"/>
          <w:szCs w:val="24"/>
        </w:rPr>
      </w:pPr>
    </w:p>
    <w:p w14:paraId="4E9085BF" w14:textId="77777777" w:rsidR="00025650" w:rsidRPr="00270EEB" w:rsidRDefault="00025650" w:rsidP="00796886">
      <w:pPr>
        <w:ind w:right="237" w:firstLine="720"/>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3362883A" w14:textId="77777777" w:rsidR="007B6D1D" w:rsidRPr="00D33A0F" w:rsidRDefault="007B6D1D" w:rsidP="007B6D1D">
      <w:pPr>
        <w:spacing w:line="480" w:lineRule="auto"/>
        <w:rPr>
          <w:rFonts w:asciiTheme="minorHAnsi" w:hAnsiTheme="minorHAnsi" w:cstheme="minorHAnsi"/>
          <w:sz w:val="28"/>
          <w:szCs w:val="28"/>
        </w:rPr>
      </w:pPr>
      <w:r w:rsidRPr="00D33A0F">
        <w:rPr>
          <w:rFonts w:asciiTheme="minorHAnsi" w:hAnsiTheme="minorHAnsi" w:cstheme="minorHAnsi"/>
          <w:sz w:val="28"/>
          <w:szCs w:val="28"/>
        </w:rPr>
        <w:t>This essay will explain the immediate actions which I took in order to safeguard a victim of crime in which digital technology was utilised as a vector of committing the crime. I will also detail the potential characteristics of a person who may be more vulnerable in this type of incident.</w:t>
      </w:r>
    </w:p>
    <w:p w14:paraId="6610E3B2" w14:textId="77777777" w:rsidR="007B6D1D" w:rsidRPr="00D33A0F" w:rsidRDefault="007B6D1D" w:rsidP="007B6D1D">
      <w:pPr>
        <w:spacing w:line="480" w:lineRule="auto"/>
        <w:rPr>
          <w:rFonts w:asciiTheme="minorHAnsi" w:hAnsiTheme="minorHAnsi" w:cstheme="minorHAnsi"/>
          <w:sz w:val="28"/>
          <w:szCs w:val="28"/>
        </w:rPr>
      </w:pPr>
      <w:r w:rsidRPr="00D33A0F">
        <w:rPr>
          <w:rFonts w:asciiTheme="minorHAnsi" w:hAnsiTheme="minorHAnsi" w:cstheme="minorHAnsi"/>
          <w:sz w:val="28"/>
          <w:szCs w:val="28"/>
        </w:rPr>
        <w:t>During my career as a police officer so far, I have been witness to many criminal activities in which digital technology has been utilised in the committing of crime. Digital technology can be used in order to commit a wide array of criminal offences, ranging from low level malicious communications to a large scale embezzlement of funds from a business or corporation.</w:t>
      </w:r>
    </w:p>
    <w:p w14:paraId="30FC2092" w14:textId="77777777" w:rsidR="007B6D1D" w:rsidRPr="00D33A0F" w:rsidRDefault="007B6D1D" w:rsidP="007B6D1D">
      <w:pPr>
        <w:spacing w:line="480" w:lineRule="auto"/>
        <w:rPr>
          <w:rFonts w:asciiTheme="minorHAnsi" w:hAnsiTheme="minorHAnsi" w:cstheme="minorHAnsi"/>
          <w:sz w:val="28"/>
          <w:szCs w:val="28"/>
        </w:rPr>
      </w:pPr>
      <w:r w:rsidRPr="00D33A0F">
        <w:rPr>
          <w:rFonts w:asciiTheme="minorHAnsi" w:hAnsiTheme="minorHAnsi" w:cstheme="minorHAnsi"/>
          <w:sz w:val="28"/>
          <w:szCs w:val="28"/>
        </w:rPr>
        <w:t xml:space="preserve">The instance which I am going to use in order to explain my actions in safeguarding the victim occurred following an instance of domestic violence in which the victim had been assaulted by her ex partner. Following the assault, the victim reported the incident to police and wished to pursue a formal complaint against the subject. The subject, and the family of the subject, then </w:t>
      </w:r>
      <w:r w:rsidRPr="00D33A0F">
        <w:rPr>
          <w:rFonts w:asciiTheme="minorHAnsi" w:hAnsiTheme="minorHAnsi" w:cstheme="minorHAnsi"/>
          <w:sz w:val="28"/>
          <w:szCs w:val="28"/>
        </w:rPr>
        <w:lastRenderedPageBreak/>
        <w:t>proceeded to send the victim and her family threats and abuse by way of telecommunications which accounts for the use of digital technology in the committing of an offence. It was believed that these threats were intended to prevent the victim and her family from providing evidence at a subsequent trial following the investigation of the assault on the victim.</w:t>
      </w:r>
    </w:p>
    <w:p w14:paraId="537A5302" w14:textId="77777777" w:rsidR="007B6D1D" w:rsidRPr="00D33A0F" w:rsidRDefault="007B6D1D" w:rsidP="007B6D1D">
      <w:pPr>
        <w:spacing w:line="480" w:lineRule="auto"/>
        <w:rPr>
          <w:rFonts w:asciiTheme="minorHAnsi" w:hAnsiTheme="minorHAnsi" w:cstheme="minorHAnsi"/>
          <w:sz w:val="28"/>
          <w:szCs w:val="28"/>
        </w:rPr>
      </w:pPr>
      <w:r w:rsidRPr="00D33A0F">
        <w:rPr>
          <w:rFonts w:asciiTheme="minorHAnsi" w:hAnsiTheme="minorHAnsi" w:cstheme="minorHAnsi"/>
          <w:sz w:val="28"/>
          <w:szCs w:val="28"/>
        </w:rPr>
        <w:t>The primary actions I took in this instance were in relation to safeguarding the victim from harm. I did this by completing a risk assessment with the victim in order to ascertain if it appeared that they were at immediate risk of serious harm. The following police actions could then be formulated depending upon the information relating to the circumstances that was gained. It was apparent from the answers received from the questions asked of the victim that there was no apparent risk of immediate serious harm becoming them. A support network of family members and friends were already in place, but I utilised a partnership working approach in order to put the victim in contact with agencies such as an assertive outreach team who specialised in dealing with victims of domestic abuse.</w:t>
      </w:r>
    </w:p>
    <w:p w14:paraId="16CF68FE" w14:textId="77777777" w:rsidR="007B6D1D" w:rsidRPr="00D33A0F" w:rsidRDefault="007B6D1D" w:rsidP="007B6D1D">
      <w:pPr>
        <w:spacing w:line="480" w:lineRule="auto"/>
        <w:rPr>
          <w:rFonts w:asciiTheme="minorHAnsi" w:hAnsiTheme="minorHAnsi" w:cstheme="minorHAnsi"/>
          <w:sz w:val="28"/>
          <w:szCs w:val="28"/>
        </w:rPr>
      </w:pPr>
      <w:r w:rsidRPr="00D33A0F">
        <w:rPr>
          <w:rFonts w:asciiTheme="minorHAnsi" w:hAnsiTheme="minorHAnsi" w:cstheme="minorHAnsi"/>
          <w:sz w:val="28"/>
          <w:szCs w:val="28"/>
        </w:rPr>
        <w:t xml:space="preserve">Due to the identification of offences committed using digital technologies, I now had to turn my attention to the collection and investigation of evidence relating to this as well as the physical assault. In this instance, it would not be preferable to seize the victim’s mobile device in order to gain evidence of the </w:t>
      </w:r>
      <w:r w:rsidRPr="00D33A0F">
        <w:rPr>
          <w:rFonts w:asciiTheme="minorHAnsi" w:hAnsiTheme="minorHAnsi" w:cstheme="minorHAnsi"/>
          <w:sz w:val="28"/>
          <w:szCs w:val="28"/>
        </w:rPr>
        <w:lastRenderedPageBreak/>
        <w:t>offence that was committed. Doing so may remove a channel of communication from the victim to support services, their support network, as well as police. This action could place the victim at risk of further harm by negating some of the safeguarding put in place. In this particular instance however, the victim was in possession of multiple mobile devices, and the device upon which they had received the threats and insults was simply a secondary device. Due to these circumstances, the device was able to be seized in order for examination and detection of the IP addresses used by the subjects to send the messages which would constitute offences. In order to do this, I contacted the digital services department of Gwent Police who were better versed in the investigation of such criminal activity. They stated that by gaining authorisation to examine and retrieve IP addresses of the devices used to send the threatening messages, an address could be gained from inside which the messages were being sent. This proved useful as some of the messages were sent from anonymous social media accounts.</w:t>
      </w:r>
    </w:p>
    <w:p w14:paraId="2DFB9604" w14:textId="77777777" w:rsidR="007B6D1D" w:rsidRPr="00D33A0F" w:rsidRDefault="007B6D1D" w:rsidP="007B6D1D">
      <w:pPr>
        <w:spacing w:line="480" w:lineRule="auto"/>
        <w:rPr>
          <w:rFonts w:asciiTheme="minorHAnsi" w:hAnsiTheme="minorHAnsi" w:cstheme="minorHAnsi"/>
          <w:sz w:val="28"/>
          <w:szCs w:val="28"/>
        </w:rPr>
      </w:pPr>
      <w:r w:rsidRPr="00D33A0F">
        <w:rPr>
          <w:rFonts w:asciiTheme="minorHAnsi" w:hAnsiTheme="minorHAnsi" w:cstheme="minorHAnsi"/>
          <w:sz w:val="28"/>
          <w:szCs w:val="28"/>
        </w:rPr>
        <w:t xml:space="preserve">The aforementioned examination was authorised following the consideration of factors such as proportionality and necessity. </w:t>
      </w:r>
    </w:p>
    <w:p w14:paraId="27B6E4B5" w14:textId="77777777" w:rsidR="007B6D1D" w:rsidRPr="00D33A0F" w:rsidRDefault="007B6D1D" w:rsidP="007B6D1D">
      <w:pPr>
        <w:spacing w:line="480" w:lineRule="auto"/>
        <w:rPr>
          <w:rFonts w:asciiTheme="minorHAnsi" w:hAnsiTheme="minorHAnsi" w:cstheme="minorHAnsi"/>
          <w:sz w:val="28"/>
          <w:szCs w:val="28"/>
        </w:rPr>
      </w:pPr>
      <w:r w:rsidRPr="00D33A0F">
        <w:rPr>
          <w:rFonts w:asciiTheme="minorHAnsi" w:hAnsiTheme="minorHAnsi" w:cstheme="minorHAnsi"/>
          <w:sz w:val="28"/>
          <w:szCs w:val="28"/>
        </w:rPr>
        <w:t xml:space="preserve">As well as the anonymous social media accounts used, messages were also being sent from unrecognised mobile numbers. By obtaining these numbers, I was able to complete a subscribers check in order to ascertain who the </w:t>
      </w:r>
      <w:r w:rsidRPr="00D33A0F">
        <w:rPr>
          <w:rFonts w:asciiTheme="minorHAnsi" w:hAnsiTheme="minorHAnsi" w:cstheme="minorHAnsi"/>
          <w:sz w:val="28"/>
          <w:szCs w:val="28"/>
        </w:rPr>
        <w:lastRenderedPageBreak/>
        <w:t>number was believed to be registered to. This is done through the use of internal police computer systems as well as the Police National Computer database. One of the unrecognised mobile numbers was currently in use at the time, and was believed to belong to a cousin of the subject which had allegedly assaulted the victim initially. This information was able to be used in order to facilitate the arrest of the subject in question upon suspicion of the serious offence of witness intimidation. Following the arrest of the subject for this offence, an officer has the power to seize any item believed to be evidence relating to the offence being investigated under s.32 PACE. According to s.32 PACE 1984, “</w:t>
      </w:r>
      <w:r w:rsidRPr="00D33A0F">
        <w:rPr>
          <w:rFonts w:asciiTheme="minorHAnsi" w:hAnsiTheme="minorHAnsi" w:cstheme="minorHAnsi"/>
          <w:i/>
          <w:iCs/>
          <w:sz w:val="28"/>
          <w:szCs w:val="28"/>
        </w:rPr>
        <w:t>following an arrest, a subject may be searched by an officer if there are reasonable grounds to believe that they are in possession of items which could be considered as evidence of the offence under investigation”</w:t>
      </w:r>
      <w:r w:rsidRPr="00D33A0F">
        <w:rPr>
          <w:rFonts w:asciiTheme="minorHAnsi" w:hAnsiTheme="minorHAnsi" w:cstheme="minorHAnsi"/>
          <w:sz w:val="28"/>
          <w:szCs w:val="28"/>
        </w:rPr>
        <w:t xml:space="preserve"> (PACE, 1984). Due to the offence being an indictable offence, the mobile device believed to be belonging to the subject that was discovered upon his person was seized. I then requested authorisation from my inspector that this device be examined in order to view the messages sent from it as well as activity that would prove the committing of the offence in question. This authorisation must be sought due to the intrusive nature of the proposed examination. This is a serious undertaking, as encroaching on an individuals privacy is considered to be a breach of a person’s human rights. The Human </w:t>
      </w:r>
      <w:r w:rsidRPr="00D33A0F">
        <w:rPr>
          <w:rFonts w:asciiTheme="minorHAnsi" w:hAnsiTheme="minorHAnsi" w:cstheme="minorHAnsi"/>
          <w:sz w:val="28"/>
          <w:szCs w:val="28"/>
        </w:rPr>
        <w:lastRenderedPageBreak/>
        <w:t xml:space="preserve">Rights Act 1998 (HRA) lists a number of rights that a person is entitled to which should not be encroached upon in order to maintain a fair and ethical society. </w:t>
      </w:r>
    </w:p>
    <w:p w14:paraId="2E70B1A5" w14:textId="77777777" w:rsidR="007B6D1D" w:rsidRPr="00D33A0F" w:rsidRDefault="007B6D1D" w:rsidP="007B6D1D">
      <w:pPr>
        <w:spacing w:line="480" w:lineRule="auto"/>
        <w:rPr>
          <w:rFonts w:asciiTheme="minorHAnsi" w:hAnsiTheme="minorHAnsi" w:cstheme="minorHAnsi"/>
          <w:sz w:val="28"/>
          <w:szCs w:val="28"/>
        </w:rPr>
      </w:pPr>
      <w:r w:rsidRPr="00D33A0F">
        <w:rPr>
          <w:rFonts w:asciiTheme="minorHAnsi" w:hAnsiTheme="minorHAnsi" w:cstheme="minorHAnsi"/>
          <w:sz w:val="28"/>
          <w:szCs w:val="28"/>
        </w:rPr>
        <w:t>Article 8 of the HRA states that a person should have the “</w:t>
      </w:r>
      <w:r w:rsidRPr="00D33A0F">
        <w:rPr>
          <w:rFonts w:asciiTheme="minorHAnsi" w:hAnsiTheme="minorHAnsi" w:cstheme="minorHAnsi"/>
          <w:i/>
          <w:iCs/>
          <w:sz w:val="28"/>
          <w:szCs w:val="28"/>
        </w:rPr>
        <w:t xml:space="preserve">Right to respect for private and family life” </w:t>
      </w:r>
      <w:r w:rsidRPr="00D33A0F">
        <w:rPr>
          <w:rFonts w:asciiTheme="minorHAnsi" w:hAnsiTheme="minorHAnsi" w:cstheme="minorHAnsi"/>
          <w:sz w:val="28"/>
          <w:szCs w:val="28"/>
        </w:rPr>
        <w:t>(Human Rights Act, 1998). This right is considered as a qualified right. This means that it can be encroached upon by local authorities if it is believed to be in the best interest of the wider community. In this instance, my justification proved proportionate as it would enable me to protect the victim from further harm.</w:t>
      </w:r>
    </w:p>
    <w:p w14:paraId="345BE221" w14:textId="77777777" w:rsidR="007B6D1D" w:rsidRPr="00D33A0F" w:rsidRDefault="007B6D1D" w:rsidP="007B6D1D">
      <w:pPr>
        <w:spacing w:line="480" w:lineRule="auto"/>
        <w:rPr>
          <w:rFonts w:asciiTheme="minorHAnsi" w:hAnsiTheme="minorHAnsi" w:cstheme="minorHAnsi"/>
          <w:sz w:val="28"/>
          <w:szCs w:val="28"/>
        </w:rPr>
      </w:pPr>
      <w:r w:rsidRPr="00D33A0F">
        <w:rPr>
          <w:rFonts w:asciiTheme="minorHAnsi" w:hAnsiTheme="minorHAnsi" w:cstheme="minorHAnsi"/>
          <w:sz w:val="28"/>
          <w:szCs w:val="28"/>
        </w:rPr>
        <w:t xml:space="preserve">Following the examination of the device, it was determined that the device had been used to commit the offence of witness intimidation and the subject was charged. This result would not have been possible without the utilisation of complex digital examination of the mobile devices discovered and believed to have been used to commit the offences. This highlights the importance in policing organisations being digitally adept in the modern world, as people conduct their daily business more commonly using digital devices. </w:t>
      </w:r>
    </w:p>
    <w:p w14:paraId="43FEE800" w14:textId="77777777" w:rsidR="007B6D1D" w:rsidRPr="00D33A0F" w:rsidRDefault="007B6D1D" w:rsidP="007B6D1D">
      <w:pPr>
        <w:spacing w:line="480" w:lineRule="auto"/>
        <w:rPr>
          <w:rFonts w:asciiTheme="minorHAnsi" w:hAnsiTheme="minorHAnsi" w:cstheme="minorHAnsi"/>
          <w:sz w:val="28"/>
          <w:szCs w:val="28"/>
        </w:rPr>
      </w:pPr>
      <w:r w:rsidRPr="00D33A0F">
        <w:rPr>
          <w:rFonts w:asciiTheme="minorHAnsi" w:hAnsiTheme="minorHAnsi" w:cstheme="minorHAnsi"/>
          <w:sz w:val="28"/>
          <w:szCs w:val="28"/>
        </w:rPr>
        <w:t xml:space="preserve">As stated, cybercrime, or cyber enabled and dependent crimes are becoming increasingly popular due to the modernisation and digitalisation of people’s everyday lives. The increase in frequency of use of digital devices throughout everyday life for members of the public increases the level of opportunity for that technology to be exploited by criminal activity. Examples of how this can </w:t>
      </w:r>
      <w:r w:rsidRPr="00D33A0F">
        <w:rPr>
          <w:rFonts w:asciiTheme="minorHAnsi" w:hAnsiTheme="minorHAnsi" w:cstheme="minorHAnsi"/>
          <w:sz w:val="28"/>
          <w:szCs w:val="28"/>
        </w:rPr>
        <w:lastRenderedPageBreak/>
        <w:t>be achieved are through attacks using malware or phishing. During such an attack, an offender requests that a victim provide sensitive details which can be used to commit further offences such as fraud. The data obtained can be used directly or indirectly to commit fraudulent offences, whether it be the direct withdrawal of funds, to the acquiring of services without payment (NCA Cyber Crime Assessment, 2017, p21).</w:t>
      </w:r>
    </w:p>
    <w:p w14:paraId="251723F0" w14:textId="77777777" w:rsidR="007B6D1D" w:rsidRPr="00D33A0F" w:rsidRDefault="007B6D1D" w:rsidP="007B6D1D">
      <w:pPr>
        <w:spacing w:line="480" w:lineRule="auto"/>
        <w:rPr>
          <w:rFonts w:asciiTheme="minorHAnsi" w:hAnsiTheme="minorHAnsi" w:cstheme="minorHAnsi"/>
          <w:sz w:val="28"/>
          <w:szCs w:val="28"/>
        </w:rPr>
      </w:pPr>
      <w:r w:rsidRPr="00D33A0F">
        <w:rPr>
          <w:rFonts w:asciiTheme="minorHAnsi" w:hAnsiTheme="minorHAnsi" w:cstheme="minorHAnsi"/>
          <w:sz w:val="28"/>
          <w:szCs w:val="28"/>
        </w:rPr>
        <w:t>The emergence of Cybercrime is a recent phenomenon and has become a prominent crime type within the UK since the 1980’s. This emergence has led to the formulation of a National Hight Tech Crime Unit as a branch of the National Crime Agency. This is due partly to the recognition in development of complexity in cyber enabled crime, and the subsequent need for development of specialised response.</w:t>
      </w:r>
    </w:p>
    <w:p w14:paraId="03CA8329" w14:textId="77777777" w:rsidR="007B6D1D" w:rsidRPr="00D33A0F" w:rsidRDefault="007B6D1D" w:rsidP="007B6D1D">
      <w:pPr>
        <w:spacing w:line="480" w:lineRule="auto"/>
        <w:rPr>
          <w:rFonts w:asciiTheme="minorHAnsi" w:hAnsiTheme="minorHAnsi" w:cstheme="minorHAnsi"/>
          <w:sz w:val="28"/>
          <w:szCs w:val="28"/>
        </w:rPr>
      </w:pPr>
      <w:r w:rsidRPr="00D33A0F">
        <w:rPr>
          <w:rFonts w:asciiTheme="minorHAnsi" w:hAnsiTheme="minorHAnsi" w:cstheme="minorHAnsi"/>
          <w:sz w:val="28"/>
          <w:szCs w:val="28"/>
        </w:rPr>
        <w:t>During my policing career, I have not yet been the officer in case in a complex cyber enabled crime. Through my research of how to investigate such crimes however, it is widely recognised that prevention is often better than cure. Considering this, I have used a wide range of resources to gain expertise enabling me to administer tailored advice to potential victims of cybercrime. These resources have provided with me with advice such as “keeping anti-virus software up to date” and “use strong, hard to guess passwords” (National Cyber Security Centre, 2021).</w:t>
      </w:r>
    </w:p>
    <w:p w14:paraId="0B166EA0" w14:textId="77777777" w:rsidR="007B6D1D" w:rsidRPr="00D33A0F" w:rsidRDefault="007B6D1D" w:rsidP="007B6D1D">
      <w:pPr>
        <w:spacing w:line="480" w:lineRule="auto"/>
        <w:rPr>
          <w:rFonts w:asciiTheme="minorHAnsi" w:hAnsiTheme="minorHAnsi" w:cstheme="minorHAnsi"/>
          <w:sz w:val="28"/>
          <w:szCs w:val="28"/>
        </w:rPr>
      </w:pPr>
      <w:r w:rsidRPr="00D33A0F">
        <w:rPr>
          <w:rFonts w:asciiTheme="minorHAnsi" w:hAnsiTheme="minorHAnsi" w:cstheme="minorHAnsi"/>
          <w:sz w:val="28"/>
          <w:szCs w:val="28"/>
        </w:rPr>
        <w:lastRenderedPageBreak/>
        <w:t>This new found knowledge base is useless however if potential victims of cybercrime cannot be identified before they are subject to crime. It is believed that there are certain characteristics which make an individual a more attractive target of this kind of crime. It is believed that single or widowed individuals are more susceptible to ‘romance-fraud’. This crime type is centred around gaining the trust of a victim through conversing with them online before exploiting this relationship by requesting money or other beneficial services. As well as single persons, elderly persons who are generally unfamiliar with the standard operation of new technology are also an attractive target to potential cybercriminals. This is partly due to the fact that they are unfamiliar with how to protect themselves when using digital devices. This is why I believe that by circulating effective advice on how to protect themselves against cyber-criminality I can reduce the occurrence and effect of cyber criminals in in my local policing area.</w:t>
      </w:r>
    </w:p>
    <w:p w14:paraId="769EA279" w14:textId="77777777" w:rsidR="007B6D1D" w:rsidRPr="00D33A0F" w:rsidRDefault="007B6D1D" w:rsidP="007B6D1D">
      <w:pPr>
        <w:overflowPunct/>
        <w:autoSpaceDE/>
        <w:autoSpaceDN/>
        <w:adjustRightInd/>
        <w:spacing w:after="160" w:line="480" w:lineRule="auto"/>
        <w:textAlignment w:val="auto"/>
        <w:rPr>
          <w:rFonts w:asciiTheme="minorHAnsi" w:hAnsiTheme="minorHAnsi" w:cstheme="minorHAnsi"/>
          <w:sz w:val="28"/>
          <w:szCs w:val="28"/>
        </w:rPr>
      </w:pPr>
      <w:r w:rsidRPr="00D33A0F">
        <w:rPr>
          <w:rFonts w:asciiTheme="minorHAnsi" w:hAnsiTheme="minorHAnsi" w:cstheme="minorHAnsi"/>
          <w:sz w:val="28"/>
          <w:szCs w:val="28"/>
        </w:rPr>
        <w:t xml:space="preserve">Although these identified sub categories of people are believed to be more vulnerable to cybercrime, I believe that any person can be considered as a potential target for cyber criminals. For example, in my opinion, a younger person may be susceptible to sextortion following the sharing of explicit images, a middle aged successful businessman with no other considered vulnerabilities could be an attractive target of financial fraud or theft using a </w:t>
      </w:r>
      <w:r w:rsidRPr="00D33A0F">
        <w:rPr>
          <w:rFonts w:asciiTheme="minorHAnsi" w:hAnsiTheme="minorHAnsi" w:cstheme="minorHAnsi"/>
          <w:sz w:val="28"/>
          <w:szCs w:val="28"/>
        </w:rPr>
        <w:lastRenderedPageBreak/>
        <w:t>digital device, and an elderly lonely subject could be considered at risk of exploitation by way of romance-fraud crime. This difference in characteristics across these different potential victims would suggest to me that there is no specific characteristic that would class a person as particularly vulnerable of cybercrime. This obviously makes identifying potential victims difficult as there are no specific characteristics to be on the lookout for.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headerReference w:type="even" r:id="rId17"/>
          <w:headerReference w:type="default" r:id="rId18"/>
          <w:footerReference w:type="even" r:id="rId19"/>
          <w:footerReference w:type="default" r:id="rId20"/>
          <w:headerReference w:type="first" r:id="rId21"/>
          <w:footerReference w:type="first" r:id="rId22"/>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7DD2A018"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Signed:  _</w:t>
      </w:r>
      <w:r w:rsidR="00E07DF8">
        <w:rPr>
          <w:rStyle w:val="normaltextrun"/>
          <w:rFonts w:eastAsia="Arial"/>
          <w:color w:val="000000" w:themeColor="text1"/>
          <w:sz w:val="24"/>
          <w:szCs w:val="24"/>
        </w:rPr>
        <w:t>T. Price</w:t>
      </w:r>
      <w:r w:rsidRPr="4C3E8AB8">
        <w:rPr>
          <w:rStyle w:val="normaltextrun"/>
          <w:rFonts w:eastAsia="Arial"/>
          <w:color w:val="000000" w:themeColor="text1"/>
          <w:sz w:val="24"/>
          <w:szCs w:val="24"/>
        </w:rPr>
        <w:t>_ _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3E0FE66C"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_ </w:t>
      </w:r>
      <w:r w:rsidR="00E07DF8">
        <w:rPr>
          <w:rStyle w:val="normaltextrun"/>
          <w:rFonts w:eastAsia="Arial"/>
          <w:color w:val="000000" w:themeColor="text1"/>
          <w:sz w:val="24"/>
          <w:szCs w:val="24"/>
        </w:rPr>
        <w:t>13/09/2021</w:t>
      </w:r>
      <w:r w:rsidRPr="4C3E8AB8">
        <w:rPr>
          <w:rStyle w:val="normaltextrun"/>
          <w:rFonts w:eastAsia="Arial"/>
          <w:color w:val="000000" w:themeColor="text1"/>
          <w:sz w:val="24"/>
          <w:szCs w:val="24"/>
        </w:rPr>
        <w:t xml:space="preserve"> _ _ _ _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06C4A0C9" w14:textId="77777777" w:rsidR="007B6D1D" w:rsidRDefault="007B6D1D" w:rsidP="00340E9A">
      <w:pPr>
        <w:keepNext/>
        <w:spacing w:before="240" w:after="60"/>
        <w:ind w:right="237"/>
        <w:jc w:val="both"/>
        <w:rPr>
          <w:b/>
          <w:sz w:val="24"/>
          <w:szCs w:val="24"/>
        </w:rPr>
      </w:pPr>
    </w:p>
    <w:p w14:paraId="2DAC9735" w14:textId="77777777" w:rsidR="007B6D1D" w:rsidRDefault="007B6D1D" w:rsidP="00340E9A">
      <w:pPr>
        <w:keepNext/>
        <w:spacing w:before="240" w:after="60"/>
        <w:ind w:right="237"/>
        <w:jc w:val="both"/>
        <w:rPr>
          <w:b/>
          <w:sz w:val="24"/>
          <w:szCs w:val="24"/>
        </w:rPr>
      </w:pPr>
    </w:p>
    <w:p w14:paraId="795331AA" w14:textId="77777777" w:rsidR="007B6D1D" w:rsidRDefault="007B6D1D" w:rsidP="00340E9A">
      <w:pPr>
        <w:keepNext/>
        <w:spacing w:before="240" w:after="60"/>
        <w:ind w:right="237"/>
        <w:jc w:val="both"/>
        <w:rPr>
          <w:b/>
          <w:sz w:val="24"/>
          <w:szCs w:val="24"/>
        </w:rPr>
      </w:pPr>
    </w:p>
    <w:p w14:paraId="673084B0" w14:textId="77777777" w:rsidR="007B6D1D" w:rsidRDefault="007B6D1D" w:rsidP="00340E9A">
      <w:pPr>
        <w:keepNext/>
        <w:spacing w:before="240" w:after="60"/>
        <w:ind w:right="237"/>
        <w:jc w:val="both"/>
        <w:rPr>
          <w:b/>
          <w:sz w:val="24"/>
          <w:szCs w:val="24"/>
        </w:rPr>
      </w:pPr>
    </w:p>
    <w:p w14:paraId="1DA85A40" w14:textId="77777777" w:rsidR="007B6D1D" w:rsidRDefault="007B6D1D" w:rsidP="00340E9A">
      <w:pPr>
        <w:keepNext/>
        <w:spacing w:before="240" w:after="60"/>
        <w:ind w:right="237"/>
        <w:jc w:val="both"/>
        <w:rPr>
          <w:b/>
          <w:sz w:val="24"/>
          <w:szCs w:val="24"/>
        </w:rPr>
      </w:pPr>
    </w:p>
    <w:p w14:paraId="7F142CBE" w14:textId="77777777" w:rsidR="007B6D1D" w:rsidRDefault="007B6D1D" w:rsidP="00340E9A">
      <w:pPr>
        <w:keepNext/>
        <w:spacing w:before="240" w:after="60"/>
        <w:ind w:right="237"/>
        <w:jc w:val="both"/>
        <w:rPr>
          <w:b/>
          <w:sz w:val="24"/>
          <w:szCs w:val="24"/>
        </w:rPr>
      </w:pPr>
    </w:p>
    <w:p w14:paraId="0B9A9CD5" w14:textId="77777777" w:rsidR="007B6D1D" w:rsidRDefault="007B6D1D" w:rsidP="00340E9A">
      <w:pPr>
        <w:keepNext/>
        <w:spacing w:before="240" w:after="60"/>
        <w:ind w:right="237"/>
        <w:jc w:val="both"/>
        <w:rPr>
          <w:b/>
          <w:sz w:val="24"/>
          <w:szCs w:val="24"/>
        </w:rPr>
      </w:pPr>
    </w:p>
    <w:p w14:paraId="2B4DA333" w14:textId="26545055"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06B31EC1" w14:textId="77777777" w:rsidR="00E07DF8" w:rsidRDefault="00E07DF8" w:rsidP="00E07DF8">
      <w:r>
        <w:t>Bryant, R. and Bryant, S., n.d. Blackstone's Handbook For Policing Students 2020. p.79</w:t>
      </w:r>
    </w:p>
    <w:p w14:paraId="20AF951A" w14:textId="77777777" w:rsidR="00E07DF8" w:rsidRDefault="00E07DF8" w:rsidP="00E07DF8">
      <w:r>
        <w:rPr>
          <w:rStyle w:val="Hyperlink"/>
          <w:color w:val="auto"/>
        </w:rPr>
        <w:t xml:space="preserve">College of Policing (2013) </w:t>
      </w:r>
      <w:r>
        <w:rPr>
          <w:rStyle w:val="Hyperlink"/>
          <w:i/>
          <w:iCs/>
          <w:color w:val="auto"/>
        </w:rPr>
        <w:t xml:space="preserve">National Decision Making Model, </w:t>
      </w:r>
      <w:r>
        <w:rPr>
          <w:rStyle w:val="Hyperlink"/>
          <w:color w:val="auto"/>
        </w:rPr>
        <w:t xml:space="preserve">Accessed at: </w:t>
      </w:r>
      <w:hyperlink r:id="rId23" w:anchor="application" w:history="1">
        <w:r w:rsidRPr="00961647">
          <w:rPr>
            <w:rStyle w:val="Hyperlink"/>
          </w:rPr>
          <w:t>https://www.app.college.police.uk/app-content/national-decision-model/the-national-decision-model/#application</w:t>
        </w:r>
      </w:hyperlink>
      <w:r>
        <w:rPr>
          <w:rStyle w:val="Hyperlink"/>
          <w:color w:val="auto"/>
        </w:rPr>
        <w:t xml:space="preserve"> (Accessed: 25</w:t>
      </w:r>
      <w:r w:rsidRPr="007906B3">
        <w:rPr>
          <w:rStyle w:val="Hyperlink"/>
          <w:color w:val="auto"/>
          <w:vertAlign w:val="superscript"/>
        </w:rPr>
        <w:t>th</w:t>
      </w:r>
      <w:r>
        <w:rPr>
          <w:rStyle w:val="Hyperlink"/>
          <w:color w:val="auto"/>
        </w:rPr>
        <w:t xml:space="preserve"> March 2021).</w:t>
      </w:r>
    </w:p>
    <w:p w14:paraId="0AF7C8C3" w14:textId="77777777" w:rsidR="00E07DF8" w:rsidRDefault="00E07DF8" w:rsidP="00E07DF8">
      <w:pPr>
        <w:rPr>
          <w:rStyle w:val="Hyperlink"/>
          <w:color w:val="auto"/>
        </w:rPr>
      </w:pPr>
      <w:r>
        <w:t xml:space="preserve">College of Policing (2017) </w:t>
      </w:r>
      <w:r>
        <w:rPr>
          <w:i/>
          <w:iCs/>
        </w:rPr>
        <w:t xml:space="preserve">Problem-orientated policing. </w:t>
      </w:r>
      <w:r>
        <w:t xml:space="preserve">Available at: </w:t>
      </w:r>
      <w:hyperlink r:id="rId24" w:history="1">
        <w:r>
          <w:rPr>
            <w:rStyle w:val="Hyperlink"/>
          </w:rPr>
          <w:t>https://whatworks.college.police.uk/toolkit/Pages/Intervention.aspx?InterventionID=47</w:t>
        </w:r>
      </w:hyperlink>
      <w:r>
        <w:rPr>
          <w:rStyle w:val="Hyperlink"/>
        </w:rPr>
        <w:t xml:space="preserve"> </w:t>
      </w:r>
      <w:r>
        <w:rPr>
          <w:rStyle w:val="Hyperlink"/>
          <w:color w:val="auto"/>
        </w:rPr>
        <w:t>(Accessed at: 01/09/2021)</w:t>
      </w:r>
    </w:p>
    <w:p w14:paraId="5EDD8ACC" w14:textId="77777777" w:rsidR="00E07DF8" w:rsidRDefault="00E07DF8" w:rsidP="00E07DF8">
      <w:pPr>
        <w:rPr>
          <w:rStyle w:val="Hyperlink"/>
          <w:color w:val="auto"/>
        </w:rPr>
      </w:pPr>
      <w:r>
        <w:rPr>
          <w:rStyle w:val="Hyperlink"/>
        </w:rPr>
        <w:t xml:space="preserve">College of Policing (2021) </w:t>
      </w:r>
      <w:r>
        <w:rPr>
          <w:rStyle w:val="Hyperlink"/>
          <w:i/>
          <w:iCs/>
        </w:rPr>
        <w:t>Summary of the Code of Ethics</w:t>
      </w:r>
      <w:r>
        <w:rPr>
          <w:rStyle w:val="Hyperlink"/>
        </w:rPr>
        <w:t xml:space="preserve"> Accessed at: </w:t>
      </w:r>
      <w:hyperlink r:id="rId25" w:history="1">
        <w:r w:rsidRPr="00A251B8">
          <w:rPr>
            <w:rStyle w:val="Hyperlink"/>
          </w:rPr>
          <w:t>https://paas-s3-broker-prod-lon-6453d964-1d1a-432a-9260-5e0ba7d2fc51.s3.eu-west-2.amazonaws.com/s3fs-public/2021-02/code_of_ethics_summary.pdf</w:t>
        </w:r>
      </w:hyperlink>
      <w:r>
        <w:rPr>
          <w:rStyle w:val="Hyperlink"/>
        </w:rPr>
        <w:t xml:space="preserve"> </w:t>
      </w:r>
      <w:r>
        <w:rPr>
          <w:rStyle w:val="Hyperlink"/>
          <w:color w:val="auto"/>
        </w:rPr>
        <w:t>(Accessed: 07/09/2021)</w:t>
      </w:r>
    </w:p>
    <w:p w14:paraId="7422A985" w14:textId="77777777" w:rsidR="00E07DF8" w:rsidRDefault="00E07DF8" w:rsidP="00E07DF8">
      <w:r>
        <w:t xml:space="preserve">DOLAN, A (2009), “Police thought mother who killed herself and disabled daughter in blazing car was 'over-reacting'”, </w:t>
      </w:r>
      <w:r>
        <w:rPr>
          <w:i/>
          <w:iCs/>
        </w:rPr>
        <w:t>The Daily Mail</w:t>
      </w:r>
      <w:r>
        <w:t xml:space="preserve">, 18 September, Available at: </w:t>
      </w:r>
      <w:hyperlink r:id="rId26" w:history="1">
        <w:r>
          <w:rPr>
            <w:rStyle w:val="Hyperlink"/>
          </w:rPr>
          <w:t>https://www.dailymail.co.uk/news/article-1214393/Police-dismissed-30-pleas-Fiona-Pilkington-killed-disabled-daughter-escape-yobs.html</w:t>
        </w:r>
      </w:hyperlink>
      <w:r>
        <w:rPr>
          <w:rStyle w:val="Hyperlink"/>
        </w:rPr>
        <w:t xml:space="preserve"> </w:t>
      </w:r>
      <w:r>
        <w:rPr>
          <w:rStyle w:val="Hyperlink"/>
          <w:color w:val="auto"/>
        </w:rPr>
        <w:t>(Accessed at: 05/09/2021)</w:t>
      </w:r>
    </w:p>
    <w:p w14:paraId="70CE455B" w14:textId="77777777" w:rsidR="00E07DF8" w:rsidRDefault="00E07DF8" w:rsidP="00E07DF8">
      <w:r w:rsidRPr="00FD3895">
        <w:rPr>
          <w:rStyle w:val="Hyperlink"/>
          <w:color w:val="auto"/>
        </w:rPr>
        <w:t xml:space="preserve">Greenberg, J. (1987). </w:t>
      </w:r>
      <w:r w:rsidRPr="00FD3895">
        <w:rPr>
          <w:rStyle w:val="Hyperlink"/>
          <w:i/>
          <w:iCs/>
          <w:color w:val="auto"/>
        </w:rPr>
        <w:t>A taxonomy of organizational justice theories</w:t>
      </w:r>
      <w:r>
        <w:rPr>
          <w:rStyle w:val="Hyperlink"/>
          <w:i/>
          <w:iCs/>
          <w:color w:val="auto"/>
        </w:rPr>
        <w:t xml:space="preserve"> </w:t>
      </w:r>
      <w:r>
        <w:rPr>
          <w:rStyle w:val="Hyperlink"/>
          <w:color w:val="auto"/>
        </w:rPr>
        <w:t xml:space="preserve">Accessed at: </w:t>
      </w:r>
      <w:hyperlink r:id="rId27" w:history="1">
        <w:r w:rsidRPr="004350F1">
          <w:rPr>
            <w:rStyle w:val="Hyperlink"/>
          </w:rPr>
          <w:t>http://web.mit.edu/curhan/www/docs/Articles/15341_Readings/Justice/Greenberg_1987_A_taxonomy_of_org_justice_theories.pdf</w:t>
        </w:r>
      </w:hyperlink>
      <w:r>
        <w:rPr>
          <w:rStyle w:val="Hyperlink"/>
          <w:color w:val="auto"/>
        </w:rPr>
        <w:t xml:space="preserve"> (Accessed: 30</w:t>
      </w:r>
      <w:r w:rsidRPr="00863936">
        <w:rPr>
          <w:rStyle w:val="Hyperlink"/>
          <w:color w:val="auto"/>
          <w:vertAlign w:val="superscript"/>
        </w:rPr>
        <w:t>th</w:t>
      </w:r>
      <w:r>
        <w:rPr>
          <w:rStyle w:val="Hyperlink"/>
          <w:color w:val="auto"/>
        </w:rPr>
        <w:t xml:space="preserve"> March 2021)</w:t>
      </w:r>
    </w:p>
    <w:p w14:paraId="34479F95" w14:textId="77777777" w:rsidR="00E07DF8" w:rsidRDefault="00E07DF8" w:rsidP="00E07DF8">
      <w:r>
        <w:t xml:space="preserve">Home Office, (2001), </w:t>
      </w:r>
      <w:r>
        <w:rPr>
          <w:i/>
          <w:iCs/>
        </w:rPr>
        <w:t xml:space="preserve">Policing a New Century: A blueprint for reform, </w:t>
      </w:r>
      <w:r>
        <w:t>p45, (London: Home Office)</w:t>
      </w:r>
    </w:p>
    <w:p w14:paraId="3AC1E3C8" w14:textId="77777777" w:rsidR="00E07DF8" w:rsidRDefault="00E07DF8" w:rsidP="00E07DF8">
      <w:r>
        <w:t xml:space="preserve">Home Office, 2012, </w:t>
      </w:r>
      <w:r w:rsidRPr="00551197">
        <w:rPr>
          <w:i/>
          <w:iCs/>
        </w:rPr>
        <w:t>Definition of policing by consent</w:t>
      </w:r>
      <w:r>
        <w:t xml:space="preserve">, Accessed at: </w:t>
      </w:r>
      <w:hyperlink r:id="rId28" w:history="1">
        <w:r w:rsidRPr="004A56BF">
          <w:rPr>
            <w:rStyle w:val="Hyperlink"/>
          </w:rPr>
          <w:t>https://www.gov.uk/government/publi</w:t>
        </w:r>
        <w:r w:rsidRPr="004A56BF">
          <w:rPr>
            <w:rStyle w:val="Hyperlink"/>
          </w:rPr>
          <w:t>c</w:t>
        </w:r>
        <w:r w:rsidRPr="004A56BF">
          <w:rPr>
            <w:rStyle w:val="Hyperlink"/>
          </w:rPr>
          <w:t>ations/policing-by-consent/definition-of-policing-by-consent</w:t>
        </w:r>
      </w:hyperlink>
      <w:r>
        <w:t xml:space="preserve"> (Accessed on: 01/09/2021)</w:t>
      </w:r>
    </w:p>
    <w:p w14:paraId="3B4C4287" w14:textId="77777777" w:rsidR="00E07DF8" w:rsidRDefault="00E07DF8" w:rsidP="00E07DF8">
      <w:r>
        <w:t xml:space="preserve">Human Rights Act, 1998, sch.1, Available at: </w:t>
      </w:r>
      <w:hyperlink r:id="rId29" w:history="1">
        <w:r w:rsidRPr="004A56BF">
          <w:rPr>
            <w:rStyle w:val="Hyperlink"/>
          </w:rPr>
          <w:t>https://www.legislation.gov.uk/ukpga/1998/42/schedule/1</w:t>
        </w:r>
      </w:hyperlink>
      <w:r>
        <w:t xml:space="preserve"> (Accesed at: 01/09/21)</w:t>
      </w:r>
    </w:p>
    <w:p w14:paraId="77A10AD5" w14:textId="77777777" w:rsidR="00E07DF8" w:rsidRDefault="00E07DF8" w:rsidP="00E07DF8">
      <w:r>
        <w:t xml:space="preserve">Human Rights Act, 1998, sch.1, Available at: </w:t>
      </w:r>
      <w:hyperlink r:id="rId30" w:history="1">
        <w:r w:rsidRPr="004A56BF">
          <w:rPr>
            <w:rStyle w:val="Hyperlink"/>
          </w:rPr>
          <w:t>https://www.legislation.gov.uk/ukpga/1998/42/schedule/1</w:t>
        </w:r>
      </w:hyperlink>
      <w:r>
        <w:t xml:space="preserve"> (Accessed at: 13/09/2021)</w:t>
      </w:r>
    </w:p>
    <w:p w14:paraId="78298CC1" w14:textId="77777777" w:rsidR="00E07DF8" w:rsidRDefault="00E07DF8" w:rsidP="00E07DF8">
      <w:r>
        <w:t xml:space="preserve">Misuse of Drugs Act, 1971, s.23, Available at: </w:t>
      </w:r>
      <w:hyperlink r:id="rId31" w:history="1">
        <w:r w:rsidRPr="004A56BF">
          <w:rPr>
            <w:rStyle w:val="Hyperlink"/>
          </w:rPr>
          <w:t>https://www.legislation.gov.uk/ukpga/1971/38/section/23</w:t>
        </w:r>
      </w:hyperlink>
      <w:r>
        <w:t xml:space="preserve"> (Accessed: 01/09/2021)</w:t>
      </w:r>
    </w:p>
    <w:p w14:paraId="6D09C039" w14:textId="77777777" w:rsidR="00E07DF8" w:rsidRDefault="00E07DF8" w:rsidP="00E07DF8">
      <w:pPr>
        <w:rPr>
          <w:rStyle w:val="Hyperlink"/>
          <w:color w:val="auto"/>
        </w:rPr>
      </w:pPr>
      <w:r>
        <w:rPr>
          <w:rStyle w:val="Hyperlink"/>
          <w:color w:val="auto"/>
        </w:rPr>
        <w:t xml:space="preserve">NCA, 2016, </w:t>
      </w:r>
      <w:r>
        <w:rPr>
          <w:rStyle w:val="Hyperlink"/>
          <w:i/>
          <w:iCs/>
          <w:color w:val="auto"/>
        </w:rPr>
        <w:t xml:space="preserve">NCA Strategic Cyber Crime Assessment, </w:t>
      </w:r>
      <w:r>
        <w:rPr>
          <w:rStyle w:val="Hyperlink"/>
          <w:color w:val="auto"/>
        </w:rPr>
        <w:t>Available at: https://</w:t>
      </w:r>
      <w:r w:rsidRPr="007F5210">
        <w:t xml:space="preserve"> </w:t>
      </w:r>
      <w:hyperlink r:id="rId32" w:history="1">
        <w:r w:rsidRPr="004A56BF">
          <w:rPr>
            <w:rStyle w:val="Hyperlink"/>
          </w:rPr>
          <w:t>https://www.nationalcrimeagency.gov.uk/who-we-are/publications/357-cyber-crime-assessment-2016/file</w:t>
        </w:r>
      </w:hyperlink>
      <w:r>
        <w:rPr>
          <w:rStyle w:val="Hyperlink"/>
          <w:color w:val="auto"/>
        </w:rPr>
        <w:t xml:space="preserve"> (Accessed on: 13/09/2021)</w:t>
      </w:r>
    </w:p>
    <w:p w14:paraId="2A202B24" w14:textId="77777777" w:rsidR="00E07DF8" w:rsidRPr="008B7D45" w:rsidRDefault="00E07DF8" w:rsidP="00E07DF8">
      <w:pPr>
        <w:rPr>
          <w:color w:val="auto"/>
        </w:rPr>
      </w:pPr>
      <w:r>
        <w:t xml:space="preserve">NCSC, 2021, </w:t>
      </w:r>
      <w:r>
        <w:rPr>
          <w:i/>
          <w:iCs/>
        </w:rPr>
        <w:t xml:space="preserve">10 Steps to Cyber Security, </w:t>
      </w:r>
      <w:r>
        <w:t xml:space="preserve">Accessed at: </w:t>
      </w:r>
      <w:hyperlink r:id="rId33" w:history="1">
        <w:r w:rsidRPr="004A56BF">
          <w:rPr>
            <w:rStyle w:val="Hyperlink"/>
          </w:rPr>
          <w:t>https://www.ncsc.gov.uk/collection/10-steps/risk-management</w:t>
        </w:r>
      </w:hyperlink>
      <w:r>
        <w:t xml:space="preserve"> (Accessed at: 13/09/2021)</w:t>
      </w:r>
    </w:p>
    <w:p w14:paraId="2F23D53A" w14:textId="77777777" w:rsidR="00E07DF8" w:rsidRDefault="00E07DF8" w:rsidP="00E07DF8">
      <w:r>
        <w:t xml:space="preserve">Newburn, T and Neyroud, P (2008), </w:t>
      </w:r>
      <w:r>
        <w:rPr>
          <w:i/>
          <w:iCs/>
        </w:rPr>
        <w:t>Dictionary of Policing</w:t>
      </w:r>
      <w:r>
        <w:t>, p82, (Cullompton: Willan)</w:t>
      </w:r>
    </w:p>
    <w:p w14:paraId="0CB7E10C" w14:textId="77777777" w:rsidR="00E07DF8" w:rsidRDefault="00E07DF8" w:rsidP="00E07DF8">
      <w:pPr>
        <w:rPr>
          <w:rStyle w:val="Hyperlink"/>
          <w:color w:val="auto"/>
        </w:rPr>
      </w:pPr>
      <w:r>
        <w:rPr>
          <w:rStyle w:val="Hyperlink"/>
          <w:color w:val="auto"/>
        </w:rPr>
        <w:lastRenderedPageBreak/>
        <w:t xml:space="preserve">Police and Criminal Evidence Act, 1984, s.32 Available at: </w:t>
      </w:r>
      <w:hyperlink r:id="rId34" w:history="1">
        <w:r w:rsidRPr="004A56BF">
          <w:rPr>
            <w:rStyle w:val="Hyperlink"/>
          </w:rPr>
          <w:t>https://www.legislation.gov.uk/ukpga/1984/60/section/32</w:t>
        </w:r>
      </w:hyperlink>
      <w:r>
        <w:rPr>
          <w:rStyle w:val="Hyperlink"/>
          <w:color w:val="auto"/>
        </w:rPr>
        <w:t xml:space="preserve"> (Accessed at: 13/09/2021)</w:t>
      </w:r>
    </w:p>
    <w:p w14:paraId="05414E13" w14:textId="77777777" w:rsidR="00E07DF8" w:rsidRDefault="00E07DF8" w:rsidP="00E07DF8">
      <w:r>
        <w:t xml:space="preserve"> Vincent Felitti &amp; Robert Anda, 2014, </w:t>
      </w:r>
      <w:r>
        <w:rPr>
          <w:i/>
          <w:iCs/>
        </w:rPr>
        <w:t>The Adverse Childhood Experiences (ACEs) Study</w:t>
      </w:r>
      <w:r>
        <w:t>, Centre of Disease Control and Prevention, San Diego. (Accessed: 05/09/2021)</w:t>
      </w:r>
    </w:p>
    <w:p w14:paraId="355CD1AC" w14:textId="77777777" w:rsidR="00E07DF8" w:rsidRDefault="00E07DF8" w:rsidP="00E07DF8">
      <w:r>
        <w:t xml:space="preserve">Wales Online, 2020, </w:t>
      </w:r>
      <w:r w:rsidRPr="007D5346">
        <w:rPr>
          <w:i/>
          <w:iCs/>
        </w:rPr>
        <w:t>Police officer sacked after driving in a car with no MOT and then dumping a vehicle in a church car park</w:t>
      </w:r>
      <w:r>
        <w:t xml:space="preserve">, Accessed at: </w:t>
      </w:r>
      <w:hyperlink r:id="rId35" w:history="1">
        <w:r w:rsidRPr="004A56BF">
          <w:rPr>
            <w:rStyle w:val="Hyperlink"/>
          </w:rPr>
          <w:t>https://www.walesonline.co.uk/news/wales-news/gwent-police-officer-sacked-dismissed-18633133</w:t>
        </w:r>
      </w:hyperlink>
      <w:r>
        <w:t xml:space="preserve"> (Accessed at: 01/09/2021) </w:t>
      </w:r>
    </w:p>
    <w:p w14:paraId="44E471C0" w14:textId="77777777" w:rsidR="00E07DF8" w:rsidRDefault="00E07DF8" w:rsidP="00E07DF8">
      <w:r>
        <w:t xml:space="preserve">Wilson, J. &amp; Kelling, G., 1982. Broken Windows., [Online]., Available at: </w:t>
      </w:r>
      <w:hyperlink r:id="rId36" w:history="1">
        <w:r w:rsidRPr="004A56BF">
          <w:rPr>
            <w:rStyle w:val="Hyperlink"/>
          </w:rPr>
          <w:t>https://www.harvardgenerator.com/references/electronic-journal-article</w:t>
        </w:r>
      </w:hyperlink>
      <w:r>
        <w:t xml:space="preserve"> (Accessed at: 01/09/2021)</w:t>
      </w: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4121D" w14:textId="77777777" w:rsidR="007B6D1D" w:rsidRDefault="007B6D1D">
      <w:r>
        <w:separator/>
      </w:r>
    </w:p>
  </w:endnote>
  <w:endnote w:type="continuationSeparator" w:id="0">
    <w:p w14:paraId="3C56B659" w14:textId="77777777" w:rsidR="007B6D1D" w:rsidRDefault="007B6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89CA3" w14:textId="77777777" w:rsidR="00E07DF8" w:rsidRDefault="00E07D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7B6D1D" w:rsidRDefault="007B6D1D">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7B6D1D" w:rsidRPr="00BB5EAA" w:rsidRDefault="007B6D1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CAEE4" w14:textId="77777777" w:rsidR="00E07DF8" w:rsidRDefault="00E07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0EED7" w14:textId="77777777" w:rsidR="007B6D1D" w:rsidRDefault="007B6D1D">
      <w:r>
        <w:separator/>
      </w:r>
    </w:p>
  </w:footnote>
  <w:footnote w:type="continuationSeparator" w:id="0">
    <w:p w14:paraId="58F5E15C" w14:textId="77777777" w:rsidR="007B6D1D" w:rsidRDefault="007B6D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EB06C" w14:textId="77777777" w:rsidR="00E07DF8" w:rsidRDefault="00E07D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D9C06" w14:textId="77777777" w:rsidR="00E07DF8" w:rsidRDefault="00E07D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5839C" w14:textId="77777777" w:rsidR="00E07DF8" w:rsidRDefault="00E07D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3E4C2F36"/>
    <w:multiLevelType w:val="hybridMultilevel"/>
    <w:tmpl w:val="B0E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4"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5" w15:restartNumberingAfterBreak="0">
    <w:nsid w:val="6AAE5F62"/>
    <w:multiLevelType w:val="hybridMultilevel"/>
    <w:tmpl w:val="0D665422"/>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6"/>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6886"/>
    <w:rsid w:val="00797012"/>
    <w:rsid w:val="007A1F6A"/>
    <w:rsid w:val="007B0DE3"/>
    <w:rsid w:val="007B491F"/>
    <w:rsid w:val="007B5CB2"/>
    <w:rsid w:val="007B6D1D"/>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07DF8"/>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37A2"/>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E07D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2.xml"/><Relationship Id="rId26" Type="http://schemas.openxmlformats.org/officeDocument/2006/relationships/hyperlink" Target="https://www.dailymail.co.uk/news/article-1214393/Police-dismissed-30-pleas-Fiona-Pilkington-killed-disabled-daughter-escape-yobs.html" TargetMode="Externa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https://www.legislation.gov.uk/ukpga/1984/60/section/32"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1.xml"/><Relationship Id="rId25" Type="http://schemas.openxmlformats.org/officeDocument/2006/relationships/hyperlink" Target="https://paas-s3-broker-prod-lon-6453d964-1d1a-432a-9260-5e0ba7d2fc51.s3.eu-west-2.amazonaws.com/s3fs-public/2021-02/code_of_ethics_summary.pdf" TargetMode="External"/><Relationship Id="rId33" Type="http://schemas.openxmlformats.org/officeDocument/2006/relationships/hyperlink" Target="https://www.ncsc.gov.uk/collection/10-steps/risk-management"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2.xml"/><Relationship Id="rId29" Type="http://schemas.openxmlformats.org/officeDocument/2006/relationships/hyperlink" Target="https://www.legislation.gov.uk/ukpga/1998/42/schedule/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hatworks.college.police.uk/toolkit/Pages/Intervention.aspx?InterventionID=47" TargetMode="External"/><Relationship Id="rId32" Type="http://schemas.openxmlformats.org/officeDocument/2006/relationships/hyperlink" Target="https://www.nationalcrimeagency.gov.uk/who-we-are/publications/357-cyber-crime-assessment-2016/file"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app.college.police.uk/app-content/national-decision-model/the-national-decision-model/" TargetMode="External"/><Relationship Id="rId28" Type="http://schemas.openxmlformats.org/officeDocument/2006/relationships/hyperlink" Target="https://www.gov.uk/government/publications/policing-by-consent/definition-of-policing-by-consent" TargetMode="External"/><Relationship Id="rId36" Type="http://schemas.openxmlformats.org/officeDocument/2006/relationships/hyperlink" Target="https://www.harvardgenerator.com/references/electronic-journal-article"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s://www.legislation.gov.uk/ukpga/1971/38/section/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hyperlink" Target="http://web.mit.edu/curhan/www/docs/Articles/15341_Readings/Justice/Greenberg_1987_A_taxonomy_of_org_justice_theories.pdf" TargetMode="External"/><Relationship Id="rId30" Type="http://schemas.openxmlformats.org/officeDocument/2006/relationships/hyperlink" Target="https://www.legislation.gov.uk/ukpga/1998/42/schedule/1" TargetMode="External"/><Relationship Id="rId35" Type="http://schemas.openxmlformats.org/officeDocument/2006/relationships/hyperlink" Target="https://www.walesonline.co.uk/news/wales-news/gwent-police-officer-sacked-dismissed-186331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51A8F85326A8479120963F1256BF28" ma:contentTypeVersion="10" ma:contentTypeDescription="Create a new document." ma:contentTypeScope="" ma:versionID="c684a0efc46fb4ae85da6fe4211dbb95">
  <xsd:schema xmlns:xsd="http://www.w3.org/2001/XMLSchema" xmlns:xs="http://www.w3.org/2001/XMLSchema" xmlns:p="http://schemas.microsoft.com/office/2006/metadata/properties" xmlns:ns3="c8b5e63e-4168-441f-b094-84761957be4e" targetNamespace="http://schemas.microsoft.com/office/2006/metadata/properties" ma:root="true" ma:fieldsID="3cb42f2fb4481bbb7d34da089ab56d85" ns3:_="">
    <xsd:import namespace="c8b5e63e-4168-441f-b094-84761957be4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5e63e-4168-441f-b094-84761957be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purl.org/dc/terms/"/>
    <ds:schemaRef ds:uri="c8b5e63e-4168-441f-b094-84761957be4e"/>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D0F77BF7-1E46-4C73-BC8E-49758D10D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5e63e-4168-441f-b094-84761957b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C9B0CA-1EA8-4D30-AEC9-38A33941A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51</Pages>
  <Words>9918</Words>
  <Characters>55564</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Price, Thomas</cp:lastModifiedBy>
  <cp:revision>2</cp:revision>
  <cp:lastPrinted>2014-08-26T08:55:00Z</cp:lastPrinted>
  <dcterms:created xsi:type="dcterms:W3CDTF">2021-09-13T19:05:00Z</dcterms:created>
  <dcterms:modified xsi:type="dcterms:W3CDTF">2021-09-13T19:05:00Z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0x0101001151A8F85326A8479120963F1256BF28</vt:lpwstr>
  </property>
  <property fmtid="{D5CDD505-2E9C-101B-9397-08002B2CF9AE}" pid="3" name="MSIP_Label_f2acd28b-79a3-4a0f-b0ff-4b75658b1549_Enabled">
    <vt:lpwstr>true</vt:lpwstr>
  </property>
  <property fmtid="{D5CDD505-2E9C-101B-9397-08002B2CF9AE}" pid="4" name="MSIP_Label_f2acd28b-79a3-4a0f-b0ff-4b75658b1549_SetDate">
    <vt:lpwstr>2021-09-13T19:04:03Z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673d0f73-ee1d-4c28-9121-e07e8002ea4c</vt:lpwstr>
  </property>
  <property fmtid="{D5CDD505-2E9C-101B-9397-08002B2CF9AE}" pid="9" name="MSIP_Label_f2acd28b-79a3-4a0f-b0ff-4b75658b1549_ContentBits">
    <vt:lpwstr>0</vt:lpwstr>
  </property>
</Properties>
</file>