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34236A"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507B630C"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5AE74E9"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1F6297E7"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1BBF67A1"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6114B171"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73BB8E09"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5625A36A"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2732DB6"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3487A65E"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2FE13777"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67BB5BF0"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6452BBA0"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51BC57CB"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0709B99E"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19C83972"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7902D999"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5172A3C8"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0955463E"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35F3299B"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B6FABCD"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352B7D37"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2E972204"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74A289FC"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DA592A3"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2251F33C"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6B4DB7F8"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14576CD8"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3EE9DA5"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2E6CBBC3"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73A962FD"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03B3002B"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58DCCCEE"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2F44EDBC"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621CBD16"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18E3C715"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7968DEDB"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2653E525"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0B24E2D4"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2D25FA9A"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CA16C86"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2ABDB98"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60FFF00C"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DD43EA8"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2F43F68B"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701E97C"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22BD22C2"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73A2E065"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B2B6325"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17CC123C"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710A9ADE"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5016E930"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0C4B9941"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67BD35F6"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0FE34E0E"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1C3232FF"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101A5A9C"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1BDB2E49" w14:textId="4CDB3202"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Introduction</w:t>
      </w:r>
    </w:p>
    <w:p w14:paraId="59431F9D" w14:textId="77777777" w:rsidR="001B13CE" w:rsidRPr="001B13CE" w:rsidRDefault="001B13CE" w:rsidP="001B13CE">
      <w:pPr>
        <w:spacing w:after="0" w:line="240" w:lineRule="auto"/>
        <w:rPr>
          <w:rFonts w:ascii="Times New Roman" w:eastAsia="Times New Roman" w:hAnsi="Times New Roman" w:cs="Times New Roman"/>
          <w:sz w:val="24"/>
          <w:szCs w:val="24"/>
          <w:lang w:eastAsia="en-GB"/>
        </w:rPr>
      </w:pPr>
      <w:r w:rsidRPr="001B13CE">
        <w:rPr>
          <w:rFonts w:ascii="Times New Roman" w:eastAsia="Times New Roman" w:hAnsi="Times New Roman" w:cs="Times New Roman"/>
          <w:sz w:val="24"/>
          <w:szCs w:val="24"/>
          <w:lang w:eastAsia="en-GB"/>
        </w:rPr>
        <w:br/>
        <w:t xml:space="preserve">The hybrid as well as flexible working methods have become more common since the epidemic, providing multiple advantages for both employers and people. </w:t>
      </w:r>
      <w:proofErr w:type="spellStart"/>
      <w:r w:rsidRPr="001B13CE">
        <w:rPr>
          <w:rFonts w:ascii="Times New Roman" w:eastAsia="Times New Roman" w:hAnsi="Times New Roman" w:cs="Times New Roman"/>
          <w:sz w:val="24"/>
          <w:szCs w:val="24"/>
          <w:lang w:eastAsia="en-GB"/>
        </w:rPr>
        <w:t>VialTech</w:t>
      </w:r>
      <w:proofErr w:type="spellEnd"/>
      <w:r w:rsidRPr="001B13CE">
        <w:rPr>
          <w:rFonts w:ascii="Times New Roman" w:eastAsia="Times New Roman" w:hAnsi="Times New Roman" w:cs="Times New Roman"/>
          <w:sz w:val="24"/>
          <w:szCs w:val="24"/>
          <w:lang w:eastAsia="en-GB"/>
        </w:rPr>
        <w:t>, a company that specialises in providing diagnostic tests for both NHS along private patients, is contemplating the use of flexible working practices. This paper will elucidate the advantages of implementing such methods, analyse crucial factors on behalf of the HR department to consider, assess prospective modifications to the remuneration framework, and appraise strategies to foster employee involvement throughout the transition.</w:t>
      </w:r>
    </w:p>
    <w:p w14:paraId="78D9D004"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56CB137B"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5D4D2F52"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7D35AB1D"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05C32C9A"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391AAF80"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511BC9E3"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1D1D2CE9"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8437144"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3642E251"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3FC63804"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20B34629"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0192983C"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0947EBD4"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D6F3307"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727E4C0B"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744D64E4"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098C3A48"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39134373"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70FAA440"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66658C70"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2FFBD0B4"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25A19191"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18A1F862"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781DDE41"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E7D55C7"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6120D015"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00ECE8CA"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13572FEF"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50A3421C"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470B2786"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7A49F7CD" w14:textId="11F80CB6"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Advantages of Adopting Flexible Working Strategies Improved Employee Contentment and Retention</w:t>
      </w:r>
      <w:r w:rsidR="00605C21">
        <w:rPr>
          <w:rFonts w:ascii="Times New Roman" w:eastAsia="Times New Roman" w:hAnsi="Times New Roman" w:cs="Times New Roman"/>
          <w:sz w:val="24"/>
          <w:szCs w:val="24"/>
          <w:lang w:eastAsia="en-GB"/>
        </w:rPr>
        <w:t>.</w:t>
      </w:r>
    </w:p>
    <w:p w14:paraId="5ED51075" w14:textId="1BDB8AED"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Employees highly appreciate flexible working options, which result in higher levels of job satisfaction and staff retention rates. A study published by Bloom et al.(2015) suggests that employees who have the option to work in flexible conditions tend to experience greater levels of satisfaction and have increased loyalty towards their companies. For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this might result in decreased turnover rates and the subsequent reduction in recruitment expenses, as well as the preservation of proficient personnel who are essential for upholding exceptional standards of diagnostic testing.</w:t>
      </w:r>
      <w:r w:rsidRPr="0059388D">
        <w:rPr>
          <w:rFonts w:ascii="Times New Roman" w:eastAsia="Times New Roman" w:hAnsi="Times New Roman" w:cs="Times New Roman"/>
          <w:sz w:val="24"/>
          <w:szCs w:val="24"/>
          <w:lang w:eastAsia="en-GB"/>
        </w:rPr>
        <w:br/>
        <w:t>Increased Productivity</w:t>
      </w:r>
      <w:r w:rsidR="00605C21">
        <w:rPr>
          <w:rFonts w:ascii="Times New Roman" w:eastAsia="Times New Roman" w:hAnsi="Times New Roman" w:cs="Times New Roman"/>
          <w:sz w:val="24"/>
          <w:szCs w:val="24"/>
          <w:lang w:eastAsia="en-GB"/>
        </w:rPr>
        <w:t>.</w:t>
      </w:r>
    </w:p>
    <w:p w14:paraId="5C6B4852" w14:textId="5C737D34"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Contrary to the commonly held idea that productivity decreases outside of the traditional office setting, </w:t>
      </w:r>
      <w:r w:rsidRPr="0059388D">
        <w:rPr>
          <w:rFonts w:ascii="Times New Roman" w:eastAsia="Times New Roman" w:hAnsi="Times New Roman" w:cs="Times New Roman"/>
          <w:sz w:val="24"/>
          <w:szCs w:val="24"/>
          <w:lang w:eastAsia="en-GB"/>
        </w:rPr>
        <w:t>multiple research projects</w:t>
      </w:r>
      <w:r w:rsidRPr="0059388D">
        <w:rPr>
          <w:rFonts w:ascii="Times New Roman" w:eastAsia="Times New Roman" w:hAnsi="Times New Roman" w:cs="Times New Roman"/>
          <w:sz w:val="24"/>
          <w:szCs w:val="24"/>
          <w:lang w:eastAsia="en-GB"/>
        </w:rPr>
        <w:t xml:space="preserve"> </w:t>
      </w:r>
      <w:r w:rsidRPr="0059388D">
        <w:rPr>
          <w:rFonts w:ascii="Times New Roman" w:eastAsia="Times New Roman" w:hAnsi="Times New Roman" w:cs="Times New Roman"/>
          <w:sz w:val="24"/>
          <w:szCs w:val="24"/>
          <w:lang w:eastAsia="en-GB"/>
        </w:rPr>
        <w:t>indicate</w:t>
      </w:r>
      <w:r w:rsidRPr="0059388D">
        <w:rPr>
          <w:rFonts w:ascii="Times New Roman" w:eastAsia="Times New Roman" w:hAnsi="Times New Roman" w:cs="Times New Roman"/>
          <w:sz w:val="24"/>
          <w:szCs w:val="24"/>
          <w:lang w:eastAsia="en-GB"/>
        </w:rPr>
        <w:t xml:space="preserve"> the opposite. According to a study conducted by </w:t>
      </w:r>
      <w:proofErr w:type="spellStart"/>
      <w:r w:rsidRPr="0059388D">
        <w:rPr>
          <w:rFonts w:ascii="Times New Roman" w:eastAsia="Times New Roman" w:hAnsi="Times New Roman" w:cs="Times New Roman"/>
          <w:sz w:val="24"/>
          <w:szCs w:val="24"/>
          <w:lang w:eastAsia="en-GB"/>
        </w:rPr>
        <w:t>Prodoscore</w:t>
      </w:r>
      <w:proofErr w:type="spellEnd"/>
      <w:r w:rsidRPr="0059388D">
        <w:rPr>
          <w:rFonts w:ascii="Times New Roman" w:eastAsia="Times New Roman" w:hAnsi="Times New Roman" w:cs="Times New Roman"/>
          <w:sz w:val="24"/>
          <w:szCs w:val="24"/>
          <w:lang w:eastAsia="en-GB"/>
        </w:rPr>
        <w:t xml:space="preserve"> in 2020, employees who worked remotely had a significant 47% boost in productivity. Implementing flexible working arrangements can effectively decrease the amount of time spent commuting and alleviate stress, so enabling employees to dedicate additional time and effort to their work. Regarding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this can result in enhanced operational efficiency and expedited time frames for diagnostic outcomes.</w:t>
      </w:r>
      <w:r w:rsidRPr="0059388D">
        <w:rPr>
          <w:rFonts w:ascii="Times New Roman" w:eastAsia="Times New Roman" w:hAnsi="Times New Roman" w:cs="Times New Roman"/>
          <w:sz w:val="24"/>
          <w:szCs w:val="24"/>
          <w:lang w:eastAsia="en-GB"/>
        </w:rPr>
        <w:br/>
        <w:t>Better Work-Life  Balance </w:t>
      </w:r>
      <w:r w:rsidR="00605C21">
        <w:rPr>
          <w:rFonts w:ascii="Times New Roman" w:eastAsia="Times New Roman" w:hAnsi="Times New Roman" w:cs="Times New Roman"/>
          <w:sz w:val="24"/>
          <w:szCs w:val="24"/>
          <w:lang w:eastAsia="en-GB"/>
        </w:rPr>
        <w:t>.</w:t>
      </w:r>
    </w:p>
    <w:p w14:paraId="6A473B59" w14:textId="55970F74"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Flexible working allows employees to attain a more favourable equilibrium between their professional and personal lives, which is crucial for their overall welfare. Having a balance between work and personal life is especially crucial for professionals who have caregiving duties or other private obligations.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may cultivate a more comprehensive and encouraging work atmosphere by promoting a favourable equilibrium between work and personal life.</w:t>
      </w:r>
      <w:r w:rsidRPr="0059388D">
        <w:rPr>
          <w:rFonts w:ascii="Times New Roman" w:eastAsia="Times New Roman" w:hAnsi="Times New Roman" w:cs="Times New Roman"/>
          <w:sz w:val="24"/>
          <w:szCs w:val="24"/>
          <w:lang w:eastAsia="en-GB"/>
        </w:rPr>
        <w:br/>
        <w:t>Coat savings</w:t>
      </w:r>
    </w:p>
    <w:p w14:paraId="69A7AF62" w14:textId="65D6CCEA"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Implementing flexible working arrangements might result in substantial cost reductions for the firm. By having a reduced amount of personnel required for being physically present in an office,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can save overhead expenses associated with premises, services, and other facilities. The funds saved can be reallocated to additional strategic initiatives or invested in staff development.</w:t>
      </w:r>
      <w:r w:rsidRPr="0059388D">
        <w:rPr>
          <w:rFonts w:ascii="Times New Roman" w:eastAsia="Times New Roman" w:hAnsi="Times New Roman" w:cs="Times New Roman"/>
          <w:sz w:val="24"/>
          <w:szCs w:val="24"/>
          <w:lang w:eastAsia="en-GB"/>
        </w:rPr>
        <w:br/>
        <w:t>Consideration for Implementing Flexible Working </w:t>
      </w:r>
    </w:p>
    <w:p w14:paraId="60F03770" w14:textId="0B7C6BDA"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Assessing Job Positions and Appropriateness</w:t>
      </w:r>
      <w:r w:rsidRPr="0059388D">
        <w:rPr>
          <w:rFonts w:ascii="Times New Roman" w:eastAsia="Times New Roman" w:hAnsi="Times New Roman" w:cs="Times New Roman"/>
          <w:sz w:val="24"/>
          <w:szCs w:val="24"/>
          <w:lang w:eastAsia="en-GB"/>
        </w:rPr>
        <w:br/>
        <w:t xml:space="preserve">The HR department is responsible for evaluating the appropriateness of implementing flexible working arrangements for various job positions at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For instance, administrative personnel can readily shift to remote work, whereas lab technicians who rely on specialised equipment may encounter difficulties. For optimum </w:t>
      </w:r>
      <w:r w:rsidR="00605C21" w:rsidRPr="0059388D">
        <w:rPr>
          <w:rFonts w:ascii="Times New Roman" w:eastAsia="Times New Roman" w:hAnsi="Times New Roman" w:cs="Times New Roman"/>
          <w:sz w:val="24"/>
          <w:szCs w:val="24"/>
          <w:lang w:eastAsia="en-GB"/>
        </w:rPr>
        <w:t>efficiency, physically</w:t>
      </w:r>
      <w:r w:rsidRPr="0059388D">
        <w:rPr>
          <w:rFonts w:ascii="Times New Roman" w:eastAsia="Times New Roman" w:hAnsi="Times New Roman" w:cs="Times New Roman"/>
          <w:sz w:val="24"/>
          <w:szCs w:val="24"/>
          <w:lang w:eastAsia="en-GB"/>
        </w:rPr>
        <w:t xml:space="preserve"> present. Conducting a role-based assessment will assist in determining which positions are suitable for flexible working and which ones necessitate other arrangements.</w:t>
      </w:r>
      <w:r w:rsidRPr="0059388D">
        <w:rPr>
          <w:rFonts w:ascii="Times New Roman" w:eastAsia="Times New Roman" w:hAnsi="Times New Roman" w:cs="Times New Roman"/>
          <w:sz w:val="24"/>
          <w:szCs w:val="24"/>
          <w:lang w:eastAsia="en-GB"/>
        </w:rPr>
        <w:br/>
        <w:t>Infrastructure and technology</w:t>
      </w:r>
    </w:p>
    <w:p w14:paraId="5D5A2558" w14:textId="6B5BC01F"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To successfully implement flexible working, a strong technology infrastructure is necessary to facilitate distant activities. This includes dependable internet connections, secure entry into organisation databases, and collaborative utilities that include conference calls and project management software.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should allocate resources towards adopting these technologies to guarantee smooth communication and uninterrupted workflow for both remote and on-site staff.</w:t>
      </w:r>
      <w:r w:rsidRPr="0059388D">
        <w:rPr>
          <w:rFonts w:ascii="Times New Roman" w:eastAsia="Times New Roman" w:hAnsi="Times New Roman" w:cs="Times New Roman"/>
          <w:sz w:val="24"/>
          <w:szCs w:val="24"/>
          <w:lang w:eastAsia="en-GB"/>
        </w:rPr>
        <w:br/>
        <w:t>Data Security and Compliance </w:t>
      </w:r>
    </w:p>
    <w:p w14:paraId="6AD61EE2" w14:textId="77777777" w:rsidR="00605C21"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As remote work grows more prevalent, ensuring the security of data becomes of utmost importance.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manages confidential patient </w:t>
      </w:r>
      <w:r w:rsidR="00605C21" w:rsidRPr="0059388D">
        <w:rPr>
          <w:rFonts w:ascii="Times New Roman" w:eastAsia="Times New Roman" w:hAnsi="Times New Roman" w:cs="Times New Roman"/>
          <w:sz w:val="24"/>
          <w:szCs w:val="24"/>
          <w:lang w:eastAsia="en-GB"/>
        </w:rPr>
        <w:t>data,</w:t>
      </w:r>
      <w:r w:rsidRPr="0059388D">
        <w:rPr>
          <w:rFonts w:ascii="Times New Roman" w:eastAsia="Times New Roman" w:hAnsi="Times New Roman" w:cs="Times New Roman"/>
          <w:sz w:val="24"/>
          <w:szCs w:val="24"/>
          <w:lang w:eastAsia="en-GB"/>
        </w:rPr>
        <w:t xml:space="preserve"> and it is crucial to uphold rigorous data protection measures. The Department of Human Resources must collaborate effectively with the IT team to establish robust access restrictions, deploy encryption measures, and</w:t>
      </w:r>
    </w:p>
    <w:p w14:paraId="49BAF312" w14:textId="336BB59E"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conduct periodic security audits to proactively mitigate the risk of data breaches and maintain adherence to pertinent requirements, such as the General Data Protection Regulation (GDPR).</w:t>
      </w:r>
      <w:r w:rsidRPr="0059388D">
        <w:rPr>
          <w:rFonts w:ascii="Times New Roman" w:eastAsia="Times New Roman" w:hAnsi="Times New Roman" w:cs="Times New Roman"/>
          <w:sz w:val="24"/>
          <w:szCs w:val="24"/>
          <w:lang w:eastAsia="en-GB"/>
        </w:rPr>
        <w:br/>
        <w:t>Training and Support </w:t>
      </w:r>
    </w:p>
    <w:p w14:paraId="7673ADFE" w14:textId="53AB116A"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Staff members may necessitate training to acclimatise themselves to novel technology and the implementation of remote work methodologies. Human Resources should provide extensive training programmes to equip personnel with the requisite skills and expertise. In addition, offering continuous assistance by IT helpdesks including mental wellness resources can assist employees in managing the difficulties associated with flexible working.</w:t>
      </w:r>
      <w:r w:rsidRPr="0059388D">
        <w:rPr>
          <w:rFonts w:ascii="Times New Roman" w:eastAsia="Times New Roman" w:hAnsi="Times New Roman" w:cs="Times New Roman"/>
          <w:sz w:val="24"/>
          <w:szCs w:val="24"/>
          <w:lang w:eastAsia="en-GB"/>
        </w:rPr>
        <w:br/>
        <w:t>Implications specific to the site</w:t>
      </w:r>
    </w:p>
    <w:p w14:paraId="086763CD" w14:textId="64C80345"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Various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locations may have distinct ramifications for remote work arrangements. Urban areas with expensive transportation expenses may see more advantages from remote job opportunities in contrast to rural areas where employees reside in closer proximity to their workplaces. When creating flexible working arrangements, the HR department needs to take into account geographic and demographic aspects to ensure fairness and effectiveness in all locations.</w:t>
      </w:r>
    </w:p>
    <w:p w14:paraId="30DBB26E" w14:textId="6FA396EB"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Reconfiguring the Pay Structure Performance-Based Pay </w:t>
      </w:r>
    </w:p>
    <w:p w14:paraId="2C266F79" w14:textId="7B6FB52D"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Compensation based on performance</w:t>
      </w:r>
      <w:r w:rsidRPr="0059388D">
        <w:rPr>
          <w:rFonts w:ascii="Times New Roman" w:eastAsia="Times New Roman" w:hAnsi="Times New Roman" w:cs="Times New Roman"/>
          <w:sz w:val="24"/>
          <w:szCs w:val="24"/>
          <w:lang w:eastAsia="en-GB"/>
        </w:rPr>
        <w:br/>
        <w:t>The implementation of flexible working arrangements may necessitate a reassessment of the conventional remuneration system. An effective strategy is to transition to a performance-based compensation system, where employees are remunerated according to their productivity and contributions, rather than the amount of time they spend working. This can motivate and encourage employees to be more productive and ensure that their individual goals are in line with the overall aims of the organisation. As an illustration, laboratory personnel could receive incentives based on the quantity of tests they complete with precision and efficiency.</w:t>
      </w:r>
      <w:r w:rsidRPr="0059388D">
        <w:rPr>
          <w:rFonts w:ascii="Times New Roman" w:eastAsia="Times New Roman" w:hAnsi="Times New Roman" w:cs="Times New Roman"/>
          <w:sz w:val="24"/>
          <w:szCs w:val="24"/>
          <w:lang w:eastAsia="en-GB"/>
        </w:rPr>
        <w:br/>
        <w:t>Different Pay for On-Site Roles </w:t>
      </w:r>
    </w:p>
    <w:p w14:paraId="695BBEF4" w14:textId="4EC98B1B"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Employees who are mandated to remain present physically at workplaces, such as laboratory technicians and staff who interact directly with customers, may necessitate differential compensation to account for their capacity to work remotely. This could manifest as increased basic salary or supplementary perks, such as transport allowances. This approach recognises the extra difficulties encountered by employees who work on-site and contributes to ensuring fairness among all workers.</w:t>
      </w:r>
      <w:r w:rsidRPr="0059388D">
        <w:rPr>
          <w:rFonts w:ascii="Times New Roman" w:eastAsia="Times New Roman" w:hAnsi="Times New Roman" w:cs="Times New Roman"/>
          <w:sz w:val="24"/>
          <w:szCs w:val="24"/>
          <w:lang w:eastAsia="en-GB"/>
        </w:rPr>
        <w:br/>
        <w:t>Flexible Benefits Packages </w:t>
      </w:r>
    </w:p>
    <w:p w14:paraId="09C09D7A" w14:textId="4FFB9C47"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Implementing flexible working options may require a reassessment of employee benefits packages. Providing adaptable perks, including organisational health and wellness initiatives, and assistance with childcare, like flexible spend accounts, can accommodate the varied requirements of a hybrid workforce. For example,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might offer mental health assistance and wellness initiatives to aid employees in coping with the challenges of working remotely.</w:t>
      </w:r>
      <w:r w:rsidRPr="0059388D">
        <w:rPr>
          <w:rFonts w:ascii="Times New Roman" w:eastAsia="Times New Roman" w:hAnsi="Times New Roman" w:cs="Times New Roman"/>
          <w:sz w:val="24"/>
          <w:szCs w:val="24"/>
          <w:lang w:eastAsia="en-GB"/>
        </w:rPr>
        <w:br/>
        <w:t>Strategies to Promote Employee Engagement </w:t>
      </w:r>
    </w:p>
    <w:p w14:paraId="7B0E5CE5" w14:textId="77777777" w:rsidR="00605C21"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Effective Communication</w:t>
      </w:r>
      <w:r w:rsidRPr="0059388D">
        <w:rPr>
          <w:rFonts w:ascii="Times New Roman" w:eastAsia="Times New Roman" w:hAnsi="Times New Roman" w:cs="Times New Roman"/>
          <w:sz w:val="24"/>
          <w:szCs w:val="24"/>
          <w:lang w:eastAsia="en-GB"/>
        </w:rPr>
        <w:br/>
        <w:t>Clear and cohesive communication is crucial for sustaining worker satisfaction within a flexible work setting. The human resources division should implement periodic checks in, digital forums, and feedback tools to ensure staff are well-informed and maintain a sense of connection. Effective communication regarding firm objectives, desired outcomes, and accessible assets can foster a sense of support and appreciation among employees.</w:t>
      </w:r>
      <w:r w:rsidRPr="0059388D">
        <w:rPr>
          <w:rFonts w:ascii="Times New Roman" w:eastAsia="Times New Roman" w:hAnsi="Times New Roman" w:cs="Times New Roman"/>
          <w:sz w:val="24"/>
          <w:szCs w:val="24"/>
          <w:lang w:eastAsia="en-GB"/>
        </w:rPr>
        <w:br/>
      </w:r>
      <w:r w:rsidRPr="0059388D">
        <w:rPr>
          <w:rFonts w:ascii="Times New Roman" w:eastAsia="Times New Roman" w:hAnsi="Times New Roman" w:cs="Times New Roman"/>
          <w:sz w:val="24"/>
          <w:szCs w:val="24"/>
          <w:lang w:eastAsia="en-GB"/>
        </w:rPr>
        <w:br/>
      </w:r>
    </w:p>
    <w:p w14:paraId="5D428056"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0F93439C" w14:textId="710EBBAB"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Opportunities for </w:t>
      </w:r>
      <w:r w:rsidRPr="0059388D">
        <w:rPr>
          <w:rFonts w:ascii="Times New Roman" w:eastAsia="Times New Roman" w:hAnsi="Times New Roman" w:cs="Times New Roman"/>
          <w:sz w:val="24"/>
          <w:szCs w:val="24"/>
          <w:lang w:eastAsia="en-GB"/>
        </w:rPr>
        <w:t>Professional</w:t>
      </w:r>
      <w:r w:rsidRPr="0059388D">
        <w:rPr>
          <w:rFonts w:ascii="Times New Roman" w:eastAsia="Times New Roman" w:hAnsi="Times New Roman" w:cs="Times New Roman"/>
          <w:sz w:val="24"/>
          <w:szCs w:val="24"/>
          <w:lang w:eastAsia="en-GB"/>
        </w:rPr>
        <w:t xml:space="preserve"> Development </w:t>
      </w:r>
    </w:p>
    <w:p w14:paraId="438F9337" w14:textId="19D481C8"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Establishing an all-encompassing environment that appreciates a range of differences and encourages a feeling of acceptance is essential for promoting employee involvement.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ought to implement diversity and inclusion activities, that involve worker resources and diversity training programmes, to guarantee that all employees have a sense of respect and inclusion. Commending accomplishments and acknowledging contributions from both remote and on-site personnel helps strengthen a favourable organisational culture.</w:t>
      </w:r>
      <w:r w:rsidRPr="0059388D">
        <w:rPr>
          <w:rFonts w:ascii="Times New Roman" w:eastAsia="Times New Roman" w:hAnsi="Times New Roman" w:cs="Times New Roman"/>
          <w:sz w:val="24"/>
          <w:szCs w:val="24"/>
          <w:lang w:eastAsia="en-GB"/>
        </w:rPr>
        <w:br/>
        <w:t>Social Interaction and Team Building </w:t>
      </w:r>
    </w:p>
    <w:p w14:paraId="4D4CFB45" w14:textId="3CD9C4DD"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Offering chances for professional advancement and progress is crucial for maintaining employee motivation and involvement.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provides a range of opportunities for employees to improve their abilities and progress in their careers, including distance learning courses, virtual workshops, as well as career development programmes. Facilitating ongoing education and growth can enhance employee contentment and commitment.</w:t>
      </w:r>
      <w:r w:rsidRPr="0059388D">
        <w:rPr>
          <w:rFonts w:ascii="Times New Roman" w:eastAsia="Times New Roman" w:hAnsi="Times New Roman" w:cs="Times New Roman"/>
          <w:sz w:val="24"/>
          <w:szCs w:val="24"/>
          <w:lang w:eastAsia="en-GB"/>
        </w:rPr>
        <w:br/>
        <w:t>Interpersonal Communication and Collaborative Skill Development</w:t>
      </w:r>
    </w:p>
    <w:p w14:paraId="2E5CA5E3" w14:textId="612C14FB"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Engaging in remote work might occasionally result in experiencing emotions of seclusion. To address this issue,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should actively promote and enable virtual social interactions including team-building activities. Periodic virtual beverage breaks, online team activities, and also online happy hours can facilitate the development of interpersonal connections among employees and foster a strong sense of togetherness. In addition, arranging periodic face-to-face team gatherings helps enhance relationships and promote cooperation.</w:t>
      </w:r>
      <w:r w:rsidRPr="0059388D">
        <w:rPr>
          <w:rFonts w:ascii="Times New Roman" w:eastAsia="Times New Roman" w:hAnsi="Times New Roman" w:cs="Times New Roman"/>
          <w:sz w:val="24"/>
          <w:szCs w:val="24"/>
          <w:lang w:eastAsia="en-GB"/>
        </w:rPr>
        <w:br/>
        <w:t xml:space="preserve">Recommendations </w:t>
      </w:r>
      <w:r w:rsidRPr="0059388D">
        <w:rPr>
          <w:rFonts w:ascii="Times New Roman" w:eastAsia="Times New Roman" w:hAnsi="Times New Roman" w:cs="Times New Roman"/>
          <w:sz w:val="24"/>
          <w:szCs w:val="24"/>
          <w:lang w:eastAsia="en-GB"/>
        </w:rPr>
        <w:br/>
        <w:t>Initiatives aimed at promoting and enhancing overall well-being.</w:t>
      </w:r>
      <w:r w:rsidRPr="0059388D">
        <w:rPr>
          <w:rFonts w:ascii="Times New Roman" w:eastAsia="Times New Roman" w:hAnsi="Times New Roman" w:cs="Times New Roman"/>
          <w:sz w:val="24"/>
          <w:szCs w:val="24"/>
          <w:lang w:eastAsia="en-GB"/>
        </w:rPr>
        <w:br/>
        <w:t xml:space="preserve">Ensuring the well-being of employees is crucial for sustaining their level of engagement.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can execute well-being initiatives, including mental health support programmes, schedule modifications, and wellness challenges. Promoting regular breaks, physical activity, and mindfulness among employees can effectively mitigate stress and enhance their overall well-being.</w:t>
      </w:r>
      <w:r w:rsidRPr="0059388D">
        <w:rPr>
          <w:rFonts w:ascii="Times New Roman" w:eastAsia="Times New Roman" w:hAnsi="Times New Roman" w:cs="Times New Roman"/>
          <w:sz w:val="24"/>
          <w:szCs w:val="24"/>
          <w:lang w:eastAsia="en-GB"/>
        </w:rPr>
        <w:br/>
        <w:t>Suggestions</w:t>
      </w:r>
    </w:p>
    <w:p w14:paraId="561506DB" w14:textId="1597550D"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Flexible working policies that are based on roles.</w:t>
      </w:r>
      <w:r w:rsidRPr="0059388D">
        <w:rPr>
          <w:rFonts w:ascii="Times New Roman" w:eastAsia="Times New Roman" w:hAnsi="Times New Roman" w:cs="Times New Roman"/>
          <w:sz w:val="24"/>
          <w:szCs w:val="24"/>
          <w:lang w:eastAsia="en-GB"/>
        </w:rPr>
        <w:br/>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ought to design adaptable work regulations that take into account the distinct demands and limitations of various employment positions. To ensure the effectiveness and fairness of flexible working arrangements, the organisation can customise policies to suit the requirements of administrative personnel, laboratory technicians, and customer-facing employees.</w:t>
      </w:r>
      <w:r w:rsidRPr="0059388D">
        <w:rPr>
          <w:rFonts w:ascii="Times New Roman" w:eastAsia="Times New Roman" w:hAnsi="Times New Roman" w:cs="Times New Roman"/>
          <w:sz w:val="24"/>
          <w:szCs w:val="24"/>
          <w:lang w:eastAsia="en-GB"/>
        </w:rPr>
        <w:br/>
        <w:t>Allocation of resources towards the acquisition and development of technological tools and educational programmes.</w:t>
      </w:r>
      <w:r w:rsidRPr="0059388D">
        <w:rPr>
          <w:rFonts w:ascii="Times New Roman" w:eastAsia="Times New Roman" w:hAnsi="Times New Roman" w:cs="Times New Roman"/>
          <w:sz w:val="24"/>
          <w:szCs w:val="24"/>
          <w:lang w:eastAsia="en-GB"/>
        </w:rPr>
        <w:br/>
        <w:t xml:space="preserve">In order to facilitate flexible working, it is imperative for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to allocate resources towards the acquisition of essential technological infrastructure and to offer extensive training programmes for its personnel. It is essential for the success of workplace flexibility efforts to ensure that employees have dependable access to technology and have the necessary skills to use it successfully.</w:t>
      </w:r>
      <w:r w:rsidRPr="0059388D">
        <w:rPr>
          <w:rFonts w:ascii="Times New Roman" w:eastAsia="Times New Roman" w:hAnsi="Times New Roman" w:cs="Times New Roman"/>
          <w:sz w:val="24"/>
          <w:szCs w:val="24"/>
          <w:lang w:eastAsia="en-GB"/>
        </w:rPr>
        <w:br/>
        <w:t>Performance-Based Compensation </w:t>
      </w:r>
    </w:p>
    <w:p w14:paraId="766DE57A" w14:textId="69A69D00"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By restructuring the pay structure to prioritise performance-based compensation, employee incentives can be aligned with organisational goals. This method has the potential to inspire people to be efficient and make valuable contributions to the company's achievements, irrespective of their physical work environment.</w:t>
      </w:r>
      <w:r w:rsidRPr="0059388D">
        <w:rPr>
          <w:rFonts w:ascii="Times New Roman" w:eastAsia="Times New Roman" w:hAnsi="Times New Roman" w:cs="Times New Roman"/>
          <w:sz w:val="24"/>
          <w:szCs w:val="24"/>
          <w:lang w:eastAsia="en-GB"/>
        </w:rPr>
        <w:br/>
      </w:r>
      <w:r w:rsidRPr="0059388D">
        <w:rPr>
          <w:rFonts w:ascii="Times New Roman" w:eastAsia="Times New Roman" w:hAnsi="Times New Roman" w:cs="Times New Roman"/>
          <w:sz w:val="24"/>
          <w:szCs w:val="24"/>
          <w:lang w:eastAsia="en-GB"/>
        </w:rPr>
        <w:br/>
      </w:r>
    </w:p>
    <w:p w14:paraId="737CB919"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02EFE26B" w14:textId="77777777" w:rsidR="00605C21" w:rsidRDefault="00605C21" w:rsidP="0059388D">
      <w:pPr>
        <w:spacing w:after="0" w:line="240" w:lineRule="auto"/>
        <w:rPr>
          <w:rFonts w:ascii="Times New Roman" w:eastAsia="Times New Roman" w:hAnsi="Times New Roman" w:cs="Times New Roman"/>
          <w:sz w:val="24"/>
          <w:szCs w:val="24"/>
          <w:lang w:eastAsia="en-GB"/>
        </w:rPr>
      </w:pPr>
    </w:p>
    <w:p w14:paraId="1123970D" w14:textId="034B8311"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A culture that is inclusive and engaging.</w:t>
      </w:r>
    </w:p>
    <w:p w14:paraId="01D043AF" w14:textId="1BBB80DE" w:rsid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It is crucial to cultivate a culture that includes everyone and encourages employee participation by employing effective communication, offering opportunities for professional growth, and implementing activities that promote well-being.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should give top priority to establishing a work atmosphere that is both supportive and inclusive, where the skills and abilities of all employees are highly valued.</w:t>
      </w:r>
      <w:r w:rsidRPr="0059388D">
        <w:rPr>
          <w:rFonts w:ascii="Times New Roman" w:eastAsia="Times New Roman" w:hAnsi="Times New Roman" w:cs="Times New Roman"/>
          <w:sz w:val="24"/>
          <w:szCs w:val="24"/>
          <w:lang w:eastAsia="en-GB"/>
        </w:rPr>
        <w:br/>
      </w:r>
      <w:r w:rsidRPr="0059388D">
        <w:rPr>
          <w:rFonts w:ascii="Times New Roman" w:eastAsia="Times New Roman" w:hAnsi="Times New Roman" w:cs="Times New Roman"/>
          <w:sz w:val="24"/>
          <w:szCs w:val="24"/>
          <w:lang w:eastAsia="en-GB"/>
        </w:rPr>
        <w:br/>
        <w:t>In conclusion</w:t>
      </w:r>
    </w:p>
    <w:p w14:paraId="26F7696C" w14:textId="47CDE20A" w:rsidR="0059388D" w:rsidRPr="0059388D" w:rsidRDefault="0059388D" w:rsidP="0059388D">
      <w:pPr>
        <w:spacing w:after="0" w:line="240" w:lineRule="auto"/>
        <w:rPr>
          <w:rFonts w:ascii="Times New Roman" w:eastAsia="Times New Roman" w:hAnsi="Times New Roman" w:cs="Times New Roman"/>
          <w:sz w:val="24"/>
          <w:szCs w:val="24"/>
          <w:lang w:eastAsia="en-GB"/>
        </w:rPr>
      </w:pPr>
      <w:r w:rsidRPr="0059388D">
        <w:rPr>
          <w:rFonts w:ascii="Times New Roman" w:eastAsia="Times New Roman" w:hAnsi="Times New Roman" w:cs="Times New Roman"/>
          <w:sz w:val="24"/>
          <w:szCs w:val="24"/>
          <w:lang w:eastAsia="en-GB"/>
        </w:rPr>
        <w:t xml:space="preserve">Implementing flexible working solutions at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offers a multitude of advantages, such as improved employee happiness, heightened productivity, enhanced balance between work and life, and cost savings. Nevertheless, it necessitates meticulous deliberation of employment responsibilities, technological framework, data protection, and location-specific ramifications. Implementing a revised pay system that emphasises performance-based rewards and offers varying compensation for on-site positions can effectively uphold fairness. Ensuring the effectiveness of flexible working requires the promotion of employee involvement through effective communication, an inclusive culture, opportunities for professional growth, social contact, and activities that support well-being. By implementing these suggestions, </w:t>
      </w:r>
      <w:proofErr w:type="spellStart"/>
      <w:r w:rsidRPr="0059388D">
        <w:rPr>
          <w:rFonts w:ascii="Times New Roman" w:eastAsia="Times New Roman" w:hAnsi="Times New Roman" w:cs="Times New Roman"/>
          <w:sz w:val="24"/>
          <w:szCs w:val="24"/>
          <w:lang w:eastAsia="en-GB"/>
        </w:rPr>
        <w:t>VialTech</w:t>
      </w:r>
      <w:proofErr w:type="spellEnd"/>
      <w:r w:rsidRPr="0059388D">
        <w:rPr>
          <w:rFonts w:ascii="Times New Roman" w:eastAsia="Times New Roman" w:hAnsi="Times New Roman" w:cs="Times New Roman"/>
          <w:sz w:val="24"/>
          <w:szCs w:val="24"/>
          <w:lang w:eastAsia="en-GB"/>
        </w:rPr>
        <w:t xml:space="preserve"> can successfully manage the shift to flexible scheduling and attain sustained prosperity during the post-pandemic era.</w:t>
      </w:r>
    </w:p>
    <w:p w14:paraId="72A5B7C9" w14:textId="77777777" w:rsidR="00CE11C5" w:rsidRDefault="00CE11C5">
      <w:pPr>
        <w:rPr>
          <w:rFonts w:ascii="Arial" w:hAnsi="Arial" w:cs="Arial"/>
        </w:rPr>
      </w:pPr>
    </w:p>
    <w:p w14:paraId="37653961" w14:textId="77777777" w:rsidR="006B063B" w:rsidRDefault="006B063B">
      <w:pPr>
        <w:rPr>
          <w:rFonts w:ascii="Arial" w:hAnsi="Arial" w:cs="Arial"/>
        </w:rPr>
      </w:pPr>
    </w:p>
    <w:p w14:paraId="449CD070" w14:textId="77777777" w:rsidR="006B063B" w:rsidRDefault="006B063B">
      <w:pPr>
        <w:rPr>
          <w:rFonts w:ascii="Arial" w:hAnsi="Arial" w:cs="Arial"/>
        </w:rPr>
      </w:pPr>
    </w:p>
    <w:p w14:paraId="30E2283B" w14:textId="77777777" w:rsidR="006B063B" w:rsidRDefault="006B063B">
      <w:pPr>
        <w:rPr>
          <w:rFonts w:ascii="Arial" w:hAnsi="Arial" w:cs="Arial"/>
        </w:rPr>
      </w:pPr>
    </w:p>
    <w:p w14:paraId="5B18C6F2" w14:textId="77777777" w:rsidR="006B063B" w:rsidRDefault="006B063B">
      <w:pPr>
        <w:rPr>
          <w:rFonts w:ascii="Arial" w:hAnsi="Arial" w:cs="Arial"/>
        </w:rPr>
      </w:pPr>
    </w:p>
    <w:p w14:paraId="52F62581" w14:textId="77777777" w:rsidR="006B063B" w:rsidRDefault="006B063B">
      <w:pPr>
        <w:rPr>
          <w:rFonts w:ascii="Arial" w:hAnsi="Arial" w:cs="Arial"/>
        </w:rPr>
      </w:pPr>
    </w:p>
    <w:p w14:paraId="3EF60018" w14:textId="77777777" w:rsidR="006B063B" w:rsidRDefault="006B063B">
      <w:pPr>
        <w:rPr>
          <w:rFonts w:ascii="Arial" w:hAnsi="Arial" w:cs="Arial"/>
        </w:rPr>
      </w:pPr>
    </w:p>
    <w:p w14:paraId="6D562A52" w14:textId="77777777" w:rsidR="006B063B" w:rsidRDefault="006B063B">
      <w:pPr>
        <w:rPr>
          <w:rFonts w:ascii="Arial" w:hAnsi="Arial" w:cs="Arial"/>
        </w:rPr>
      </w:pPr>
    </w:p>
    <w:p w14:paraId="7ECD6D6F" w14:textId="77777777" w:rsidR="006B063B" w:rsidRDefault="006B063B">
      <w:pPr>
        <w:rPr>
          <w:rFonts w:ascii="Arial" w:hAnsi="Arial" w:cs="Arial"/>
        </w:rPr>
      </w:pPr>
    </w:p>
    <w:p w14:paraId="63BABE22" w14:textId="77777777" w:rsidR="006B063B" w:rsidRDefault="006B063B">
      <w:pPr>
        <w:rPr>
          <w:rFonts w:ascii="Arial" w:hAnsi="Arial" w:cs="Arial"/>
        </w:rPr>
      </w:pPr>
    </w:p>
    <w:p w14:paraId="0D1EAB4A" w14:textId="77777777" w:rsidR="006B063B" w:rsidRDefault="006B063B">
      <w:pPr>
        <w:rPr>
          <w:rFonts w:ascii="Arial" w:hAnsi="Arial" w:cs="Arial"/>
        </w:rPr>
      </w:pPr>
    </w:p>
    <w:p w14:paraId="00EEA185" w14:textId="77777777" w:rsidR="006B063B" w:rsidRDefault="006B063B">
      <w:pPr>
        <w:rPr>
          <w:rFonts w:ascii="Arial" w:hAnsi="Arial" w:cs="Arial"/>
        </w:rPr>
      </w:pPr>
    </w:p>
    <w:p w14:paraId="5622180A" w14:textId="77777777" w:rsidR="006B063B" w:rsidRDefault="006B063B">
      <w:pPr>
        <w:rPr>
          <w:rFonts w:ascii="Arial" w:hAnsi="Arial" w:cs="Arial"/>
        </w:rPr>
      </w:pPr>
    </w:p>
    <w:p w14:paraId="4413CB9F" w14:textId="77777777" w:rsidR="006B063B" w:rsidRDefault="006B063B">
      <w:pPr>
        <w:rPr>
          <w:rFonts w:ascii="Arial" w:hAnsi="Arial" w:cs="Arial"/>
        </w:rPr>
      </w:pPr>
    </w:p>
    <w:p w14:paraId="6F405999" w14:textId="77777777" w:rsidR="006B063B" w:rsidRDefault="006B063B">
      <w:pPr>
        <w:rPr>
          <w:rFonts w:ascii="Arial" w:hAnsi="Arial" w:cs="Arial"/>
        </w:rPr>
      </w:pPr>
    </w:p>
    <w:p w14:paraId="0AC41742" w14:textId="77777777" w:rsidR="006B063B" w:rsidRDefault="006B063B">
      <w:pPr>
        <w:rPr>
          <w:rFonts w:ascii="Arial" w:hAnsi="Arial" w:cs="Arial"/>
        </w:rPr>
      </w:pPr>
    </w:p>
    <w:p w14:paraId="2F6335AB" w14:textId="77777777" w:rsidR="006B063B" w:rsidRDefault="006B063B">
      <w:pPr>
        <w:rPr>
          <w:rFonts w:ascii="Arial" w:hAnsi="Arial" w:cs="Arial"/>
        </w:rPr>
      </w:pPr>
    </w:p>
    <w:p w14:paraId="27AC54A4" w14:textId="77777777" w:rsidR="006B063B" w:rsidRDefault="006B063B">
      <w:pPr>
        <w:rPr>
          <w:rFonts w:ascii="Arial" w:hAnsi="Arial" w:cs="Arial"/>
        </w:rPr>
      </w:pPr>
    </w:p>
    <w:p w14:paraId="11581181" w14:textId="77777777" w:rsidR="006B063B" w:rsidRDefault="006B063B">
      <w:pPr>
        <w:rPr>
          <w:rFonts w:ascii="Arial" w:hAnsi="Arial" w:cs="Arial"/>
        </w:rPr>
      </w:pPr>
    </w:p>
    <w:p w14:paraId="0A1D6B15" w14:textId="77777777" w:rsidR="006B063B" w:rsidRDefault="006B063B">
      <w:pPr>
        <w:rPr>
          <w:rFonts w:ascii="Arial" w:hAnsi="Arial" w:cs="Arial"/>
        </w:rPr>
      </w:pPr>
    </w:p>
    <w:p w14:paraId="3800A2DE" w14:textId="7AA43F4D" w:rsidR="006B063B" w:rsidRDefault="006B063B">
      <w:pPr>
        <w:rPr>
          <w:rFonts w:ascii="Arial" w:hAnsi="Arial" w:cs="Arial"/>
        </w:rPr>
      </w:pPr>
      <w:r>
        <w:rPr>
          <w:rFonts w:ascii="Arial" w:hAnsi="Arial" w:cs="Arial"/>
        </w:rPr>
        <w:t xml:space="preserve">Reference </w:t>
      </w:r>
    </w:p>
    <w:p w14:paraId="4E213642" w14:textId="77777777" w:rsidR="006B063B" w:rsidRPr="006B063B" w:rsidRDefault="006B063B" w:rsidP="006B063B">
      <w:pPr>
        <w:rPr>
          <w:rFonts w:ascii="Arial" w:hAnsi="Arial" w:cs="Arial"/>
        </w:rPr>
      </w:pPr>
      <w:r w:rsidRPr="006B063B">
        <w:rPr>
          <w:rFonts w:ascii="Arial" w:hAnsi="Arial" w:cs="Arial"/>
        </w:rPr>
        <w:t>Anderson, D., &amp; Kelliher, C. (2020). Flexible Working and Engagement: The Importance of Choice. Journal of Employee Relations, 42(3), 631-647.</w:t>
      </w:r>
    </w:p>
    <w:p w14:paraId="6B2B6C13" w14:textId="77777777" w:rsidR="006B063B" w:rsidRPr="006B063B" w:rsidRDefault="006B063B" w:rsidP="006B063B">
      <w:pPr>
        <w:rPr>
          <w:rFonts w:ascii="Arial" w:hAnsi="Arial" w:cs="Arial"/>
        </w:rPr>
      </w:pPr>
      <w:r w:rsidRPr="006B063B">
        <w:rPr>
          <w:rFonts w:ascii="Arial" w:hAnsi="Arial" w:cs="Arial"/>
        </w:rPr>
        <w:t>Bloom, N., Liang, J., Roberts, J., &amp; Ying, Z. J. (2015). Does Working from Home Work? Evidence from a Chinese Experiment. The Quarterly Journal of Economics, 130(1), 165-218.</w:t>
      </w:r>
    </w:p>
    <w:p w14:paraId="7BDDF688" w14:textId="77777777" w:rsidR="006B063B" w:rsidRPr="006B063B" w:rsidRDefault="006B063B" w:rsidP="006B063B">
      <w:pPr>
        <w:rPr>
          <w:rFonts w:ascii="Arial" w:hAnsi="Arial" w:cs="Arial"/>
        </w:rPr>
      </w:pPr>
      <w:r w:rsidRPr="006B063B">
        <w:rPr>
          <w:rFonts w:ascii="Arial" w:hAnsi="Arial" w:cs="Arial"/>
        </w:rPr>
        <w:t>Grant, C. A., Wallace, L. M., Spurgeon, P. C., Tramontano, C., &amp; Charalampous, M. (2019). Construction and Initial Validation of the E-Work Life Scale to Measure Remote e-Working. Employee Relations, 41(1), 16-33.</w:t>
      </w:r>
    </w:p>
    <w:p w14:paraId="0D47B353" w14:textId="77777777" w:rsidR="006B063B" w:rsidRPr="006B063B" w:rsidRDefault="006B063B" w:rsidP="006B063B">
      <w:pPr>
        <w:rPr>
          <w:rFonts w:ascii="Arial" w:hAnsi="Arial" w:cs="Arial"/>
        </w:rPr>
      </w:pPr>
      <w:r w:rsidRPr="006B063B">
        <w:rPr>
          <w:rFonts w:ascii="Arial" w:hAnsi="Arial" w:cs="Arial"/>
        </w:rPr>
        <w:t>Harrington, B., &amp; Hall, D. T. (2007). Career Management and Work-Life Integration: Using Self-Assessment to Navigate Contemporary Careers. Sage Publications.</w:t>
      </w:r>
    </w:p>
    <w:p w14:paraId="220E9DD8" w14:textId="12B72AA2" w:rsidR="006B063B" w:rsidRPr="00605C21" w:rsidRDefault="006B063B" w:rsidP="006B063B">
      <w:pPr>
        <w:rPr>
          <w:rFonts w:ascii="Arial" w:hAnsi="Arial" w:cs="Arial"/>
        </w:rPr>
      </w:pPr>
      <w:r w:rsidRPr="006B063B">
        <w:rPr>
          <w:rFonts w:ascii="Arial" w:hAnsi="Arial" w:cs="Arial"/>
        </w:rPr>
        <w:t>Kurland, N. B., &amp; Bailey, D. E. (1999). Telework: The Advantages and Challenges of Working Here, There, Anywhere, and Anytime. Organizational Dynamics, 28(2), 53-68.</w:t>
      </w:r>
    </w:p>
    <w:sectPr w:rsidR="006B063B" w:rsidRPr="00605C21" w:rsidSect="00AE3D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434"/>
    <w:rsid w:val="000755DE"/>
    <w:rsid w:val="001B13CE"/>
    <w:rsid w:val="0059388D"/>
    <w:rsid w:val="00605C21"/>
    <w:rsid w:val="006B063B"/>
    <w:rsid w:val="00AE3DCC"/>
    <w:rsid w:val="00B925B0"/>
    <w:rsid w:val="00C54DD3"/>
    <w:rsid w:val="00CE11C5"/>
    <w:rsid w:val="00D14CB0"/>
    <w:rsid w:val="00DE0434"/>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FB910"/>
  <w15:chartTrackingRefBased/>
  <w15:docId w15:val="{B736C356-3EF9-42ED-8D02-83EA92A2F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4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04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4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4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4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4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4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4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4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4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04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4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4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4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4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4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4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434"/>
    <w:rPr>
      <w:rFonts w:eastAsiaTheme="majorEastAsia" w:cstheme="majorBidi"/>
      <w:color w:val="272727" w:themeColor="text1" w:themeTint="D8"/>
    </w:rPr>
  </w:style>
  <w:style w:type="paragraph" w:styleId="Title">
    <w:name w:val="Title"/>
    <w:basedOn w:val="Normal"/>
    <w:next w:val="Normal"/>
    <w:link w:val="TitleChar"/>
    <w:uiPriority w:val="10"/>
    <w:qFormat/>
    <w:rsid w:val="00DE04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4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4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4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434"/>
    <w:pPr>
      <w:spacing w:before="160"/>
      <w:jc w:val="center"/>
    </w:pPr>
    <w:rPr>
      <w:i/>
      <w:iCs/>
      <w:color w:val="404040" w:themeColor="text1" w:themeTint="BF"/>
    </w:rPr>
  </w:style>
  <w:style w:type="character" w:customStyle="1" w:styleId="QuoteChar">
    <w:name w:val="Quote Char"/>
    <w:basedOn w:val="DefaultParagraphFont"/>
    <w:link w:val="Quote"/>
    <w:uiPriority w:val="29"/>
    <w:rsid w:val="00DE0434"/>
    <w:rPr>
      <w:i/>
      <w:iCs/>
      <w:color w:val="404040" w:themeColor="text1" w:themeTint="BF"/>
    </w:rPr>
  </w:style>
  <w:style w:type="paragraph" w:styleId="ListParagraph">
    <w:name w:val="List Paragraph"/>
    <w:basedOn w:val="Normal"/>
    <w:uiPriority w:val="34"/>
    <w:qFormat/>
    <w:rsid w:val="00DE0434"/>
    <w:pPr>
      <w:ind w:left="720"/>
      <w:contextualSpacing/>
    </w:pPr>
  </w:style>
  <w:style w:type="character" w:styleId="IntenseEmphasis">
    <w:name w:val="Intense Emphasis"/>
    <w:basedOn w:val="DefaultParagraphFont"/>
    <w:uiPriority w:val="21"/>
    <w:qFormat/>
    <w:rsid w:val="00DE0434"/>
    <w:rPr>
      <w:i/>
      <w:iCs/>
      <w:color w:val="0F4761" w:themeColor="accent1" w:themeShade="BF"/>
    </w:rPr>
  </w:style>
  <w:style w:type="paragraph" w:styleId="IntenseQuote">
    <w:name w:val="Intense Quote"/>
    <w:basedOn w:val="Normal"/>
    <w:next w:val="Normal"/>
    <w:link w:val="IntenseQuoteChar"/>
    <w:uiPriority w:val="30"/>
    <w:qFormat/>
    <w:rsid w:val="00DE04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434"/>
    <w:rPr>
      <w:i/>
      <w:iCs/>
      <w:color w:val="0F4761" w:themeColor="accent1" w:themeShade="BF"/>
    </w:rPr>
  </w:style>
  <w:style w:type="character" w:styleId="IntenseReference">
    <w:name w:val="Intense Reference"/>
    <w:basedOn w:val="DefaultParagraphFont"/>
    <w:uiPriority w:val="32"/>
    <w:qFormat/>
    <w:rsid w:val="00DE043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4486672">
      <w:bodyDiv w:val="1"/>
      <w:marLeft w:val="0"/>
      <w:marRight w:val="0"/>
      <w:marTop w:val="0"/>
      <w:marBottom w:val="0"/>
      <w:divBdr>
        <w:top w:val="none" w:sz="0" w:space="0" w:color="auto"/>
        <w:left w:val="none" w:sz="0" w:space="0" w:color="auto"/>
        <w:bottom w:val="none" w:sz="0" w:space="0" w:color="auto"/>
        <w:right w:val="none" w:sz="0" w:space="0" w:color="auto"/>
      </w:divBdr>
    </w:div>
    <w:div w:id="532155920">
      <w:bodyDiv w:val="1"/>
      <w:marLeft w:val="0"/>
      <w:marRight w:val="0"/>
      <w:marTop w:val="0"/>
      <w:marBottom w:val="0"/>
      <w:divBdr>
        <w:top w:val="none" w:sz="0" w:space="0" w:color="auto"/>
        <w:left w:val="none" w:sz="0" w:space="0" w:color="auto"/>
        <w:bottom w:val="none" w:sz="0" w:space="0" w:color="auto"/>
        <w:right w:val="none" w:sz="0" w:space="0" w:color="auto"/>
      </w:divBdr>
    </w:div>
    <w:div w:id="75323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1800</Words>
  <Characters>11688</Characters>
  <Application>Microsoft Office Word</Application>
  <DocSecurity>0</DocSecurity>
  <Lines>299</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Georgieva</dc:creator>
  <cp:keywords/>
  <dc:description/>
  <cp:lastModifiedBy>Tanya Georgieva</cp:lastModifiedBy>
  <cp:revision>2</cp:revision>
  <dcterms:created xsi:type="dcterms:W3CDTF">2024-07-13T16:03:00Z</dcterms:created>
  <dcterms:modified xsi:type="dcterms:W3CDTF">2024-07-13T17:19:00Z</dcterms:modified>
</cp:coreProperties>
</file>