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E3D3D8" w14:textId="77777777" w:rsidR="00875609" w:rsidRPr="002B0C55" w:rsidRDefault="00875609" w:rsidP="00875609">
      <w:pPr>
        <w:spacing w:before="1540" w:after="240" w:line="240" w:lineRule="auto"/>
        <w:ind w:left="2880" w:firstLine="720"/>
        <w:rPr>
          <w:rFonts w:ascii="Times New Roman" w:eastAsia="Times New Roman" w:hAnsi="Times New Roman" w:cs="Times New Roman"/>
          <w:color w:val="156082"/>
        </w:rPr>
      </w:pPr>
      <w:r w:rsidRPr="002B0C55">
        <w:rPr>
          <w:rFonts w:ascii="Times New Roman" w:eastAsia="Times New Roman" w:hAnsi="Times New Roman" w:cs="Times New Roman"/>
          <w:noProof/>
          <w:color w:val="156082"/>
        </w:rPr>
        <w:drawing>
          <wp:inline distT="0" distB="0" distL="0" distR="0" wp14:anchorId="43A8F795" wp14:editId="55BA02EF">
            <wp:extent cx="1419225" cy="752475"/>
            <wp:effectExtent l="0" t="0" r="9525" b="0"/>
            <wp:docPr id="243814922" name="Picture 144" descr="A black background with grey leaves  Description automatically generated"/>
            <wp:cNvGraphicFramePr/>
            <a:graphic xmlns:a="http://schemas.openxmlformats.org/drawingml/2006/main">
              <a:graphicData uri="http://schemas.openxmlformats.org/drawingml/2006/picture">
                <pic:pic xmlns:pic="http://schemas.openxmlformats.org/drawingml/2006/picture">
                  <pic:nvPicPr>
                    <pic:cNvPr id="143" name="Picture 144" descr="A black background with grey leaves  Description automatically generated"/>
                    <pic:cNvPicPr>
                      <a:picLocks noChangeAspect="1"/>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570"/>
                    </a:xfrm>
                    <a:prstGeom prst="rect">
                      <a:avLst/>
                    </a:prstGeom>
                    <a:noFill/>
                    <a:ln>
                      <a:noFill/>
                    </a:ln>
                  </pic:spPr>
                </pic:pic>
              </a:graphicData>
            </a:graphic>
          </wp:inline>
        </w:drawing>
      </w:r>
    </w:p>
    <w:p w14:paraId="3FAE57DE" w14:textId="77777777" w:rsidR="00875609" w:rsidRPr="002B0C55" w:rsidRDefault="00875609" w:rsidP="00875609">
      <w:pPr>
        <w:spacing w:before="480" w:after="0" w:line="240" w:lineRule="auto"/>
        <w:jc w:val="center"/>
        <w:rPr>
          <w:rFonts w:ascii="Aptos Display" w:eastAsia="Times New Roman" w:hAnsi="Aptos Display" w:cs="Times New Roman"/>
          <w:caps/>
          <w:color w:val="156082"/>
          <w:sz w:val="72"/>
          <w:szCs w:val="72"/>
        </w:rPr>
      </w:pPr>
      <w:r w:rsidRPr="002B0C55">
        <w:rPr>
          <w:rFonts w:ascii="Aptos Display" w:eastAsia="Times New Roman" w:hAnsi="Aptos Display" w:cs="Times New Roman"/>
          <w:caps/>
          <w:color w:val="156082"/>
          <w:sz w:val="72"/>
          <w:szCs w:val="72"/>
        </w:rPr>
        <w:t>Data Warehousing &amp; Data Mining</w:t>
      </w:r>
    </w:p>
    <w:p w14:paraId="197A747C" w14:textId="4ECA3DB6" w:rsidR="00875609" w:rsidRPr="002B0C55" w:rsidRDefault="00875609" w:rsidP="00875609">
      <w:pPr>
        <w:spacing w:before="480" w:after="0" w:line="240" w:lineRule="auto"/>
        <w:jc w:val="center"/>
        <w:rPr>
          <w:rFonts w:ascii="Aptos" w:eastAsia="Times New Roman" w:hAnsi="Aptos" w:cs="Times New Roman"/>
          <w:color w:val="156082"/>
          <w:sz w:val="72"/>
          <w:szCs w:val="72"/>
        </w:rPr>
      </w:pPr>
      <w:r w:rsidRPr="002B0C55">
        <w:rPr>
          <w:rFonts w:ascii="Times New Roman" w:eastAsia="Times New Roman" w:hAnsi="Times New Roman" w:cs="Times New Roman"/>
          <w:color w:val="156082"/>
          <w:sz w:val="72"/>
          <w:szCs w:val="72"/>
        </w:rPr>
        <w:t>ACCA6026</w:t>
      </w:r>
    </w:p>
    <w:p w14:paraId="09D36B8D" w14:textId="77777777" w:rsidR="00875609" w:rsidRPr="002B0C55" w:rsidRDefault="00875609" w:rsidP="00875609">
      <w:pPr>
        <w:spacing w:after="0" w:line="240" w:lineRule="auto"/>
        <w:jc w:val="center"/>
        <w:rPr>
          <w:rFonts w:ascii="Times New Roman" w:eastAsia="Times New Roman" w:hAnsi="Times New Roman" w:cs="Times New Roman"/>
          <w:color w:val="156082"/>
        </w:rPr>
      </w:pPr>
      <w:r w:rsidRPr="002B0C55">
        <w:rPr>
          <w:rFonts w:ascii="Times New Roman" w:eastAsia="Times New Roman" w:hAnsi="Times New Roman" w:cs="Times New Roman"/>
          <w:noProof/>
        </w:rPr>
        <mc:AlternateContent>
          <mc:Choice Requires="wps">
            <w:drawing>
              <wp:anchor distT="0" distB="0" distL="114300" distR="114300" simplePos="0" relativeHeight="251659264" behindDoc="0" locked="0" layoutInCell="1" allowOverlap="1" wp14:anchorId="55AC6F46" wp14:editId="5335BF5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7315200" cy="681990"/>
                <wp:effectExtent l="0" t="0" r="2540" b="8890"/>
                <wp:wrapNone/>
                <wp:docPr id="2078234539" name="Text Box 146"/>
                <wp:cNvGraphicFramePr/>
                <a:graphic xmlns:a="http://schemas.openxmlformats.org/drawingml/2006/main">
                  <a:graphicData uri="http://schemas.microsoft.com/office/word/2010/wordprocessingShape">
                    <wps:wsp>
                      <wps:cNvSpPr txBox="1"/>
                      <wps:spPr>
                        <a:xfrm>
                          <a:off x="0" y="0"/>
                          <a:ext cx="6743700" cy="688340"/>
                        </a:xfrm>
                        <a:prstGeom prst="rect">
                          <a:avLst/>
                        </a:prstGeom>
                        <a:noFill/>
                        <a:ln w="6350">
                          <a:noFill/>
                        </a:ln>
                        <a:effectLst/>
                      </wps:spPr>
                      <wps:txbx>
                        <w:txbxContent>
                          <w:p w14:paraId="746BA79E" w14:textId="77777777" w:rsidR="00875609" w:rsidRPr="002B0C55" w:rsidRDefault="00875609" w:rsidP="00875609">
                            <w:pPr>
                              <w:pStyle w:val="NoSpacing"/>
                              <w:jc w:val="center"/>
                              <w:rPr>
                                <w:caps/>
                                <w:color w:val="156082"/>
                                <w:sz w:val="28"/>
                                <w:szCs w:val="28"/>
                                <w:lang w:val="en-GB"/>
                              </w:rPr>
                            </w:pPr>
                            <w:r w:rsidRPr="002B0C55">
                              <w:rPr>
                                <w:caps/>
                                <w:color w:val="156082"/>
                                <w:sz w:val="28"/>
                                <w:szCs w:val="28"/>
                                <w:lang w:val="en-GB"/>
                              </w:rPr>
                              <w:t>Bsc applied computing</w:t>
                            </w:r>
                          </w:p>
                          <w:p w14:paraId="610A4471" w14:textId="77777777" w:rsidR="00875609" w:rsidRPr="002B0C55" w:rsidRDefault="00875609" w:rsidP="00875609">
                            <w:pPr>
                              <w:pStyle w:val="NoSpacing"/>
                              <w:jc w:val="center"/>
                              <w:rPr>
                                <w:caps/>
                                <w:color w:val="156082"/>
                                <w:sz w:val="28"/>
                                <w:szCs w:val="28"/>
                                <w:lang w:val="en-GB"/>
                              </w:rPr>
                            </w:pPr>
                            <w:r w:rsidRPr="002B0C55">
                              <w:rPr>
                                <w:caps/>
                                <w:color w:val="156082"/>
                                <w:sz w:val="28"/>
                                <w:szCs w:val="28"/>
                                <w:lang w:val="en-GB"/>
                              </w:rPr>
                              <w:t>KELVIN BARETO TAVARES</w:t>
                            </w:r>
                          </w:p>
                          <w:p w14:paraId="61F0A08E" w14:textId="77777777" w:rsidR="00875609" w:rsidRPr="002B0C55" w:rsidRDefault="00875609" w:rsidP="00875609">
                            <w:pPr>
                              <w:pStyle w:val="NoSpacing"/>
                              <w:jc w:val="center"/>
                              <w:rPr>
                                <w:color w:val="156082"/>
                                <w:lang w:val="en-GB"/>
                              </w:rPr>
                            </w:pPr>
                            <w:r w:rsidRPr="002B0C55">
                              <w:rPr>
                                <w:caps/>
                                <w:color w:val="156082"/>
                                <w:sz w:val="28"/>
                                <w:szCs w:val="28"/>
                                <w:lang w:val="en-GB"/>
                              </w:rPr>
                              <w:t>2321297</w:t>
                            </w:r>
                          </w:p>
                        </w:txbxContent>
                      </wps:txbx>
                      <wps:bodyPr rot="0" spcFirstLastPara="0" vertOverflow="clip" horzOverflow="clip"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5AC6F46" id="_x0000_t202" coordsize="21600,21600" o:spt="202" path="m,l,21600r21600,l21600,xe">
                <v:stroke joinstyle="miter"/>
                <v:path gradientshapeok="t" o:connecttype="rect"/>
              </v:shapetype>
              <v:shape id="Text Box 146" o:spid="_x0000_s1026" type="#_x0000_t202" style="position:absolute;left:0;text-align:left;margin-left:0;margin-top:0;width:8in;height:53.7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" filled="f" stroked="f" strokeweight=".5pt">
                <v:textbox style="mso-fit-shape-to-text:t" inset="0,0,0,0">
                  <w:txbxContent>
                    <w:p w14:paraId="746BA79E" w14:textId="77777777" w:rsidR="00875609" w:rsidRPr="002B0C55" w:rsidRDefault="00875609" w:rsidP="00875609">
                      <w:pPr>
                        <w:pStyle w:val="NoSpacing"/>
                        <w:jc w:val="center"/>
                        <w:rPr>
                          <w:caps/>
                          <w:color w:val="156082"/>
                          <w:sz w:val="28"/>
                          <w:szCs w:val="28"/>
                          <w:lang w:val="en-GB"/>
                        </w:rPr>
                      </w:pPr>
                      <w:r w:rsidRPr="002B0C55">
                        <w:rPr>
                          <w:caps/>
                          <w:color w:val="156082"/>
                          <w:sz w:val="28"/>
                          <w:szCs w:val="28"/>
                          <w:lang w:val="en-GB"/>
                        </w:rPr>
                        <w:t>Bsc applied computing</w:t>
                      </w:r>
                    </w:p>
                    <w:p w14:paraId="610A4471" w14:textId="77777777" w:rsidR="00875609" w:rsidRPr="002B0C55" w:rsidRDefault="00875609" w:rsidP="00875609">
                      <w:pPr>
                        <w:pStyle w:val="NoSpacing"/>
                        <w:jc w:val="center"/>
                        <w:rPr>
                          <w:caps/>
                          <w:color w:val="156082"/>
                          <w:sz w:val="28"/>
                          <w:szCs w:val="28"/>
                          <w:lang w:val="en-GB"/>
                        </w:rPr>
                      </w:pPr>
                      <w:r w:rsidRPr="002B0C55">
                        <w:rPr>
                          <w:caps/>
                          <w:color w:val="156082"/>
                          <w:sz w:val="28"/>
                          <w:szCs w:val="28"/>
                          <w:lang w:val="en-GB"/>
                        </w:rPr>
                        <w:t>KELVIN BARETO TAVARES</w:t>
                      </w:r>
                    </w:p>
                    <w:p w14:paraId="61F0A08E" w14:textId="77777777" w:rsidR="00875609" w:rsidRPr="002B0C55" w:rsidRDefault="00875609" w:rsidP="00875609">
                      <w:pPr>
                        <w:pStyle w:val="NoSpacing"/>
                        <w:jc w:val="center"/>
                        <w:rPr>
                          <w:color w:val="156082"/>
                          <w:lang w:val="en-GB"/>
                        </w:rPr>
                      </w:pPr>
                      <w:r w:rsidRPr="002B0C55">
                        <w:rPr>
                          <w:caps/>
                          <w:color w:val="156082"/>
                          <w:sz w:val="28"/>
                          <w:szCs w:val="28"/>
                          <w:lang w:val="en-GB"/>
                        </w:rPr>
                        <w:t>2321297</w:t>
                      </w:r>
                    </w:p>
                  </w:txbxContent>
                </v:textbox>
                <w10:wrap anchorx="margin" anchory="page"/>
              </v:shape>
            </w:pict>
          </mc:Fallback>
        </mc:AlternateContent>
      </w:r>
      <w:r w:rsidRPr="002B0C55">
        <w:rPr>
          <w:rFonts w:ascii="Times New Roman" w:eastAsia="Times New Roman" w:hAnsi="Times New Roman" w:cs="Times New Roman"/>
          <w:noProof/>
          <w:color w:val="156082"/>
        </w:rPr>
        <w:drawing>
          <wp:inline distT="0" distB="0" distL="0" distR="0" wp14:anchorId="4FF9A666" wp14:editId="37716954">
            <wp:extent cx="762000" cy="485775"/>
            <wp:effectExtent l="0" t="0" r="0" b="0"/>
            <wp:docPr id="1876536061" name="Picture 147" descr="A grey logo on a black background  Description automatically generated"/>
            <wp:cNvGraphicFramePr/>
            <a:graphic xmlns:a="http://schemas.openxmlformats.org/drawingml/2006/main">
              <a:graphicData uri="http://schemas.openxmlformats.org/drawingml/2006/picture">
                <pic:pic xmlns:pic="http://schemas.openxmlformats.org/drawingml/2006/picture">
                  <pic:nvPicPr>
                    <pic:cNvPr id="144" name="Picture 147" descr="A grey logo on a black background  Description automatically generated"/>
                    <pic:cNvPicPr>
                      <a:picLocks noChangeAspect="1"/>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825" cy="478790"/>
                    </a:xfrm>
                    <a:prstGeom prst="rect">
                      <a:avLst/>
                    </a:prstGeom>
                  </pic:spPr>
                </pic:pic>
              </a:graphicData>
            </a:graphic>
          </wp:inline>
        </w:drawing>
      </w:r>
    </w:p>
    <w:p w14:paraId="0ED1C409" w14:textId="0B3EEC0A" w:rsidR="00875609" w:rsidRPr="002B0C55" w:rsidRDefault="00875609" w:rsidP="00875609">
      <w:pPr>
        <w:spacing w:line="256" w:lineRule="auto"/>
        <w:jc w:val="both"/>
        <w:rPr>
          <w:rFonts w:ascii="Aptos" w:eastAsia="Aptos" w:hAnsi="Aptos" w:cs="Times New Roman"/>
          <w:color w:val="156082"/>
        </w:rPr>
      </w:pPr>
      <w:r w:rsidRPr="002B0C55">
        <w:rPr>
          <w:rFonts w:ascii="Aptos" w:eastAsia="Aptos" w:hAnsi="Aptos" w:cs="Times New Roman"/>
          <w:color w:val="156082"/>
        </w:rPr>
        <w:tab/>
      </w:r>
    </w:p>
    <w:p w14:paraId="205A4F82" w14:textId="77777777" w:rsidR="00875609" w:rsidRPr="002B0C55" w:rsidRDefault="00875609" w:rsidP="00875609">
      <w:pPr>
        <w:spacing w:line="256" w:lineRule="auto"/>
        <w:jc w:val="both"/>
        <w:rPr>
          <w:rFonts w:ascii="Aptos" w:eastAsia="Aptos" w:hAnsi="Aptos" w:cs="Times New Roman"/>
          <w:color w:val="156082"/>
        </w:rPr>
      </w:pPr>
      <w:r w:rsidRPr="002B0C55">
        <w:rPr>
          <w:rFonts w:ascii="Aptos" w:eastAsia="Aptos" w:hAnsi="Aptos" w:cs="Times New Roman"/>
          <w:color w:val="156082"/>
        </w:rPr>
        <w:br w:type="page"/>
      </w:r>
    </w:p>
    <w:sdt>
      <w:sdtPr>
        <w:id w:val="-1864734629"/>
        <w:docPartObj>
          <w:docPartGallery w:val="Table of Contents"/>
          <w:docPartUnique/>
        </w:docPartObj>
      </w:sdtPr>
      <w:sdtEndPr>
        <w:rPr>
          <w:rFonts w:asciiTheme="minorHAnsi" w:eastAsiaTheme="minorEastAsia" w:hAnsiTheme="minorHAnsi" w:cstheme="minorBidi"/>
          <w:b/>
          <w:bCs/>
          <w:noProof/>
          <w:color w:val="auto"/>
          <w:sz w:val="22"/>
          <w:szCs w:val="22"/>
          <w:lang w:val="en-GB"/>
        </w:rPr>
      </w:sdtEndPr>
      <w:sdtContent>
        <w:p w14:paraId="08040EDE" w14:textId="3D357F9E" w:rsidR="00F57BA6" w:rsidRDefault="00F57BA6">
          <w:pPr>
            <w:pStyle w:val="TOCHeading"/>
          </w:pPr>
          <w:r>
            <w:t>Contents</w:t>
          </w:r>
        </w:p>
        <w:p w14:paraId="7B001634" w14:textId="55438072" w:rsidR="00F57BA6" w:rsidRDefault="00F57BA6">
          <w:pPr>
            <w:pStyle w:val="TOC1"/>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235551491" w:history="1">
            <w:r w:rsidRPr="0095230E">
              <w:rPr>
                <w:rStyle w:val="Hyperlink"/>
                <w:rFonts w:ascii="Times New Roman" w:eastAsia="Times New Roman" w:hAnsi="Times New Roman" w:cs="Times New Roman"/>
                <w:b/>
                <w:noProof/>
              </w:rPr>
              <w:t>Introduction</w:t>
            </w:r>
            <w:r>
              <w:rPr>
                <w:noProof/>
                <w:webHidden/>
              </w:rPr>
              <w:tab/>
            </w:r>
            <w:r>
              <w:rPr>
                <w:noProof/>
                <w:webHidden/>
              </w:rPr>
              <w:fldChar w:fldCharType="begin"/>
            </w:r>
            <w:r>
              <w:rPr>
                <w:noProof/>
                <w:webHidden/>
              </w:rPr>
              <w:instrText xml:space="preserve"> PAGEREF _Toc235551491 \h </w:instrText>
            </w:r>
            <w:r>
              <w:rPr>
                <w:noProof/>
                <w:webHidden/>
              </w:rPr>
            </w:r>
            <w:r>
              <w:rPr>
                <w:noProof/>
                <w:webHidden/>
              </w:rPr>
              <w:fldChar w:fldCharType="separate"/>
            </w:r>
            <w:r>
              <w:rPr>
                <w:noProof/>
                <w:webHidden/>
              </w:rPr>
              <w:t>3</w:t>
            </w:r>
            <w:r>
              <w:rPr>
                <w:noProof/>
                <w:webHidden/>
              </w:rPr>
              <w:fldChar w:fldCharType="end"/>
            </w:r>
          </w:hyperlink>
        </w:p>
        <w:p w14:paraId="4D60CBF1" w14:textId="2CEA4E0E" w:rsidR="00F57BA6" w:rsidRDefault="00F57BA6">
          <w:pPr>
            <w:pStyle w:val="TOC1"/>
            <w:tabs>
              <w:tab w:val="right" w:leader="dot" w:pos="9016"/>
            </w:tabs>
            <w:rPr>
              <w:noProof/>
              <w:kern w:val="2"/>
              <w:sz w:val="24"/>
              <w:szCs w:val="24"/>
              <w:lang w:eastAsia="en-GB"/>
              <w14:ligatures w14:val="standardContextual"/>
            </w:rPr>
          </w:pPr>
          <w:hyperlink w:anchor="_Toc235551492" w:history="1">
            <w:r w:rsidRPr="0095230E">
              <w:rPr>
                <w:rStyle w:val="Hyperlink"/>
                <w:rFonts w:ascii="Times New Roman" w:eastAsia="Times New Roman" w:hAnsi="Times New Roman" w:cs="Times New Roman"/>
                <w:b/>
                <w:noProof/>
              </w:rPr>
              <w:t>TASK 1: THE CASE FOR A DATA WAREHOUSE</w:t>
            </w:r>
            <w:r>
              <w:rPr>
                <w:noProof/>
                <w:webHidden/>
              </w:rPr>
              <w:tab/>
            </w:r>
            <w:r>
              <w:rPr>
                <w:noProof/>
                <w:webHidden/>
              </w:rPr>
              <w:fldChar w:fldCharType="begin"/>
            </w:r>
            <w:r>
              <w:rPr>
                <w:noProof/>
                <w:webHidden/>
              </w:rPr>
              <w:instrText xml:space="preserve"> PAGEREF _Toc235551492 \h </w:instrText>
            </w:r>
            <w:r>
              <w:rPr>
                <w:noProof/>
                <w:webHidden/>
              </w:rPr>
            </w:r>
            <w:r>
              <w:rPr>
                <w:noProof/>
                <w:webHidden/>
              </w:rPr>
              <w:fldChar w:fldCharType="separate"/>
            </w:r>
            <w:r>
              <w:rPr>
                <w:noProof/>
                <w:webHidden/>
              </w:rPr>
              <w:t>3</w:t>
            </w:r>
            <w:r>
              <w:rPr>
                <w:noProof/>
                <w:webHidden/>
              </w:rPr>
              <w:fldChar w:fldCharType="end"/>
            </w:r>
          </w:hyperlink>
        </w:p>
        <w:p w14:paraId="157CAA8E" w14:textId="17BBAD6C" w:rsidR="00F57BA6" w:rsidRDefault="00F57BA6">
          <w:pPr>
            <w:pStyle w:val="TOC2"/>
            <w:tabs>
              <w:tab w:val="right" w:leader="dot" w:pos="9016"/>
            </w:tabs>
            <w:rPr>
              <w:noProof/>
              <w:kern w:val="2"/>
              <w:sz w:val="24"/>
              <w:szCs w:val="24"/>
              <w:lang w:eastAsia="en-GB"/>
              <w14:ligatures w14:val="standardContextual"/>
            </w:rPr>
          </w:pPr>
          <w:hyperlink w:anchor="_Toc235551493" w:history="1">
            <w:r w:rsidRPr="0095230E">
              <w:rPr>
                <w:rStyle w:val="Hyperlink"/>
                <w:rFonts w:ascii="Times New Roman" w:eastAsia="Times New Roman" w:hAnsi="Times New Roman" w:cs="Times New Roman"/>
                <w:b/>
                <w:noProof/>
              </w:rPr>
              <w:t>1.1 OLTP vs Data Warehouse</w:t>
            </w:r>
            <w:r>
              <w:rPr>
                <w:noProof/>
                <w:webHidden/>
              </w:rPr>
              <w:tab/>
            </w:r>
            <w:r>
              <w:rPr>
                <w:noProof/>
                <w:webHidden/>
              </w:rPr>
              <w:fldChar w:fldCharType="begin"/>
            </w:r>
            <w:r>
              <w:rPr>
                <w:noProof/>
                <w:webHidden/>
              </w:rPr>
              <w:instrText xml:space="preserve"> PAGEREF _Toc235551493 \h </w:instrText>
            </w:r>
            <w:r>
              <w:rPr>
                <w:noProof/>
                <w:webHidden/>
              </w:rPr>
            </w:r>
            <w:r>
              <w:rPr>
                <w:noProof/>
                <w:webHidden/>
              </w:rPr>
              <w:fldChar w:fldCharType="separate"/>
            </w:r>
            <w:r>
              <w:rPr>
                <w:noProof/>
                <w:webHidden/>
              </w:rPr>
              <w:t>3</w:t>
            </w:r>
            <w:r>
              <w:rPr>
                <w:noProof/>
                <w:webHidden/>
              </w:rPr>
              <w:fldChar w:fldCharType="end"/>
            </w:r>
          </w:hyperlink>
        </w:p>
        <w:p w14:paraId="6AA7C06E" w14:textId="0231E7B3" w:rsidR="00F57BA6" w:rsidRDefault="00F57BA6">
          <w:pPr>
            <w:pStyle w:val="TOC2"/>
            <w:tabs>
              <w:tab w:val="right" w:leader="dot" w:pos="9016"/>
            </w:tabs>
            <w:rPr>
              <w:noProof/>
              <w:kern w:val="2"/>
              <w:sz w:val="24"/>
              <w:szCs w:val="24"/>
              <w:lang w:eastAsia="en-GB"/>
              <w14:ligatures w14:val="standardContextual"/>
            </w:rPr>
          </w:pPr>
          <w:hyperlink w:anchor="_Toc235551494" w:history="1">
            <w:r w:rsidRPr="0095230E">
              <w:rPr>
                <w:rStyle w:val="Hyperlink"/>
                <w:rFonts w:ascii="Times New Roman" w:eastAsia="Times New Roman" w:hAnsi="Times New Roman" w:cs="Times New Roman"/>
                <w:b/>
                <w:noProof/>
              </w:rPr>
              <w:t>1.2 Data Warehouse Architecture and ETL</w:t>
            </w:r>
            <w:r>
              <w:rPr>
                <w:noProof/>
                <w:webHidden/>
              </w:rPr>
              <w:tab/>
            </w:r>
            <w:r>
              <w:rPr>
                <w:noProof/>
                <w:webHidden/>
              </w:rPr>
              <w:fldChar w:fldCharType="begin"/>
            </w:r>
            <w:r>
              <w:rPr>
                <w:noProof/>
                <w:webHidden/>
              </w:rPr>
              <w:instrText xml:space="preserve"> PAGEREF _Toc235551494 \h </w:instrText>
            </w:r>
            <w:r>
              <w:rPr>
                <w:noProof/>
                <w:webHidden/>
              </w:rPr>
            </w:r>
            <w:r>
              <w:rPr>
                <w:noProof/>
                <w:webHidden/>
              </w:rPr>
              <w:fldChar w:fldCharType="separate"/>
            </w:r>
            <w:r>
              <w:rPr>
                <w:noProof/>
                <w:webHidden/>
              </w:rPr>
              <w:t>4</w:t>
            </w:r>
            <w:r>
              <w:rPr>
                <w:noProof/>
                <w:webHidden/>
              </w:rPr>
              <w:fldChar w:fldCharType="end"/>
            </w:r>
          </w:hyperlink>
        </w:p>
        <w:p w14:paraId="408E3AAA" w14:textId="3E9AE4BD" w:rsidR="00F57BA6" w:rsidRDefault="00F57BA6">
          <w:pPr>
            <w:pStyle w:val="TOC2"/>
            <w:tabs>
              <w:tab w:val="right" w:leader="dot" w:pos="9016"/>
            </w:tabs>
            <w:rPr>
              <w:noProof/>
              <w:kern w:val="2"/>
              <w:sz w:val="24"/>
              <w:szCs w:val="24"/>
              <w:lang w:eastAsia="en-GB"/>
              <w14:ligatures w14:val="standardContextual"/>
            </w:rPr>
          </w:pPr>
          <w:hyperlink w:anchor="_Toc235551495" w:history="1">
            <w:r w:rsidRPr="0095230E">
              <w:rPr>
                <w:rStyle w:val="Hyperlink"/>
                <w:rFonts w:ascii="Times New Roman" w:eastAsia="Times New Roman" w:hAnsi="Times New Roman" w:cs="Times New Roman"/>
                <w:b/>
                <w:noProof/>
              </w:rPr>
              <w:t>1.3 Data Marts for Management Decision-Making</w:t>
            </w:r>
            <w:r>
              <w:rPr>
                <w:noProof/>
                <w:webHidden/>
              </w:rPr>
              <w:tab/>
            </w:r>
            <w:r>
              <w:rPr>
                <w:noProof/>
                <w:webHidden/>
              </w:rPr>
              <w:fldChar w:fldCharType="begin"/>
            </w:r>
            <w:r>
              <w:rPr>
                <w:noProof/>
                <w:webHidden/>
              </w:rPr>
              <w:instrText xml:space="preserve"> PAGEREF _Toc235551495 \h </w:instrText>
            </w:r>
            <w:r>
              <w:rPr>
                <w:noProof/>
                <w:webHidden/>
              </w:rPr>
            </w:r>
            <w:r>
              <w:rPr>
                <w:noProof/>
                <w:webHidden/>
              </w:rPr>
              <w:fldChar w:fldCharType="separate"/>
            </w:r>
            <w:r>
              <w:rPr>
                <w:noProof/>
                <w:webHidden/>
              </w:rPr>
              <w:t>6</w:t>
            </w:r>
            <w:r>
              <w:rPr>
                <w:noProof/>
                <w:webHidden/>
              </w:rPr>
              <w:fldChar w:fldCharType="end"/>
            </w:r>
          </w:hyperlink>
        </w:p>
        <w:p w14:paraId="2B6D6B85" w14:textId="32D60873" w:rsidR="00F57BA6" w:rsidRDefault="00F57BA6">
          <w:pPr>
            <w:pStyle w:val="TOC2"/>
            <w:tabs>
              <w:tab w:val="right" w:leader="dot" w:pos="9016"/>
            </w:tabs>
            <w:rPr>
              <w:noProof/>
              <w:kern w:val="2"/>
              <w:sz w:val="24"/>
              <w:szCs w:val="24"/>
              <w:lang w:eastAsia="en-GB"/>
              <w14:ligatures w14:val="standardContextual"/>
            </w:rPr>
          </w:pPr>
          <w:hyperlink w:anchor="_Toc235551496" w:history="1">
            <w:r w:rsidRPr="0095230E">
              <w:rPr>
                <w:rStyle w:val="Hyperlink"/>
                <w:rFonts w:ascii="Times New Roman" w:eastAsia="Times New Roman" w:hAnsi="Times New Roman" w:cs="Times New Roman"/>
                <w:b/>
                <w:noProof/>
              </w:rPr>
              <w:t>1.4 OLTP Normalisation vs Dimensional Modelling</w:t>
            </w:r>
            <w:r>
              <w:rPr>
                <w:noProof/>
                <w:webHidden/>
              </w:rPr>
              <w:tab/>
            </w:r>
            <w:r>
              <w:rPr>
                <w:noProof/>
                <w:webHidden/>
              </w:rPr>
              <w:fldChar w:fldCharType="begin"/>
            </w:r>
            <w:r>
              <w:rPr>
                <w:noProof/>
                <w:webHidden/>
              </w:rPr>
              <w:instrText xml:space="preserve"> PAGEREF _Toc235551496 \h </w:instrText>
            </w:r>
            <w:r>
              <w:rPr>
                <w:noProof/>
                <w:webHidden/>
              </w:rPr>
            </w:r>
            <w:r>
              <w:rPr>
                <w:noProof/>
                <w:webHidden/>
              </w:rPr>
              <w:fldChar w:fldCharType="separate"/>
            </w:r>
            <w:r>
              <w:rPr>
                <w:noProof/>
                <w:webHidden/>
              </w:rPr>
              <w:t>7</w:t>
            </w:r>
            <w:r>
              <w:rPr>
                <w:noProof/>
                <w:webHidden/>
              </w:rPr>
              <w:fldChar w:fldCharType="end"/>
            </w:r>
          </w:hyperlink>
        </w:p>
        <w:p w14:paraId="1FC2860A" w14:textId="515B311F" w:rsidR="00F57BA6" w:rsidRDefault="00F57BA6">
          <w:pPr>
            <w:pStyle w:val="TOC1"/>
            <w:tabs>
              <w:tab w:val="right" w:leader="dot" w:pos="9016"/>
            </w:tabs>
            <w:rPr>
              <w:noProof/>
              <w:kern w:val="2"/>
              <w:sz w:val="24"/>
              <w:szCs w:val="24"/>
              <w:lang w:eastAsia="en-GB"/>
              <w14:ligatures w14:val="standardContextual"/>
            </w:rPr>
          </w:pPr>
          <w:hyperlink w:anchor="_Toc235551497" w:history="1">
            <w:r w:rsidRPr="0095230E">
              <w:rPr>
                <w:rStyle w:val="Hyperlink"/>
                <w:rFonts w:ascii="Times New Roman" w:eastAsia="Times New Roman" w:hAnsi="Times New Roman" w:cs="Times New Roman"/>
                <w:b/>
                <w:noProof/>
              </w:rPr>
              <w:t>TASK 2: SCHEMA DESIGN AND IMPLEMENTATION PLAN</w:t>
            </w:r>
            <w:r>
              <w:rPr>
                <w:noProof/>
                <w:webHidden/>
              </w:rPr>
              <w:tab/>
            </w:r>
            <w:r>
              <w:rPr>
                <w:noProof/>
                <w:webHidden/>
              </w:rPr>
              <w:fldChar w:fldCharType="begin"/>
            </w:r>
            <w:r>
              <w:rPr>
                <w:noProof/>
                <w:webHidden/>
              </w:rPr>
              <w:instrText xml:space="preserve"> PAGEREF _Toc235551497 \h </w:instrText>
            </w:r>
            <w:r>
              <w:rPr>
                <w:noProof/>
                <w:webHidden/>
              </w:rPr>
            </w:r>
            <w:r>
              <w:rPr>
                <w:noProof/>
                <w:webHidden/>
              </w:rPr>
              <w:fldChar w:fldCharType="separate"/>
            </w:r>
            <w:r>
              <w:rPr>
                <w:noProof/>
                <w:webHidden/>
              </w:rPr>
              <w:t>9</w:t>
            </w:r>
            <w:r>
              <w:rPr>
                <w:noProof/>
                <w:webHidden/>
              </w:rPr>
              <w:fldChar w:fldCharType="end"/>
            </w:r>
          </w:hyperlink>
        </w:p>
        <w:p w14:paraId="049CF45E" w14:textId="4EF7B17E" w:rsidR="00F57BA6" w:rsidRDefault="00F57BA6">
          <w:pPr>
            <w:pStyle w:val="TOC2"/>
            <w:tabs>
              <w:tab w:val="right" w:leader="dot" w:pos="9016"/>
            </w:tabs>
            <w:rPr>
              <w:noProof/>
              <w:kern w:val="2"/>
              <w:sz w:val="24"/>
              <w:szCs w:val="24"/>
              <w:lang w:eastAsia="en-GB"/>
              <w14:ligatures w14:val="standardContextual"/>
            </w:rPr>
          </w:pPr>
          <w:hyperlink w:anchor="_Toc235551498" w:history="1">
            <w:r w:rsidRPr="0095230E">
              <w:rPr>
                <w:rStyle w:val="Hyperlink"/>
                <w:rFonts w:ascii="Times New Roman" w:eastAsia="Times New Roman" w:hAnsi="Times New Roman" w:cs="Times New Roman"/>
                <w:b/>
                <w:noProof/>
              </w:rPr>
              <w:t>2.1 Source System Identification</w:t>
            </w:r>
            <w:r>
              <w:rPr>
                <w:noProof/>
                <w:webHidden/>
              </w:rPr>
              <w:tab/>
            </w:r>
            <w:r>
              <w:rPr>
                <w:noProof/>
                <w:webHidden/>
              </w:rPr>
              <w:fldChar w:fldCharType="begin"/>
            </w:r>
            <w:r>
              <w:rPr>
                <w:noProof/>
                <w:webHidden/>
              </w:rPr>
              <w:instrText xml:space="preserve"> PAGEREF _Toc235551498 \h </w:instrText>
            </w:r>
            <w:r>
              <w:rPr>
                <w:noProof/>
                <w:webHidden/>
              </w:rPr>
            </w:r>
            <w:r>
              <w:rPr>
                <w:noProof/>
                <w:webHidden/>
              </w:rPr>
              <w:fldChar w:fldCharType="separate"/>
            </w:r>
            <w:r>
              <w:rPr>
                <w:noProof/>
                <w:webHidden/>
              </w:rPr>
              <w:t>9</w:t>
            </w:r>
            <w:r>
              <w:rPr>
                <w:noProof/>
                <w:webHidden/>
              </w:rPr>
              <w:fldChar w:fldCharType="end"/>
            </w:r>
          </w:hyperlink>
        </w:p>
        <w:p w14:paraId="14577F9C" w14:textId="18EA7CD4" w:rsidR="00F57BA6" w:rsidRDefault="00F57BA6">
          <w:pPr>
            <w:pStyle w:val="TOC2"/>
            <w:tabs>
              <w:tab w:val="right" w:leader="dot" w:pos="9016"/>
            </w:tabs>
            <w:rPr>
              <w:noProof/>
              <w:kern w:val="2"/>
              <w:sz w:val="24"/>
              <w:szCs w:val="24"/>
              <w:lang w:eastAsia="en-GB"/>
              <w14:ligatures w14:val="standardContextual"/>
            </w:rPr>
          </w:pPr>
          <w:hyperlink w:anchor="_Toc235551499" w:history="1">
            <w:r w:rsidRPr="0095230E">
              <w:rPr>
                <w:rStyle w:val="Hyperlink"/>
                <w:rFonts w:ascii="Times New Roman" w:eastAsia="Times New Roman" w:hAnsi="Times New Roman" w:cs="Times New Roman"/>
                <w:b/>
                <w:noProof/>
              </w:rPr>
              <w:t>2.2 Star Schema Design</w:t>
            </w:r>
            <w:r>
              <w:rPr>
                <w:noProof/>
                <w:webHidden/>
              </w:rPr>
              <w:tab/>
            </w:r>
            <w:r>
              <w:rPr>
                <w:noProof/>
                <w:webHidden/>
              </w:rPr>
              <w:fldChar w:fldCharType="begin"/>
            </w:r>
            <w:r>
              <w:rPr>
                <w:noProof/>
                <w:webHidden/>
              </w:rPr>
              <w:instrText xml:space="preserve"> PAGEREF _Toc235551499 \h </w:instrText>
            </w:r>
            <w:r>
              <w:rPr>
                <w:noProof/>
                <w:webHidden/>
              </w:rPr>
            </w:r>
            <w:r>
              <w:rPr>
                <w:noProof/>
                <w:webHidden/>
              </w:rPr>
              <w:fldChar w:fldCharType="separate"/>
            </w:r>
            <w:r>
              <w:rPr>
                <w:noProof/>
                <w:webHidden/>
              </w:rPr>
              <w:t>9</w:t>
            </w:r>
            <w:r>
              <w:rPr>
                <w:noProof/>
                <w:webHidden/>
              </w:rPr>
              <w:fldChar w:fldCharType="end"/>
            </w:r>
          </w:hyperlink>
        </w:p>
        <w:p w14:paraId="7BC745C1" w14:textId="4A2574C0" w:rsidR="00F57BA6" w:rsidRDefault="00F57BA6">
          <w:pPr>
            <w:pStyle w:val="TOC2"/>
            <w:tabs>
              <w:tab w:val="right" w:leader="dot" w:pos="9016"/>
            </w:tabs>
            <w:rPr>
              <w:noProof/>
              <w:kern w:val="2"/>
              <w:sz w:val="24"/>
              <w:szCs w:val="24"/>
              <w:lang w:eastAsia="en-GB"/>
              <w14:ligatures w14:val="standardContextual"/>
            </w:rPr>
          </w:pPr>
          <w:hyperlink w:anchor="_Toc235551500" w:history="1">
            <w:r w:rsidRPr="0095230E">
              <w:rPr>
                <w:rStyle w:val="Hyperlink"/>
                <w:rFonts w:ascii="Times New Roman" w:eastAsia="Times New Roman" w:hAnsi="Times New Roman" w:cs="Times New Roman"/>
                <w:b/>
                <w:noProof/>
              </w:rPr>
              <w:t>2.3 Data Marts and Schema</w:t>
            </w:r>
            <w:r>
              <w:rPr>
                <w:noProof/>
                <w:webHidden/>
              </w:rPr>
              <w:tab/>
            </w:r>
            <w:r>
              <w:rPr>
                <w:noProof/>
                <w:webHidden/>
              </w:rPr>
              <w:fldChar w:fldCharType="begin"/>
            </w:r>
            <w:r>
              <w:rPr>
                <w:noProof/>
                <w:webHidden/>
              </w:rPr>
              <w:instrText xml:space="preserve"> PAGEREF _Toc235551500 \h </w:instrText>
            </w:r>
            <w:r>
              <w:rPr>
                <w:noProof/>
                <w:webHidden/>
              </w:rPr>
            </w:r>
            <w:r>
              <w:rPr>
                <w:noProof/>
                <w:webHidden/>
              </w:rPr>
              <w:fldChar w:fldCharType="separate"/>
            </w:r>
            <w:r>
              <w:rPr>
                <w:noProof/>
                <w:webHidden/>
              </w:rPr>
              <w:t>12</w:t>
            </w:r>
            <w:r>
              <w:rPr>
                <w:noProof/>
                <w:webHidden/>
              </w:rPr>
              <w:fldChar w:fldCharType="end"/>
            </w:r>
          </w:hyperlink>
        </w:p>
        <w:p w14:paraId="26CC0543" w14:textId="103BD14A" w:rsidR="00F57BA6" w:rsidRDefault="00F57BA6">
          <w:pPr>
            <w:pStyle w:val="TOC2"/>
            <w:tabs>
              <w:tab w:val="right" w:leader="dot" w:pos="9016"/>
            </w:tabs>
            <w:rPr>
              <w:noProof/>
              <w:kern w:val="2"/>
              <w:sz w:val="24"/>
              <w:szCs w:val="24"/>
              <w:lang w:eastAsia="en-GB"/>
              <w14:ligatures w14:val="standardContextual"/>
            </w:rPr>
          </w:pPr>
          <w:hyperlink w:anchor="_Toc235551501" w:history="1">
            <w:r w:rsidRPr="0095230E">
              <w:rPr>
                <w:rStyle w:val="Hyperlink"/>
                <w:rFonts w:ascii="Times New Roman" w:eastAsia="Times New Roman" w:hAnsi="Times New Roman" w:cs="Times New Roman"/>
                <w:b/>
                <w:noProof/>
              </w:rPr>
              <w:t>2.4 ETL Plan</w:t>
            </w:r>
            <w:r>
              <w:rPr>
                <w:noProof/>
                <w:webHidden/>
              </w:rPr>
              <w:tab/>
            </w:r>
            <w:r>
              <w:rPr>
                <w:noProof/>
                <w:webHidden/>
              </w:rPr>
              <w:fldChar w:fldCharType="begin"/>
            </w:r>
            <w:r>
              <w:rPr>
                <w:noProof/>
                <w:webHidden/>
              </w:rPr>
              <w:instrText xml:space="preserve"> PAGEREF _Toc235551501 \h </w:instrText>
            </w:r>
            <w:r>
              <w:rPr>
                <w:noProof/>
                <w:webHidden/>
              </w:rPr>
            </w:r>
            <w:r>
              <w:rPr>
                <w:noProof/>
                <w:webHidden/>
              </w:rPr>
              <w:fldChar w:fldCharType="separate"/>
            </w:r>
            <w:r>
              <w:rPr>
                <w:noProof/>
                <w:webHidden/>
              </w:rPr>
              <w:t>13</w:t>
            </w:r>
            <w:r>
              <w:rPr>
                <w:noProof/>
                <w:webHidden/>
              </w:rPr>
              <w:fldChar w:fldCharType="end"/>
            </w:r>
          </w:hyperlink>
        </w:p>
        <w:p w14:paraId="7BF29076" w14:textId="547D3962" w:rsidR="00F57BA6" w:rsidRDefault="00F57BA6">
          <w:pPr>
            <w:pStyle w:val="TOC2"/>
            <w:tabs>
              <w:tab w:val="right" w:leader="dot" w:pos="9016"/>
            </w:tabs>
            <w:rPr>
              <w:noProof/>
              <w:kern w:val="2"/>
              <w:sz w:val="24"/>
              <w:szCs w:val="24"/>
              <w:lang w:eastAsia="en-GB"/>
              <w14:ligatures w14:val="standardContextual"/>
            </w:rPr>
          </w:pPr>
          <w:hyperlink w:anchor="_Toc235551502" w:history="1">
            <w:r w:rsidRPr="0095230E">
              <w:rPr>
                <w:rStyle w:val="Hyperlink"/>
                <w:rFonts w:ascii="Times New Roman" w:eastAsia="Times New Roman" w:hAnsi="Times New Roman" w:cs="Times New Roman"/>
                <w:b/>
                <w:noProof/>
              </w:rPr>
              <w:t>2.5 Data Quality and Governance</w:t>
            </w:r>
            <w:r>
              <w:rPr>
                <w:noProof/>
                <w:webHidden/>
              </w:rPr>
              <w:tab/>
            </w:r>
            <w:r>
              <w:rPr>
                <w:noProof/>
                <w:webHidden/>
              </w:rPr>
              <w:fldChar w:fldCharType="begin"/>
            </w:r>
            <w:r>
              <w:rPr>
                <w:noProof/>
                <w:webHidden/>
              </w:rPr>
              <w:instrText xml:space="preserve"> PAGEREF _Toc235551502 \h </w:instrText>
            </w:r>
            <w:r>
              <w:rPr>
                <w:noProof/>
                <w:webHidden/>
              </w:rPr>
            </w:r>
            <w:r>
              <w:rPr>
                <w:noProof/>
                <w:webHidden/>
              </w:rPr>
              <w:fldChar w:fldCharType="separate"/>
            </w:r>
            <w:r>
              <w:rPr>
                <w:noProof/>
                <w:webHidden/>
              </w:rPr>
              <w:t>13</w:t>
            </w:r>
            <w:r>
              <w:rPr>
                <w:noProof/>
                <w:webHidden/>
              </w:rPr>
              <w:fldChar w:fldCharType="end"/>
            </w:r>
          </w:hyperlink>
        </w:p>
        <w:p w14:paraId="239CF6C1" w14:textId="5BAA3D69" w:rsidR="00F57BA6" w:rsidRDefault="00F57BA6">
          <w:pPr>
            <w:pStyle w:val="TOC1"/>
            <w:tabs>
              <w:tab w:val="right" w:leader="dot" w:pos="9016"/>
            </w:tabs>
            <w:rPr>
              <w:noProof/>
              <w:kern w:val="2"/>
              <w:sz w:val="24"/>
              <w:szCs w:val="24"/>
              <w:lang w:eastAsia="en-GB"/>
              <w14:ligatures w14:val="standardContextual"/>
            </w:rPr>
          </w:pPr>
          <w:hyperlink w:anchor="_Toc235551503" w:history="1">
            <w:r w:rsidRPr="0095230E">
              <w:rPr>
                <w:rStyle w:val="Hyperlink"/>
                <w:rFonts w:ascii="Times New Roman" w:eastAsia="Times New Roman" w:hAnsi="Times New Roman" w:cs="Times New Roman"/>
                <w:b/>
                <w:noProof/>
              </w:rPr>
              <w:t>References</w:t>
            </w:r>
            <w:r>
              <w:rPr>
                <w:noProof/>
                <w:webHidden/>
              </w:rPr>
              <w:tab/>
            </w:r>
            <w:r>
              <w:rPr>
                <w:noProof/>
                <w:webHidden/>
              </w:rPr>
              <w:fldChar w:fldCharType="begin"/>
            </w:r>
            <w:r>
              <w:rPr>
                <w:noProof/>
                <w:webHidden/>
              </w:rPr>
              <w:instrText xml:space="preserve"> PAGEREF _Toc235551503 \h </w:instrText>
            </w:r>
            <w:r>
              <w:rPr>
                <w:noProof/>
                <w:webHidden/>
              </w:rPr>
            </w:r>
            <w:r>
              <w:rPr>
                <w:noProof/>
                <w:webHidden/>
              </w:rPr>
              <w:fldChar w:fldCharType="separate"/>
            </w:r>
            <w:r>
              <w:rPr>
                <w:noProof/>
                <w:webHidden/>
              </w:rPr>
              <w:t>14</w:t>
            </w:r>
            <w:r>
              <w:rPr>
                <w:noProof/>
                <w:webHidden/>
              </w:rPr>
              <w:fldChar w:fldCharType="end"/>
            </w:r>
          </w:hyperlink>
        </w:p>
        <w:p w14:paraId="1EBB0A91" w14:textId="57B31591" w:rsidR="00F57BA6" w:rsidRDefault="00F57BA6">
          <w:r>
            <w:rPr>
              <w:b/>
              <w:bCs/>
              <w:noProof/>
            </w:rPr>
            <w:fldChar w:fldCharType="end"/>
          </w:r>
        </w:p>
      </w:sdtContent>
    </w:sdt>
    <w:p w14:paraId="7A25255B" w14:textId="505D12E4" w:rsidR="00E16488" w:rsidRPr="002B0C55" w:rsidRDefault="00E16488">
      <w:pPr>
        <w:spacing w:after="0"/>
      </w:pPr>
    </w:p>
    <w:p w14:paraId="7E17130F" w14:textId="77777777" w:rsidR="00E16488" w:rsidRPr="002B0C55" w:rsidRDefault="00AE5034">
      <w:pPr>
        <w:spacing w:after="0"/>
      </w:pPr>
      <w:r w:rsidRPr="002B0C55">
        <w:rPr>
          <w:rFonts w:ascii="Times New Roman" w:hAnsi="Times New Roman" w:cs="Times New Roman"/>
          <w:sz w:val="24"/>
          <w:szCs w:val="24"/>
        </w:rPr>
        <w:br w:type="page"/>
      </w:r>
    </w:p>
    <w:p w14:paraId="56432228" w14:textId="77777777" w:rsidR="00E16488" w:rsidRPr="002B0C55" w:rsidRDefault="00AE5034">
      <w:pPr>
        <w:pStyle w:val="Heading1"/>
        <w:spacing w:before="200" w:after="100"/>
        <w:rPr>
          <w:rFonts w:ascii="Times New Roman" w:eastAsia="Times New Roman" w:hAnsi="Times New Roman" w:cs="Times New Roman"/>
          <w:b/>
          <w:sz w:val="26"/>
          <w:szCs w:val="26"/>
        </w:rPr>
      </w:pPr>
      <w:bookmarkStart w:id="0" w:name="_Toc235546729"/>
      <w:bookmarkStart w:id="1" w:name="_Toc235551491"/>
      <w:r w:rsidRPr="002B0C55">
        <w:rPr>
          <w:rFonts w:ascii="Times New Roman" w:eastAsia="Times New Roman" w:hAnsi="Times New Roman" w:cs="Times New Roman"/>
          <w:b/>
          <w:sz w:val="26"/>
          <w:szCs w:val="26"/>
        </w:rPr>
        <w:lastRenderedPageBreak/>
        <w:t>Introduction</w:t>
      </w:r>
      <w:bookmarkEnd w:id="0"/>
      <w:bookmarkEnd w:id="1"/>
    </w:p>
    <w:p w14:paraId="68822E2C" w14:textId="77777777" w:rsidR="00E16488" w:rsidRPr="002B0C55" w:rsidRDefault="00AE5034">
      <w:pPr>
        <w:spacing w:after="160"/>
        <w:jc w:val="both"/>
      </w:pPr>
      <w:r w:rsidRPr="002B0C55">
        <w:rPr>
          <w:rFonts w:ascii="Times New Roman" w:eastAsia="Times New Roman" w:hAnsi="Times New Roman" w:cs="Times New Roman"/>
          <w:sz w:val="24"/>
          <w:szCs w:val="24"/>
        </w:rPr>
        <w:t>This report is submitted to the Chief Executive and Board of NHS England. It sets out the case for a centralised data warehouse, explains why NHS England's current OLTP systems cannot support strategic reporting, and presents a detailed schema design and implementation plan. Section 1 covers architecture, ETL, data marts, and dimensional modelling. Section 2 provides the schema design, ETL pipeline, and data quality and governance framework that will govern the solution.</w:t>
      </w:r>
    </w:p>
    <w:p w14:paraId="65323F6D" w14:textId="77777777" w:rsidR="00E16488" w:rsidRPr="002B0C55" w:rsidRDefault="00AE5034">
      <w:pPr>
        <w:pStyle w:val="Heading1"/>
        <w:spacing w:before="240" w:after="120"/>
        <w:rPr>
          <w:rFonts w:ascii="Times New Roman" w:eastAsia="Times New Roman" w:hAnsi="Times New Roman" w:cs="Times New Roman"/>
          <w:b/>
          <w:sz w:val="28"/>
          <w:szCs w:val="28"/>
        </w:rPr>
      </w:pPr>
      <w:bookmarkStart w:id="2" w:name="_Toc235546730"/>
      <w:bookmarkStart w:id="3" w:name="_Toc235551492"/>
      <w:r w:rsidRPr="002B0C55">
        <w:rPr>
          <w:rFonts w:ascii="Times New Roman" w:eastAsia="Times New Roman" w:hAnsi="Times New Roman" w:cs="Times New Roman"/>
          <w:b/>
          <w:sz w:val="28"/>
          <w:szCs w:val="28"/>
        </w:rPr>
        <w:t>TASK 1: THE CASE FOR A DATA WAREHOUSE</w:t>
      </w:r>
      <w:bookmarkEnd w:id="2"/>
      <w:bookmarkEnd w:id="3"/>
    </w:p>
    <w:p w14:paraId="53B81296" w14:textId="0D1FF02C" w:rsidR="00E16488" w:rsidRPr="002B0C55" w:rsidRDefault="00AE5034">
      <w:pPr>
        <w:pStyle w:val="Heading2"/>
        <w:spacing w:before="200" w:after="100"/>
        <w:rPr>
          <w:rFonts w:ascii="Times New Roman" w:eastAsia="Times New Roman" w:hAnsi="Times New Roman" w:cs="Times New Roman"/>
          <w:b/>
          <w:sz w:val="24"/>
          <w:szCs w:val="24"/>
        </w:rPr>
      </w:pPr>
      <w:bookmarkStart w:id="4" w:name="_Toc235546731"/>
      <w:bookmarkStart w:id="5" w:name="_Toc235551493"/>
      <w:r w:rsidRPr="002B0C55">
        <w:rPr>
          <w:rFonts w:ascii="Times New Roman" w:eastAsia="Times New Roman" w:hAnsi="Times New Roman" w:cs="Times New Roman"/>
          <w:b/>
          <w:sz w:val="24"/>
          <w:szCs w:val="24"/>
        </w:rPr>
        <w:t xml:space="preserve">1.1 OLTP </w:t>
      </w:r>
      <w:r w:rsidR="00DB230F">
        <w:rPr>
          <w:rFonts w:ascii="Times New Roman" w:eastAsia="Times New Roman" w:hAnsi="Times New Roman" w:cs="Times New Roman"/>
          <w:b/>
          <w:sz w:val="24"/>
          <w:szCs w:val="24"/>
        </w:rPr>
        <w:t>vs</w:t>
      </w:r>
      <w:r w:rsidRPr="002B0C55">
        <w:rPr>
          <w:rFonts w:ascii="Times New Roman" w:eastAsia="Times New Roman" w:hAnsi="Times New Roman" w:cs="Times New Roman"/>
          <w:b/>
          <w:sz w:val="24"/>
          <w:szCs w:val="24"/>
        </w:rPr>
        <w:t xml:space="preserve"> Data Warehouse</w:t>
      </w:r>
      <w:bookmarkEnd w:id="4"/>
      <w:bookmarkEnd w:id="5"/>
    </w:p>
    <w:p w14:paraId="2E1BDB79" w14:textId="77777777" w:rsidR="000126C7" w:rsidRPr="002B0C55" w:rsidRDefault="000126C7" w:rsidP="000126C7">
      <w:pPr>
        <w:spacing w:after="160"/>
        <w:jc w:val="both"/>
        <w:rPr>
          <w:rFonts w:ascii="Times New Roman" w:eastAsia="Times New Roman" w:hAnsi="Times New Roman" w:cs="Times New Roman"/>
          <w:sz w:val="24"/>
          <w:szCs w:val="24"/>
        </w:rPr>
      </w:pPr>
      <w:r w:rsidRPr="002B0C55">
        <w:rPr>
          <w:rFonts w:ascii="Times New Roman" w:eastAsia="Times New Roman" w:hAnsi="Times New Roman" w:cs="Times New Roman"/>
          <w:sz w:val="24"/>
          <w:szCs w:val="24"/>
        </w:rPr>
        <w:t>Operational databases such as the Electronic Patient Record (EPR), Patient Administration System (PAS) and Electronic Staff Record (ESR) are Online Transaction Processing (OLTP) systems. OLTP is a type of database that is used to capture individual events as they happen. Data is normalised over many related tables to avoid redundancy and to maintain consistency of hundreds of users writing at the same time [1].</w:t>
      </w:r>
    </w:p>
    <w:p w14:paraId="73531A79" w14:textId="5F94CA66" w:rsidR="000126C7" w:rsidRPr="002B0C55" w:rsidRDefault="000126C7" w:rsidP="000126C7">
      <w:pPr>
        <w:spacing w:after="160"/>
        <w:jc w:val="both"/>
        <w:rPr>
          <w:rFonts w:ascii="Times New Roman" w:eastAsia="Times New Roman" w:hAnsi="Times New Roman" w:cs="Times New Roman"/>
          <w:sz w:val="24"/>
          <w:szCs w:val="24"/>
        </w:rPr>
      </w:pPr>
      <w:r w:rsidRPr="002B0C55">
        <w:rPr>
          <w:rFonts w:ascii="Times New Roman" w:eastAsia="Times New Roman" w:hAnsi="Times New Roman" w:cs="Times New Roman"/>
          <w:sz w:val="24"/>
          <w:szCs w:val="24"/>
        </w:rPr>
        <w:t xml:space="preserve">That speed comes at a cost. Ask a PAS to explain why readmissions in the </w:t>
      </w:r>
      <w:proofErr w:type="gramStart"/>
      <w:r w:rsidRPr="002B0C55">
        <w:rPr>
          <w:rFonts w:ascii="Times New Roman" w:eastAsia="Times New Roman" w:hAnsi="Times New Roman" w:cs="Times New Roman"/>
          <w:sz w:val="24"/>
          <w:szCs w:val="24"/>
        </w:rPr>
        <w:t>North West</w:t>
      </w:r>
      <w:proofErr w:type="gramEnd"/>
      <w:r w:rsidRPr="002B0C55">
        <w:rPr>
          <w:rFonts w:ascii="Times New Roman" w:eastAsia="Times New Roman" w:hAnsi="Times New Roman" w:cs="Times New Roman"/>
          <w:sz w:val="24"/>
          <w:szCs w:val="24"/>
        </w:rPr>
        <w:t xml:space="preserve"> increased over the last two quarters</w:t>
      </w:r>
      <w:r w:rsidR="002B0C55" w:rsidRPr="002B0C55">
        <w:rPr>
          <w:rFonts w:ascii="Times New Roman" w:eastAsia="Times New Roman" w:hAnsi="Times New Roman" w:cs="Times New Roman"/>
          <w:sz w:val="24"/>
          <w:szCs w:val="24"/>
        </w:rPr>
        <w:t>,</w:t>
      </w:r>
      <w:r w:rsidRPr="002B0C55">
        <w:rPr>
          <w:rFonts w:ascii="Times New Roman" w:eastAsia="Times New Roman" w:hAnsi="Times New Roman" w:cs="Times New Roman"/>
          <w:sz w:val="24"/>
          <w:szCs w:val="24"/>
        </w:rPr>
        <w:t xml:space="preserve"> and it </w:t>
      </w:r>
      <w:proofErr w:type="gramStart"/>
      <w:r w:rsidRPr="002B0C55">
        <w:rPr>
          <w:rFonts w:ascii="Times New Roman" w:eastAsia="Times New Roman" w:hAnsi="Times New Roman" w:cs="Times New Roman"/>
          <w:sz w:val="24"/>
          <w:szCs w:val="24"/>
        </w:rPr>
        <w:t>has to</w:t>
      </w:r>
      <w:proofErr w:type="gramEnd"/>
      <w:r w:rsidRPr="002B0C55">
        <w:rPr>
          <w:rFonts w:ascii="Times New Roman" w:eastAsia="Times New Roman" w:hAnsi="Times New Roman" w:cs="Times New Roman"/>
          <w:sz w:val="24"/>
          <w:szCs w:val="24"/>
        </w:rPr>
        <w:t xml:space="preserve"> join dozens of tables across millions of rows, a query that can slow down or crash a live clinical system. Dates, diagnosis codes and patient identifiers are also stored in each trust’s EPR in different ways, so data from two regions cannot be placed side by side without substantial manual work [1].</w:t>
      </w:r>
    </w:p>
    <w:p w14:paraId="1E66351C" w14:textId="77777777" w:rsidR="006B6512" w:rsidRPr="002B0C55" w:rsidRDefault="006B6512" w:rsidP="006B6512">
      <w:pPr>
        <w:spacing w:after="160"/>
        <w:jc w:val="both"/>
        <w:rPr>
          <w:rFonts w:ascii="Times New Roman" w:eastAsia="Times New Roman" w:hAnsi="Times New Roman" w:cs="Times New Roman"/>
          <w:sz w:val="24"/>
          <w:szCs w:val="24"/>
        </w:rPr>
      </w:pPr>
      <w:r w:rsidRPr="002B0C55">
        <w:rPr>
          <w:rFonts w:ascii="Times New Roman" w:eastAsia="Times New Roman" w:hAnsi="Times New Roman" w:cs="Times New Roman"/>
          <w:sz w:val="24"/>
          <w:szCs w:val="24"/>
        </w:rPr>
        <w:t xml:space="preserve">A data warehouse takes a different approach, with a centralised repository that pulls together data from all operational sources, standardises it via ETL, and arranges it to support the complex cross-system queries that OLTP systems were never built to handle. A board-level query around elective backlog trends can’t touch the EPR a ward nurse is using at the same time because it runs on </w:t>
      </w:r>
      <w:proofErr w:type="gramStart"/>
      <w:r w:rsidRPr="002B0C55">
        <w:rPr>
          <w:rFonts w:ascii="Times New Roman" w:eastAsia="Times New Roman" w:hAnsi="Times New Roman" w:cs="Times New Roman"/>
          <w:sz w:val="24"/>
          <w:szCs w:val="24"/>
        </w:rPr>
        <w:t>a completely separate</w:t>
      </w:r>
      <w:proofErr w:type="gramEnd"/>
      <w:r w:rsidRPr="002B0C55">
        <w:rPr>
          <w:rFonts w:ascii="Times New Roman" w:eastAsia="Times New Roman" w:hAnsi="Times New Roman" w:cs="Times New Roman"/>
          <w:sz w:val="24"/>
          <w:szCs w:val="24"/>
        </w:rPr>
        <w:t xml:space="preserve"> infrastructure. The Chief Executive can make the query “are A&amp;E waiting times improving across all five regions” and get a reliable answer in seconds, with no impact on clinical operations [2].</w:t>
      </w:r>
    </w:p>
    <w:p w14:paraId="29BBB5B3" w14:textId="77777777" w:rsidR="006B6512" w:rsidRPr="002B0C55" w:rsidRDefault="006B6512">
      <w:pPr>
        <w:spacing w:after="160"/>
        <w:jc w:val="both"/>
      </w:pPr>
    </w:p>
    <w:p w14:paraId="2D547F2E" w14:textId="77777777" w:rsidR="004B6819" w:rsidRPr="002B0C55" w:rsidRDefault="004B6819">
      <w:pPr>
        <w:spacing w:after="160"/>
        <w:jc w:val="both"/>
      </w:pPr>
    </w:p>
    <w:p w14:paraId="17BCA57F" w14:textId="77777777" w:rsidR="004B6819" w:rsidRPr="002B0C55" w:rsidRDefault="004B6819">
      <w:pPr>
        <w:spacing w:after="160"/>
        <w:jc w:val="both"/>
      </w:pPr>
    </w:p>
    <w:p w14:paraId="53450B49" w14:textId="77777777" w:rsidR="004B6819" w:rsidRPr="002B0C55" w:rsidRDefault="004B6819">
      <w:pPr>
        <w:spacing w:after="160"/>
        <w:jc w:val="both"/>
      </w:pPr>
    </w:p>
    <w:p w14:paraId="4F2789B1" w14:textId="77777777" w:rsidR="004B6819" w:rsidRPr="002B0C55" w:rsidRDefault="004B6819">
      <w:pPr>
        <w:spacing w:after="160"/>
        <w:jc w:val="both"/>
      </w:pPr>
    </w:p>
    <w:p w14:paraId="0293CA46" w14:textId="77777777" w:rsidR="004B6819" w:rsidRPr="002B0C55" w:rsidRDefault="004B6819">
      <w:pPr>
        <w:spacing w:after="160"/>
        <w:jc w:val="both"/>
      </w:pPr>
    </w:p>
    <w:p w14:paraId="0CAD86AB" w14:textId="77777777" w:rsidR="004B6819" w:rsidRPr="002B0C55" w:rsidRDefault="004B6819">
      <w:pPr>
        <w:spacing w:after="160"/>
        <w:jc w:val="both"/>
      </w:pPr>
    </w:p>
    <w:p w14:paraId="1C481AE0" w14:textId="26734E64" w:rsidR="00E16488" w:rsidRPr="002B0C55" w:rsidRDefault="00AE5034">
      <w:pPr>
        <w:pStyle w:val="Heading2"/>
        <w:spacing w:before="200" w:after="100"/>
        <w:rPr>
          <w:rFonts w:ascii="Times New Roman" w:eastAsia="Times New Roman" w:hAnsi="Times New Roman" w:cs="Times New Roman"/>
          <w:b/>
          <w:sz w:val="24"/>
          <w:szCs w:val="24"/>
        </w:rPr>
      </w:pPr>
      <w:bookmarkStart w:id="6" w:name="_Toc235546732"/>
      <w:bookmarkStart w:id="7" w:name="_Toc235551494"/>
      <w:r w:rsidRPr="002B0C55">
        <w:rPr>
          <w:rFonts w:ascii="Times New Roman" w:eastAsia="Times New Roman" w:hAnsi="Times New Roman" w:cs="Times New Roman"/>
          <w:b/>
          <w:sz w:val="24"/>
          <w:szCs w:val="24"/>
        </w:rPr>
        <w:lastRenderedPageBreak/>
        <w:t>1.2 Data Warehouse Architecture and ETL</w:t>
      </w:r>
      <w:bookmarkEnd w:id="6"/>
      <w:bookmarkEnd w:id="7"/>
    </w:p>
    <w:p w14:paraId="43BB8F67" w14:textId="51B09F7F" w:rsidR="000030E0" w:rsidRPr="002B0C55" w:rsidRDefault="000030E0" w:rsidP="000030E0">
      <w:pPr>
        <w:spacing w:after="160"/>
        <w:jc w:val="both"/>
        <w:rPr>
          <w:rFonts w:ascii="Times New Roman" w:eastAsia="Times New Roman" w:hAnsi="Times New Roman" w:cs="Times New Roman"/>
          <w:sz w:val="24"/>
          <w:szCs w:val="24"/>
        </w:rPr>
      </w:pPr>
      <w:r w:rsidRPr="002B0C55">
        <w:rPr>
          <w:rFonts w:ascii="Times New Roman" w:eastAsia="Times New Roman" w:hAnsi="Times New Roman" w:cs="Times New Roman"/>
          <w:sz w:val="24"/>
          <w:szCs w:val="24"/>
        </w:rPr>
        <w:t xml:space="preserve">The NHS England data warehouse has a three-tiered architecture with source systems feeding a staging area, a central warehouse where data is integrated and stored, and specialist data marts to serve each management audience [1]. This flow is shown in </w:t>
      </w:r>
      <w:r w:rsidR="002B0C55" w:rsidRPr="002B0C55">
        <w:rPr>
          <w:rFonts w:ascii="Times New Roman" w:eastAsia="Times New Roman" w:hAnsi="Times New Roman" w:cs="Times New Roman"/>
          <w:sz w:val="24"/>
          <w:szCs w:val="24"/>
        </w:rPr>
        <w:t>Figure</w:t>
      </w:r>
      <w:r w:rsidRPr="002B0C55">
        <w:rPr>
          <w:rFonts w:ascii="Times New Roman" w:eastAsia="Times New Roman" w:hAnsi="Times New Roman" w:cs="Times New Roman"/>
          <w:sz w:val="24"/>
          <w:szCs w:val="24"/>
        </w:rPr>
        <w:t xml:space="preserve"> 1.</w:t>
      </w:r>
    </w:p>
    <w:p w14:paraId="3221557E" w14:textId="77777777" w:rsidR="00E16488" w:rsidRPr="002B0C55" w:rsidRDefault="00AE5034">
      <w:pPr>
        <w:spacing w:after="160"/>
        <w:jc w:val="both"/>
      </w:pPr>
      <w:r w:rsidRPr="002B0C55">
        <w:rPr>
          <w:rFonts w:ascii="Times New Roman" w:eastAsia="Times New Roman" w:hAnsi="Times New Roman" w:cs="Times New Roman"/>
          <w:sz w:val="24"/>
          <w:szCs w:val="24"/>
        </w:rPr>
        <w:t xml:space="preserve">At the source layer, NHS England has more than a dozen operational systems generating relevant data every day. Internal sources include EPR systems (EMIS Health, Lorenzo, </w:t>
      </w:r>
      <w:proofErr w:type="spellStart"/>
      <w:r w:rsidRPr="002B0C55">
        <w:rPr>
          <w:rFonts w:ascii="Times New Roman" w:eastAsia="Times New Roman" w:hAnsi="Times New Roman" w:cs="Times New Roman"/>
          <w:sz w:val="24"/>
          <w:szCs w:val="24"/>
        </w:rPr>
        <w:t>SystmOne</w:t>
      </w:r>
      <w:proofErr w:type="spellEnd"/>
      <w:r w:rsidRPr="002B0C55">
        <w:rPr>
          <w:rFonts w:ascii="Times New Roman" w:eastAsia="Times New Roman" w:hAnsi="Times New Roman" w:cs="Times New Roman"/>
          <w:sz w:val="24"/>
          <w:szCs w:val="24"/>
        </w:rPr>
        <w:t>), the Patient Administration System, Electronic Staff Records, Oracle financial ledgers, Theatre Management Systems, and Datix, the quality and incident platform. External sources feed in alongside these: Hospital Episode Statistics from NHS Digital, population and deprivation data from the Office for National Statistics, and inspection ratings from the Care Quality Commission. Each of these systems stores data differently. Pulling them together is the job of the ETL pipeline [3].</w:t>
      </w:r>
    </w:p>
    <w:p w14:paraId="43D99A71" w14:textId="53BA9F43" w:rsidR="00E16488" w:rsidRPr="002B0C55" w:rsidRDefault="00AE5034">
      <w:pPr>
        <w:spacing w:after="160"/>
        <w:jc w:val="both"/>
      </w:pPr>
      <w:r w:rsidRPr="002B0C55">
        <w:rPr>
          <w:rFonts w:ascii="Times New Roman" w:eastAsia="Times New Roman" w:hAnsi="Times New Roman" w:cs="Times New Roman"/>
          <w:sz w:val="24"/>
          <w:szCs w:val="24"/>
        </w:rPr>
        <w:t xml:space="preserve">ETL stands for Extract, Transform, Load. In the extract phase, read-only connectors pull data from source systems without writing back to them, so there is no risk of corrupting a live EPR record or disrupting a ward system. Extraction runs outside clinical hours, typically between 2 and </w:t>
      </w:r>
      <w:r w:rsidR="002B0C55" w:rsidRPr="002B0C55">
        <w:rPr>
          <w:rFonts w:ascii="Times New Roman" w:eastAsia="Times New Roman" w:hAnsi="Times New Roman" w:cs="Times New Roman"/>
          <w:sz w:val="24"/>
          <w:szCs w:val="24"/>
        </w:rPr>
        <w:t>5 am</w:t>
      </w:r>
      <w:r w:rsidRPr="002B0C55">
        <w:rPr>
          <w:rFonts w:ascii="Times New Roman" w:eastAsia="Times New Roman" w:hAnsi="Times New Roman" w:cs="Times New Roman"/>
          <w:sz w:val="24"/>
          <w:szCs w:val="24"/>
        </w:rPr>
        <w:t xml:space="preserve"> [3].</w:t>
      </w:r>
    </w:p>
    <w:p w14:paraId="1C2DF4C0" w14:textId="7B4FB28D" w:rsidR="004B6819" w:rsidRPr="002B0C55" w:rsidRDefault="004B6819" w:rsidP="004B6819">
      <w:pPr>
        <w:spacing w:after="160"/>
        <w:jc w:val="both"/>
        <w:rPr>
          <w:rFonts w:ascii="Times New Roman" w:eastAsia="Times New Roman" w:hAnsi="Times New Roman" w:cs="Times New Roman"/>
          <w:sz w:val="24"/>
          <w:szCs w:val="24"/>
        </w:rPr>
      </w:pPr>
      <w:r w:rsidRPr="002B0C55">
        <w:rPr>
          <w:rFonts w:ascii="Times New Roman" w:eastAsia="Times New Roman" w:hAnsi="Times New Roman" w:cs="Times New Roman"/>
          <w:sz w:val="24"/>
          <w:szCs w:val="24"/>
        </w:rPr>
        <w:t>That’s where the NHS-specific transformation work happens. Duplicate records are removed</w:t>
      </w:r>
      <w:r w:rsidR="002B0C55" w:rsidRPr="002B0C55">
        <w:rPr>
          <w:rFonts w:ascii="Times New Roman" w:eastAsia="Times New Roman" w:hAnsi="Times New Roman" w:cs="Times New Roman"/>
          <w:sz w:val="24"/>
          <w:szCs w:val="24"/>
        </w:rPr>
        <w:t>,</w:t>
      </w:r>
      <w:r w:rsidRPr="002B0C55">
        <w:rPr>
          <w:rFonts w:ascii="Times New Roman" w:eastAsia="Times New Roman" w:hAnsi="Times New Roman" w:cs="Times New Roman"/>
          <w:sz w:val="24"/>
          <w:szCs w:val="24"/>
        </w:rPr>
        <w:t xml:space="preserve"> and formatting issues are fixed. “A Midlands trust may record admission dates differently from a trust in the </w:t>
      </w:r>
      <w:proofErr w:type="gramStart"/>
      <w:r w:rsidRPr="002B0C55">
        <w:rPr>
          <w:rFonts w:ascii="Times New Roman" w:eastAsia="Times New Roman" w:hAnsi="Times New Roman" w:cs="Times New Roman"/>
          <w:sz w:val="24"/>
          <w:szCs w:val="24"/>
        </w:rPr>
        <w:t>South East</w:t>
      </w:r>
      <w:proofErr w:type="gramEnd"/>
      <w:r w:rsidRPr="002B0C55">
        <w:rPr>
          <w:rFonts w:ascii="Times New Roman" w:eastAsia="Times New Roman" w:hAnsi="Times New Roman" w:cs="Times New Roman"/>
          <w:sz w:val="24"/>
          <w:szCs w:val="24"/>
        </w:rPr>
        <w:t xml:space="preserve"> – and that is all sorted out at this stage. NHS numbers are validated and pseudonymised before being stored in the warehouse. Diagnoses are coded to ICD-10, procedures to OPCS-4 and staff grades to Agenda for Change bands. </w:t>
      </w:r>
      <w:r w:rsidR="002B0C55" w:rsidRPr="002B0C55">
        <w:rPr>
          <w:rFonts w:ascii="Times New Roman" w:eastAsia="Times New Roman" w:hAnsi="Times New Roman" w:cs="Times New Roman"/>
          <w:sz w:val="24"/>
          <w:szCs w:val="24"/>
        </w:rPr>
        <w:t>Referral-to-treatment</w:t>
      </w:r>
      <w:r w:rsidRPr="002B0C55">
        <w:rPr>
          <w:rFonts w:ascii="Times New Roman" w:eastAsia="Times New Roman" w:hAnsi="Times New Roman" w:cs="Times New Roman"/>
          <w:sz w:val="24"/>
          <w:szCs w:val="24"/>
        </w:rPr>
        <w:t xml:space="preserve"> waiting times are derived from the referral and admission timestamps. Trust identifiers are mapped to the NHS Organisational Data Service hierarchy</w:t>
      </w:r>
      <w:r w:rsidR="002B0C55" w:rsidRPr="002B0C55">
        <w:rPr>
          <w:rFonts w:ascii="Times New Roman" w:eastAsia="Times New Roman" w:hAnsi="Times New Roman" w:cs="Times New Roman"/>
          <w:sz w:val="24"/>
          <w:szCs w:val="24"/>
        </w:rPr>
        <w:t>,</w:t>
      </w:r>
      <w:r w:rsidRPr="002B0C55">
        <w:rPr>
          <w:rFonts w:ascii="Times New Roman" w:eastAsia="Times New Roman" w:hAnsi="Times New Roman" w:cs="Times New Roman"/>
          <w:sz w:val="24"/>
          <w:szCs w:val="24"/>
        </w:rPr>
        <w:t xml:space="preserve"> ensuring that </w:t>
      </w:r>
      <w:r w:rsidR="002B0C55">
        <w:rPr>
          <w:rFonts w:ascii="Times New Roman" w:eastAsia="Times New Roman" w:hAnsi="Times New Roman" w:cs="Times New Roman"/>
          <w:sz w:val="24"/>
          <w:szCs w:val="24"/>
        </w:rPr>
        <w:t>regional comparisons</w:t>
      </w:r>
      <w:r w:rsidRPr="002B0C55">
        <w:rPr>
          <w:rFonts w:ascii="Times New Roman" w:eastAsia="Times New Roman" w:hAnsi="Times New Roman" w:cs="Times New Roman"/>
          <w:sz w:val="24"/>
          <w:szCs w:val="24"/>
        </w:rPr>
        <w:t xml:space="preserve"> are based on a consistent organisational structure [4].</w:t>
      </w:r>
    </w:p>
    <w:p w14:paraId="1FA02AD4" w14:textId="77777777" w:rsidR="00F32781" w:rsidRPr="002B0C55" w:rsidRDefault="00F32781" w:rsidP="00F32781">
      <w:pPr>
        <w:spacing w:after="160"/>
        <w:jc w:val="both"/>
        <w:rPr>
          <w:rFonts w:ascii="Times New Roman" w:eastAsia="Times New Roman" w:hAnsi="Times New Roman" w:cs="Times New Roman"/>
          <w:sz w:val="24"/>
          <w:szCs w:val="24"/>
        </w:rPr>
      </w:pPr>
      <w:r w:rsidRPr="002B0C55">
        <w:rPr>
          <w:rFonts w:ascii="Times New Roman" w:eastAsia="Times New Roman" w:hAnsi="Times New Roman" w:cs="Times New Roman"/>
          <w:sz w:val="24"/>
          <w:szCs w:val="24"/>
        </w:rPr>
        <w:t>The transformed data is loaded into the central warehouse using a staging area. Any record that fails a quality check at this point is held back, so analysts are working from verified data, not partial or corrupted loads [4].</w:t>
      </w:r>
    </w:p>
    <w:p w14:paraId="3D89DCC9" w14:textId="77777777" w:rsidR="00E16488" w:rsidRPr="002B0C55" w:rsidRDefault="00AE5034">
      <w:pPr>
        <w:spacing w:after="160"/>
        <w:jc w:val="both"/>
      </w:pPr>
      <w:r w:rsidRPr="002B0C55">
        <w:rPr>
          <w:rFonts w:ascii="Times New Roman" w:eastAsia="Times New Roman" w:hAnsi="Times New Roman" w:cs="Times New Roman"/>
          <w:sz w:val="24"/>
          <w:szCs w:val="24"/>
        </w:rPr>
        <w:t>E</w:t>
      </w:r>
      <w:r w:rsidRPr="002B0C55">
        <w:rPr>
          <w:rFonts w:ascii="Times New Roman" w:eastAsia="Times New Roman" w:hAnsi="Times New Roman" w:cs="Times New Roman"/>
          <w:sz w:val="24"/>
          <w:szCs w:val="24"/>
        </w:rPr>
        <w:t>TL only reads from source systems and never writes back to them, so clinical operations continue without interruption [1].</w:t>
      </w:r>
    </w:p>
    <w:p w14:paraId="6CE7F02C" w14:textId="77777777" w:rsidR="00E16488" w:rsidRPr="002B0C55" w:rsidRDefault="00AE5034">
      <w:pPr>
        <w:spacing w:before="200" w:after="80"/>
        <w:jc w:val="center"/>
      </w:pPr>
      <w:r w:rsidRPr="002B0C55">
        <w:rPr>
          <w:noProof/>
        </w:rPr>
        <w:lastRenderedPageBreak/>
        <w:drawing>
          <wp:inline distT="0" distB="0" distL="0" distR="0" wp14:anchorId="0F729610" wp14:editId="39F39019">
            <wp:extent cx="3200400" cy="6493501"/>
            <wp:effectExtent l="0" t="0" r="0" b="0"/>
            <wp:docPr id="301" name="Figure 1" descr="NHS England Data Warehouse Architecture Diagram"/>
            <wp:cNvGraphicFramePr/>
            <a:graphic xmlns:a="http://schemas.openxmlformats.org/drawingml/2006/main">
              <a:graphicData uri="http://schemas.openxmlformats.org/drawingml/2006/picture">
                <pic:pic xmlns:pic="http://schemas.openxmlformats.org/drawingml/2006/picture">
                  <pic:nvPicPr>
                    <pic:cNvPr id="301" name="Figure 1" descr="NHS England Data Warehouse Architecture Diagram"/>
                    <pic:cNvPicPr>
                      <a:picLocks noChangeAspect="1"/>
                    </pic:cNvPicPr>
                  </pic:nvPicPr>
                  <pic:blipFill>
                    <a:blip r:embed="rId8"/>
                    <a:stretch>
                      <a:fillRect/>
                    </a:stretch>
                  </pic:blipFill>
                  <pic:spPr>
                    <a:xfrm>
                      <a:off x="0" y="0"/>
                      <a:ext cx="3200400" cy="6493501"/>
                    </a:xfrm>
                    <a:prstGeom prst="rect">
                      <a:avLst/>
                    </a:prstGeom>
                  </pic:spPr>
                </pic:pic>
              </a:graphicData>
            </a:graphic>
          </wp:inline>
        </w:drawing>
      </w:r>
    </w:p>
    <w:p w14:paraId="18F5AA11" w14:textId="77777777" w:rsidR="00E16488" w:rsidRPr="002B0C55" w:rsidRDefault="00AE5034">
      <w:pPr>
        <w:spacing w:before="60"/>
        <w:jc w:val="center"/>
        <w:rPr>
          <w:rFonts w:ascii="Times New Roman" w:eastAsia="Times New Roman" w:hAnsi="Times New Roman" w:cs="Times New Roman"/>
          <w:i/>
          <w:sz w:val="20"/>
          <w:szCs w:val="20"/>
        </w:rPr>
      </w:pPr>
      <w:r w:rsidRPr="002B0C55">
        <w:rPr>
          <w:rFonts w:ascii="Times New Roman" w:eastAsia="Times New Roman" w:hAnsi="Times New Roman" w:cs="Times New Roman"/>
          <w:i/>
          <w:sz w:val="20"/>
          <w:szCs w:val="20"/>
        </w:rPr>
        <w:t>Figure 1: Proposed NHS England Data Warehouse Architecture (source systems to ETL to central warehouse to data marts)</w:t>
      </w:r>
    </w:p>
    <w:p w14:paraId="5E95BC6D" w14:textId="77777777" w:rsidR="00255B0D" w:rsidRPr="002B0C55" w:rsidRDefault="00255B0D">
      <w:pPr>
        <w:spacing w:before="60"/>
        <w:jc w:val="center"/>
        <w:rPr>
          <w:rFonts w:ascii="Times New Roman" w:eastAsia="Times New Roman" w:hAnsi="Times New Roman" w:cs="Times New Roman"/>
          <w:i/>
          <w:sz w:val="20"/>
          <w:szCs w:val="20"/>
        </w:rPr>
      </w:pPr>
    </w:p>
    <w:p w14:paraId="5F9ACC00" w14:textId="77777777" w:rsidR="00255B0D" w:rsidRPr="002B0C55" w:rsidRDefault="00255B0D">
      <w:pPr>
        <w:spacing w:before="60"/>
        <w:jc w:val="center"/>
        <w:rPr>
          <w:rFonts w:ascii="Times New Roman" w:eastAsia="Times New Roman" w:hAnsi="Times New Roman" w:cs="Times New Roman"/>
          <w:i/>
          <w:sz w:val="20"/>
          <w:szCs w:val="20"/>
        </w:rPr>
      </w:pPr>
    </w:p>
    <w:p w14:paraId="0C388937" w14:textId="77777777" w:rsidR="00255B0D" w:rsidRPr="002B0C55" w:rsidRDefault="00255B0D">
      <w:pPr>
        <w:spacing w:before="60"/>
        <w:jc w:val="center"/>
        <w:rPr>
          <w:rFonts w:ascii="Times New Roman" w:eastAsia="Times New Roman" w:hAnsi="Times New Roman" w:cs="Times New Roman"/>
          <w:i/>
          <w:sz w:val="20"/>
          <w:szCs w:val="20"/>
        </w:rPr>
      </w:pPr>
    </w:p>
    <w:p w14:paraId="09128D53" w14:textId="77777777" w:rsidR="00255B0D" w:rsidRPr="002B0C55" w:rsidRDefault="00255B0D">
      <w:pPr>
        <w:spacing w:before="60"/>
        <w:jc w:val="center"/>
        <w:rPr>
          <w:rFonts w:ascii="Times New Roman" w:eastAsia="Times New Roman" w:hAnsi="Times New Roman" w:cs="Times New Roman"/>
          <w:i/>
          <w:sz w:val="20"/>
          <w:szCs w:val="20"/>
        </w:rPr>
      </w:pPr>
    </w:p>
    <w:p w14:paraId="3511CC68" w14:textId="77777777" w:rsidR="00255B0D" w:rsidRPr="002B0C55" w:rsidRDefault="00255B0D">
      <w:pPr>
        <w:spacing w:before="60"/>
        <w:jc w:val="center"/>
      </w:pPr>
    </w:p>
    <w:p w14:paraId="238A1F2D" w14:textId="77777777" w:rsidR="00E16488" w:rsidRPr="002B0C55" w:rsidRDefault="00AE5034">
      <w:pPr>
        <w:pStyle w:val="Heading2"/>
        <w:spacing w:before="200" w:after="100"/>
        <w:rPr>
          <w:rFonts w:ascii="Times New Roman" w:eastAsia="Times New Roman" w:hAnsi="Times New Roman" w:cs="Times New Roman"/>
          <w:b/>
          <w:sz w:val="24"/>
          <w:szCs w:val="24"/>
        </w:rPr>
      </w:pPr>
      <w:bookmarkStart w:id="8" w:name="_Toc235546733"/>
      <w:bookmarkStart w:id="9" w:name="_Toc235551495"/>
      <w:r w:rsidRPr="002B0C55">
        <w:rPr>
          <w:rFonts w:ascii="Times New Roman" w:eastAsia="Times New Roman" w:hAnsi="Times New Roman" w:cs="Times New Roman"/>
          <w:b/>
          <w:sz w:val="24"/>
          <w:szCs w:val="24"/>
        </w:rPr>
        <w:lastRenderedPageBreak/>
        <w:t>1.3 Data Marts for Management Decision-Making</w:t>
      </w:r>
      <w:bookmarkEnd w:id="8"/>
      <w:bookmarkEnd w:id="9"/>
    </w:p>
    <w:p w14:paraId="04DAC264" w14:textId="77777777" w:rsidR="00E16488" w:rsidRPr="002B0C55" w:rsidRDefault="00AE5034">
      <w:pPr>
        <w:spacing w:after="160"/>
        <w:jc w:val="both"/>
        <w:rPr>
          <w:rFonts w:ascii="Times New Roman" w:eastAsia="Times New Roman" w:hAnsi="Times New Roman" w:cs="Times New Roman"/>
          <w:sz w:val="24"/>
          <w:szCs w:val="24"/>
        </w:rPr>
      </w:pPr>
      <w:r w:rsidRPr="002B0C55">
        <w:rPr>
          <w:rFonts w:ascii="Times New Roman" w:eastAsia="Times New Roman" w:hAnsi="Times New Roman" w:cs="Times New Roman"/>
          <w:sz w:val="24"/>
          <w:szCs w:val="24"/>
        </w:rPr>
        <w:t>A data mart is a subject-specific view of the central warehouse, filtered for a particular audience. Rather than every executive querying the same database, each leadership function gets its own analytically optimised layer. Three data marts are proposed for NHS England’s first phase [5].</w:t>
      </w:r>
    </w:p>
    <w:p w14:paraId="7F45C225" w14:textId="77777777" w:rsidR="00255B0D" w:rsidRPr="002B0C55" w:rsidRDefault="00255B0D">
      <w:pPr>
        <w:spacing w:after="160"/>
        <w:jc w:val="both"/>
        <w:rPr>
          <w:sz w:val="24"/>
          <w:szCs w:val="24"/>
        </w:rPr>
      </w:pPr>
    </w:p>
    <w:p w14:paraId="57601CEA" w14:textId="77777777" w:rsidR="00E16488" w:rsidRPr="002B0C55" w:rsidRDefault="00AE5034">
      <w:pPr>
        <w:spacing w:before="160" w:after="80"/>
        <w:rPr>
          <w:rFonts w:ascii="Times New Roman" w:eastAsia="Times New Roman" w:hAnsi="Times New Roman" w:cs="Times New Roman"/>
          <w:b/>
          <w:i/>
          <w:sz w:val="24"/>
          <w:szCs w:val="24"/>
        </w:rPr>
      </w:pPr>
      <w:r w:rsidRPr="002B0C55">
        <w:rPr>
          <w:rFonts w:ascii="Times New Roman" w:eastAsia="Times New Roman" w:hAnsi="Times New Roman" w:cs="Times New Roman"/>
          <w:b/>
          <w:i/>
          <w:sz w:val="24"/>
          <w:szCs w:val="24"/>
        </w:rPr>
        <w:t>Chief Executive: Strategic Performance</w:t>
      </w:r>
    </w:p>
    <w:p w14:paraId="3C5786DA" w14:textId="6E2D9C03" w:rsidR="00255B0D" w:rsidRPr="002B0C55" w:rsidRDefault="00255B0D" w:rsidP="00397D6A">
      <w:pPr>
        <w:spacing w:before="160" w:after="80"/>
        <w:rPr>
          <w:rFonts w:ascii="Times New Roman" w:eastAsia="Times New Roman" w:hAnsi="Times New Roman" w:cs="Times New Roman"/>
          <w:sz w:val="24"/>
          <w:szCs w:val="24"/>
        </w:rPr>
      </w:pPr>
      <w:r w:rsidRPr="002B0C55">
        <w:rPr>
          <w:rFonts w:ascii="Times New Roman" w:eastAsia="Times New Roman" w:hAnsi="Times New Roman" w:cs="Times New Roman"/>
          <w:sz w:val="24"/>
          <w:szCs w:val="24"/>
        </w:rPr>
        <w:t>The CEO needs to see how NHS England is doing against national targets without waiting for monthly statutory returns. The mart includes referral-to-treatment waiting times by region and speciality, A&amp;E four-hour performance, elective care backlog volumes, bed occupancy rates and ambulance response times across all five Integrated Care System regions [6].</w:t>
      </w:r>
    </w:p>
    <w:p w14:paraId="6BDA9B23" w14:textId="602FC1BA" w:rsidR="00255B0D" w:rsidRPr="002B0C55" w:rsidRDefault="002B0C55" w:rsidP="00397D6A">
      <w:pPr>
        <w:spacing w:before="160" w:after="80"/>
        <w:rPr>
          <w:rFonts w:ascii="Times New Roman" w:eastAsia="Times New Roman" w:hAnsi="Times New Roman" w:cs="Times New Roman"/>
          <w:sz w:val="24"/>
          <w:szCs w:val="24"/>
        </w:rPr>
      </w:pPr>
      <w:r w:rsidRPr="002B0C55">
        <w:rPr>
          <w:rFonts w:ascii="Times New Roman" w:eastAsia="Times New Roman" w:hAnsi="Times New Roman" w:cs="Times New Roman"/>
          <w:sz w:val="24"/>
          <w:szCs w:val="24"/>
        </w:rPr>
        <w:t xml:space="preserve">This allows </w:t>
      </w:r>
      <w:r w:rsidR="00255B0D" w:rsidRPr="002B0C55">
        <w:rPr>
          <w:rFonts w:ascii="Times New Roman" w:eastAsia="Times New Roman" w:hAnsi="Times New Roman" w:cs="Times New Roman"/>
          <w:sz w:val="24"/>
          <w:szCs w:val="24"/>
        </w:rPr>
        <w:t>cross-regional comparison on one screen. The CEO can see where elective recovery is ahead of target, where bed pressures are building</w:t>
      </w:r>
      <w:r>
        <w:rPr>
          <w:rFonts w:ascii="Times New Roman" w:eastAsia="Times New Roman" w:hAnsi="Times New Roman" w:cs="Times New Roman"/>
          <w:sz w:val="24"/>
          <w:szCs w:val="24"/>
        </w:rPr>
        <w:t xml:space="preserve">, and where workforce gaps </w:t>
      </w:r>
      <w:r w:rsidR="00255B0D" w:rsidRPr="002B0C55">
        <w:rPr>
          <w:rFonts w:ascii="Times New Roman" w:eastAsia="Times New Roman" w:hAnsi="Times New Roman" w:cs="Times New Roman"/>
          <w:sz w:val="24"/>
          <w:szCs w:val="24"/>
        </w:rPr>
        <w:t>are showing up in the performance data for that area. “Today, that sort of image takes weeks of manual collation to assemble.”</w:t>
      </w:r>
    </w:p>
    <w:p w14:paraId="113B19C0" w14:textId="54877684" w:rsidR="00E16488" w:rsidRPr="002B0C55" w:rsidRDefault="00AE5034" w:rsidP="00397D6A">
      <w:pPr>
        <w:spacing w:before="160" w:after="80"/>
        <w:rPr>
          <w:rFonts w:ascii="Times New Roman" w:eastAsia="Times New Roman" w:hAnsi="Times New Roman" w:cs="Times New Roman"/>
          <w:b/>
          <w:i/>
          <w:sz w:val="24"/>
          <w:szCs w:val="24"/>
        </w:rPr>
      </w:pPr>
      <w:r w:rsidRPr="002B0C55">
        <w:rPr>
          <w:rFonts w:ascii="Times New Roman" w:eastAsia="Times New Roman" w:hAnsi="Times New Roman" w:cs="Times New Roman"/>
          <w:b/>
          <w:i/>
          <w:sz w:val="24"/>
          <w:szCs w:val="24"/>
        </w:rPr>
        <w:t>Finance Director: Financial Performance</w:t>
      </w:r>
    </w:p>
    <w:p w14:paraId="2F44D3E7" w14:textId="74C36749" w:rsidR="0023094C" w:rsidRPr="002B0C55" w:rsidRDefault="0023094C" w:rsidP="00397D6A">
      <w:pPr>
        <w:spacing w:before="160" w:after="80"/>
        <w:rPr>
          <w:rFonts w:ascii="Times New Roman" w:eastAsia="Times New Roman" w:hAnsi="Times New Roman" w:cs="Times New Roman"/>
          <w:sz w:val="24"/>
          <w:szCs w:val="24"/>
        </w:rPr>
      </w:pPr>
      <w:r w:rsidRPr="002B0C55">
        <w:rPr>
          <w:rFonts w:ascii="Times New Roman" w:eastAsia="Times New Roman" w:hAnsi="Times New Roman" w:cs="Times New Roman"/>
          <w:sz w:val="24"/>
          <w:szCs w:val="24"/>
        </w:rPr>
        <w:t>This mart pulls data from the financial ledger, national tariff schedules</w:t>
      </w:r>
      <w:r w:rsidR="002B0C55" w:rsidRPr="002B0C55">
        <w:rPr>
          <w:rFonts w:ascii="Times New Roman" w:eastAsia="Times New Roman" w:hAnsi="Times New Roman" w:cs="Times New Roman"/>
          <w:sz w:val="24"/>
          <w:szCs w:val="24"/>
        </w:rPr>
        <w:t>, and activity-based</w:t>
      </w:r>
      <w:r w:rsidRPr="002B0C55">
        <w:rPr>
          <w:rFonts w:ascii="Times New Roman" w:eastAsia="Times New Roman" w:hAnsi="Times New Roman" w:cs="Times New Roman"/>
          <w:sz w:val="24"/>
          <w:szCs w:val="24"/>
        </w:rPr>
        <w:t xml:space="preserve"> costing. It includes cost per patient episode by type of treatment, budget variance by cost centre, tariff reconciliation to identify </w:t>
      </w:r>
      <w:r w:rsidR="002B0C55" w:rsidRPr="002B0C55">
        <w:rPr>
          <w:rFonts w:ascii="Times New Roman" w:eastAsia="Times New Roman" w:hAnsi="Times New Roman" w:cs="Times New Roman"/>
          <w:sz w:val="24"/>
          <w:szCs w:val="24"/>
        </w:rPr>
        <w:t>over- or underpayment</w:t>
      </w:r>
      <w:r w:rsidRPr="002B0C55">
        <w:rPr>
          <w:rFonts w:ascii="Times New Roman" w:eastAsia="Times New Roman" w:hAnsi="Times New Roman" w:cs="Times New Roman"/>
          <w:sz w:val="24"/>
          <w:szCs w:val="24"/>
        </w:rPr>
        <w:t xml:space="preserve"> and agency workforce spend against substantive staffing costs.</w:t>
      </w:r>
      <w:r w:rsidRPr="002B0C55">
        <w:rPr>
          <w:rFonts w:ascii="Times New Roman" w:eastAsia="Times New Roman" w:hAnsi="Times New Roman" w:cs="Times New Roman"/>
          <w:sz w:val="24"/>
          <w:szCs w:val="24"/>
        </w:rPr>
        <w:br/>
      </w:r>
      <w:r w:rsidRPr="002B0C55">
        <w:rPr>
          <w:rFonts w:ascii="Times New Roman" w:eastAsia="Times New Roman" w:hAnsi="Times New Roman" w:cs="Times New Roman"/>
          <w:sz w:val="24"/>
          <w:szCs w:val="24"/>
        </w:rPr>
        <w:br/>
        <w:t xml:space="preserve">In a system spending over £160 billion a year [6], the ability to identify a trust where agency nursing costs have increased significantly above forecast, and to cross-reference that against patient safety data, could prevent serious financial and clinical harm. This cannot be achieved through the statutory monthly reporting. </w:t>
      </w:r>
      <w:proofErr w:type="gramStart"/>
      <w:r w:rsidRPr="002B0C55">
        <w:rPr>
          <w:rFonts w:ascii="Times New Roman" w:eastAsia="Times New Roman" w:hAnsi="Times New Roman" w:cs="Times New Roman"/>
          <w:sz w:val="24"/>
          <w:szCs w:val="24"/>
        </w:rPr>
        <w:t>The</w:t>
      </w:r>
      <w:proofErr w:type="gramEnd"/>
      <w:r w:rsidRPr="002B0C55">
        <w:rPr>
          <w:rFonts w:ascii="Times New Roman" w:eastAsia="Times New Roman" w:hAnsi="Times New Roman" w:cs="Times New Roman"/>
          <w:sz w:val="24"/>
          <w:szCs w:val="24"/>
        </w:rPr>
        <w:t xml:space="preserve"> can do can.</w:t>
      </w:r>
    </w:p>
    <w:p w14:paraId="044362CD" w14:textId="77777777" w:rsidR="00E16488" w:rsidRPr="002B0C55" w:rsidRDefault="00AE5034" w:rsidP="00397D6A">
      <w:pPr>
        <w:spacing w:before="160" w:after="80"/>
        <w:rPr>
          <w:rFonts w:ascii="Times New Roman" w:eastAsia="Times New Roman" w:hAnsi="Times New Roman" w:cs="Times New Roman"/>
          <w:b/>
          <w:i/>
          <w:sz w:val="24"/>
          <w:szCs w:val="24"/>
        </w:rPr>
      </w:pPr>
      <w:r w:rsidRPr="002B0C55">
        <w:rPr>
          <w:rFonts w:ascii="Times New Roman" w:eastAsia="Times New Roman" w:hAnsi="Times New Roman" w:cs="Times New Roman"/>
          <w:b/>
          <w:i/>
          <w:sz w:val="24"/>
          <w:szCs w:val="24"/>
        </w:rPr>
        <w:t>Medical Director: Clinical Quality</w:t>
      </w:r>
    </w:p>
    <w:p w14:paraId="4BD81662" w14:textId="045F21EE" w:rsidR="00E16488" w:rsidRPr="002B0C55" w:rsidRDefault="001F5A54" w:rsidP="00397D6A">
      <w:pPr>
        <w:spacing w:after="160"/>
        <w:rPr>
          <w:rFonts w:ascii="Times New Roman" w:eastAsia="Times New Roman" w:hAnsi="Times New Roman" w:cs="Times New Roman"/>
          <w:sz w:val="24"/>
          <w:szCs w:val="24"/>
        </w:rPr>
      </w:pPr>
      <w:r w:rsidRPr="002B0C55">
        <w:rPr>
          <w:rFonts w:ascii="Times New Roman" w:eastAsia="Times New Roman" w:hAnsi="Times New Roman" w:cs="Times New Roman"/>
          <w:sz w:val="24"/>
          <w:szCs w:val="24"/>
        </w:rPr>
        <w:t>The Medical Director’s mart is based on EPR data, Datix incident data and national benchmark data sets. It monitors readmission rates by diagnosis, mortality indicators, hospital-acquired infection rates, and adherence to national clinical standards [5].</w:t>
      </w:r>
      <w:r w:rsidRPr="002B0C55">
        <w:rPr>
          <w:rFonts w:ascii="Times New Roman" w:eastAsia="Times New Roman" w:hAnsi="Times New Roman" w:cs="Times New Roman"/>
          <w:sz w:val="24"/>
          <w:szCs w:val="24"/>
        </w:rPr>
        <w:br/>
      </w:r>
      <w:r w:rsidRPr="002B0C55">
        <w:rPr>
          <w:rFonts w:ascii="Times New Roman" w:eastAsia="Times New Roman" w:hAnsi="Times New Roman" w:cs="Times New Roman"/>
          <w:sz w:val="24"/>
          <w:szCs w:val="24"/>
        </w:rPr>
        <w:br/>
        <w:t>In practice, it provides an early warning. The mart exposes what is going wrong when it is wrong in a speciality or trust before it goes any further. This is where a targeted intervention differs from a formal CQC investigation. This is exactly the kind of continuous, cross-system visibility, not quarterly snapshots, needed to underpin the NHS Patient Safety Strategy [7].</w:t>
      </w:r>
      <w:r w:rsidRPr="002B0C55">
        <w:rPr>
          <w:rFonts w:ascii="Times New Roman" w:eastAsia="Times New Roman" w:hAnsi="Times New Roman" w:cs="Times New Roman"/>
          <w:sz w:val="24"/>
          <w:szCs w:val="24"/>
        </w:rPr>
        <w:br/>
      </w:r>
      <w:r w:rsidRPr="002B0C55">
        <w:rPr>
          <w:rFonts w:ascii="Times New Roman" w:eastAsia="Times New Roman" w:hAnsi="Times New Roman" w:cs="Times New Roman"/>
          <w:sz w:val="24"/>
          <w:szCs w:val="24"/>
        </w:rPr>
        <w:br/>
      </w:r>
      <w:r w:rsidR="0036723D">
        <w:rPr>
          <w:rFonts w:ascii="Times New Roman" w:eastAsia="Times New Roman" w:hAnsi="Times New Roman" w:cs="Times New Roman"/>
          <w:sz w:val="24"/>
          <w:szCs w:val="24"/>
        </w:rPr>
        <w:t xml:space="preserve">It is of the utmost importance that all three marts have </w:t>
      </w:r>
      <w:r w:rsidR="00DB230F">
        <w:rPr>
          <w:rFonts w:ascii="Times New Roman" w:eastAsia="Times New Roman" w:hAnsi="Times New Roman" w:cs="Times New Roman"/>
          <w:sz w:val="24"/>
          <w:szCs w:val="24"/>
        </w:rPr>
        <w:t>consistent dimensions, meaning</w:t>
      </w:r>
      <w:r w:rsidR="0036723D">
        <w:rPr>
          <w:rFonts w:ascii="Times New Roman" w:eastAsia="Times New Roman" w:hAnsi="Times New Roman" w:cs="Times New Roman"/>
          <w:sz w:val="24"/>
          <w:szCs w:val="24"/>
        </w:rPr>
        <w:t xml:space="preserve"> the CEO, Finance Director, and Medical Director adhere to consistent definitions of a patient episode, a trust, and a reporting period [1].</w:t>
      </w:r>
    </w:p>
    <w:p w14:paraId="3BDF7D7A" w14:textId="06000B61" w:rsidR="00E16488" w:rsidRPr="002B0C55" w:rsidRDefault="00AE5034">
      <w:pPr>
        <w:pStyle w:val="Heading2"/>
        <w:spacing w:before="200" w:after="100"/>
        <w:rPr>
          <w:rFonts w:ascii="Times New Roman" w:eastAsia="Times New Roman" w:hAnsi="Times New Roman" w:cs="Times New Roman"/>
          <w:b/>
          <w:sz w:val="24"/>
          <w:szCs w:val="24"/>
        </w:rPr>
      </w:pPr>
      <w:bookmarkStart w:id="10" w:name="_Toc235546734"/>
      <w:bookmarkStart w:id="11" w:name="_Toc235551496"/>
      <w:r w:rsidRPr="002B0C55">
        <w:rPr>
          <w:rFonts w:ascii="Times New Roman" w:eastAsia="Times New Roman" w:hAnsi="Times New Roman" w:cs="Times New Roman"/>
          <w:b/>
          <w:sz w:val="24"/>
          <w:szCs w:val="24"/>
        </w:rPr>
        <w:lastRenderedPageBreak/>
        <w:t xml:space="preserve">1.4 OLTP Normalisation </w:t>
      </w:r>
      <w:r w:rsidR="002B0C55" w:rsidRPr="002B0C55">
        <w:rPr>
          <w:rFonts w:ascii="Times New Roman" w:eastAsia="Times New Roman" w:hAnsi="Times New Roman" w:cs="Times New Roman"/>
          <w:b/>
          <w:sz w:val="24"/>
          <w:szCs w:val="24"/>
        </w:rPr>
        <w:t>vs</w:t>
      </w:r>
      <w:r w:rsidRPr="002B0C55">
        <w:rPr>
          <w:rFonts w:ascii="Times New Roman" w:eastAsia="Times New Roman" w:hAnsi="Times New Roman" w:cs="Times New Roman"/>
          <w:b/>
          <w:sz w:val="24"/>
          <w:szCs w:val="24"/>
        </w:rPr>
        <w:t xml:space="preserve"> Dimensional Modelling</w:t>
      </w:r>
      <w:bookmarkEnd w:id="10"/>
      <w:bookmarkEnd w:id="11"/>
    </w:p>
    <w:p w14:paraId="0197D007" w14:textId="4D43E36A" w:rsidR="00B17C52" w:rsidRPr="002B0C55" w:rsidRDefault="00B17C52" w:rsidP="00B17C52">
      <w:pPr>
        <w:spacing w:after="160"/>
        <w:rPr>
          <w:rFonts w:ascii="Times New Roman" w:eastAsia="Times New Roman" w:hAnsi="Times New Roman" w:cs="Times New Roman"/>
          <w:sz w:val="24"/>
          <w:szCs w:val="24"/>
        </w:rPr>
      </w:pPr>
      <w:r w:rsidRPr="002B0C55">
        <w:rPr>
          <w:rFonts w:ascii="Times New Roman" w:eastAsia="Times New Roman" w:hAnsi="Times New Roman" w:cs="Times New Roman"/>
          <w:sz w:val="24"/>
          <w:szCs w:val="24"/>
        </w:rPr>
        <w:t>HS England’s OLTP systems use normalised database design, Third Normal Form (3NF). Normalisation spreads data out over many tables to remove redundancy. In a PAS</w:t>
      </w:r>
      <w:r w:rsidR="002B0C55" w:rsidRPr="002B0C55">
        <w:rPr>
          <w:rFonts w:ascii="Times New Roman" w:eastAsia="Times New Roman" w:hAnsi="Times New Roman" w:cs="Times New Roman"/>
          <w:sz w:val="24"/>
          <w:szCs w:val="24"/>
        </w:rPr>
        <w:t>,</w:t>
      </w:r>
      <w:r w:rsidRPr="002B0C55">
        <w:rPr>
          <w:rFonts w:ascii="Times New Roman" w:eastAsia="Times New Roman" w:hAnsi="Times New Roman" w:cs="Times New Roman"/>
          <w:sz w:val="24"/>
          <w:szCs w:val="24"/>
        </w:rPr>
        <w:t xml:space="preserve"> the patient record may be held in separate tables for demographics, address, GP practice, admission episodes and ward assignments, all linked by keys. That design is appropriate for live systems. It ensures </w:t>
      </w:r>
      <w:r w:rsidR="002B0C55" w:rsidRPr="002B0C55">
        <w:rPr>
          <w:rFonts w:ascii="Times New Roman" w:eastAsia="Times New Roman" w:hAnsi="Times New Roman" w:cs="Times New Roman"/>
          <w:sz w:val="24"/>
          <w:szCs w:val="24"/>
        </w:rPr>
        <w:t>record</w:t>
      </w:r>
      <w:r w:rsidRPr="002B0C55">
        <w:rPr>
          <w:rFonts w:ascii="Times New Roman" w:eastAsia="Times New Roman" w:hAnsi="Times New Roman" w:cs="Times New Roman"/>
          <w:sz w:val="24"/>
          <w:szCs w:val="24"/>
        </w:rPr>
        <w:t xml:space="preserve"> consistency when hundreds of admissions are being processed at once [2].</w:t>
      </w:r>
      <w:r w:rsidRPr="002B0C55">
        <w:rPr>
          <w:rFonts w:ascii="Times New Roman" w:eastAsia="Times New Roman" w:hAnsi="Times New Roman" w:cs="Times New Roman"/>
          <w:sz w:val="24"/>
          <w:szCs w:val="24"/>
        </w:rPr>
        <w:br/>
      </w:r>
      <w:r w:rsidRPr="002B0C55">
        <w:rPr>
          <w:rFonts w:ascii="Times New Roman" w:eastAsia="Times New Roman" w:hAnsi="Times New Roman" w:cs="Times New Roman"/>
          <w:sz w:val="24"/>
          <w:szCs w:val="24"/>
        </w:rPr>
        <w:br/>
        <w:t>It is slow to analyse. What is the average length of stay for cardiac patients from deprived areas in Northern England, by financial quarter? This question requires joining eight or more tables across millions of rows. Such a query is too expensive to run against a live clinical system and too slow for board reporting [2].</w:t>
      </w:r>
      <w:r w:rsidRPr="002B0C55">
        <w:rPr>
          <w:rFonts w:ascii="Times New Roman" w:eastAsia="Times New Roman" w:hAnsi="Times New Roman" w:cs="Times New Roman"/>
          <w:sz w:val="24"/>
          <w:szCs w:val="24"/>
        </w:rPr>
        <w:br/>
      </w:r>
      <w:r w:rsidRPr="002B0C55">
        <w:rPr>
          <w:rFonts w:ascii="Times New Roman" w:eastAsia="Times New Roman" w:hAnsi="Times New Roman" w:cs="Times New Roman"/>
          <w:sz w:val="24"/>
          <w:szCs w:val="24"/>
        </w:rPr>
        <w:br/>
        <w:t xml:space="preserve">Dimensional modelling doesn’t remove redundancy, but it does organise data to answer questions quickly. </w:t>
      </w:r>
      <w:r w:rsidR="002B0C55" w:rsidRPr="002B0C55">
        <w:rPr>
          <w:rFonts w:ascii="Times New Roman" w:eastAsia="Times New Roman" w:hAnsi="Times New Roman" w:cs="Times New Roman"/>
          <w:sz w:val="24"/>
          <w:szCs w:val="24"/>
        </w:rPr>
        <w:t>Dimension tables surround the core fact table of countable events (patient care episodes)</w:t>
      </w:r>
      <w:r w:rsidRPr="002B0C55">
        <w:rPr>
          <w:rFonts w:ascii="Times New Roman" w:eastAsia="Times New Roman" w:hAnsi="Times New Roman" w:cs="Times New Roman"/>
          <w:sz w:val="24"/>
          <w:szCs w:val="24"/>
        </w:rPr>
        <w:t xml:space="preserve"> describing the context: who, where, when, and what. Such a layout is called </w:t>
      </w:r>
      <w:r w:rsidR="002B0C55" w:rsidRPr="002B0C55">
        <w:rPr>
          <w:rFonts w:ascii="Times New Roman" w:eastAsia="Times New Roman" w:hAnsi="Times New Roman" w:cs="Times New Roman"/>
          <w:sz w:val="24"/>
          <w:szCs w:val="24"/>
        </w:rPr>
        <w:t>a star schema because, in a diagram, it has the</w:t>
      </w:r>
      <w:r w:rsidRPr="002B0C55">
        <w:rPr>
          <w:rFonts w:ascii="Times New Roman" w:eastAsia="Times New Roman" w:hAnsi="Times New Roman" w:cs="Times New Roman"/>
          <w:sz w:val="24"/>
          <w:szCs w:val="24"/>
        </w:rPr>
        <w:t xml:space="preserve"> shape of a star [8].</w:t>
      </w:r>
      <w:r w:rsidRPr="002B0C55">
        <w:rPr>
          <w:rFonts w:ascii="Times New Roman" w:eastAsia="Times New Roman" w:hAnsi="Times New Roman" w:cs="Times New Roman"/>
          <w:sz w:val="24"/>
          <w:szCs w:val="24"/>
        </w:rPr>
        <w:br/>
      </w:r>
      <w:r w:rsidRPr="002B0C55">
        <w:rPr>
          <w:rFonts w:ascii="Times New Roman" w:eastAsia="Times New Roman" w:hAnsi="Times New Roman" w:cs="Times New Roman"/>
          <w:sz w:val="24"/>
          <w:szCs w:val="24"/>
        </w:rPr>
        <w:br/>
        <w:t xml:space="preserve">The proposed Patient Activity Star Schema is shown in Figure 2. This is driven by the </w:t>
      </w:r>
      <w:proofErr w:type="spellStart"/>
      <w:r w:rsidRPr="002B0C55">
        <w:rPr>
          <w:rFonts w:ascii="Times New Roman" w:eastAsia="Times New Roman" w:hAnsi="Times New Roman" w:cs="Times New Roman"/>
          <w:sz w:val="24"/>
          <w:szCs w:val="24"/>
        </w:rPr>
        <w:t>Fact_PatientActivity</w:t>
      </w:r>
      <w:proofErr w:type="spellEnd"/>
      <w:r w:rsidRPr="002B0C55">
        <w:rPr>
          <w:rFonts w:ascii="Times New Roman" w:eastAsia="Times New Roman" w:hAnsi="Times New Roman" w:cs="Times New Roman"/>
          <w:sz w:val="24"/>
          <w:szCs w:val="24"/>
        </w:rPr>
        <w:t xml:space="preserve"> table</w:t>
      </w:r>
      <w:r w:rsidR="002B0C55" w:rsidRPr="002B0C55">
        <w:rPr>
          <w:rFonts w:ascii="Times New Roman" w:eastAsia="Times New Roman" w:hAnsi="Times New Roman" w:cs="Times New Roman"/>
          <w:sz w:val="24"/>
          <w:szCs w:val="24"/>
        </w:rPr>
        <w:t xml:space="preserve">, which contains key measures of length of stay, </w:t>
      </w:r>
      <w:r w:rsidR="006D553D">
        <w:rPr>
          <w:rFonts w:ascii="Times New Roman" w:eastAsia="Times New Roman" w:hAnsi="Times New Roman" w:cs="Times New Roman"/>
          <w:sz w:val="24"/>
          <w:szCs w:val="24"/>
        </w:rPr>
        <w:t>referral-to-treatment</w:t>
      </w:r>
      <w:r w:rsidR="002B0C55" w:rsidRPr="002B0C55">
        <w:rPr>
          <w:rFonts w:ascii="Times New Roman" w:eastAsia="Times New Roman" w:hAnsi="Times New Roman" w:cs="Times New Roman"/>
          <w:sz w:val="24"/>
          <w:szCs w:val="24"/>
        </w:rPr>
        <w:t xml:space="preserve"> days, procedures performed, bed days used, and the </w:t>
      </w:r>
      <w:r w:rsidRPr="002B0C55">
        <w:rPr>
          <w:rFonts w:ascii="Times New Roman" w:eastAsia="Times New Roman" w:hAnsi="Times New Roman" w:cs="Times New Roman"/>
          <w:sz w:val="24"/>
          <w:szCs w:val="24"/>
        </w:rPr>
        <w:t xml:space="preserve">30-day readmission flag. It is surrounded by </w:t>
      </w:r>
      <w:proofErr w:type="gramStart"/>
      <w:r w:rsidRPr="002B0C55">
        <w:rPr>
          <w:rFonts w:ascii="Times New Roman" w:eastAsia="Times New Roman" w:hAnsi="Times New Roman" w:cs="Times New Roman"/>
          <w:sz w:val="24"/>
          <w:szCs w:val="24"/>
        </w:rPr>
        <w:t>six dimension</w:t>
      </w:r>
      <w:proofErr w:type="gramEnd"/>
      <w:r w:rsidRPr="002B0C55">
        <w:rPr>
          <w:rFonts w:ascii="Times New Roman" w:eastAsia="Times New Roman" w:hAnsi="Times New Roman" w:cs="Times New Roman"/>
          <w:sz w:val="24"/>
          <w:szCs w:val="24"/>
        </w:rPr>
        <w:t xml:space="preserve"> tables: patient demographics; date attributes (including NHS financial year); care location (mapped to ICS region); clinician grade and speciality; ICD-10 diagnosis codes; and service type. Some data is deliberately repeated across dimensions. The cost of storage is small compared to the speed gains</w:t>
      </w:r>
      <w:r w:rsidR="002B0C55" w:rsidRPr="002B0C55">
        <w:rPr>
          <w:rFonts w:ascii="Times New Roman" w:eastAsia="Times New Roman" w:hAnsi="Times New Roman" w:cs="Times New Roman"/>
          <w:sz w:val="24"/>
          <w:szCs w:val="24"/>
        </w:rPr>
        <w:t>, and analysts can query the schema without needing deep technical knowledge of the underlying database</w:t>
      </w:r>
      <w:r w:rsidRPr="002B0C55">
        <w:rPr>
          <w:rFonts w:ascii="Times New Roman" w:eastAsia="Times New Roman" w:hAnsi="Times New Roman" w:cs="Times New Roman"/>
          <w:sz w:val="24"/>
          <w:szCs w:val="24"/>
        </w:rPr>
        <w:t xml:space="preserve"> [2].</w:t>
      </w:r>
    </w:p>
    <w:p w14:paraId="3E6074E0" w14:textId="4C8FF3CD" w:rsidR="00E16488" w:rsidRPr="002B0C55" w:rsidRDefault="00E16488">
      <w:pPr>
        <w:spacing w:after="160"/>
        <w:jc w:val="both"/>
      </w:pPr>
    </w:p>
    <w:p w14:paraId="15709210" w14:textId="77777777" w:rsidR="00E16488" w:rsidRPr="002B0C55" w:rsidRDefault="00AE5034">
      <w:pPr>
        <w:spacing w:before="200" w:after="80"/>
        <w:jc w:val="center"/>
      </w:pPr>
      <w:r w:rsidRPr="002B0C55">
        <w:rPr>
          <w:noProof/>
        </w:rPr>
        <w:lastRenderedPageBreak/>
        <w:drawing>
          <wp:inline distT="0" distB="0" distL="0" distR="0" wp14:anchorId="4FEBCFF8" wp14:editId="24964279">
            <wp:extent cx="2925888" cy="6981304"/>
            <wp:effectExtent l="0" t="0" r="0" b="0"/>
            <wp:docPr id="302" name="Figure 2" descr="NHS England Patient Activity Star Schema"/>
            <wp:cNvGraphicFramePr/>
            <a:graphic xmlns:a="http://schemas.openxmlformats.org/drawingml/2006/main">
              <a:graphicData uri="http://schemas.openxmlformats.org/drawingml/2006/picture">
                <pic:pic xmlns:pic="http://schemas.openxmlformats.org/drawingml/2006/picture">
                  <pic:nvPicPr>
                    <pic:cNvPr id="302" name="Figure 2" descr="NHS England Patient Activity Star Schema"/>
                    <pic:cNvPicPr>
                      <a:picLocks noChangeAspect="1"/>
                    </pic:cNvPicPr>
                  </pic:nvPicPr>
                  <pic:blipFill>
                    <a:blip r:embed="rId9"/>
                    <a:stretch>
                      <a:fillRect/>
                    </a:stretch>
                  </pic:blipFill>
                  <pic:spPr>
                    <a:xfrm>
                      <a:off x="0" y="0"/>
                      <a:ext cx="2925888" cy="6981304"/>
                    </a:xfrm>
                    <a:prstGeom prst="rect">
                      <a:avLst/>
                    </a:prstGeom>
                  </pic:spPr>
                </pic:pic>
              </a:graphicData>
            </a:graphic>
          </wp:inline>
        </w:drawing>
      </w:r>
    </w:p>
    <w:p w14:paraId="1AA03DBE" w14:textId="77777777" w:rsidR="00E16488" w:rsidRPr="002B0C55" w:rsidRDefault="00AE5034">
      <w:pPr>
        <w:spacing w:before="60"/>
        <w:jc w:val="center"/>
        <w:rPr>
          <w:rFonts w:ascii="Times New Roman" w:eastAsia="Times New Roman" w:hAnsi="Times New Roman" w:cs="Times New Roman"/>
          <w:i/>
          <w:sz w:val="20"/>
          <w:szCs w:val="20"/>
        </w:rPr>
      </w:pPr>
      <w:r w:rsidRPr="002B0C55">
        <w:rPr>
          <w:rFonts w:ascii="Times New Roman" w:eastAsia="Times New Roman" w:hAnsi="Times New Roman" w:cs="Times New Roman"/>
          <w:i/>
          <w:sz w:val="20"/>
          <w:szCs w:val="20"/>
        </w:rPr>
        <w:t>Figure 2: Patient Activity Star Schema (</w:t>
      </w:r>
      <w:proofErr w:type="spellStart"/>
      <w:r w:rsidRPr="002B0C55">
        <w:rPr>
          <w:rFonts w:ascii="Times New Roman" w:eastAsia="Times New Roman" w:hAnsi="Times New Roman" w:cs="Times New Roman"/>
          <w:i/>
          <w:sz w:val="20"/>
          <w:szCs w:val="20"/>
        </w:rPr>
        <w:t>Fact_PatientActivity</w:t>
      </w:r>
      <w:proofErr w:type="spellEnd"/>
      <w:r w:rsidRPr="002B0C55">
        <w:rPr>
          <w:rFonts w:ascii="Times New Roman" w:eastAsia="Times New Roman" w:hAnsi="Times New Roman" w:cs="Times New Roman"/>
          <w:i/>
          <w:sz w:val="20"/>
          <w:szCs w:val="20"/>
        </w:rPr>
        <w:t xml:space="preserve"> with </w:t>
      </w:r>
      <w:proofErr w:type="gramStart"/>
      <w:r w:rsidRPr="002B0C55">
        <w:rPr>
          <w:rFonts w:ascii="Times New Roman" w:eastAsia="Times New Roman" w:hAnsi="Times New Roman" w:cs="Times New Roman"/>
          <w:i/>
          <w:sz w:val="20"/>
          <w:szCs w:val="20"/>
        </w:rPr>
        <w:t>six dimension</w:t>
      </w:r>
      <w:proofErr w:type="gramEnd"/>
      <w:r w:rsidRPr="002B0C55">
        <w:rPr>
          <w:rFonts w:ascii="Times New Roman" w:eastAsia="Times New Roman" w:hAnsi="Times New Roman" w:cs="Times New Roman"/>
          <w:i/>
          <w:sz w:val="20"/>
          <w:szCs w:val="20"/>
        </w:rPr>
        <w:t xml:space="preserve"> tables)</w:t>
      </w:r>
    </w:p>
    <w:p w14:paraId="0EBDD815" w14:textId="77777777" w:rsidR="00B66D6F" w:rsidRPr="002B0C55" w:rsidRDefault="00B66D6F">
      <w:pPr>
        <w:spacing w:before="60"/>
        <w:jc w:val="center"/>
        <w:rPr>
          <w:rFonts w:ascii="Times New Roman" w:eastAsia="Times New Roman" w:hAnsi="Times New Roman" w:cs="Times New Roman"/>
          <w:i/>
          <w:sz w:val="20"/>
          <w:szCs w:val="20"/>
        </w:rPr>
      </w:pPr>
    </w:p>
    <w:p w14:paraId="7F596354" w14:textId="77777777" w:rsidR="00B66D6F" w:rsidRPr="002B0C55" w:rsidRDefault="00B66D6F">
      <w:pPr>
        <w:spacing w:before="60"/>
        <w:jc w:val="center"/>
        <w:rPr>
          <w:rFonts w:ascii="Times New Roman" w:eastAsia="Times New Roman" w:hAnsi="Times New Roman" w:cs="Times New Roman"/>
          <w:i/>
          <w:sz w:val="20"/>
          <w:szCs w:val="20"/>
        </w:rPr>
      </w:pPr>
    </w:p>
    <w:p w14:paraId="106D51E8" w14:textId="77777777" w:rsidR="00E16488" w:rsidRPr="002B0C55" w:rsidRDefault="00AE5034">
      <w:pPr>
        <w:pStyle w:val="Heading1"/>
        <w:spacing w:before="240" w:after="120"/>
        <w:rPr>
          <w:rFonts w:ascii="Times New Roman" w:eastAsia="Times New Roman" w:hAnsi="Times New Roman" w:cs="Times New Roman"/>
          <w:b/>
          <w:sz w:val="28"/>
          <w:szCs w:val="28"/>
        </w:rPr>
      </w:pPr>
      <w:bookmarkStart w:id="12" w:name="_Toc235546735"/>
      <w:bookmarkStart w:id="13" w:name="_Toc235551497"/>
      <w:r w:rsidRPr="002B0C55">
        <w:rPr>
          <w:rFonts w:ascii="Times New Roman" w:eastAsia="Times New Roman" w:hAnsi="Times New Roman" w:cs="Times New Roman"/>
          <w:b/>
          <w:sz w:val="28"/>
          <w:szCs w:val="28"/>
        </w:rPr>
        <w:lastRenderedPageBreak/>
        <w:t>TASK 2: SCHEMA DESIGN AND IMPLEMENTATION PLAN</w:t>
      </w:r>
      <w:bookmarkEnd w:id="12"/>
      <w:bookmarkEnd w:id="13"/>
    </w:p>
    <w:p w14:paraId="4CEBE761" w14:textId="77777777" w:rsidR="00E16488" w:rsidRPr="002B0C55" w:rsidRDefault="00AE5034">
      <w:pPr>
        <w:pStyle w:val="Heading2"/>
        <w:spacing w:before="240" w:after="120"/>
        <w:rPr>
          <w:rFonts w:ascii="Times New Roman" w:eastAsia="Times New Roman" w:hAnsi="Times New Roman" w:cs="Times New Roman"/>
          <w:b/>
          <w:sz w:val="24"/>
          <w:szCs w:val="24"/>
        </w:rPr>
      </w:pPr>
      <w:bookmarkStart w:id="14" w:name="_Toc235546736"/>
      <w:bookmarkStart w:id="15" w:name="_Toc235551498"/>
      <w:r w:rsidRPr="002B0C55">
        <w:rPr>
          <w:rFonts w:ascii="Times New Roman" w:eastAsia="Times New Roman" w:hAnsi="Times New Roman" w:cs="Times New Roman"/>
          <w:b/>
          <w:sz w:val="24"/>
          <w:szCs w:val="24"/>
        </w:rPr>
        <w:t>2.1 Source System Identification</w:t>
      </w:r>
      <w:bookmarkEnd w:id="14"/>
      <w:bookmarkEnd w:id="15"/>
    </w:p>
    <w:p w14:paraId="38D53A7D" w14:textId="2F26E82B" w:rsidR="00E16488" w:rsidRPr="002B0C55" w:rsidRDefault="00C6640E" w:rsidP="00C6640E">
      <w:pPr>
        <w:spacing w:after="160"/>
        <w:rPr>
          <w:rFonts w:ascii="Times New Roman" w:eastAsia="Times New Roman" w:hAnsi="Times New Roman" w:cs="Times New Roman"/>
          <w:sz w:val="24"/>
          <w:szCs w:val="24"/>
        </w:rPr>
      </w:pPr>
      <w:r w:rsidRPr="002B0C55">
        <w:rPr>
          <w:rFonts w:ascii="Times New Roman" w:eastAsia="Times New Roman" w:hAnsi="Times New Roman" w:cs="Times New Roman"/>
          <w:sz w:val="24"/>
          <w:szCs w:val="24"/>
        </w:rPr>
        <w:t xml:space="preserve">The NHS England data warehouse extracts data from two types of </w:t>
      </w:r>
      <w:proofErr w:type="gramStart"/>
      <w:r w:rsidRPr="002B0C55">
        <w:rPr>
          <w:rFonts w:ascii="Times New Roman" w:eastAsia="Times New Roman" w:hAnsi="Times New Roman" w:cs="Times New Roman"/>
          <w:sz w:val="24"/>
          <w:szCs w:val="24"/>
        </w:rPr>
        <w:t>source</w:t>
      </w:r>
      <w:proofErr w:type="gramEnd"/>
      <w:r w:rsidR="002B0C55" w:rsidRPr="002B0C55">
        <w:rPr>
          <w:rFonts w:ascii="Times New Roman" w:eastAsia="Times New Roman" w:hAnsi="Times New Roman" w:cs="Times New Roman"/>
          <w:sz w:val="24"/>
          <w:szCs w:val="24"/>
        </w:rPr>
        <w:t>:</w:t>
      </w:r>
      <w:r w:rsidRPr="002B0C55">
        <w:rPr>
          <w:rFonts w:ascii="Times New Roman" w:eastAsia="Times New Roman" w:hAnsi="Times New Roman" w:cs="Times New Roman"/>
          <w:sz w:val="24"/>
          <w:szCs w:val="24"/>
        </w:rPr>
        <w:t xml:space="preserve"> internal operational systems and external reference datasets [5].</w:t>
      </w:r>
      <w:r w:rsidRPr="002B0C55">
        <w:rPr>
          <w:rFonts w:ascii="Times New Roman" w:eastAsia="Times New Roman" w:hAnsi="Times New Roman" w:cs="Times New Roman"/>
          <w:sz w:val="24"/>
          <w:szCs w:val="24"/>
        </w:rPr>
        <w:br/>
      </w:r>
      <w:r w:rsidRPr="002B0C55">
        <w:rPr>
          <w:rFonts w:ascii="Times New Roman" w:eastAsia="Times New Roman" w:hAnsi="Times New Roman" w:cs="Times New Roman"/>
          <w:sz w:val="24"/>
          <w:szCs w:val="24"/>
        </w:rPr>
        <w:br/>
        <w:t xml:space="preserve">Each internal source uses a different type of data. EPR platforms (EMIS Health, Lorenzo, </w:t>
      </w:r>
      <w:proofErr w:type="spellStart"/>
      <w:r w:rsidRPr="002B0C55">
        <w:rPr>
          <w:rFonts w:ascii="Times New Roman" w:eastAsia="Times New Roman" w:hAnsi="Times New Roman" w:cs="Times New Roman"/>
          <w:sz w:val="24"/>
          <w:szCs w:val="24"/>
        </w:rPr>
        <w:t>SystmOne</w:t>
      </w:r>
      <w:proofErr w:type="spellEnd"/>
      <w:r w:rsidRPr="002B0C55">
        <w:rPr>
          <w:rFonts w:ascii="Times New Roman" w:eastAsia="Times New Roman" w:hAnsi="Times New Roman" w:cs="Times New Roman"/>
          <w:sz w:val="24"/>
          <w:szCs w:val="24"/>
        </w:rPr>
        <w:t>). Patient data: NHS number, demographics, ICD-10 diagnoses, OPCS-4 procedures and length of stay. The Patient Administration system provides operational data: admissions, discharges, transfers and referral-to-treatment timestamps. Electronic staff record</w:t>
      </w:r>
      <w:r w:rsidR="002B0C55" w:rsidRPr="002B0C55">
        <w:rPr>
          <w:rFonts w:ascii="Times New Roman" w:eastAsia="Times New Roman" w:hAnsi="Times New Roman" w:cs="Times New Roman"/>
          <w:sz w:val="24"/>
          <w:szCs w:val="24"/>
        </w:rPr>
        <w:t>: workforce information, staff ID, role, shift patterns, contracted hours, agency usage.</w:t>
      </w:r>
      <w:r w:rsidRPr="002B0C55">
        <w:rPr>
          <w:rFonts w:ascii="Times New Roman" w:eastAsia="Times New Roman" w:hAnsi="Times New Roman" w:cs="Times New Roman"/>
          <w:sz w:val="24"/>
          <w:szCs w:val="24"/>
        </w:rPr>
        <w:t xml:space="preserve"> It is fed by financial data from Oracle financial systems: treatment costs, national tariffs, budgets and expenditure by cost centre. Theatre Management Systems include clinical activity data on elective scheduling and utilisation. Datix has data on quality and performance: patient safety incidents, complaints and outcomes [5]</w:t>
      </w:r>
      <w:r w:rsidRPr="002B0C55">
        <w:rPr>
          <w:rFonts w:ascii="Times New Roman" w:eastAsia="Times New Roman" w:hAnsi="Times New Roman" w:cs="Times New Roman"/>
          <w:sz w:val="24"/>
          <w:szCs w:val="24"/>
        </w:rPr>
        <w:br/>
      </w:r>
      <w:r w:rsidRPr="002B0C55">
        <w:rPr>
          <w:rFonts w:ascii="Times New Roman" w:eastAsia="Times New Roman" w:hAnsi="Times New Roman" w:cs="Times New Roman"/>
          <w:sz w:val="24"/>
          <w:szCs w:val="24"/>
        </w:rPr>
        <w:br/>
        <w:t>External feeds include NHS Digital’s Hospital Episode Statistics, Office for National Statistics population and deprivation data, Care Quality Commission inspection ratings and NHS Benchmarking Network comparative performance data [6].</w:t>
      </w:r>
    </w:p>
    <w:p w14:paraId="67319111" w14:textId="77777777" w:rsidR="00E16488" w:rsidRPr="002B0C55" w:rsidRDefault="00AE5034">
      <w:pPr>
        <w:pStyle w:val="Heading2"/>
        <w:spacing w:before="200" w:after="100"/>
      </w:pPr>
      <w:bookmarkStart w:id="16" w:name="_Toc235546737"/>
      <w:bookmarkStart w:id="17" w:name="_Toc235551499"/>
      <w:r w:rsidRPr="002B0C55">
        <w:rPr>
          <w:rFonts w:ascii="Times New Roman" w:eastAsia="Times New Roman" w:hAnsi="Times New Roman" w:cs="Times New Roman"/>
          <w:b/>
          <w:sz w:val="24"/>
          <w:szCs w:val="24"/>
        </w:rPr>
        <w:t>2.2 Star Schema Design</w:t>
      </w:r>
      <w:bookmarkEnd w:id="16"/>
      <w:bookmarkEnd w:id="17"/>
    </w:p>
    <w:p w14:paraId="20F59D33" w14:textId="2763F20B" w:rsidR="002B0C55" w:rsidRPr="002B0C55" w:rsidRDefault="00556AF8" w:rsidP="002B0C55">
      <w:pPr>
        <w:spacing w:after="160"/>
        <w:rPr>
          <w:rFonts w:ascii="Times New Roman" w:eastAsia="Times New Roman" w:hAnsi="Times New Roman" w:cs="Times New Roman"/>
          <w:sz w:val="24"/>
          <w:szCs w:val="24"/>
        </w:rPr>
      </w:pPr>
      <w:proofErr w:type="spellStart"/>
      <w:r w:rsidRPr="002B0C55">
        <w:rPr>
          <w:rFonts w:ascii="Times New Roman" w:eastAsia="Times New Roman" w:hAnsi="Times New Roman" w:cs="Times New Roman"/>
          <w:sz w:val="24"/>
          <w:szCs w:val="24"/>
        </w:rPr>
        <w:t>Fact_PatientActivity</w:t>
      </w:r>
      <w:proofErr w:type="spellEnd"/>
      <w:r w:rsidRPr="002B0C55">
        <w:rPr>
          <w:rFonts w:ascii="Times New Roman" w:eastAsia="Times New Roman" w:hAnsi="Times New Roman" w:cs="Times New Roman"/>
          <w:sz w:val="24"/>
          <w:szCs w:val="24"/>
        </w:rPr>
        <w:t xml:space="preserve"> contains a row for each patient care episode. Measures include: </w:t>
      </w:r>
      <w:proofErr w:type="spellStart"/>
      <w:r w:rsidRPr="002B0C55">
        <w:rPr>
          <w:rFonts w:ascii="Times New Roman" w:eastAsia="Times New Roman" w:hAnsi="Times New Roman" w:cs="Times New Roman"/>
          <w:sz w:val="24"/>
          <w:szCs w:val="24"/>
        </w:rPr>
        <w:t>length_of_stay_days</w:t>
      </w:r>
      <w:proofErr w:type="spellEnd"/>
      <w:r w:rsidRPr="002B0C55">
        <w:rPr>
          <w:rFonts w:ascii="Times New Roman" w:eastAsia="Times New Roman" w:hAnsi="Times New Roman" w:cs="Times New Roman"/>
          <w:sz w:val="24"/>
          <w:szCs w:val="24"/>
        </w:rPr>
        <w:t xml:space="preserve">, </w:t>
      </w:r>
      <w:proofErr w:type="spellStart"/>
      <w:r w:rsidRPr="002B0C55">
        <w:rPr>
          <w:rFonts w:ascii="Times New Roman" w:eastAsia="Times New Roman" w:hAnsi="Times New Roman" w:cs="Times New Roman"/>
          <w:sz w:val="24"/>
          <w:szCs w:val="24"/>
        </w:rPr>
        <w:t>referral_to_treatment_days</w:t>
      </w:r>
      <w:proofErr w:type="spellEnd"/>
      <w:r w:rsidRPr="002B0C55">
        <w:rPr>
          <w:rFonts w:ascii="Times New Roman" w:eastAsia="Times New Roman" w:hAnsi="Times New Roman" w:cs="Times New Roman"/>
          <w:sz w:val="24"/>
          <w:szCs w:val="24"/>
        </w:rPr>
        <w:t xml:space="preserve"> (from referral and first treatment timestamps), </w:t>
      </w:r>
      <w:proofErr w:type="spellStart"/>
      <w:r w:rsidRPr="002B0C55">
        <w:rPr>
          <w:rFonts w:ascii="Times New Roman" w:eastAsia="Times New Roman" w:hAnsi="Times New Roman" w:cs="Times New Roman"/>
          <w:sz w:val="24"/>
          <w:szCs w:val="24"/>
        </w:rPr>
        <w:t>procedures_performed</w:t>
      </w:r>
      <w:proofErr w:type="spellEnd"/>
      <w:r w:rsidRPr="002B0C55">
        <w:rPr>
          <w:rFonts w:ascii="Times New Roman" w:eastAsia="Times New Roman" w:hAnsi="Times New Roman" w:cs="Times New Roman"/>
          <w:sz w:val="24"/>
          <w:szCs w:val="24"/>
        </w:rPr>
        <w:t xml:space="preserve">, </w:t>
      </w:r>
      <w:proofErr w:type="spellStart"/>
      <w:r w:rsidRPr="002B0C55">
        <w:rPr>
          <w:rFonts w:ascii="Times New Roman" w:eastAsia="Times New Roman" w:hAnsi="Times New Roman" w:cs="Times New Roman"/>
          <w:sz w:val="24"/>
          <w:szCs w:val="24"/>
        </w:rPr>
        <w:t>bed_days_used</w:t>
      </w:r>
      <w:proofErr w:type="spellEnd"/>
      <w:r w:rsidRPr="002B0C55">
        <w:rPr>
          <w:rFonts w:ascii="Times New Roman" w:eastAsia="Times New Roman" w:hAnsi="Times New Roman" w:cs="Times New Roman"/>
          <w:sz w:val="24"/>
          <w:szCs w:val="24"/>
        </w:rPr>
        <w:t xml:space="preserve">, </w:t>
      </w:r>
      <w:proofErr w:type="spellStart"/>
      <w:r w:rsidRPr="002B0C55">
        <w:rPr>
          <w:rFonts w:ascii="Times New Roman" w:eastAsia="Times New Roman" w:hAnsi="Times New Roman" w:cs="Times New Roman"/>
          <w:sz w:val="24"/>
          <w:szCs w:val="24"/>
        </w:rPr>
        <w:t>theatre_time_minutes</w:t>
      </w:r>
      <w:proofErr w:type="spellEnd"/>
      <w:r w:rsidRPr="002B0C55">
        <w:rPr>
          <w:rFonts w:ascii="Times New Roman" w:eastAsia="Times New Roman" w:hAnsi="Times New Roman" w:cs="Times New Roman"/>
          <w:sz w:val="24"/>
          <w:szCs w:val="24"/>
        </w:rPr>
        <w:t xml:space="preserve">, </w:t>
      </w:r>
      <w:proofErr w:type="spellStart"/>
      <w:r w:rsidRPr="002B0C55">
        <w:rPr>
          <w:rFonts w:ascii="Times New Roman" w:eastAsia="Times New Roman" w:hAnsi="Times New Roman" w:cs="Times New Roman"/>
          <w:sz w:val="24"/>
          <w:szCs w:val="24"/>
        </w:rPr>
        <w:t>cost_per_episode</w:t>
      </w:r>
      <w:proofErr w:type="spellEnd"/>
      <w:r w:rsidRPr="002B0C55">
        <w:rPr>
          <w:rFonts w:ascii="Times New Roman" w:eastAsia="Times New Roman" w:hAnsi="Times New Roman" w:cs="Times New Roman"/>
          <w:sz w:val="24"/>
          <w:szCs w:val="24"/>
        </w:rPr>
        <w:t xml:space="preserve"> (from the national tariff), </w:t>
      </w:r>
      <w:proofErr w:type="spellStart"/>
      <w:r w:rsidRPr="002B0C55">
        <w:rPr>
          <w:rFonts w:ascii="Times New Roman" w:eastAsia="Times New Roman" w:hAnsi="Times New Roman" w:cs="Times New Roman"/>
          <w:sz w:val="24"/>
          <w:szCs w:val="24"/>
        </w:rPr>
        <w:t>readmission_flag</w:t>
      </w:r>
      <w:proofErr w:type="spellEnd"/>
      <w:r w:rsidRPr="002B0C55">
        <w:rPr>
          <w:rFonts w:ascii="Times New Roman" w:eastAsia="Times New Roman" w:hAnsi="Times New Roman" w:cs="Times New Roman"/>
          <w:sz w:val="24"/>
          <w:szCs w:val="24"/>
        </w:rPr>
        <w:t xml:space="preserve"> (defined as a patient readmitted within 30 days of discharge) [8].</w:t>
      </w:r>
      <w:r w:rsidRPr="002B0C55">
        <w:rPr>
          <w:rFonts w:ascii="Times New Roman" w:eastAsia="Times New Roman" w:hAnsi="Times New Roman" w:cs="Times New Roman"/>
          <w:sz w:val="24"/>
          <w:szCs w:val="24"/>
        </w:rPr>
        <w:br/>
      </w:r>
      <w:r w:rsidRPr="002B0C55">
        <w:rPr>
          <w:rFonts w:ascii="Times New Roman" w:eastAsia="Times New Roman" w:hAnsi="Times New Roman" w:cs="Times New Roman"/>
          <w:sz w:val="24"/>
          <w:szCs w:val="24"/>
        </w:rPr>
        <w:br/>
        <w:t xml:space="preserve">The </w:t>
      </w:r>
      <w:r w:rsidR="002B0C55">
        <w:rPr>
          <w:rFonts w:ascii="Times New Roman" w:eastAsia="Times New Roman" w:hAnsi="Times New Roman" w:cs="Times New Roman"/>
          <w:sz w:val="24"/>
          <w:szCs w:val="24"/>
        </w:rPr>
        <w:t>dataset is organised into</w:t>
      </w:r>
      <w:r w:rsidRPr="002B0C55">
        <w:rPr>
          <w:rFonts w:ascii="Times New Roman" w:eastAsia="Times New Roman" w:hAnsi="Times New Roman" w:cs="Times New Roman"/>
          <w:sz w:val="24"/>
          <w:szCs w:val="24"/>
        </w:rPr>
        <w:t xml:space="preserve"> </w:t>
      </w:r>
      <w:r w:rsidR="002B0C55">
        <w:rPr>
          <w:rFonts w:ascii="Times New Roman" w:eastAsia="Times New Roman" w:hAnsi="Times New Roman" w:cs="Times New Roman"/>
          <w:sz w:val="24"/>
          <w:szCs w:val="24"/>
        </w:rPr>
        <w:t>six-dimensional</w:t>
      </w:r>
      <w:r w:rsidRPr="002B0C55">
        <w:rPr>
          <w:rFonts w:ascii="Times New Roman" w:eastAsia="Times New Roman" w:hAnsi="Times New Roman" w:cs="Times New Roman"/>
          <w:sz w:val="24"/>
          <w:szCs w:val="24"/>
        </w:rPr>
        <w:t xml:space="preserve"> tables.</w:t>
      </w:r>
      <w:r w:rsidRPr="002B0C55">
        <w:rPr>
          <w:rFonts w:ascii="Times New Roman" w:eastAsia="Times New Roman" w:hAnsi="Times New Roman" w:cs="Times New Roman"/>
          <w:sz w:val="24"/>
          <w:szCs w:val="24"/>
        </w:rPr>
        <w:br/>
      </w:r>
      <w:r w:rsidRPr="002B0C55">
        <w:rPr>
          <w:rFonts w:ascii="Times New Roman" w:eastAsia="Times New Roman" w:hAnsi="Times New Roman" w:cs="Times New Roman"/>
          <w:sz w:val="24"/>
          <w:szCs w:val="24"/>
        </w:rPr>
        <w:br/>
      </w:r>
      <w:proofErr w:type="spellStart"/>
      <w:r w:rsidRPr="002B0C55">
        <w:rPr>
          <w:rFonts w:ascii="Times New Roman" w:eastAsia="Times New Roman" w:hAnsi="Times New Roman" w:cs="Times New Roman"/>
          <w:sz w:val="24"/>
          <w:szCs w:val="24"/>
        </w:rPr>
        <w:t>Dim_Patient</w:t>
      </w:r>
      <w:proofErr w:type="spellEnd"/>
      <w:r w:rsidRPr="002B0C55">
        <w:rPr>
          <w:rFonts w:ascii="Times New Roman" w:eastAsia="Times New Roman" w:hAnsi="Times New Roman" w:cs="Times New Roman"/>
          <w:sz w:val="24"/>
          <w:szCs w:val="24"/>
        </w:rPr>
        <w:t xml:space="preserve"> contains pseudonymised demographic data (age band in </w:t>
      </w:r>
      <w:r w:rsidR="002B0C55">
        <w:rPr>
          <w:rFonts w:ascii="Times New Roman" w:eastAsia="Times New Roman" w:hAnsi="Times New Roman" w:cs="Times New Roman"/>
          <w:sz w:val="24"/>
          <w:szCs w:val="24"/>
        </w:rPr>
        <w:t>10-year</w:t>
      </w:r>
      <w:r w:rsidRPr="002B0C55">
        <w:rPr>
          <w:rFonts w:ascii="Times New Roman" w:eastAsia="Times New Roman" w:hAnsi="Times New Roman" w:cs="Times New Roman"/>
          <w:sz w:val="24"/>
          <w:szCs w:val="24"/>
        </w:rPr>
        <w:t xml:space="preserve"> groupings, gender, ethnicity, region of residence and deprivation decile from the ONS Index of Multiple Deprivation). A Type 2 Slowly Changing Dimension (SCD) strategy is used to insert a new row when demographics change and expire the old record. This maintains historical accuracy when analysing outcomes by deprivation group over time [2].</w:t>
      </w:r>
      <w:r w:rsidRPr="002B0C55">
        <w:rPr>
          <w:rFonts w:ascii="Times New Roman" w:eastAsia="Times New Roman" w:hAnsi="Times New Roman" w:cs="Times New Roman"/>
          <w:sz w:val="24"/>
          <w:szCs w:val="24"/>
        </w:rPr>
        <w:br/>
      </w:r>
      <w:r w:rsidRPr="002B0C55">
        <w:rPr>
          <w:rFonts w:ascii="Times New Roman" w:eastAsia="Times New Roman" w:hAnsi="Times New Roman" w:cs="Times New Roman"/>
          <w:sz w:val="24"/>
          <w:szCs w:val="24"/>
        </w:rPr>
        <w:br/>
      </w:r>
      <w:proofErr w:type="spellStart"/>
      <w:r w:rsidRPr="002B0C55">
        <w:rPr>
          <w:rFonts w:ascii="Times New Roman" w:eastAsia="Times New Roman" w:hAnsi="Times New Roman" w:cs="Times New Roman"/>
          <w:sz w:val="24"/>
          <w:szCs w:val="24"/>
        </w:rPr>
        <w:t>Dim_Date</w:t>
      </w:r>
      <w:proofErr w:type="spellEnd"/>
      <w:r w:rsidRPr="002B0C55">
        <w:rPr>
          <w:rFonts w:ascii="Times New Roman" w:eastAsia="Times New Roman" w:hAnsi="Times New Roman" w:cs="Times New Roman"/>
          <w:sz w:val="24"/>
          <w:szCs w:val="24"/>
        </w:rPr>
        <w:t xml:space="preserve"> is a static calendar dimension loaded once at go-live</w:t>
      </w:r>
      <w:r w:rsidR="002B0C55">
        <w:rPr>
          <w:rFonts w:ascii="Times New Roman" w:eastAsia="Times New Roman" w:hAnsi="Times New Roman" w:cs="Times New Roman"/>
          <w:sz w:val="24"/>
          <w:szCs w:val="24"/>
        </w:rPr>
        <w:t xml:space="preserve">, covering calendar and NHS financial year attributes, including the </w:t>
      </w:r>
      <w:r w:rsidRPr="002B0C55">
        <w:rPr>
          <w:rFonts w:ascii="Times New Roman" w:eastAsia="Times New Roman" w:hAnsi="Times New Roman" w:cs="Times New Roman"/>
          <w:sz w:val="24"/>
          <w:szCs w:val="24"/>
        </w:rPr>
        <w:t>April to March financial cycle.</w:t>
      </w:r>
      <w:r w:rsidRPr="002B0C55">
        <w:rPr>
          <w:rFonts w:ascii="Times New Roman" w:eastAsia="Times New Roman" w:hAnsi="Times New Roman" w:cs="Times New Roman"/>
          <w:sz w:val="24"/>
          <w:szCs w:val="24"/>
        </w:rPr>
        <w:br/>
      </w:r>
      <w:r w:rsidRPr="002B0C55">
        <w:rPr>
          <w:rFonts w:ascii="Times New Roman" w:eastAsia="Times New Roman" w:hAnsi="Times New Roman" w:cs="Times New Roman"/>
          <w:sz w:val="24"/>
          <w:szCs w:val="24"/>
        </w:rPr>
        <w:br/>
      </w:r>
      <w:proofErr w:type="spellStart"/>
      <w:r w:rsidRPr="002B0C55">
        <w:rPr>
          <w:rFonts w:ascii="Times New Roman" w:eastAsia="Times New Roman" w:hAnsi="Times New Roman" w:cs="Times New Roman"/>
          <w:sz w:val="24"/>
          <w:szCs w:val="24"/>
        </w:rPr>
        <w:t>Dim_Location</w:t>
      </w:r>
      <w:proofErr w:type="spellEnd"/>
      <w:r w:rsidR="002B0C55">
        <w:rPr>
          <w:rFonts w:ascii="Times New Roman" w:eastAsia="Times New Roman" w:hAnsi="Times New Roman" w:cs="Times New Roman"/>
          <w:sz w:val="24"/>
          <w:szCs w:val="24"/>
        </w:rPr>
        <w:t>:</w:t>
      </w:r>
      <w:r w:rsidRPr="002B0C55">
        <w:rPr>
          <w:rFonts w:ascii="Times New Roman" w:eastAsia="Times New Roman" w:hAnsi="Times New Roman" w:cs="Times New Roman"/>
          <w:sz w:val="24"/>
          <w:szCs w:val="24"/>
        </w:rPr>
        <w:t xml:space="preserve"> Where care was provided (trust name, ODS code, site, ward, Integrated Care System and commissioner code). The organisational changes are reflected immediately as type 1 SCD is applied, rather than historically tracked, as NHS constitutional reporting always uses the current trust structure and historical variants would add complexity without analytical benefit [2].</w:t>
      </w:r>
      <w:r w:rsidRPr="002B0C55">
        <w:rPr>
          <w:rFonts w:ascii="Times New Roman" w:eastAsia="Times New Roman" w:hAnsi="Times New Roman" w:cs="Times New Roman"/>
          <w:sz w:val="24"/>
          <w:szCs w:val="24"/>
        </w:rPr>
        <w:br/>
      </w:r>
      <w:r w:rsidRPr="002B0C55">
        <w:rPr>
          <w:rFonts w:ascii="Times New Roman" w:eastAsia="Times New Roman" w:hAnsi="Times New Roman" w:cs="Times New Roman"/>
          <w:sz w:val="24"/>
          <w:szCs w:val="24"/>
        </w:rPr>
        <w:lastRenderedPageBreak/>
        <w:br/>
      </w:r>
      <w:proofErr w:type="spellStart"/>
      <w:r w:rsidRPr="002B0C55">
        <w:rPr>
          <w:rFonts w:ascii="Times New Roman" w:eastAsia="Times New Roman" w:hAnsi="Times New Roman" w:cs="Times New Roman"/>
          <w:sz w:val="24"/>
          <w:szCs w:val="24"/>
        </w:rPr>
        <w:t>Dim_Clinician</w:t>
      </w:r>
      <w:proofErr w:type="spellEnd"/>
      <w:r w:rsidRPr="002B0C55">
        <w:rPr>
          <w:rFonts w:ascii="Times New Roman" w:eastAsia="Times New Roman" w:hAnsi="Times New Roman" w:cs="Times New Roman"/>
          <w:sz w:val="24"/>
          <w:szCs w:val="24"/>
        </w:rPr>
        <w:t xml:space="preserve"> is sourced from ESR: hashed staff ID, role, speciality, Agenda for Change band, contracted hours and a flag indicating whether the staff member is substantive, bank or agency. The agency flag is especially valuable to the Finance Director for reporting workforce costs.</w:t>
      </w:r>
      <w:r w:rsidRPr="002B0C55">
        <w:rPr>
          <w:rFonts w:ascii="Times New Roman" w:eastAsia="Times New Roman" w:hAnsi="Times New Roman" w:cs="Times New Roman"/>
          <w:sz w:val="24"/>
          <w:szCs w:val="24"/>
        </w:rPr>
        <w:br/>
      </w:r>
      <w:r w:rsidRPr="002B0C55">
        <w:rPr>
          <w:rFonts w:ascii="Times New Roman" w:eastAsia="Times New Roman" w:hAnsi="Times New Roman" w:cs="Times New Roman"/>
          <w:sz w:val="24"/>
          <w:szCs w:val="24"/>
        </w:rPr>
        <w:br/>
      </w:r>
      <w:proofErr w:type="spellStart"/>
      <w:r w:rsidRPr="002B0C55">
        <w:rPr>
          <w:rFonts w:ascii="Times New Roman" w:eastAsia="Times New Roman" w:hAnsi="Times New Roman" w:cs="Times New Roman"/>
          <w:sz w:val="24"/>
          <w:szCs w:val="24"/>
        </w:rPr>
        <w:t>Dim_Diagnosis</w:t>
      </w:r>
      <w:proofErr w:type="spellEnd"/>
      <w:r w:rsidRPr="002B0C55">
        <w:rPr>
          <w:rFonts w:ascii="Times New Roman" w:eastAsia="Times New Roman" w:hAnsi="Times New Roman" w:cs="Times New Roman"/>
          <w:sz w:val="24"/>
          <w:szCs w:val="24"/>
        </w:rPr>
        <w:t xml:space="preserve"> uses ICD-10 coding: code, chapter, description, speciality grouping, and flags for </w:t>
      </w:r>
      <w:r w:rsidR="002B0C55">
        <w:rPr>
          <w:rFonts w:ascii="Times New Roman" w:eastAsia="Times New Roman" w:hAnsi="Times New Roman" w:cs="Times New Roman"/>
          <w:sz w:val="24"/>
          <w:szCs w:val="24"/>
        </w:rPr>
        <w:t>long-term conditions and emergency-sensitive</w:t>
      </w:r>
      <w:r w:rsidRPr="002B0C55">
        <w:rPr>
          <w:rFonts w:ascii="Times New Roman" w:eastAsia="Times New Roman" w:hAnsi="Times New Roman" w:cs="Times New Roman"/>
          <w:sz w:val="24"/>
          <w:szCs w:val="24"/>
        </w:rPr>
        <w:t xml:space="preserve"> diagnoses.</w:t>
      </w:r>
      <w:r w:rsidRPr="002B0C55">
        <w:rPr>
          <w:rFonts w:ascii="Times New Roman" w:eastAsia="Times New Roman" w:hAnsi="Times New Roman" w:cs="Times New Roman"/>
          <w:sz w:val="24"/>
          <w:szCs w:val="24"/>
        </w:rPr>
        <w:br/>
      </w:r>
      <w:r w:rsidRPr="002B0C55">
        <w:rPr>
          <w:rFonts w:ascii="Times New Roman" w:eastAsia="Times New Roman" w:hAnsi="Times New Roman" w:cs="Times New Roman"/>
          <w:sz w:val="24"/>
          <w:szCs w:val="24"/>
        </w:rPr>
        <w:br/>
        <w:t xml:space="preserve">The care pathway is defined in </w:t>
      </w:r>
      <w:proofErr w:type="spellStart"/>
      <w:r w:rsidRPr="002B0C55">
        <w:rPr>
          <w:rFonts w:ascii="Times New Roman" w:eastAsia="Times New Roman" w:hAnsi="Times New Roman" w:cs="Times New Roman"/>
          <w:sz w:val="24"/>
          <w:szCs w:val="24"/>
        </w:rPr>
        <w:t>Dim_Service</w:t>
      </w:r>
      <w:proofErr w:type="spellEnd"/>
      <w:r w:rsidRPr="002B0C55">
        <w:rPr>
          <w:rFonts w:ascii="Times New Roman" w:eastAsia="Times New Roman" w:hAnsi="Times New Roman" w:cs="Times New Roman"/>
          <w:sz w:val="24"/>
          <w:szCs w:val="24"/>
        </w:rPr>
        <w:t xml:space="preserve"> as service type (acute, community, mental health or specialist), national speciality code and commissioned service type [1].</w:t>
      </w:r>
      <w:r w:rsidRPr="002B0C55">
        <w:rPr>
          <w:rFonts w:ascii="Times New Roman" w:eastAsia="Times New Roman" w:hAnsi="Times New Roman" w:cs="Times New Roman"/>
          <w:sz w:val="24"/>
          <w:szCs w:val="24"/>
        </w:rPr>
        <w:br/>
      </w:r>
      <w:r w:rsidRPr="002B0C55">
        <w:rPr>
          <w:rFonts w:ascii="Times New Roman" w:eastAsia="Times New Roman" w:hAnsi="Times New Roman" w:cs="Times New Roman"/>
          <w:sz w:val="24"/>
          <w:szCs w:val="24"/>
        </w:rPr>
        <w:br/>
      </w:r>
      <w:r w:rsidR="002B0C55" w:rsidRPr="002B0C55">
        <w:rPr>
          <w:rFonts w:ascii="Times New Roman" w:eastAsia="Times New Roman" w:hAnsi="Times New Roman" w:cs="Times New Roman"/>
          <w:sz w:val="24"/>
          <w:szCs w:val="24"/>
        </w:rPr>
        <w:t xml:space="preserve">Aggregate summary tables support fast dashboard queries. </w:t>
      </w:r>
      <w:proofErr w:type="spellStart"/>
      <w:r w:rsidR="002B0C55" w:rsidRPr="002B0C55">
        <w:rPr>
          <w:rFonts w:ascii="Times New Roman" w:eastAsia="Times New Roman" w:hAnsi="Times New Roman" w:cs="Times New Roman"/>
          <w:sz w:val="24"/>
          <w:szCs w:val="24"/>
        </w:rPr>
        <w:t>Monthly_Performance_Summary</w:t>
      </w:r>
      <w:proofErr w:type="spellEnd"/>
      <w:r w:rsidR="002B0C55" w:rsidRPr="002B0C55">
        <w:rPr>
          <w:rFonts w:ascii="Times New Roman" w:eastAsia="Times New Roman" w:hAnsi="Times New Roman" w:cs="Times New Roman"/>
          <w:sz w:val="24"/>
          <w:szCs w:val="24"/>
        </w:rPr>
        <w:t xml:space="preserve"> calculates trust level KPIs (A&amp;E compliance, bed occupancy, RTT rates) in the overnight ETL run so board dashboards load in seconds. </w:t>
      </w:r>
      <w:proofErr w:type="spellStart"/>
      <w:r w:rsidR="00EF20AF">
        <w:rPr>
          <w:rFonts w:ascii="Times New Roman" w:eastAsia="Times New Roman" w:hAnsi="Times New Roman" w:cs="Times New Roman"/>
          <w:sz w:val="24"/>
          <w:szCs w:val="24"/>
        </w:rPr>
        <w:t>Monthly_Financial_Summary</w:t>
      </w:r>
      <w:proofErr w:type="spellEnd"/>
      <w:r w:rsidR="002B0C55" w:rsidRPr="002B0C55">
        <w:rPr>
          <w:rFonts w:ascii="Times New Roman" w:eastAsia="Times New Roman" w:hAnsi="Times New Roman" w:cs="Times New Roman"/>
          <w:sz w:val="24"/>
          <w:szCs w:val="24"/>
        </w:rPr>
        <w:t xml:space="preserve"> totals </w:t>
      </w:r>
      <w:proofErr w:type="spellStart"/>
      <w:r w:rsidR="002B0C55" w:rsidRPr="002B0C55">
        <w:rPr>
          <w:rFonts w:ascii="Times New Roman" w:eastAsia="Times New Roman" w:hAnsi="Times New Roman" w:cs="Times New Roman"/>
          <w:sz w:val="24"/>
          <w:szCs w:val="24"/>
        </w:rPr>
        <w:t>Fact_FinancialActivity</w:t>
      </w:r>
      <w:proofErr w:type="spellEnd"/>
      <w:r w:rsidR="002B0C55" w:rsidRPr="002B0C55">
        <w:rPr>
          <w:rFonts w:ascii="Times New Roman" w:eastAsia="Times New Roman" w:hAnsi="Times New Roman" w:cs="Times New Roman"/>
          <w:sz w:val="24"/>
          <w:szCs w:val="24"/>
        </w:rPr>
        <w:t xml:space="preserve"> by cost centre and service line for quick budget vs actual reporting. Pre-aggregation is a common practice for high-volume data warehouses [2].</w:t>
      </w:r>
    </w:p>
    <w:p w14:paraId="75CECDCF" w14:textId="099C63EE" w:rsidR="00E16488" w:rsidRPr="002B0C55" w:rsidRDefault="00E16488" w:rsidP="002B0C55">
      <w:pPr>
        <w:spacing w:after="160"/>
      </w:pPr>
    </w:p>
    <w:p w14:paraId="19BA727E" w14:textId="77777777" w:rsidR="00E16488" w:rsidRPr="002B0C55" w:rsidRDefault="00AE5034">
      <w:pPr>
        <w:spacing w:before="160" w:after="80"/>
      </w:pPr>
      <w:r w:rsidRPr="002B0C55">
        <w:rPr>
          <w:rFonts w:ascii="Times New Roman" w:eastAsia="Times New Roman" w:hAnsi="Times New Roman" w:cs="Times New Roman"/>
          <w:b/>
          <w:i/>
        </w:rPr>
        <w:t>Schema 2: Financial Activity</w:t>
      </w:r>
    </w:p>
    <w:p w14:paraId="3B7D34C6" w14:textId="404A69A9" w:rsidR="00F0544C" w:rsidRPr="002B0C55" w:rsidRDefault="00F0544C" w:rsidP="00F0544C">
      <w:pPr>
        <w:spacing w:before="200" w:after="80"/>
        <w:rPr>
          <w:rFonts w:ascii="Times New Roman" w:eastAsia="Times New Roman" w:hAnsi="Times New Roman" w:cs="Times New Roman"/>
          <w:sz w:val="24"/>
          <w:szCs w:val="24"/>
        </w:rPr>
      </w:pPr>
      <w:proofErr w:type="spellStart"/>
      <w:r w:rsidRPr="002B0C55">
        <w:rPr>
          <w:rFonts w:ascii="Times New Roman" w:eastAsia="Times New Roman" w:hAnsi="Times New Roman" w:cs="Times New Roman"/>
          <w:sz w:val="24"/>
          <w:szCs w:val="24"/>
        </w:rPr>
        <w:t>Fact_FinancialActivity</w:t>
      </w:r>
      <w:proofErr w:type="spellEnd"/>
      <w:r w:rsidRPr="002B0C55">
        <w:rPr>
          <w:rFonts w:ascii="Times New Roman" w:eastAsia="Times New Roman" w:hAnsi="Times New Roman" w:cs="Times New Roman"/>
          <w:sz w:val="24"/>
          <w:szCs w:val="24"/>
        </w:rPr>
        <w:t xml:space="preserve"> has one row per cost event. Measures: </w:t>
      </w:r>
      <w:proofErr w:type="spellStart"/>
      <w:r w:rsidRPr="002B0C55">
        <w:rPr>
          <w:rFonts w:ascii="Times New Roman" w:eastAsia="Times New Roman" w:hAnsi="Times New Roman" w:cs="Times New Roman"/>
          <w:sz w:val="24"/>
          <w:szCs w:val="24"/>
        </w:rPr>
        <w:t>actual_cost</w:t>
      </w:r>
      <w:proofErr w:type="spellEnd"/>
      <w:r w:rsidRPr="002B0C55">
        <w:rPr>
          <w:rFonts w:ascii="Times New Roman" w:eastAsia="Times New Roman" w:hAnsi="Times New Roman" w:cs="Times New Roman"/>
          <w:sz w:val="24"/>
          <w:szCs w:val="24"/>
        </w:rPr>
        <w:t xml:space="preserve">, </w:t>
      </w:r>
      <w:proofErr w:type="spellStart"/>
      <w:r w:rsidRPr="002B0C55">
        <w:rPr>
          <w:rFonts w:ascii="Times New Roman" w:eastAsia="Times New Roman" w:hAnsi="Times New Roman" w:cs="Times New Roman"/>
          <w:sz w:val="24"/>
          <w:szCs w:val="24"/>
        </w:rPr>
        <w:t>national_tariff_value</w:t>
      </w:r>
      <w:proofErr w:type="spellEnd"/>
      <w:r w:rsidRPr="002B0C55">
        <w:rPr>
          <w:rFonts w:ascii="Times New Roman" w:eastAsia="Times New Roman" w:hAnsi="Times New Roman" w:cs="Times New Roman"/>
          <w:sz w:val="24"/>
          <w:szCs w:val="24"/>
        </w:rPr>
        <w:t xml:space="preserve">, </w:t>
      </w:r>
      <w:proofErr w:type="spellStart"/>
      <w:r w:rsidRPr="002B0C55">
        <w:rPr>
          <w:rFonts w:ascii="Times New Roman" w:eastAsia="Times New Roman" w:hAnsi="Times New Roman" w:cs="Times New Roman"/>
          <w:sz w:val="24"/>
          <w:szCs w:val="24"/>
        </w:rPr>
        <w:t>budget_allocation</w:t>
      </w:r>
      <w:proofErr w:type="spellEnd"/>
      <w:r w:rsidRPr="002B0C55">
        <w:rPr>
          <w:rFonts w:ascii="Times New Roman" w:eastAsia="Times New Roman" w:hAnsi="Times New Roman" w:cs="Times New Roman"/>
          <w:sz w:val="24"/>
          <w:szCs w:val="24"/>
        </w:rPr>
        <w:t xml:space="preserve">, </w:t>
      </w:r>
      <w:proofErr w:type="spellStart"/>
      <w:r w:rsidRPr="002B0C55">
        <w:rPr>
          <w:rFonts w:ascii="Times New Roman" w:eastAsia="Times New Roman" w:hAnsi="Times New Roman" w:cs="Times New Roman"/>
          <w:sz w:val="24"/>
          <w:szCs w:val="24"/>
        </w:rPr>
        <w:t>cost_variance</w:t>
      </w:r>
      <w:proofErr w:type="spellEnd"/>
      <w:r w:rsidRPr="002B0C55">
        <w:rPr>
          <w:rFonts w:ascii="Times New Roman" w:eastAsia="Times New Roman" w:hAnsi="Times New Roman" w:cs="Times New Roman"/>
          <w:sz w:val="24"/>
          <w:szCs w:val="24"/>
        </w:rPr>
        <w:t xml:space="preserve">, </w:t>
      </w:r>
      <w:proofErr w:type="spellStart"/>
      <w:r w:rsidRPr="002B0C55">
        <w:rPr>
          <w:rFonts w:ascii="Times New Roman" w:eastAsia="Times New Roman" w:hAnsi="Times New Roman" w:cs="Times New Roman"/>
          <w:sz w:val="24"/>
          <w:szCs w:val="24"/>
        </w:rPr>
        <w:t>episode_count</w:t>
      </w:r>
      <w:proofErr w:type="spellEnd"/>
      <w:r w:rsidR="002B0C55">
        <w:rPr>
          <w:rFonts w:ascii="Times New Roman" w:eastAsia="Times New Roman" w:hAnsi="Times New Roman" w:cs="Times New Roman"/>
          <w:sz w:val="24"/>
          <w:szCs w:val="24"/>
        </w:rPr>
        <w:t>.</w:t>
      </w:r>
      <w:r w:rsidRPr="002B0C55">
        <w:rPr>
          <w:rFonts w:ascii="Times New Roman" w:eastAsia="Times New Roman" w:hAnsi="Times New Roman" w:cs="Times New Roman"/>
          <w:sz w:val="24"/>
          <w:szCs w:val="24"/>
        </w:rPr>
        <w:t xml:space="preserve"> Conformed dimensions are shared from Schema 1 and include </w:t>
      </w:r>
      <w:proofErr w:type="spellStart"/>
      <w:r w:rsidRPr="002B0C55">
        <w:rPr>
          <w:rFonts w:ascii="Times New Roman" w:eastAsia="Times New Roman" w:hAnsi="Times New Roman" w:cs="Times New Roman"/>
          <w:sz w:val="24"/>
          <w:szCs w:val="24"/>
        </w:rPr>
        <w:t>Dim_Date</w:t>
      </w:r>
      <w:proofErr w:type="spellEnd"/>
      <w:r w:rsidRPr="002B0C55">
        <w:rPr>
          <w:rFonts w:ascii="Times New Roman" w:eastAsia="Times New Roman" w:hAnsi="Times New Roman" w:cs="Times New Roman"/>
          <w:sz w:val="24"/>
          <w:szCs w:val="24"/>
        </w:rPr>
        <w:t xml:space="preserve">, </w:t>
      </w:r>
      <w:proofErr w:type="spellStart"/>
      <w:r w:rsidRPr="002B0C55">
        <w:rPr>
          <w:rFonts w:ascii="Times New Roman" w:eastAsia="Times New Roman" w:hAnsi="Times New Roman" w:cs="Times New Roman"/>
          <w:sz w:val="24"/>
          <w:szCs w:val="24"/>
        </w:rPr>
        <w:t>Dim_Location</w:t>
      </w:r>
      <w:proofErr w:type="spellEnd"/>
      <w:r w:rsidRPr="002B0C55">
        <w:rPr>
          <w:rFonts w:ascii="Times New Roman" w:eastAsia="Times New Roman" w:hAnsi="Times New Roman" w:cs="Times New Roman"/>
          <w:sz w:val="24"/>
          <w:szCs w:val="24"/>
        </w:rPr>
        <w:t xml:space="preserve"> and </w:t>
      </w:r>
      <w:proofErr w:type="spellStart"/>
      <w:r w:rsidRPr="002B0C55">
        <w:rPr>
          <w:rFonts w:ascii="Times New Roman" w:eastAsia="Times New Roman" w:hAnsi="Times New Roman" w:cs="Times New Roman"/>
          <w:sz w:val="24"/>
          <w:szCs w:val="24"/>
        </w:rPr>
        <w:t>Dim_Service</w:t>
      </w:r>
      <w:proofErr w:type="spellEnd"/>
      <w:r w:rsidRPr="002B0C55">
        <w:rPr>
          <w:rFonts w:ascii="Times New Roman" w:eastAsia="Times New Roman" w:hAnsi="Times New Roman" w:cs="Times New Roman"/>
          <w:sz w:val="24"/>
          <w:szCs w:val="24"/>
        </w:rPr>
        <w:t xml:space="preserve">. The schema is completed by two finance-specific dimensions: </w:t>
      </w:r>
      <w:proofErr w:type="spellStart"/>
      <w:r w:rsidRPr="002B0C55">
        <w:rPr>
          <w:rFonts w:ascii="Times New Roman" w:eastAsia="Times New Roman" w:hAnsi="Times New Roman" w:cs="Times New Roman"/>
          <w:sz w:val="24"/>
          <w:szCs w:val="24"/>
        </w:rPr>
        <w:t>Dim_CostCentre</w:t>
      </w:r>
      <w:proofErr w:type="spellEnd"/>
      <w:r w:rsidRPr="002B0C55">
        <w:rPr>
          <w:rFonts w:ascii="Times New Roman" w:eastAsia="Times New Roman" w:hAnsi="Times New Roman" w:cs="Times New Roman"/>
          <w:sz w:val="24"/>
          <w:szCs w:val="24"/>
        </w:rPr>
        <w:t xml:space="preserve"> and </w:t>
      </w:r>
      <w:proofErr w:type="spellStart"/>
      <w:r w:rsidRPr="002B0C55">
        <w:rPr>
          <w:rFonts w:ascii="Times New Roman" w:eastAsia="Times New Roman" w:hAnsi="Times New Roman" w:cs="Times New Roman"/>
          <w:sz w:val="24"/>
          <w:szCs w:val="24"/>
        </w:rPr>
        <w:t>Dim_TreatmentType</w:t>
      </w:r>
      <w:proofErr w:type="spellEnd"/>
      <w:r w:rsidRPr="002B0C55">
        <w:rPr>
          <w:rFonts w:ascii="Times New Roman" w:eastAsia="Times New Roman" w:hAnsi="Times New Roman" w:cs="Times New Roman"/>
          <w:sz w:val="24"/>
          <w:szCs w:val="24"/>
        </w:rPr>
        <w:t>.</w:t>
      </w:r>
      <w:r w:rsidRPr="002B0C55">
        <w:rPr>
          <w:rFonts w:ascii="Times New Roman" w:eastAsia="Times New Roman" w:hAnsi="Times New Roman" w:cs="Times New Roman"/>
          <w:sz w:val="24"/>
          <w:szCs w:val="24"/>
        </w:rPr>
        <w:br/>
      </w:r>
      <w:r w:rsidRPr="002B0C55">
        <w:rPr>
          <w:rFonts w:ascii="Times New Roman" w:eastAsia="Times New Roman" w:hAnsi="Times New Roman" w:cs="Times New Roman"/>
          <w:sz w:val="24"/>
          <w:szCs w:val="24"/>
        </w:rPr>
        <w:br/>
        <w:t>The choice of two schemas instead of one large table is about grain. Each fact table has one, and only one, clearly defined level of detail. An aggregation of clinical and financial facts in a single table would be unreliable when rolling up data at different levels of granularity [2].</w:t>
      </w:r>
    </w:p>
    <w:p w14:paraId="00115B60" w14:textId="77777777" w:rsidR="00E16488" w:rsidRPr="002B0C55" w:rsidRDefault="00AE5034">
      <w:pPr>
        <w:spacing w:before="200" w:after="80"/>
        <w:jc w:val="center"/>
      </w:pPr>
      <w:r w:rsidRPr="002B0C55">
        <w:rPr>
          <w:noProof/>
        </w:rPr>
        <w:lastRenderedPageBreak/>
        <w:drawing>
          <wp:inline distT="0" distB="0" distL="0" distR="0" wp14:anchorId="3380EC95" wp14:editId="7400D4AF">
            <wp:extent cx="2925888" cy="6981304"/>
            <wp:effectExtent l="0" t="0" r="0" b="0"/>
            <wp:docPr id="304" name="Figure 2 (Task 2)" descr="Patient Activity Star Schema"/>
            <wp:cNvGraphicFramePr/>
            <a:graphic xmlns:a="http://schemas.openxmlformats.org/drawingml/2006/main">
              <a:graphicData uri="http://schemas.openxmlformats.org/drawingml/2006/picture">
                <pic:pic xmlns:pic="http://schemas.openxmlformats.org/drawingml/2006/picture">
                  <pic:nvPicPr>
                    <pic:cNvPr id="304" name="Figure 2 (Task 2)" descr="Patient Activity Star Schema"/>
                    <pic:cNvPicPr>
                      <a:picLocks noChangeAspect="1"/>
                    </pic:cNvPicPr>
                  </pic:nvPicPr>
                  <pic:blipFill>
                    <a:blip r:embed="rId9"/>
                    <a:stretch>
                      <a:fillRect/>
                    </a:stretch>
                  </pic:blipFill>
                  <pic:spPr>
                    <a:xfrm>
                      <a:off x="0" y="0"/>
                      <a:ext cx="2925888" cy="6981304"/>
                    </a:xfrm>
                    <a:prstGeom prst="rect">
                      <a:avLst/>
                    </a:prstGeom>
                  </pic:spPr>
                </pic:pic>
              </a:graphicData>
            </a:graphic>
          </wp:inline>
        </w:drawing>
      </w:r>
    </w:p>
    <w:p w14:paraId="34EB2E1E" w14:textId="77777777" w:rsidR="00E16488" w:rsidRPr="002B0C55" w:rsidRDefault="00AE5034">
      <w:pPr>
        <w:spacing w:before="60"/>
        <w:jc w:val="center"/>
        <w:rPr>
          <w:rFonts w:ascii="Times New Roman" w:eastAsia="Times New Roman" w:hAnsi="Times New Roman" w:cs="Times New Roman"/>
          <w:i/>
          <w:sz w:val="20"/>
          <w:szCs w:val="20"/>
        </w:rPr>
      </w:pPr>
      <w:r w:rsidRPr="002B0C55">
        <w:rPr>
          <w:rFonts w:ascii="Times New Roman" w:eastAsia="Times New Roman" w:hAnsi="Times New Roman" w:cs="Times New Roman"/>
          <w:i/>
          <w:sz w:val="20"/>
          <w:szCs w:val="20"/>
        </w:rPr>
        <w:t>Figure 2: Patient Activity Star Schema (</w:t>
      </w:r>
      <w:proofErr w:type="spellStart"/>
      <w:r w:rsidRPr="002B0C55">
        <w:rPr>
          <w:rFonts w:ascii="Times New Roman" w:eastAsia="Times New Roman" w:hAnsi="Times New Roman" w:cs="Times New Roman"/>
          <w:i/>
          <w:sz w:val="20"/>
          <w:szCs w:val="20"/>
        </w:rPr>
        <w:t>Fact_PatientActivity</w:t>
      </w:r>
      <w:proofErr w:type="spellEnd"/>
      <w:r w:rsidRPr="002B0C55">
        <w:rPr>
          <w:rFonts w:ascii="Times New Roman" w:eastAsia="Times New Roman" w:hAnsi="Times New Roman" w:cs="Times New Roman"/>
          <w:i/>
          <w:sz w:val="20"/>
          <w:szCs w:val="20"/>
        </w:rPr>
        <w:t xml:space="preserve"> with </w:t>
      </w:r>
      <w:proofErr w:type="gramStart"/>
      <w:r w:rsidRPr="002B0C55">
        <w:rPr>
          <w:rFonts w:ascii="Times New Roman" w:eastAsia="Times New Roman" w:hAnsi="Times New Roman" w:cs="Times New Roman"/>
          <w:i/>
          <w:sz w:val="20"/>
          <w:szCs w:val="20"/>
        </w:rPr>
        <w:t>six dimension</w:t>
      </w:r>
      <w:proofErr w:type="gramEnd"/>
      <w:r w:rsidRPr="002B0C55">
        <w:rPr>
          <w:rFonts w:ascii="Times New Roman" w:eastAsia="Times New Roman" w:hAnsi="Times New Roman" w:cs="Times New Roman"/>
          <w:i/>
          <w:sz w:val="20"/>
          <w:szCs w:val="20"/>
        </w:rPr>
        <w:t xml:space="preserve"> tables)</w:t>
      </w:r>
    </w:p>
    <w:p w14:paraId="2D8760D7" w14:textId="77777777" w:rsidR="00C648E7" w:rsidRPr="002B0C55" w:rsidRDefault="00C648E7">
      <w:pPr>
        <w:spacing w:before="60"/>
        <w:jc w:val="center"/>
        <w:rPr>
          <w:rFonts w:ascii="Times New Roman" w:eastAsia="Times New Roman" w:hAnsi="Times New Roman" w:cs="Times New Roman"/>
          <w:i/>
          <w:sz w:val="20"/>
          <w:szCs w:val="20"/>
        </w:rPr>
      </w:pPr>
    </w:p>
    <w:p w14:paraId="63780F1A" w14:textId="77777777" w:rsidR="00C648E7" w:rsidRPr="002B0C55" w:rsidRDefault="00C648E7">
      <w:pPr>
        <w:spacing w:before="60"/>
        <w:jc w:val="center"/>
        <w:rPr>
          <w:rFonts w:ascii="Times New Roman" w:eastAsia="Times New Roman" w:hAnsi="Times New Roman" w:cs="Times New Roman"/>
          <w:i/>
          <w:sz w:val="20"/>
          <w:szCs w:val="20"/>
        </w:rPr>
      </w:pPr>
    </w:p>
    <w:p w14:paraId="422C7BEB" w14:textId="77777777" w:rsidR="00C648E7" w:rsidRPr="002B0C55" w:rsidRDefault="00C648E7">
      <w:pPr>
        <w:spacing w:before="60"/>
        <w:jc w:val="center"/>
        <w:rPr>
          <w:rFonts w:ascii="Times New Roman" w:eastAsia="Times New Roman" w:hAnsi="Times New Roman" w:cs="Times New Roman"/>
          <w:i/>
          <w:sz w:val="20"/>
          <w:szCs w:val="20"/>
        </w:rPr>
      </w:pPr>
    </w:p>
    <w:p w14:paraId="49A54791" w14:textId="77777777" w:rsidR="00C648E7" w:rsidRPr="002B0C55" w:rsidRDefault="00C648E7">
      <w:pPr>
        <w:spacing w:before="60"/>
        <w:jc w:val="center"/>
      </w:pPr>
    </w:p>
    <w:p w14:paraId="3D55103D" w14:textId="77777777" w:rsidR="00E16488" w:rsidRPr="002B0C55" w:rsidRDefault="00AE5034">
      <w:pPr>
        <w:pStyle w:val="Heading2"/>
        <w:spacing w:before="200" w:after="100"/>
      </w:pPr>
      <w:bookmarkStart w:id="18" w:name="_Toc235546738"/>
      <w:bookmarkStart w:id="19" w:name="_Toc235551500"/>
      <w:r w:rsidRPr="002B0C55">
        <w:rPr>
          <w:rFonts w:ascii="Times New Roman" w:eastAsia="Times New Roman" w:hAnsi="Times New Roman" w:cs="Times New Roman"/>
          <w:b/>
          <w:sz w:val="24"/>
          <w:szCs w:val="24"/>
        </w:rPr>
        <w:lastRenderedPageBreak/>
        <w:t>2.3 Data Marts and Schema</w:t>
      </w:r>
      <w:bookmarkEnd w:id="18"/>
      <w:bookmarkEnd w:id="19"/>
    </w:p>
    <w:p w14:paraId="035CC563" w14:textId="77777777" w:rsidR="00E16488" w:rsidRPr="002B0C55" w:rsidRDefault="00AE5034">
      <w:pPr>
        <w:spacing w:after="160"/>
        <w:jc w:val="both"/>
      </w:pPr>
      <w:r w:rsidRPr="002B0C55">
        <w:rPr>
          <w:rFonts w:ascii="Times New Roman" w:eastAsia="Times New Roman" w:hAnsi="Times New Roman" w:cs="Times New Roman"/>
          <w:sz w:val="24"/>
          <w:szCs w:val="24"/>
        </w:rPr>
        <w:t>Three data marts are built from the central warehouse, each filtered and pre-aggregated for a specific audience, as shown in Figure 3 [5].</w:t>
      </w:r>
    </w:p>
    <w:p w14:paraId="37AA98AD" w14:textId="7C4070ED" w:rsidR="00C648E7" w:rsidRPr="002B0C55" w:rsidRDefault="00824248" w:rsidP="00C648E7">
      <w:pPr>
        <w:spacing w:before="100" w:after="60"/>
        <w:rPr>
          <w:rFonts w:ascii="Times New Roman" w:eastAsia="Times New Roman" w:hAnsi="Times New Roman" w:cs="Times New Roman"/>
          <w:sz w:val="24"/>
          <w:szCs w:val="24"/>
        </w:rPr>
      </w:pPr>
      <w:r w:rsidRPr="002B0C55">
        <w:rPr>
          <w:rFonts w:ascii="Times New Roman" w:eastAsia="Times New Roman" w:hAnsi="Times New Roman" w:cs="Times New Roman"/>
          <w:sz w:val="24"/>
          <w:szCs w:val="24"/>
        </w:rPr>
        <w:t xml:space="preserve">The Clinical Quality mart supports the Medical Director and clinical governance teams. It is based on </w:t>
      </w:r>
      <w:proofErr w:type="spellStart"/>
      <w:r w:rsidRPr="002B0C55">
        <w:rPr>
          <w:rFonts w:ascii="Times New Roman" w:eastAsia="Times New Roman" w:hAnsi="Times New Roman" w:cs="Times New Roman"/>
          <w:sz w:val="24"/>
          <w:szCs w:val="24"/>
        </w:rPr>
        <w:t>Fact_PatientActivity</w:t>
      </w:r>
      <w:proofErr w:type="spellEnd"/>
      <w:r w:rsidRPr="002B0C55">
        <w:rPr>
          <w:rFonts w:ascii="Times New Roman" w:eastAsia="Times New Roman" w:hAnsi="Times New Roman" w:cs="Times New Roman"/>
          <w:sz w:val="24"/>
          <w:szCs w:val="24"/>
        </w:rPr>
        <w:t xml:space="preserve">, with filtering for quality-relevant measures: readmission rates, mortality measures derived from Hospital Episode Statistics, counts of patient safety incidents from Datix </w:t>
      </w:r>
      <w:r w:rsidR="002B0C55">
        <w:rPr>
          <w:rFonts w:ascii="Times New Roman" w:eastAsia="Times New Roman" w:hAnsi="Times New Roman" w:cs="Times New Roman"/>
          <w:sz w:val="24"/>
          <w:szCs w:val="24"/>
        </w:rPr>
        <w:t xml:space="preserve">(with an additional </w:t>
      </w:r>
      <w:proofErr w:type="spellStart"/>
      <w:r w:rsidR="002B0C55">
        <w:rPr>
          <w:rFonts w:ascii="Times New Roman" w:eastAsia="Times New Roman" w:hAnsi="Times New Roman" w:cs="Times New Roman"/>
          <w:sz w:val="24"/>
          <w:szCs w:val="24"/>
        </w:rPr>
        <w:t>Fact_Incident</w:t>
      </w:r>
      <w:proofErr w:type="spellEnd"/>
      <w:r w:rsidR="002B0C55">
        <w:rPr>
          <w:rFonts w:ascii="Times New Roman" w:eastAsia="Times New Roman" w:hAnsi="Times New Roman" w:cs="Times New Roman"/>
          <w:sz w:val="24"/>
          <w:szCs w:val="24"/>
        </w:rPr>
        <w:t xml:space="preserve"> table), and patient-reported outcome scores where </w:t>
      </w:r>
      <w:r w:rsidRPr="002B0C55">
        <w:rPr>
          <w:rFonts w:ascii="Times New Roman" w:eastAsia="Times New Roman" w:hAnsi="Times New Roman" w:cs="Times New Roman"/>
          <w:sz w:val="24"/>
          <w:szCs w:val="24"/>
        </w:rPr>
        <w:t xml:space="preserve">available. These are </w:t>
      </w:r>
      <w:proofErr w:type="spellStart"/>
      <w:r w:rsidRPr="002B0C55">
        <w:rPr>
          <w:rFonts w:ascii="Times New Roman" w:eastAsia="Times New Roman" w:hAnsi="Times New Roman" w:cs="Times New Roman"/>
          <w:sz w:val="24"/>
          <w:szCs w:val="24"/>
        </w:rPr>
        <w:t>Dim_Diagnosis</w:t>
      </w:r>
      <w:proofErr w:type="spellEnd"/>
      <w:r w:rsidRPr="002B0C55">
        <w:rPr>
          <w:rFonts w:ascii="Times New Roman" w:eastAsia="Times New Roman" w:hAnsi="Times New Roman" w:cs="Times New Roman"/>
          <w:sz w:val="24"/>
          <w:szCs w:val="24"/>
        </w:rPr>
        <w:t xml:space="preserve"> and </w:t>
      </w:r>
      <w:proofErr w:type="spellStart"/>
      <w:r w:rsidRPr="002B0C55">
        <w:rPr>
          <w:rFonts w:ascii="Times New Roman" w:eastAsia="Times New Roman" w:hAnsi="Times New Roman" w:cs="Times New Roman"/>
          <w:sz w:val="24"/>
          <w:szCs w:val="24"/>
        </w:rPr>
        <w:t>Dim_Service</w:t>
      </w:r>
      <w:proofErr w:type="spellEnd"/>
      <w:r w:rsidRPr="002B0C55">
        <w:rPr>
          <w:rFonts w:ascii="Times New Roman" w:eastAsia="Times New Roman" w:hAnsi="Times New Roman" w:cs="Times New Roman"/>
          <w:sz w:val="24"/>
          <w:szCs w:val="24"/>
        </w:rPr>
        <w:t xml:space="preserve"> so that results can be compared across speciality and care pathway. The readmission rates per month are pre-calculated per trust and speciality to enable fast loading of the dashboard [5].</w:t>
      </w:r>
      <w:r w:rsidR="00C648E7" w:rsidRPr="002B0C55">
        <w:rPr>
          <w:rFonts w:ascii="Times New Roman" w:eastAsia="Times New Roman" w:hAnsi="Times New Roman" w:cs="Times New Roman"/>
          <w:sz w:val="24"/>
          <w:szCs w:val="24"/>
        </w:rPr>
        <w:br/>
      </w:r>
      <w:r w:rsidR="00C648E7" w:rsidRPr="002B0C55">
        <w:rPr>
          <w:rFonts w:ascii="Times New Roman" w:eastAsia="Times New Roman" w:hAnsi="Times New Roman" w:cs="Times New Roman"/>
          <w:sz w:val="24"/>
          <w:szCs w:val="24"/>
        </w:rPr>
        <w:br/>
        <w:t xml:space="preserve">The Financial Performance mart is derived from </w:t>
      </w:r>
      <w:proofErr w:type="spellStart"/>
      <w:r w:rsidR="00C648E7" w:rsidRPr="002B0C55">
        <w:rPr>
          <w:rFonts w:ascii="Times New Roman" w:eastAsia="Times New Roman" w:hAnsi="Times New Roman" w:cs="Times New Roman"/>
          <w:sz w:val="24"/>
          <w:szCs w:val="24"/>
        </w:rPr>
        <w:t>Fact_FinancialActivity</w:t>
      </w:r>
      <w:proofErr w:type="spellEnd"/>
      <w:r w:rsidR="00C648E7" w:rsidRPr="002B0C55">
        <w:rPr>
          <w:rFonts w:ascii="Times New Roman" w:eastAsia="Times New Roman" w:hAnsi="Times New Roman" w:cs="Times New Roman"/>
          <w:sz w:val="24"/>
          <w:szCs w:val="24"/>
        </w:rPr>
        <w:t>. It shows cost per patient episode by trust and service, budget vs actual by cost centre, agency spend as a proportion of total workforce cost and national tariff variance. Pre-aggregated monthly summary tables speed up the query time for the regular financial reporting cycle [3].</w:t>
      </w:r>
    </w:p>
    <w:p w14:paraId="5EB2D299" w14:textId="4A3760B7" w:rsidR="0099774D" w:rsidRPr="0099774D" w:rsidRDefault="00B844AF" w:rsidP="0099774D">
      <w:pPr>
        <w:spacing w:before="100" w:after="60"/>
        <w:ind w:firstLine="720"/>
        <w:rPr>
          <w:rFonts w:ascii="Times New Roman" w:eastAsia="Times New Roman" w:hAnsi="Times New Roman" w:cs="Times New Roman"/>
          <w:sz w:val="24"/>
          <w:szCs w:val="24"/>
        </w:rPr>
      </w:pPr>
      <w:r w:rsidRPr="002B0C55">
        <w:rPr>
          <w:rFonts w:ascii="Times New Roman" w:eastAsia="Times New Roman" w:hAnsi="Times New Roman" w:cs="Times New Roman"/>
          <w:sz w:val="24"/>
          <w:szCs w:val="24"/>
        </w:rPr>
        <w:br/>
      </w:r>
      <w:r w:rsidR="0099774D" w:rsidRPr="0099774D">
        <w:rPr>
          <w:rFonts w:ascii="Times New Roman" w:eastAsia="Times New Roman" w:hAnsi="Times New Roman" w:cs="Times New Roman"/>
          <w:sz w:val="24"/>
          <w:szCs w:val="24"/>
        </w:rPr>
        <w:t xml:space="preserve">The Operational Performance mart is designed for the CEO and the regional directors. It </w:t>
      </w:r>
      <w:proofErr w:type="gramStart"/>
      <w:r w:rsidR="0099774D" w:rsidRPr="0099774D">
        <w:rPr>
          <w:rFonts w:ascii="Times New Roman" w:eastAsia="Times New Roman" w:hAnsi="Times New Roman" w:cs="Times New Roman"/>
          <w:sz w:val="24"/>
          <w:szCs w:val="24"/>
        </w:rPr>
        <w:t>includes:</w:t>
      </w:r>
      <w:proofErr w:type="gramEnd"/>
      <w:r w:rsidR="0099774D" w:rsidRPr="0099774D">
        <w:rPr>
          <w:rFonts w:ascii="Times New Roman" w:eastAsia="Times New Roman" w:hAnsi="Times New Roman" w:cs="Times New Roman"/>
          <w:sz w:val="24"/>
          <w:szCs w:val="24"/>
        </w:rPr>
        <w:t xml:space="preserve"> A&amp;E waiting times (from </w:t>
      </w:r>
      <w:proofErr w:type="spellStart"/>
      <w:r w:rsidR="0099774D" w:rsidRPr="0099774D">
        <w:rPr>
          <w:rFonts w:ascii="Times New Roman" w:eastAsia="Times New Roman" w:hAnsi="Times New Roman" w:cs="Times New Roman"/>
          <w:sz w:val="24"/>
          <w:szCs w:val="24"/>
        </w:rPr>
        <w:t>Fact_PatientActivity</w:t>
      </w:r>
      <w:proofErr w:type="spellEnd"/>
      <w:r w:rsidR="0099774D" w:rsidRPr="0099774D">
        <w:rPr>
          <w:rFonts w:ascii="Times New Roman" w:eastAsia="Times New Roman" w:hAnsi="Times New Roman" w:cs="Times New Roman"/>
          <w:sz w:val="24"/>
          <w:szCs w:val="24"/>
        </w:rPr>
        <w:t xml:space="preserve"> with </w:t>
      </w:r>
      <w:r w:rsidR="006D553D">
        <w:rPr>
          <w:rFonts w:ascii="Times New Roman" w:eastAsia="Times New Roman" w:hAnsi="Times New Roman" w:cs="Times New Roman"/>
          <w:sz w:val="24"/>
          <w:szCs w:val="24"/>
        </w:rPr>
        <w:t xml:space="preserve">an emergency service type filter), referral-to-treatment volumes and completion rates, bed occupancy extrapolated from </w:t>
      </w:r>
      <w:proofErr w:type="spellStart"/>
      <w:r w:rsidR="006D553D">
        <w:rPr>
          <w:rFonts w:ascii="Times New Roman" w:eastAsia="Times New Roman" w:hAnsi="Times New Roman" w:cs="Times New Roman"/>
          <w:sz w:val="24"/>
          <w:szCs w:val="24"/>
        </w:rPr>
        <w:t>bed_days_used</w:t>
      </w:r>
      <w:proofErr w:type="spellEnd"/>
      <w:r w:rsidR="006D553D">
        <w:rPr>
          <w:rFonts w:ascii="Times New Roman" w:eastAsia="Times New Roman" w:hAnsi="Times New Roman" w:cs="Times New Roman"/>
          <w:sz w:val="24"/>
          <w:szCs w:val="24"/>
        </w:rPr>
        <w:t xml:space="preserve"> against available capacity,</w:t>
      </w:r>
      <w:r w:rsidR="0099774D" w:rsidRPr="0099774D">
        <w:rPr>
          <w:rFonts w:ascii="Times New Roman" w:eastAsia="Times New Roman" w:hAnsi="Times New Roman" w:cs="Times New Roman"/>
          <w:sz w:val="24"/>
          <w:szCs w:val="24"/>
        </w:rPr>
        <w:t xml:space="preserve"> and elective backlog by trust and speciality. The Board can see how it is performing against the NHS constitutional standards </w:t>
      </w:r>
      <w:r w:rsidR="006D553D">
        <w:rPr>
          <w:rFonts w:ascii="Times New Roman" w:eastAsia="Times New Roman" w:hAnsi="Times New Roman" w:cs="Times New Roman"/>
          <w:sz w:val="24"/>
          <w:szCs w:val="24"/>
        </w:rPr>
        <w:t>daily</w:t>
      </w:r>
      <w:r w:rsidR="0099774D" w:rsidRPr="0099774D">
        <w:rPr>
          <w:rFonts w:ascii="Times New Roman" w:eastAsia="Times New Roman" w:hAnsi="Times New Roman" w:cs="Times New Roman"/>
          <w:sz w:val="24"/>
          <w:szCs w:val="24"/>
        </w:rPr>
        <w:t xml:space="preserve"> and not wait for the monthly statutory returns [4].</w:t>
      </w:r>
    </w:p>
    <w:p w14:paraId="0005ED63" w14:textId="0D460EBA" w:rsidR="00B844AF" w:rsidRPr="002B0C55" w:rsidRDefault="00B844AF" w:rsidP="00C648E7">
      <w:pPr>
        <w:spacing w:before="100" w:after="60"/>
        <w:ind w:firstLine="720"/>
        <w:rPr>
          <w:rFonts w:ascii="Times New Roman" w:eastAsia="Times New Roman" w:hAnsi="Times New Roman" w:cs="Times New Roman"/>
          <w:sz w:val="24"/>
          <w:szCs w:val="24"/>
        </w:rPr>
      </w:pPr>
    </w:p>
    <w:p w14:paraId="7BB9BD43" w14:textId="77777777" w:rsidR="00E16488" w:rsidRPr="002B0C55" w:rsidRDefault="00AE5034">
      <w:pPr>
        <w:spacing w:before="100" w:after="60"/>
        <w:jc w:val="center"/>
      </w:pPr>
      <w:r w:rsidRPr="002B0C55">
        <w:rPr>
          <w:noProof/>
        </w:rPr>
        <w:drawing>
          <wp:inline distT="0" distB="0" distL="0" distR="0" wp14:anchorId="5EEC457E" wp14:editId="2932DFCC">
            <wp:extent cx="5943600" cy="2902148"/>
            <wp:effectExtent l="0" t="0" r="0" b="0"/>
            <wp:docPr id="305" name="DataMartsArchite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DataMartsArchitecture"/>
                    <pic:cNvPicPr>
                      <a:picLocks noChangeAspect="1" noChangeArrowheads="1"/>
                    </pic:cNvPicPr>
                  </pic:nvPicPr>
                  <pic:blipFill>
                    <a:blip r:embed="rId10"/>
                    <a:stretch>
                      <a:fillRect/>
                    </a:stretch>
                  </pic:blipFill>
                  <pic:spPr bwMode="auto">
                    <a:xfrm>
                      <a:off x="0" y="0"/>
                      <a:ext cx="3200400" cy="4512328"/>
                    </a:xfrm>
                    <a:prstGeom prst="rect">
                      <a:avLst/>
                    </a:prstGeom>
                    <a:noFill/>
                    <a:ln>
                      <a:noFill/>
                    </a:ln>
                  </pic:spPr>
                </pic:pic>
              </a:graphicData>
            </a:graphic>
          </wp:inline>
        </w:drawing>
      </w:r>
    </w:p>
    <w:p w14:paraId="1F9E9CC4" w14:textId="77777777" w:rsidR="00E16488" w:rsidRPr="002B0C55" w:rsidRDefault="00AE5034">
      <w:pPr>
        <w:spacing w:after="160"/>
        <w:jc w:val="center"/>
        <w:rPr>
          <w:rFonts w:ascii="Times New Roman" w:eastAsia="Times New Roman" w:hAnsi="Times New Roman" w:cs="Times New Roman"/>
          <w:i/>
          <w:sz w:val="20"/>
          <w:szCs w:val="20"/>
        </w:rPr>
      </w:pPr>
      <w:r w:rsidRPr="002B0C55">
        <w:rPr>
          <w:rFonts w:ascii="Times New Roman" w:eastAsia="Times New Roman" w:hAnsi="Times New Roman" w:cs="Times New Roman"/>
          <w:i/>
          <w:sz w:val="20"/>
          <w:szCs w:val="20"/>
        </w:rPr>
        <w:t>Figure 3: NHS England data marts architecture showing central warehouse feeding three audience-specific marts</w:t>
      </w:r>
    </w:p>
    <w:p w14:paraId="6A3B219E" w14:textId="77777777" w:rsidR="00B844AF" w:rsidRPr="002B0C55" w:rsidRDefault="00B844AF" w:rsidP="00B844AF">
      <w:pPr>
        <w:spacing w:after="160"/>
      </w:pPr>
    </w:p>
    <w:p w14:paraId="22F0D48F" w14:textId="77777777" w:rsidR="00E16488" w:rsidRPr="002B0C55" w:rsidRDefault="00AE5034">
      <w:pPr>
        <w:pStyle w:val="Heading2"/>
        <w:spacing w:before="200" w:after="100"/>
      </w:pPr>
      <w:bookmarkStart w:id="20" w:name="_Toc235546739"/>
      <w:bookmarkStart w:id="21" w:name="_Toc235551501"/>
      <w:r w:rsidRPr="002B0C55">
        <w:rPr>
          <w:rFonts w:ascii="Times New Roman" w:eastAsia="Times New Roman" w:hAnsi="Times New Roman" w:cs="Times New Roman"/>
          <w:b/>
          <w:sz w:val="24"/>
          <w:szCs w:val="24"/>
        </w:rPr>
        <w:lastRenderedPageBreak/>
        <w:t>2.4 ETL Plan</w:t>
      </w:r>
      <w:bookmarkEnd w:id="20"/>
      <w:bookmarkEnd w:id="21"/>
    </w:p>
    <w:p w14:paraId="329DEF35" w14:textId="325AC604" w:rsidR="00046539" w:rsidRPr="002B0C55" w:rsidRDefault="00046539" w:rsidP="00046539">
      <w:pPr>
        <w:spacing w:before="100" w:after="60"/>
        <w:rPr>
          <w:rFonts w:ascii="Times New Roman" w:eastAsia="Times New Roman" w:hAnsi="Times New Roman" w:cs="Times New Roman"/>
          <w:sz w:val="24"/>
          <w:szCs w:val="24"/>
        </w:rPr>
      </w:pPr>
      <w:proofErr w:type="gramStart"/>
      <w:r w:rsidRPr="002B0C55">
        <w:rPr>
          <w:rFonts w:ascii="Times New Roman" w:eastAsia="Times New Roman" w:hAnsi="Times New Roman" w:cs="Times New Roman"/>
          <w:sz w:val="24"/>
          <w:szCs w:val="24"/>
        </w:rPr>
        <w:t>The majority of</w:t>
      </w:r>
      <w:proofErr w:type="gramEnd"/>
      <w:r w:rsidRPr="002B0C55">
        <w:rPr>
          <w:rFonts w:ascii="Times New Roman" w:eastAsia="Times New Roman" w:hAnsi="Times New Roman" w:cs="Times New Roman"/>
          <w:sz w:val="24"/>
          <w:szCs w:val="24"/>
        </w:rPr>
        <w:t xml:space="preserve"> tables in the ETL plan are based on a nightly batch model, but some data changes less frequently</w:t>
      </w:r>
      <w:r w:rsidR="002B0C55">
        <w:rPr>
          <w:rFonts w:ascii="Times New Roman" w:eastAsia="Times New Roman" w:hAnsi="Times New Roman" w:cs="Times New Roman"/>
          <w:sz w:val="24"/>
          <w:szCs w:val="24"/>
        </w:rPr>
        <w:t>,</w:t>
      </w:r>
      <w:r w:rsidRPr="002B0C55">
        <w:rPr>
          <w:rFonts w:ascii="Times New Roman" w:eastAsia="Times New Roman" w:hAnsi="Times New Roman" w:cs="Times New Roman"/>
          <w:sz w:val="24"/>
          <w:szCs w:val="24"/>
        </w:rPr>
        <w:t xml:space="preserve"> as shown in Figure 4 [6].</w:t>
      </w:r>
      <w:r w:rsidRPr="002B0C55">
        <w:rPr>
          <w:rFonts w:ascii="Times New Roman" w:eastAsia="Times New Roman" w:hAnsi="Times New Roman" w:cs="Times New Roman"/>
          <w:sz w:val="24"/>
          <w:szCs w:val="24"/>
        </w:rPr>
        <w:br/>
      </w:r>
      <w:r w:rsidRPr="002B0C55">
        <w:rPr>
          <w:rFonts w:ascii="Times New Roman" w:eastAsia="Times New Roman" w:hAnsi="Times New Roman" w:cs="Times New Roman"/>
          <w:sz w:val="24"/>
          <w:szCs w:val="24"/>
        </w:rPr>
        <w:br/>
      </w:r>
      <w:proofErr w:type="spellStart"/>
      <w:r w:rsidRPr="002B0C55">
        <w:rPr>
          <w:rFonts w:ascii="Times New Roman" w:eastAsia="Times New Roman" w:hAnsi="Times New Roman" w:cs="Times New Roman"/>
          <w:sz w:val="24"/>
          <w:szCs w:val="24"/>
        </w:rPr>
        <w:t>Fact_PatientActivity</w:t>
      </w:r>
      <w:proofErr w:type="spellEnd"/>
      <w:r w:rsidRPr="002B0C55">
        <w:rPr>
          <w:rFonts w:ascii="Times New Roman" w:eastAsia="Times New Roman" w:hAnsi="Times New Roman" w:cs="Times New Roman"/>
          <w:sz w:val="24"/>
          <w:szCs w:val="24"/>
        </w:rPr>
        <w:t xml:space="preserve"> is pulled nightly from EPR and PAS. The transformations include NHS number pseudonymisation, ICD-10 code validation, derivation of </w:t>
      </w:r>
      <w:proofErr w:type="spellStart"/>
      <w:r w:rsidRPr="002B0C55">
        <w:rPr>
          <w:rFonts w:ascii="Times New Roman" w:eastAsia="Times New Roman" w:hAnsi="Times New Roman" w:cs="Times New Roman"/>
          <w:sz w:val="24"/>
          <w:szCs w:val="24"/>
        </w:rPr>
        <w:t>length_of_stay</w:t>
      </w:r>
      <w:proofErr w:type="spellEnd"/>
      <w:r w:rsidRPr="002B0C55">
        <w:rPr>
          <w:rFonts w:ascii="Times New Roman" w:eastAsia="Times New Roman" w:hAnsi="Times New Roman" w:cs="Times New Roman"/>
          <w:sz w:val="24"/>
          <w:szCs w:val="24"/>
        </w:rPr>
        <w:t xml:space="preserve"> from timestamps and flagging of 30-day readmissions. Load strategy: incremental add</w:t>
      </w:r>
      <w:r w:rsidR="002B0C55">
        <w:rPr>
          <w:rFonts w:ascii="Times New Roman" w:eastAsia="Times New Roman" w:hAnsi="Times New Roman" w:cs="Times New Roman"/>
          <w:sz w:val="24"/>
          <w:szCs w:val="24"/>
        </w:rPr>
        <w:t xml:space="preserve">. </w:t>
      </w:r>
      <w:proofErr w:type="spellStart"/>
      <w:r w:rsidR="002B0C55">
        <w:rPr>
          <w:rFonts w:ascii="Times New Roman" w:eastAsia="Times New Roman" w:hAnsi="Times New Roman" w:cs="Times New Roman"/>
          <w:sz w:val="24"/>
          <w:szCs w:val="24"/>
        </w:rPr>
        <w:t>Dim_Patient</w:t>
      </w:r>
      <w:proofErr w:type="spellEnd"/>
      <w:r w:rsidR="002B0C55">
        <w:rPr>
          <w:rFonts w:ascii="Times New Roman" w:eastAsia="Times New Roman" w:hAnsi="Times New Roman" w:cs="Times New Roman"/>
          <w:sz w:val="24"/>
          <w:szCs w:val="24"/>
        </w:rPr>
        <w:t xml:space="preserve"> updates are nightly (SCD Type 2). </w:t>
      </w:r>
      <w:proofErr w:type="spellStart"/>
      <w:r w:rsidR="002B0C55">
        <w:rPr>
          <w:rFonts w:ascii="Times New Roman" w:eastAsia="Times New Roman" w:hAnsi="Times New Roman" w:cs="Times New Roman"/>
          <w:sz w:val="24"/>
          <w:szCs w:val="24"/>
        </w:rPr>
        <w:t>Dim_Location</w:t>
      </w:r>
      <w:proofErr w:type="spellEnd"/>
      <w:r w:rsidR="002B0C55">
        <w:rPr>
          <w:rFonts w:ascii="Times New Roman" w:eastAsia="Times New Roman" w:hAnsi="Times New Roman" w:cs="Times New Roman"/>
          <w:sz w:val="24"/>
          <w:szCs w:val="24"/>
        </w:rPr>
        <w:t xml:space="preserve"> updates are weekly via NHS Organisational Data Service (SCD Type 1). </w:t>
      </w:r>
      <w:proofErr w:type="spellStart"/>
      <w:r w:rsidR="002B0C55">
        <w:rPr>
          <w:rFonts w:ascii="Times New Roman" w:eastAsia="Times New Roman" w:hAnsi="Times New Roman" w:cs="Times New Roman"/>
          <w:sz w:val="24"/>
          <w:szCs w:val="24"/>
        </w:rPr>
        <w:t>Dim_Date</w:t>
      </w:r>
      <w:proofErr w:type="spellEnd"/>
      <w:r w:rsidR="002B0C55">
        <w:rPr>
          <w:rFonts w:ascii="Times New Roman" w:eastAsia="Times New Roman" w:hAnsi="Times New Roman" w:cs="Times New Roman"/>
          <w:sz w:val="24"/>
          <w:szCs w:val="24"/>
        </w:rPr>
        <w:t xml:space="preserve"> is a static load,</w:t>
      </w:r>
      <w:r w:rsidRPr="002B0C55">
        <w:rPr>
          <w:rFonts w:ascii="Times New Roman" w:eastAsia="Times New Roman" w:hAnsi="Times New Roman" w:cs="Times New Roman"/>
          <w:sz w:val="24"/>
          <w:szCs w:val="24"/>
        </w:rPr>
        <w:t xml:space="preserve"> which is done only once. </w:t>
      </w:r>
      <w:proofErr w:type="spellStart"/>
      <w:r w:rsidRPr="002B0C55">
        <w:rPr>
          <w:rFonts w:ascii="Times New Roman" w:eastAsia="Times New Roman" w:hAnsi="Times New Roman" w:cs="Times New Roman"/>
          <w:sz w:val="24"/>
          <w:szCs w:val="24"/>
        </w:rPr>
        <w:t>Fact_FinancialActivity</w:t>
      </w:r>
      <w:proofErr w:type="spellEnd"/>
      <w:r w:rsidRPr="002B0C55">
        <w:rPr>
          <w:rFonts w:ascii="Times New Roman" w:eastAsia="Times New Roman" w:hAnsi="Times New Roman" w:cs="Times New Roman"/>
          <w:sz w:val="24"/>
          <w:szCs w:val="24"/>
        </w:rPr>
        <w:t xml:space="preserve"> is loaded monthly from Oracle Finance using a snapshot strategy [3].</w:t>
      </w:r>
    </w:p>
    <w:p w14:paraId="2E4E6035" w14:textId="77777777" w:rsidR="00E16488" w:rsidRPr="002B0C55" w:rsidRDefault="00AE5034">
      <w:pPr>
        <w:spacing w:before="100" w:after="60"/>
        <w:jc w:val="center"/>
      </w:pPr>
      <w:r w:rsidRPr="002B0C55">
        <w:rPr>
          <w:noProof/>
        </w:rPr>
        <w:drawing>
          <wp:inline distT="0" distB="0" distL="0" distR="0" wp14:anchorId="1FC0539A" wp14:editId="30540128">
            <wp:extent cx="5943600" cy="2454606"/>
            <wp:effectExtent l="0" t="0" r="0" b="0"/>
            <wp:docPr id="306" name="ETLPipe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ETLPipeline"/>
                    <pic:cNvPicPr>
                      <a:picLocks noChangeAspect="1" noChangeArrowheads="1"/>
                    </pic:cNvPicPr>
                  </pic:nvPicPr>
                  <pic:blipFill>
                    <a:blip r:embed="rId11"/>
                    <a:stretch>
                      <a:fillRect/>
                    </a:stretch>
                  </pic:blipFill>
                  <pic:spPr bwMode="auto">
                    <a:xfrm>
                      <a:off x="0" y="0"/>
                      <a:ext cx="3200400" cy="3877407"/>
                    </a:xfrm>
                    <a:prstGeom prst="rect">
                      <a:avLst/>
                    </a:prstGeom>
                    <a:noFill/>
                    <a:ln>
                      <a:noFill/>
                    </a:ln>
                  </pic:spPr>
                </pic:pic>
              </a:graphicData>
            </a:graphic>
          </wp:inline>
        </w:drawing>
      </w:r>
    </w:p>
    <w:p w14:paraId="0FCDA481" w14:textId="77777777" w:rsidR="00E16488" w:rsidRPr="002B0C55" w:rsidRDefault="00AE5034">
      <w:pPr>
        <w:spacing w:after="160"/>
        <w:jc w:val="center"/>
      </w:pPr>
      <w:r w:rsidRPr="002B0C55">
        <w:rPr>
          <w:rFonts w:ascii="Times New Roman" w:eastAsia="Times New Roman" w:hAnsi="Times New Roman" w:cs="Times New Roman"/>
          <w:i/>
          <w:sz w:val="20"/>
          <w:szCs w:val="20"/>
        </w:rPr>
        <w:t>Figure 4: NHS England ETL pipeline showing extract, staging, transform and load stages with nightly batch schedule</w:t>
      </w:r>
    </w:p>
    <w:p w14:paraId="5F2C94C5" w14:textId="77777777" w:rsidR="00E16488" w:rsidRPr="002B0C55" w:rsidRDefault="00AE5034">
      <w:pPr>
        <w:pStyle w:val="Heading2"/>
        <w:spacing w:before="200" w:after="100"/>
      </w:pPr>
      <w:bookmarkStart w:id="22" w:name="_Toc235546740"/>
      <w:bookmarkStart w:id="23" w:name="_Toc235551502"/>
      <w:r w:rsidRPr="002B0C55">
        <w:rPr>
          <w:rFonts w:ascii="Times New Roman" w:eastAsia="Times New Roman" w:hAnsi="Times New Roman" w:cs="Times New Roman"/>
          <w:b/>
          <w:sz w:val="24"/>
          <w:szCs w:val="24"/>
        </w:rPr>
        <w:t>2.5 Data Quality and Governance</w:t>
      </w:r>
      <w:bookmarkEnd w:id="22"/>
      <w:bookmarkEnd w:id="23"/>
    </w:p>
    <w:p w14:paraId="4C543457" w14:textId="7C444B10" w:rsidR="00E16488" w:rsidRDefault="00C301D1">
      <w:pPr>
        <w:spacing w:after="160"/>
        <w:jc w:val="both"/>
        <w:rPr>
          <w:rFonts w:ascii="Times New Roman" w:eastAsia="Times New Roman" w:hAnsi="Times New Roman" w:cs="Times New Roman"/>
          <w:sz w:val="24"/>
          <w:szCs w:val="24"/>
        </w:rPr>
      </w:pPr>
      <w:r w:rsidRPr="002B0C55">
        <w:rPr>
          <w:rFonts w:ascii="Times New Roman" w:eastAsia="Times New Roman" w:hAnsi="Times New Roman" w:cs="Times New Roman"/>
          <w:sz w:val="24"/>
          <w:szCs w:val="24"/>
        </w:rPr>
        <w:t>Validation rules are run during ETL to check the NHS number formatting, ICD-10 code validity and referential integrity between fact and dimension records before any row is put into the live warehouse. Patient data is pseudonymised at source</w:t>
      </w:r>
      <w:r w:rsidR="002B0C55">
        <w:rPr>
          <w:rFonts w:ascii="Times New Roman" w:eastAsia="Times New Roman" w:hAnsi="Times New Roman" w:cs="Times New Roman"/>
          <w:sz w:val="24"/>
          <w:szCs w:val="24"/>
        </w:rPr>
        <w:t>, and identifiable linkage keys are stored in a separate, access-controlled</w:t>
      </w:r>
      <w:r w:rsidRPr="002B0C55">
        <w:rPr>
          <w:rFonts w:ascii="Times New Roman" w:eastAsia="Times New Roman" w:hAnsi="Times New Roman" w:cs="Times New Roman"/>
          <w:sz w:val="24"/>
          <w:szCs w:val="24"/>
        </w:rPr>
        <w:t xml:space="preserve"> environment that meets the requirements of UK GDPR and the NHS Data Security and Protection Toolkit [9]. </w:t>
      </w:r>
      <w:r w:rsidR="002B0C55">
        <w:rPr>
          <w:rFonts w:ascii="Times New Roman" w:eastAsia="Times New Roman" w:hAnsi="Times New Roman" w:cs="Times New Roman"/>
          <w:sz w:val="24"/>
          <w:szCs w:val="24"/>
        </w:rPr>
        <w:t>Role-based access controls restrict each data mart to the appropriate audience, and all access is audit-logged</w:t>
      </w:r>
      <w:r w:rsidRPr="002B0C55">
        <w:rPr>
          <w:rFonts w:ascii="Times New Roman" w:eastAsia="Times New Roman" w:hAnsi="Times New Roman" w:cs="Times New Roman"/>
          <w:sz w:val="24"/>
          <w:szCs w:val="24"/>
        </w:rPr>
        <w:t>. NHS England’s Data Quality Maturity Index is used to monitor data quality, and alerts are sent to data stewards if anomalies are detected [8].</w:t>
      </w:r>
    </w:p>
    <w:p w14:paraId="64E3E627" w14:textId="77777777" w:rsidR="008D05DF" w:rsidRDefault="008D05DF">
      <w:pPr>
        <w:spacing w:after="160"/>
        <w:jc w:val="both"/>
        <w:rPr>
          <w:rFonts w:ascii="Times New Roman" w:eastAsia="Times New Roman" w:hAnsi="Times New Roman" w:cs="Times New Roman"/>
          <w:sz w:val="24"/>
          <w:szCs w:val="24"/>
        </w:rPr>
      </w:pPr>
    </w:p>
    <w:p w14:paraId="4EA17D9B" w14:textId="77777777" w:rsidR="008D05DF" w:rsidRDefault="008D05DF">
      <w:pPr>
        <w:spacing w:after="160"/>
        <w:jc w:val="both"/>
        <w:rPr>
          <w:rFonts w:ascii="Times New Roman" w:eastAsia="Times New Roman" w:hAnsi="Times New Roman" w:cs="Times New Roman"/>
          <w:sz w:val="24"/>
          <w:szCs w:val="24"/>
        </w:rPr>
      </w:pPr>
    </w:p>
    <w:p w14:paraId="3C6D5D76" w14:textId="77777777" w:rsidR="008D05DF" w:rsidRPr="002B0C55" w:rsidRDefault="008D05DF">
      <w:pPr>
        <w:spacing w:after="160"/>
        <w:jc w:val="both"/>
        <w:rPr>
          <w:rFonts w:ascii="Times New Roman" w:eastAsia="Times New Roman" w:hAnsi="Times New Roman" w:cs="Times New Roman"/>
          <w:sz w:val="24"/>
          <w:szCs w:val="24"/>
        </w:rPr>
      </w:pPr>
    </w:p>
    <w:p w14:paraId="5568C139" w14:textId="77777777" w:rsidR="00E16488" w:rsidRPr="002B0C55" w:rsidRDefault="00AE5034">
      <w:pPr>
        <w:pStyle w:val="Heading1"/>
        <w:spacing w:before="320" w:after="160"/>
      </w:pPr>
      <w:bookmarkStart w:id="24" w:name="_Toc235546741"/>
      <w:bookmarkStart w:id="25" w:name="_Toc235551503"/>
      <w:r w:rsidRPr="002B0C55">
        <w:rPr>
          <w:rFonts w:ascii="Times New Roman" w:eastAsia="Times New Roman" w:hAnsi="Times New Roman" w:cs="Times New Roman"/>
          <w:b/>
          <w:sz w:val="28"/>
          <w:szCs w:val="28"/>
        </w:rPr>
        <w:lastRenderedPageBreak/>
        <w:t>References</w:t>
      </w:r>
      <w:bookmarkEnd w:id="24"/>
      <w:bookmarkEnd w:id="25"/>
    </w:p>
    <w:p w14:paraId="2EC99CD2" w14:textId="556AF673" w:rsidR="00E16488" w:rsidRPr="002B0C55" w:rsidRDefault="00AE5034">
      <w:pPr>
        <w:spacing w:after="120"/>
        <w:ind w:left="360" w:hanging="360"/>
      </w:pPr>
      <w:r w:rsidRPr="002B0C55">
        <w:rPr>
          <w:rFonts w:ascii="Times New Roman" w:eastAsia="Times New Roman" w:hAnsi="Times New Roman" w:cs="Times New Roman"/>
        </w:rPr>
        <w:t xml:space="preserve">[1] T. Knezevic Ivanovski, S. </w:t>
      </w:r>
      <w:proofErr w:type="spellStart"/>
      <w:r w:rsidRPr="002B0C55">
        <w:rPr>
          <w:rFonts w:ascii="Times New Roman" w:eastAsia="Times New Roman" w:hAnsi="Times New Roman" w:cs="Times New Roman"/>
        </w:rPr>
        <w:t>Honap</w:t>
      </w:r>
      <w:proofErr w:type="spellEnd"/>
      <w:r w:rsidRPr="002B0C55">
        <w:rPr>
          <w:rFonts w:ascii="Times New Roman" w:eastAsia="Times New Roman" w:hAnsi="Times New Roman" w:cs="Times New Roman"/>
        </w:rPr>
        <w:t xml:space="preserve">, R. Matic, S. Markovic, and L. </w:t>
      </w:r>
      <w:proofErr w:type="spellStart"/>
      <w:r w:rsidRPr="002B0C55">
        <w:rPr>
          <w:rFonts w:ascii="Times New Roman" w:eastAsia="Times New Roman" w:hAnsi="Times New Roman" w:cs="Times New Roman"/>
        </w:rPr>
        <w:t>Peyrin-Biroulet</w:t>
      </w:r>
      <w:proofErr w:type="spellEnd"/>
      <w:r w:rsidRPr="002B0C55">
        <w:rPr>
          <w:rFonts w:ascii="Times New Roman" w:eastAsia="Times New Roman" w:hAnsi="Times New Roman" w:cs="Times New Roman"/>
        </w:rPr>
        <w:t xml:space="preserve">, "Building a healthcare data warehouse: considerations, opportunities, and challenges," Frontiers in Digital Health, vol. 7, p. 1691142, 2025. [Online]. Available: </w:t>
      </w:r>
      <w:hyperlink r:id="rId12">
        <w:r w:rsidRPr="002B0C55">
          <w:rPr>
            <w:rFonts w:ascii="Times New Roman" w:eastAsia="Times New Roman" w:hAnsi="Times New Roman" w:cs="Times New Roman"/>
            <w:color w:val="0563C1"/>
            <w:u w:val="single"/>
          </w:rPr>
          <w:t>https://doi.org/10.3389/fdgth.2025.1691142</w:t>
        </w:r>
      </w:hyperlink>
    </w:p>
    <w:p w14:paraId="0791FA76" w14:textId="1D6B2AF7" w:rsidR="00E16488" w:rsidRPr="002B0C55" w:rsidRDefault="00AE5034">
      <w:pPr>
        <w:spacing w:after="120"/>
        <w:ind w:left="360" w:hanging="360"/>
      </w:pPr>
      <w:r w:rsidRPr="002B0C55">
        <w:rPr>
          <w:rFonts w:ascii="Times New Roman" w:eastAsia="Times New Roman" w:hAnsi="Times New Roman" w:cs="Times New Roman"/>
        </w:rPr>
        <w:t xml:space="preserve">[2] R. Kimball and M. Ross, The Data Warehouse Toolkit: The Definitive Guide to Dimensional </w:t>
      </w:r>
      <w:r w:rsidR="002B0C55">
        <w:rPr>
          <w:rFonts w:ascii="Times New Roman" w:eastAsia="Times New Roman" w:hAnsi="Times New Roman" w:cs="Times New Roman"/>
        </w:rPr>
        <w:t>Modelling</w:t>
      </w:r>
      <w:r w:rsidRPr="002B0C55">
        <w:rPr>
          <w:rFonts w:ascii="Times New Roman" w:eastAsia="Times New Roman" w:hAnsi="Times New Roman" w:cs="Times New Roman"/>
        </w:rPr>
        <w:t xml:space="preserve">, 3rd ed. Hoboken, NJ: Wiley, 2013. </w:t>
      </w:r>
    </w:p>
    <w:p w14:paraId="34382D24" w14:textId="28DBE094" w:rsidR="00E16488" w:rsidRPr="002B0C55" w:rsidRDefault="00AE5034">
      <w:pPr>
        <w:spacing w:after="120"/>
        <w:ind w:left="360" w:hanging="360"/>
      </w:pPr>
      <w:r w:rsidRPr="002B0C55">
        <w:rPr>
          <w:rFonts w:ascii="Times New Roman" w:eastAsia="Times New Roman" w:hAnsi="Times New Roman" w:cs="Times New Roman"/>
        </w:rPr>
        <w:t xml:space="preserve">[3] K. Y. Cheng, S. Pazmino, and B. </w:t>
      </w:r>
      <w:proofErr w:type="spellStart"/>
      <w:r w:rsidRPr="002B0C55">
        <w:rPr>
          <w:rFonts w:ascii="Times New Roman" w:eastAsia="Times New Roman" w:hAnsi="Times New Roman" w:cs="Times New Roman"/>
        </w:rPr>
        <w:t>Schreiweis</w:t>
      </w:r>
      <w:proofErr w:type="spellEnd"/>
      <w:r w:rsidRPr="002B0C55">
        <w:rPr>
          <w:rFonts w:ascii="Times New Roman" w:eastAsia="Times New Roman" w:hAnsi="Times New Roman" w:cs="Times New Roman"/>
        </w:rPr>
        <w:t xml:space="preserve">, "ETL processes for integrating healthcare data: tools and architecture patterns," Studies in Health Technology and Informatics, vol. 299, pp. 151-156, 2022. [Online]. Available: </w:t>
      </w:r>
      <w:hyperlink r:id="rId13">
        <w:r w:rsidRPr="002B0C55">
          <w:rPr>
            <w:rFonts w:ascii="Times New Roman" w:eastAsia="Times New Roman" w:hAnsi="Times New Roman" w:cs="Times New Roman"/>
            <w:color w:val="0563C1"/>
            <w:u w:val="single"/>
          </w:rPr>
          <w:t>https://doi.org/10.3233/SHTI220974</w:t>
        </w:r>
      </w:hyperlink>
    </w:p>
    <w:p w14:paraId="6A28A04F" w14:textId="63025AF8" w:rsidR="00E16488" w:rsidRDefault="00AE5034">
      <w:pPr>
        <w:spacing w:after="120"/>
        <w:ind w:left="360" w:hanging="360"/>
      </w:pPr>
      <w:r w:rsidRPr="002B0C55">
        <w:rPr>
          <w:rFonts w:ascii="Times New Roman" w:eastAsia="Times New Roman" w:hAnsi="Times New Roman" w:cs="Times New Roman"/>
        </w:rPr>
        <w:t xml:space="preserve">[4] K. G. Devi, "An efficient hybrid </w:t>
      </w:r>
      <w:r w:rsidR="002B0C55">
        <w:rPr>
          <w:rFonts w:ascii="Times New Roman" w:eastAsia="Times New Roman" w:hAnsi="Times New Roman" w:cs="Times New Roman"/>
        </w:rPr>
        <w:t>optimisation</w:t>
      </w:r>
      <w:r w:rsidRPr="002B0C55">
        <w:rPr>
          <w:rFonts w:ascii="Times New Roman" w:eastAsia="Times New Roman" w:hAnsi="Times New Roman" w:cs="Times New Roman"/>
        </w:rPr>
        <w:t xml:space="preserve"> of ETL process in data warehouse of cloud architecture," Journal of Cloud Computing, vol. 13, no. 1, p. 12, 2024. [Online]. Available: </w:t>
      </w:r>
      <w:hyperlink r:id="rId14">
        <w:r w:rsidRPr="002B0C55">
          <w:rPr>
            <w:rFonts w:ascii="Times New Roman" w:eastAsia="Times New Roman" w:hAnsi="Times New Roman" w:cs="Times New Roman"/>
            <w:color w:val="0563C1"/>
            <w:u w:val="single"/>
          </w:rPr>
          <w:t>https://doi.org/10.1186/s13677-023-00571-y</w:t>
        </w:r>
      </w:hyperlink>
    </w:p>
    <w:p w14:paraId="124EECC5" w14:textId="7AAFBC7A" w:rsidR="000B2F97" w:rsidRPr="002B0C55" w:rsidRDefault="000B2F97" w:rsidP="000B2F97">
      <w:pPr>
        <w:spacing w:after="120"/>
        <w:ind w:left="360" w:hanging="360"/>
      </w:pPr>
      <w:r w:rsidRPr="002B0C55">
        <w:rPr>
          <w:rFonts w:ascii="Times New Roman" w:eastAsia="Times New Roman" w:hAnsi="Times New Roman" w:cs="Times New Roman"/>
        </w:rPr>
        <w:t xml:space="preserve">[5] B. </w:t>
      </w:r>
      <w:proofErr w:type="spellStart"/>
      <w:r w:rsidRPr="002B0C55">
        <w:rPr>
          <w:rFonts w:ascii="Times New Roman" w:eastAsia="Times New Roman" w:hAnsi="Times New Roman" w:cs="Times New Roman"/>
        </w:rPr>
        <w:t>Ozaydin</w:t>
      </w:r>
      <w:proofErr w:type="spellEnd"/>
      <w:r w:rsidRPr="002B0C55">
        <w:rPr>
          <w:rFonts w:ascii="Times New Roman" w:eastAsia="Times New Roman" w:hAnsi="Times New Roman" w:cs="Times New Roman"/>
        </w:rPr>
        <w:t xml:space="preserve">, F. </w:t>
      </w:r>
      <w:proofErr w:type="spellStart"/>
      <w:r w:rsidRPr="002B0C55">
        <w:rPr>
          <w:rFonts w:ascii="Times New Roman" w:eastAsia="Times New Roman" w:hAnsi="Times New Roman" w:cs="Times New Roman"/>
        </w:rPr>
        <w:t>Zengul</w:t>
      </w:r>
      <w:proofErr w:type="spellEnd"/>
      <w:r w:rsidRPr="002B0C55">
        <w:rPr>
          <w:rFonts w:ascii="Times New Roman" w:eastAsia="Times New Roman" w:hAnsi="Times New Roman" w:cs="Times New Roman"/>
        </w:rPr>
        <w:t xml:space="preserve">, N. Oner, and S. S. Feldman, "Healthcare research and analytics data infrastructure solution: a data warehouse for health services research," Journal of Medical Internet Research, vol. 22, no. 6, p. e18579, 2020. [Online]. Available: </w:t>
      </w:r>
      <w:hyperlink r:id="rId15">
        <w:r w:rsidRPr="002B0C55">
          <w:rPr>
            <w:rFonts w:ascii="Times New Roman" w:eastAsia="Times New Roman" w:hAnsi="Times New Roman" w:cs="Times New Roman"/>
            <w:color w:val="0563C1"/>
            <w:u w:val="single"/>
          </w:rPr>
          <w:t>https://doi.org/10.2196/18579</w:t>
        </w:r>
      </w:hyperlink>
    </w:p>
    <w:p w14:paraId="339AD58F" w14:textId="7594FFB0" w:rsidR="00E16488" w:rsidRDefault="00AE5034">
      <w:pPr>
        <w:spacing w:after="120"/>
        <w:ind w:left="360" w:hanging="360"/>
      </w:pPr>
      <w:r w:rsidRPr="002B0C55">
        <w:rPr>
          <w:rFonts w:ascii="Times New Roman" w:eastAsia="Times New Roman" w:hAnsi="Times New Roman" w:cs="Times New Roman"/>
        </w:rPr>
        <w:t xml:space="preserve">[5] M. C. Jones, T. Stone, S. M. Mason, A. Eames, and M. Franklin, "Navigating data governance associated with real-world data for public benefit: an overview in the UK and future considerations," BMJ Open, vol. 13, no. 10, p. e069925, 2023. [Online]. Available: </w:t>
      </w:r>
      <w:hyperlink r:id="rId16">
        <w:r w:rsidRPr="002B0C55">
          <w:rPr>
            <w:rFonts w:ascii="Times New Roman" w:eastAsia="Times New Roman" w:hAnsi="Times New Roman" w:cs="Times New Roman"/>
            <w:color w:val="0563C1"/>
            <w:u w:val="single"/>
          </w:rPr>
          <w:t>https://doi.org/10.1136/bmjopen-2023-069925</w:t>
        </w:r>
      </w:hyperlink>
    </w:p>
    <w:p w14:paraId="19B593BA" w14:textId="0F766583" w:rsidR="00D9752D" w:rsidRDefault="00D9752D" w:rsidP="00D9752D">
      <w:pPr>
        <w:spacing w:after="120"/>
        <w:ind w:left="360" w:hanging="360"/>
      </w:pPr>
      <w:r w:rsidRPr="002B0C55">
        <w:rPr>
          <w:rFonts w:ascii="Times New Roman" w:eastAsia="Times New Roman" w:hAnsi="Times New Roman" w:cs="Times New Roman"/>
        </w:rPr>
        <w:t>[</w:t>
      </w:r>
      <w:r>
        <w:rPr>
          <w:rFonts w:ascii="Times New Roman" w:eastAsia="Times New Roman" w:hAnsi="Times New Roman" w:cs="Times New Roman"/>
        </w:rPr>
        <w:t>6</w:t>
      </w:r>
      <w:r w:rsidRPr="002B0C55">
        <w:rPr>
          <w:rFonts w:ascii="Times New Roman" w:eastAsia="Times New Roman" w:hAnsi="Times New Roman" w:cs="Times New Roman"/>
        </w:rPr>
        <w:t xml:space="preserve">] Department of Health and Social Care and NHS England, "Data saves lives: reshaping health and social care with data," UK Government, Jun. 2022. [Online]. Available: </w:t>
      </w:r>
      <w:hyperlink r:id="rId17">
        <w:r w:rsidRPr="002B0C55">
          <w:rPr>
            <w:rFonts w:ascii="Times New Roman" w:eastAsia="Times New Roman" w:hAnsi="Times New Roman" w:cs="Times New Roman"/>
            <w:color w:val="0563C1"/>
            <w:u w:val="single"/>
          </w:rPr>
          <w:t>https://www.gov.uk/government/publications/data-saves-lives-reshaping-health-and-social-care-with-data</w:t>
        </w:r>
      </w:hyperlink>
    </w:p>
    <w:p w14:paraId="02088182" w14:textId="18538679" w:rsidR="00D9752D" w:rsidRPr="002B0C55" w:rsidRDefault="00D9752D" w:rsidP="00D9752D">
      <w:pPr>
        <w:spacing w:after="120"/>
        <w:ind w:left="360" w:hanging="360"/>
      </w:pPr>
      <w:r w:rsidRPr="002B0C55">
        <w:rPr>
          <w:rFonts w:ascii="Times New Roman" w:eastAsia="Times New Roman" w:hAnsi="Times New Roman" w:cs="Times New Roman"/>
        </w:rPr>
        <w:t xml:space="preserve">[7] R. D. </w:t>
      </w:r>
      <w:proofErr w:type="spellStart"/>
      <w:r w:rsidRPr="002B0C55">
        <w:rPr>
          <w:rFonts w:ascii="Times New Roman" w:eastAsia="Times New Roman" w:hAnsi="Times New Roman" w:cs="Times New Roman"/>
        </w:rPr>
        <w:t>Thantilage</w:t>
      </w:r>
      <w:proofErr w:type="spellEnd"/>
      <w:r w:rsidRPr="002B0C55">
        <w:rPr>
          <w:rFonts w:ascii="Times New Roman" w:eastAsia="Times New Roman" w:hAnsi="Times New Roman" w:cs="Times New Roman"/>
        </w:rPr>
        <w:t xml:space="preserve">, N. A. Le-Khac, and M. T. </w:t>
      </w:r>
      <w:proofErr w:type="spellStart"/>
      <w:r w:rsidRPr="002B0C55">
        <w:rPr>
          <w:rFonts w:ascii="Times New Roman" w:eastAsia="Times New Roman" w:hAnsi="Times New Roman" w:cs="Times New Roman"/>
        </w:rPr>
        <w:t>Kechadi</w:t>
      </w:r>
      <w:proofErr w:type="spellEnd"/>
      <w:r w:rsidRPr="002B0C55">
        <w:rPr>
          <w:rFonts w:ascii="Times New Roman" w:eastAsia="Times New Roman" w:hAnsi="Times New Roman" w:cs="Times New Roman"/>
        </w:rPr>
        <w:t xml:space="preserve">, "Healthcare data security and privacy in data warehouse architectures," Informatics in Medicine Unlocked, vol. 39, p. 101270, 2023. [Online]. Available: </w:t>
      </w:r>
      <w:hyperlink r:id="rId18">
        <w:r w:rsidRPr="002B0C55">
          <w:rPr>
            <w:rFonts w:ascii="Times New Roman" w:eastAsia="Times New Roman" w:hAnsi="Times New Roman" w:cs="Times New Roman"/>
            <w:color w:val="0563C1"/>
            <w:u w:val="single"/>
          </w:rPr>
          <w:t>https://doi.org/10.1016/j.imu.2023.101270</w:t>
        </w:r>
      </w:hyperlink>
    </w:p>
    <w:p w14:paraId="55FFA724" w14:textId="13C6FECD" w:rsidR="00E16488" w:rsidRPr="002B0C55" w:rsidRDefault="00AE5034">
      <w:pPr>
        <w:spacing w:after="120"/>
        <w:ind w:left="360" w:hanging="360"/>
      </w:pPr>
      <w:r w:rsidRPr="002B0C55">
        <w:rPr>
          <w:rFonts w:ascii="Times New Roman" w:eastAsia="Times New Roman" w:hAnsi="Times New Roman" w:cs="Times New Roman"/>
        </w:rPr>
        <w:t>[</w:t>
      </w:r>
      <w:r w:rsidR="00B14B5A">
        <w:rPr>
          <w:rFonts w:ascii="Times New Roman" w:eastAsia="Times New Roman" w:hAnsi="Times New Roman" w:cs="Times New Roman"/>
        </w:rPr>
        <w:t>8</w:t>
      </w:r>
      <w:r w:rsidRPr="002B0C55">
        <w:rPr>
          <w:rFonts w:ascii="Times New Roman" w:eastAsia="Times New Roman" w:hAnsi="Times New Roman" w:cs="Times New Roman"/>
        </w:rPr>
        <w:t xml:space="preserve">] S. Kumar, "Implementing star and snowflake schemas in healthcare data warehousing," International Journal of Science and Research, vol. 13, no. 11, pp. 237-241, 2024. [Online]. Available: </w:t>
      </w:r>
      <w:hyperlink r:id="rId19">
        <w:r w:rsidRPr="002B0C55">
          <w:rPr>
            <w:rFonts w:ascii="Times New Roman" w:eastAsia="Times New Roman" w:hAnsi="Times New Roman" w:cs="Times New Roman"/>
            <w:color w:val="0563C1"/>
            <w:u w:val="single"/>
          </w:rPr>
          <w:t>https://doi.org/10.21275/SR241030061006</w:t>
        </w:r>
      </w:hyperlink>
    </w:p>
    <w:p w14:paraId="6F2DCD0C" w14:textId="7F98A126" w:rsidR="00FC6088" w:rsidRPr="00B14B5A" w:rsidRDefault="00B14B5A">
      <w:pPr>
        <w:rPr>
          <w:rFonts w:ascii="Times New Roman" w:hAnsi="Times New Roman" w:cs="Times New Roman"/>
        </w:rPr>
      </w:pPr>
      <w:r w:rsidRPr="00B14B5A">
        <w:rPr>
          <w:rFonts w:ascii="Times New Roman" w:hAnsi="Times New Roman" w:cs="Times New Roman"/>
        </w:rPr>
        <w:t>[9] M. C. Jones, T. Stone, S. M. Mason, A. Eames, and M. Franklin, "Navigating data governance associated with real-world data for public benefit: an overview in the UK and future considerations," BMJ Open, vol. 13, no. 10, p. e069925, 2023.</w:t>
      </w:r>
    </w:p>
    <w:sectPr w:rsidR="00FC6088" w:rsidRPr="00B14B5A">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BFB686" w14:textId="77777777" w:rsidR="00AE5034" w:rsidRDefault="00AE5034" w:rsidP="00F57BA6">
      <w:pPr>
        <w:spacing w:after="0" w:line="240" w:lineRule="auto"/>
      </w:pPr>
      <w:r>
        <w:separator/>
      </w:r>
    </w:p>
  </w:endnote>
  <w:endnote w:type="continuationSeparator" w:id="0">
    <w:p w14:paraId="4D899E76" w14:textId="77777777" w:rsidR="00AE5034" w:rsidRDefault="00AE5034" w:rsidP="00F57B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4607298"/>
      <w:docPartObj>
        <w:docPartGallery w:val="Page Numbers (Bottom of Page)"/>
        <w:docPartUnique/>
      </w:docPartObj>
    </w:sdtPr>
    <w:sdtEndPr>
      <w:rPr>
        <w:color w:val="7F7F7F" w:themeColor="background1" w:themeShade="7F"/>
        <w:spacing w:val="60"/>
      </w:rPr>
    </w:sdtEndPr>
    <w:sdtContent>
      <w:p w14:paraId="54092AA0" w14:textId="03CAD9E6" w:rsidR="00F57BA6" w:rsidRDefault="00F57BA6">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66BA468" w14:textId="77777777" w:rsidR="00F57BA6" w:rsidRDefault="00F57B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4C5E2C" w14:textId="77777777" w:rsidR="00AE5034" w:rsidRDefault="00AE5034" w:rsidP="00F57BA6">
      <w:pPr>
        <w:spacing w:after="0" w:line="240" w:lineRule="auto"/>
      </w:pPr>
      <w:r>
        <w:separator/>
      </w:r>
    </w:p>
  </w:footnote>
  <w:footnote w:type="continuationSeparator" w:id="0">
    <w:p w14:paraId="793ED841" w14:textId="77777777" w:rsidR="00AE5034" w:rsidRDefault="00AE5034" w:rsidP="00F57BA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5609"/>
    <w:rsid w:val="000030E0"/>
    <w:rsid w:val="000126C7"/>
    <w:rsid w:val="00042573"/>
    <w:rsid w:val="00046539"/>
    <w:rsid w:val="000B2F97"/>
    <w:rsid w:val="00172079"/>
    <w:rsid w:val="001F5A54"/>
    <w:rsid w:val="0023094C"/>
    <w:rsid w:val="00250D63"/>
    <w:rsid w:val="00255B0D"/>
    <w:rsid w:val="002B0C55"/>
    <w:rsid w:val="0036723D"/>
    <w:rsid w:val="00382951"/>
    <w:rsid w:val="003932C7"/>
    <w:rsid w:val="00397D6A"/>
    <w:rsid w:val="003A551D"/>
    <w:rsid w:val="003D722C"/>
    <w:rsid w:val="00481859"/>
    <w:rsid w:val="004B6819"/>
    <w:rsid w:val="005016DB"/>
    <w:rsid w:val="00556AF8"/>
    <w:rsid w:val="006B6512"/>
    <w:rsid w:val="006D553D"/>
    <w:rsid w:val="00824248"/>
    <w:rsid w:val="00875609"/>
    <w:rsid w:val="008D05DF"/>
    <w:rsid w:val="009072C7"/>
    <w:rsid w:val="00920AD4"/>
    <w:rsid w:val="00926AB3"/>
    <w:rsid w:val="0099774D"/>
    <w:rsid w:val="00AE5034"/>
    <w:rsid w:val="00B14B5A"/>
    <w:rsid w:val="00B17C52"/>
    <w:rsid w:val="00B66D6F"/>
    <w:rsid w:val="00B76A66"/>
    <w:rsid w:val="00B844AF"/>
    <w:rsid w:val="00C2543A"/>
    <w:rsid w:val="00C301D1"/>
    <w:rsid w:val="00C648E7"/>
    <w:rsid w:val="00C6640E"/>
    <w:rsid w:val="00CF676A"/>
    <w:rsid w:val="00D9752D"/>
    <w:rsid w:val="00DB230F"/>
    <w:rsid w:val="00E16488"/>
    <w:rsid w:val="00ED65BC"/>
    <w:rsid w:val="00EF20AF"/>
    <w:rsid w:val="00F0544C"/>
    <w:rsid w:val="00F30914"/>
    <w:rsid w:val="00F32781"/>
    <w:rsid w:val="00F57BA6"/>
    <w:rsid w:val="00F6020F"/>
    <w:rsid w:val="00FB0C2D"/>
    <w:rsid w:val="00FC6088"/>
    <w:rsid w:val="00FE04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3CD5C"/>
  <w15:chartTrackingRefBased/>
  <w15:docId w15:val="{AD30B8E5-B149-4319-B5E2-FD50EC5F7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5609"/>
    <w:pPr>
      <w:spacing w:after="200" w:line="276" w:lineRule="auto"/>
    </w:pPr>
    <w:rPr>
      <w:rFonts w:eastAsiaTheme="minorEastAsia"/>
      <w:kern w:val="0"/>
      <w:sz w:val="22"/>
      <w:szCs w:val="22"/>
      <w14:ligatures w14:val="none"/>
    </w:rPr>
  </w:style>
  <w:style w:type="paragraph" w:styleId="Heading1">
    <w:name w:val="heading 1"/>
    <w:basedOn w:val="Normal"/>
    <w:next w:val="Normal"/>
    <w:link w:val="Heading1Char"/>
    <w:uiPriority w:val="9"/>
    <w:qFormat/>
    <w:rsid w:val="00875609"/>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875609"/>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875609"/>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875609"/>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875609"/>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875609"/>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875609"/>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875609"/>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875609"/>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560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7560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7560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7560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560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56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56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56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5609"/>
    <w:rPr>
      <w:rFonts w:eastAsiaTheme="majorEastAsia" w:cstheme="majorBidi"/>
      <w:color w:val="272727" w:themeColor="text1" w:themeTint="D8"/>
    </w:rPr>
  </w:style>
  <w:style w:type="paragraph" w:styleId="Title">
    <w:name w:val="Title"/>
    <w:basedOn w:val="Normal"/>
    <w:next w:val="Normal"/>
    <w:link w:val="TitleChar"/>
    <w:uiPriority w:val="10"/>
    <w:qFormat/>
    <w:rsid w:val="00875609"/>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8756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5609"/>
    <w:pPr>
      <w:numPr>
        <w:ilvl w:val="1"/>
      </w:numPr>
      <w:spacing w:after="160"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8756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5609"/>
    <w:pPr>
      <w:spacing w:before="160" w:after="160" w:line="278" w:lineRule="auto"/>
      <w:jc w:val="center"/>
    </w:pPr>
    <w:rPr>
      <w:rFonts w:eastAsiaTheme="minorHAns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875609"/>
    <w:rPr>
      <w:i/>
      <w:iCs/>
      <w:color w:val="404040" w:themeColor="text1" w:themeTint="BF"/>
    </w:rPr>
  </w:style>
  <w:style w:type="paragraph" w:styleId="ListParagraph">
    <w:name w:val="List Paragraph"/>
    <w:basedOn w:val="Normal"/>
    <w:uiPriority w:val="34"/>
    <w:qFormat/>
    <w:rsid w:val="00875609"/>
    <w:pPr>
      <w:spacing w:after="160" w:line="278" w:lineRule="auto"/>
      <w:ind w:left="720"/>
      <w:contextualSpacing/>
    </w:pPr>
    <w:rPr>
      <w:rFonts w:eastAsiaTheme="minorHAnsi"/>
      <w:kern w:val="2"/>
      <w:sz w:val="24"/>
      <w:szCs w:val="24"/>
      <w14:ligatures w14:val="standardContextual"/>
    </w:rPr>
  </w:style>
  <w:style w:type="character" w:styleId="IntenseEmphasis">
    <w:name w:val="Intense Emphasis"/>
    <w:basedOn w:val="DefaultParagraphFont"/>
    <w:uiPriority w:val="21"/>
    <w:qFormat/>
    <w:rsid w:val="00875609"/>
    <w:rPr>
      <w:i/>
      <w:iCs/>
      <w:color w:val="0F4761" w:themeColor="accent1" w:themeShade="BF"/>
    </w:rPr>
  </w:style>
  <w:style w:type="paragraph" w:styleId="IntenseQuote">
    <w:name w:val="Intense Quote"/>
    <w:basedOn w:val="Normal"/>
    <w:next w:val="Normal"/>
    <w:link w:val="IntenseQuoteChar"/>
    <w:uiPriority w:val="30"/>
    <w:qFormat/>
    <w:rsid w:val="00875609"/>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875609"/>
    <w:rPr>
      <w:i/>
      <w:iCs/>
      <w:color w:val="0F4761" w:themeColor="accent1" w:themeShade="BF"/>
    </w:rPr>
  </w:style>
  <w:style w:type="character" w:styleId="IntenseReference">
    <w:name w:val="Intense Reference"/>
    <w:basedOn w:val="DefaultParagraphFont"/>
    <w:uiPriority w:val="32"/>
    <w:qFormat/>
    <w:rsid w:val="00875609"/>
    <w:rPr>
      <w:b/>
      <w:bCs/>
      <w:smallCaps/>
      <w:color w:val="0F4761" w:themeColor="accent1" w:themeShade="BF"/>
      <w:spacing w:val="5"/>
    </w:rPr>
  </w:style>
  <w:style w:type="paragraph" w:styleId="NoSpacing">
    <w:name w:val="No Spacing"/>
    <w:uiPriority w:val="1"/>
    <w:qFormat/>
    <w:rsid w:val="00875609"/>
    <w:pPr>
      <w:spacing w:after="0" w:line="240" w:lineRule="auto"/>
    </w:pPr>
    <w:rPr>
      <w:rFonts w:eastAsiaTheme="minorEastAsia"/>
      <w:kern w:val="0"/>
      <w:sz w:val="22"/>
      <w:szCs w:val="22"/>
      <w:lang w:val="en-US"/>
      <w14:ligatures w14:val="none"/>
    </w:rPr>
  </w:style>
  <w:style w:type="paragraph" w:styleId="TOC1">
    <w:name w:val="toc 1"/>
    <w:basedOn w:val="Normal"/>
    <w:next w:val="Normal"/>
    <w:autoRedefine/>
    <w:uiPriority w:val="39"/>
    <w:unhideWhenUsed/>
    <w:rsid w:val="000126C7"/>
    <w:pPr>
      <w:spacing w:after="100"/>
    </w:pPr>
  </w:style>
  <w:style w:type="paragraph" w:styleId="TOC2">
    <w:name w:val="toc 2"/>
    <w:basedOn w:val="Normal"/>
    <w:next w:val="Normal"/>
    <w:autoRedefine/>
    <w:uiPriority w:val="39"/>
    <w:unhideWhenUsed/>
    <w:rsid w:val="000126C7"/>
    <w:pPr>
      <w:spacing w:after="100"/>
      <w:ind w:left="220"/>
    </w:pPr>
  </w:style>
  <w:style w:type="character" w:styleId="Hyperlink">
    <w:name w:val="Hyperlink"/>
    <w:basedOn w:val="DefaultParagraphFont"/>
    <w:uiPriority w:val="99"/>
    <w:unhideWhenUsed/>
    <w:rsid w:val="000126C7"/>
    <w:rPr>
      <w:color w:val="467886" w:themeColor="hyperlink"/>
      <w:u w:val="single"/>
    </w:rPr>
  </w:style>
  <w:style w:type="character" w:styleId="UnresolvedMention">
    <w:name w:val="Unresolved Mention"/>
    <w:basedOn w:val="DefaultParagraphFont"/>
    <w:uiPriority w:val="99"/>
    <w:semiHidden/>
    <w:unhideWhenUsed/>
    <w:rsid w:val="005016DB"/>
    <w:rPr>
      <w:color w:val="605E5C"/>
      <w:shd w:val="clear" w:color="auto" w:fill="E1DFDD"/>
    </w:rPr>
  </w:style>
  <w:style w:type="character" w:styleId="FollowedHyperlink">
    <w:name w:val="FollowedHyperlink"/>
    <w:basedOn w:val="DefaultParagraphFont"/>
    <w:uiPriority w:val="99"/>
    <w:semiHidden/>
    <w:unhideWhenUsed/>
    <w:rsid w:val="005016DB"/>
    <w:rPr>
      <w:color w:val="96607D" w:themeColor="followedHyperlink"/>
      <w:u w:val="single"/>
    </w:rPr>
  </w:style>
  <w:style w:type="paragraph" w:styleId="Header">
    <w:name w:val="header"/>
    <w:basedOn w:val="Normal"/>
    <w:link w:val="HeaderChar"/>
    <w:uiPriority w:val="99"/>
    <w:unhideWhenUsed/>
    <w:rsid w:val="00F57B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7BA6"/>
    <w:rPr>
      <w:rFonts w:eastAsiaTheme="minorEastAsia"/>
      <w:kern w:val="0"/>
      <w:sz w:val="22"/>
      <w:szCs w:val="22"/>
      <w14:ligatures w14:val="none"/>
    </w:rPr>
  </w:style>
  <w:style w:type="paragraph" w:styleId="Footer">
    <w:name w:val="footer"/>
    <w:basedOn w:val="Normal"/>
    <w:link w:val="FooterChar"/>
    <w:uiPriority w:val="99"/>
    <w:unhideWhenUsed/>
    <w:rsid w:val="00F57B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7BA6"/>
    <w:rPr>
      <w:rFonts w:eastAsiaTheme="minorEastAsia"/>
      <w:kern w:val="0"/>
      <w:sz w:val="22"/>
      <w:szCs w:val="22"/>
      <w14:ligatures w14:val="none"/>
    </w:rPr>
  </w:style>
  <w:style w:type="paragraph" w:styleId="TOCHeading">
    <w:name w:val="TOC Heading"/>
    <w:basedOn w:val="Heading1"/>
    <w:next w:val="Normal"/>
    <w:uiPriority w:val="39"/>
    <w:unhideWhenUsed/>
    <w:qFormat/>
    <w:rsid w:val="00F57BA6"/>
    <w:pPr>
      <w:spacing w:before="240" w:after="0" w:line="259" w:lineRule="auto"/>
      <w:outlineLvl w:val="9"/>
    </w:pPr>
    <w:rPr>
      <w:kern w:val="0"/>
      <w:sz w:val="32"/>
      <w:szCs w:val="3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doi.org/10.3233/SHTI220974" TargetMode="External"/><Relationship Id="rId18" Type="http://schemas.openxmlformats.org/officeDocument/2006/relationships/hyperlink" Target="https://doi.org/10.1016/j.imu.2023.101270"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hyperlink" Target="https://doi.org/10.3389/fdgth.2025.1691142" TargetMode="External"/><Relationship Id="rId17" Type="http://schemas.openxmlformats.org/officeDocument/2006/relationships/hyperlink" Target="https://www.gov.uk/government/publications/data-saves-lives-reshaping-health-and-social-care-with-data" TargetMode="External"/><Relationship Id="rId2" Type="http://schemas.openxmlformats.org/officeDocument/2006/relationships/settings" Target="settings.xml"/><Relationship Id="rId16" Type="http://schemas.openxmlformats.org/officeDocument/2006/relationships/hyperlink" Target="https://doi.org/10.1136/bmjopen-2023-069925"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hyperlink" Target="https://doi.org/10.2196/18579" TargetMode="External"/><Relationship Id="rId10" Type="http://schemas.openxmlformats.org/officeDocument/2006/relationships/image" Target="media/image5.png"/><Relationship Id="rId19" Type="http://schemas.openxmlformats.org/officeDocument/2006/relationships/hyperlink" Target="https://doi.org/10.21275/SR241030061006"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doi.org/10.1186/s13677-023-00571-y"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0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EAE042B-84DA-4E3A-B39B-8303314ABE98}">
  <we:reference id="wa200000368" version="1.0.0.0" store="en-US" storeType="OMEX"/>
  <we:alternateReferences>
    <we:reference id="WA200000368" version="1.0.0.0" store="" storeType="OMEX"/>
  </we:alternateReferences>
  <we:properties>
    <we:property name="documentId" value="&quot;23dcaaea51996bc9&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83</TotalTime>
  <Pages>14</Pages>
  <Words>3149</Words>
  <Characters>17954</Characters>
  <Application>Microsoft Office Word</Application>
  <DocSecurity>0</DocSecurity>
  <Lines>149</Lines>
  <Paragraphs>42</Paragraphs>
  <ScaleCrop>false</ScaleCrop>
  <Company/>
  <LinksUpToDate>false</LinksUpToDate>
  <CharactersWithSpaces>21061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Kelvin Tavares</dc:creator>
  <cp:keywords/>
  <dc:description/>
  <cp:lastModifiedBy>Kelvin Tavares</cp:lastModifiedBy>
  <cp:revision>47</cp:revision>
  <dcterms:created xsi:type="dcterms:W3CDTF">2026-06-29T18:12:00Z</dcterms:created>
  <dcterms:modified xsi:type="dcterms:W3CDTF">2026-07-21T17:38:00Z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92b70a6f-1bf2-43a3-83d1-f7663b9676de</vt:lpwstr>
  </property>
</Properties>
</file>