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154D2" w14:textId="77777777" w:rsidR="00D77B47" w:rsidRDefault="00D77B47" w:rsidP="00D77B47">
      <w:pPr>
        <w:rPr>
          <w:rStyle w:val="Hyperlink"/>
          <w:rFonts w:ascii="Segoe UI" w:hAnsi="Segoe UI" w:cs="Segoe UI"/>
          <w:color w:val="212529"/>
          <w:sz w:val="23"/>
          <w:szCs w:val="23"/>
          <w:u w:val="none"/>
        </w:rPr>
      </w:pPr>
      <w:r>
        <w:fldChar w:fldCharType="begin"/>
      </w:r>
      <w:r>
        <w:instrText xml:space="preserve"> HYPERLINK "https://moodle.uwtsd.ac.uk/course/view.php?id=5908" </w:instrText>
      </w:r>
      <w:r>
        <w:fldChar w:fldCharType="separate"/>
      </w:r>
    </w:p>
    <w:p w14:paraId="739FF2F9" w14:textId="0122C2B3" w:rsidR="00D77B47" w:rsidRDefault="00D77B47" w:rsidP="00D77B47">
      <w:pPr>
        <w:pStyle w:val="Heading1"/>
        <w:spacing w:before="0" w:beforeAutospacing="0"/>
        <w:textAlignment w:val="center"/>
        <w:rPr>
          <w:b w:val="0"/>
          <w:bCs w:val="0"/>
        </w:rPr>
      </w:pPr>
      <w:r>
        <w:rPr>
          <w:rFonts w:ascii="Segoe UI" w:hAnsi="Segoe UI" w:cs="Segoe UI"/>
          <w:b w:val="0"/>
          <w:bCs w:val="0"/>
          <w:color w:val="212529"/>
        </w:rPr>
        <w:t>Professional Career Development (BMSW4005_BIRM</w:t>
      </w:r>
      <w:r>
        <w:rPr>
          <w:rFonts w:ascii="Segoe UI" w:hAnsi="Segoe UI" w:cs="Segoe UI"/>
          <w:b w:val="0"/>
          <w:bCs w:val="0"/>
          <w:color w:val="212529"/>
        </w:rPr>
        <w:t xml:space="preserve"> </w:t>
      </w:r>
      <w:r>
        <w:rPr>
          <w:rFonts w:ascii="Segoe UI" w:hAnsi="Segoe UI" w:cs="Segoe UI"/>
          <w:b w:val="0"/>
          <w:bCs w:val="0"/>
          <w:color w:val="212529"/>
        </w:rPr>
        <w:br/>
        <w:t>Lec</w:t>
      </w:r>
      <w:r w:rsidR="00B6132F">
        <w:rPr>
          <w:rFonts w:ascii="Segoe UI" w:hAnsi="Segoe UI" w:cs="Segoe UI"/>
          <w:b w:val="0"/>
          <w:bCs w:val="0"/>
          <w:color w:val="212529"/>
        </w:rPr>
        <w:t xml:space="preserve">turer : Kingsley </w:t>
      </w:r>
      <w:proofErr w:type="spellStart"/>
      <w:r w:rsidR="00B6132F">
        <w:rPr>
          <w:rFonts w:ascii="Segoe UI" w:hAnsi="Segoe UI" w:cs="Segoe UI"/>
          <w:b w:val="0"/>
          <w:bCs w:val="0"/>
          <w:color w:val="212529"/>
        </w:rPr>
        <w:t>Omaihe</w:t>
      </w:r>
      <w:proofErr w:type="spellEnd"/>
      <w:r w:rsidR="00B6132F">
        <w:rPr>
          <w:rFonts w:ascii="Segoe UI" w:hAnsi="Segoe UI" w:cs="Segoe UI"/>
          <w:b w:val="0"/>
          <w:bCs w:val="0"/>
          <w:color w:val="212529"/>
        </w:rPr>
        <w:br/>
      </w:r>
      <w:r w:rsidR="00F234FB">
        <w:rPr>
          <w:rFonts w:ascii="Segoe UI" w:hAnsi="Segoe UI" w:cs="Segoe UI"/>
          <w:b w:val="0"/>
          <w:bCs w:val="0"/>
          <w:color w:val="212529"/>
        </w:rPr>
        <w:t>Student : Florin Chirnoaga 2129812</w:t>
      </w:r>
      <w:r w:rsidR="004724B2">
        <w:rPr>
          <w:rFonts w:ascii="Segoe UI" w:hAnsi="Segoe UI" w:cs="Segoe UI"/>
          <w:b w:val="0"/>
          <w:bCs w:val="0"/>
          <w:color w:val="212529"/>
        </w:rPr>
        <w:br/>
      </w:r>
      <w:r w:rsidR="004724B2">
        <w:rPr>
          <w:rFonts w:ascii="Segoe UI" w:hAnsi="Segoe UI" w:cs="Segoe UI"/>
          <w:b w:val="0"/>
          <w:bCs w:val="0"/>
          <w:color w:val="212529"/>
        </w:rPr>
        <w:br/>
      </w:r>
      <w:r w:rsidR="004724B2">
        <w:rPr>
          <w:rFonts w:ascii="Segoe UI" w:hAnsi="Segoe UI" w:cs="Segoe UI"/>
          <w:b w:val="0"/>
          <w:bCs w:val="0"/>
          <w:color w:val="212529"/>
        </w:rPr>
        <w:br/>
        <w:t xml:space="preserve">    What are the biggest challenges faced by emer</w:t>
      </w:r>
      <w:r w:rsidR="00E04571">
        <w:rPr>
          <w:rFonts w:ascii="Segoe UI" w:hAnsi="Segoe UI" w:cs="Segoe UI"/>
          <w:b w:val="0"/>
          <w:bCs w:val="0"/>
          <w:color w:val="212529"/>
        </w:rPr>
        <w:t xml:space="preserve">ging nations as technology advances ? </w:t>
      </w:r>
      <w:r w:rsidR="00E04571">
        <w:rPr>
          <w:rFonts w:ascii="Segoe UI" w:hAnsi="Segoe UI" w:cs="Segoe UI"/>
          <w:b w:val="0"/>
          <w:bCs w:val="0"/>
          <w:color w:val="212529"/>
        </w:rPr>
        <w:br/>
      </w:r>
      <w:r w:rsidR="00E04571">
        <w:rPr>
          <w:rFonts w:ascii="Segoe UI" w:hAnsi="Segoe UI" w:cs="Segoe UI"/>
          <w:b w:val="0"/>
          <w:bCs w:val="0"/>
          <w:color w:val="212529"/>
        </w:rPr>
        <w:br/>
      </w:r>
      <w:r w:rsidR="00E04571">
        <w:rPr>
          <w:rFonts w:ascii="Segoe UI" w:hAnsi="Segoe UI" w:cs="Segoe UI"/>
          <w:b w:val="0"/>
          <w:bCs w:val="0"/>
          <w:color w:val="212529"/>
        </w:rPr>
        <w:br/>
      </w:r>
    </w:p>
    <w:p w14:paraId="4200A1BD" w14:textId="5A392FDE" w:rsidR="00451D92" w:rsidRPr="00451D92" w:rsidRDefault="00D77B47" w:rsidP="00D77B47">
      <w:pPr>
        <w:rPr>
          <w:sz w:val="40"/>
          <w:szCs w:val="40"/>
        </w:rPr>
      </w:pPr>
      <w:r>
        <w:fldChar w:fldCharType="end"/>
      </w:r>
      <w:r w:rsidR="00451D92" w:rsidRPr="00451D92">
        <w:rPr>
          <w:sz w:val="40"/>
          <w:szCs w:val="40"/>
        </w:rPr>
        <w:t>The traditional ability of manufacturing to provide both productivity and jobs at a broad scale for unskilled employees is under threat from technology and globalisation. Questions about the necessity of interventions and their potential efficacy are being raised in light of worries about growing inequality both within and between nations. Problems on the Horizon? The following three issues are covered in The Future of Manufacturing-Led Development:</w:t>
      </w:r>
    </w:p>
    <w:p w14:paraId="2D49B2A4" w14:textId="77777777" w:rsidR="00451D92" w:rsidRPr="00451D92" w:rsidRDefault="00451D92" w:rsidP="00451D92">
      <w:pPr>
        <w:rPr>
          <w:sz w:val="40"/>
          <w:szCs w:val="40"/>
        </w:rPr>
      </w:pPr>
    </w:p>
    <w:p w14:paraId="7F571564" w14:textId="77777777" w:rsidR="00451D92" w:rsidRPr="00451D92" w:rsidRDefault="00451D92" w:rsidP="00451D92">
      <w:pPr>
        <w:rPr>
          <w:sz w:val="40"/>
          <w:szCs w:val="40"/>
        </w:rPr>
      </w:pPr>
      <w:r w:rsidRPr="00451D92">
        <w:rPr>
          <w:sz w:val="40"/>
          <w:szCs w:val="40"/>
        </w:rPr>
        <w:lastRenderedPageBreak/>
        <w:t>What changes in the global manufacturing scene are important for development opportunities, and why?</w:t>
      </w:r>
    </w:p>
    <w:p w14:paraId="4ADC9909" w14:textId="77777777" w:rsidR="00451D92" w:rsidRPr="00451D92" w:rsidRDefault="00451D92" w:rsidP="00451D92">
      <w:pPr>
        <w:rPr>
          <w:sz w:val="40"/>
          <w:szCs w:val="40"/>
        </w:rPr>
      </w:pPr>
      <w:r w:rsidRPr="00451D92">
        <w:rPr>
          <w:sz w:val="40"/>
          <w:szCs w:val="40"/>
        </w:rPr>
        <w:t>How are new globalisation and technological developments going to affect the viability and appeal of manufacturing-led development in the future?</w:t>
      </w:r>
    </w:p>
    <w:p w14:paraId="256B79C9" w14:textId="30CD3509" w:rsidR="00E233F0" w:rsidRPr="00E233F0" w:rsidRDefault="00451D92" w:rsidP="00E233F0">
      <w:pPr>
        <w:rPr>
          <w:sz w:val="40"/>
          <w:szCs w:val="40"/>
        </w:rPr>
      </w:pPr>
      <w:r w:rsidRPr="00451D92">
        <w:rPr>
          <w:sz w:val="40"/>
          <w:szCs w:val="40"/>
        </w:rPr>
        <w:t>How can less industrialised nations take advantage of any new opportunities that emerging technologies and globalisation trends may present if low wages are likely to be less significant in defining competitiveness?</w:t>
      </w:r>
      <w:r w:rsidR="00774CB4" w:rsidRPr="00774CB4">
        <w:t xml:space="preserve"> </w:t>
      </w:r>
      <w:r w:rsidR="00A53F8B">
        <w:t xml:space="preserve">   </w:t>
      </w:r>
      <w:r w:rsidR="00402F52">
        <w:t xml:space="preserve"> </w:t>
      </w:r>
      <w:r w:rsidR="00DD3D74">
        <w:t xml:space="preserve">  </w:t>
      </w:r>
      <w:r w:rsidR="00A53F8B">
        <w:rPr>
          <w:sz w:val="40"/>
          <w:szCs w:val="40"/>
        </w:rPr>
        <w:t>E</w:t>
      </w:r>
      <w:r w:rsidR="00774CB4" w:rsidRPr="00774CB4">
        <w:rPr>
          <w:sz w:val="40"/>
          <w:szCs w:val="40"/>
        </w:rPr>
        <w:t>conomists have maintained that spending on innovation and technical advancement can result in significant increases in productivity. This volume shows how little is being invested by governments and businesses in underdeveloped countries to tap on this enormous potential. The authors find that the lack of complementary physical and human capital characteristics, particularly firm managerial qualities, which are required to realise the returns on innovation investments, is the key to this innovation dilemma. Therefore, countries must rebalance policy away from R&amp;D-</w:t>
      </w:r>
      <w:proofErr w:type="spellStart"/>
      <w:r w:rsidR="00774CB4" w:rsidRPr="00774CB4">
        <w:rPr>
          <w:sz w:val="40"/>
          <w:szCs w:val="40"/>
        </w:rPr>
        <w:t>centered</w:t>
      </w:r>
      <w:proofErr w:type="spellEnd"/>
      <w:r w:rsidR="00774CB4" w:rsidRPr="00774CB4">
        <w:rPr>
          <w:sz w:val="40"/>
          <w:szCs w:val="40"/>
        </w:rPr>
        <w:t xml:space="preserve"> initiatives, which are likely to fail in the absence of sophisticated private sector partners, and towards building firm capabilities. They also need to adopt an expanded concept of the National Innovation System that incorporates a wider range of mark</w:t>
      </w:r>
      <w:r w:rsidR="00867AC7">
        <w:rPr>
          <w:sz w:val="40"/>
          <w:szCs w:val="40"/>
        </w:rPr>
        <w:t>et .</w:t>
      </w:r>
    </w:p>
    <w:p w14:paraId="272BCB8B" w14:textId="77777777" w:rsidR="00E233F0" w:rsidRPr="00E233F0" w:rsidRDefault="00E233F0" w:rsidP="00E233F0">
      <w:pPr>
        <w:rPr>
          <w:sz w:val="40"/>
          <w:szCs w:val="40"/>
        </w:rPr>
      </w:pPr>
    </w:p>
    <w:p w14:paraId="562C5DD3" w14:textId="77777777" w:rsidR="00E233F0" w:rsidRPr="00E233F0" w:rsidRDefault="00E233F0" w:rsidP="00E233F0">
      <w:pPr>
        <w:rPr>
          <w:sz w:val="40"/>
          <w:szCs w:val="40"/>
        </w:rPr>
      </w:pPr>
      <w:r w:rsidRPr="00E233F0">
        <w:rPr>
          <w:sz w:val="40"/>
          <w:szCs w:val="40"/>
        </w:rPr>
        <w:t>The paper emphasises the necessity of bolstering national innovation institutions in emerging nations to speed up technological advancement, including advancements in infrastructure and innovation financing.</w:t>
      </w:r>
    </w:p>
    <w:p w14:paraId="7F1848AE" w14:textId="77777777" w:rsidR="00E233F0" w:rsidRPr="00E233F0" w:rsidRDefault="00E233F0" w:rsidP="00E233F0">
      <w:pPr>
        <w:rPr>
          <w:sz w:val="40"/>
          <w:szCs w:val="40"/>
        </w:rPr>
      </w:pPr>
    </w:p>
    <w:p w14:paraId="61A94407" w14:textId="77777777" w:rsidR="00E233F0" w:rsidRPr="00E233F0" w:rsidRDefault="00E233F0" w:rsidP="00E233F0">
      <w:pPr>
        <w:rPr>
          <w:sz w:val="40"/>
          <w:szCs w:val="40"/>
        </w:rPr>
      </w:pPr>
    </w:p>
    <w:p w14:paraId="35A3B475" w14:textId="77777777" w:rsidR="00E233F0" w:rsidRPr="00E233F0" w:rsidRDefault="00E233F0" w:rsidP="00E233F0">
      <w:pPr>
        <w:rPr>
          <w:sz w:val="40"/>
          <w:szCs w:val="40"/>
        </w:rPr>
      </w:pPr>
      <w:r w:rsidRPr="00E233F0">
        <w:rPr>
          <w:sz w:val="40"/>
          <w:szCs w:val="40"/>
        </w:rPr>
        <w:t>Learning, adopting, and spreading knowledge and technology to support sustainable development is the underlying issue for poor countries to realise the benefits of frontier technologies, as much as from more established ones. This is a crucial prerequisite for technology transfer, which is meant to support rather than replace initiatives to increase endogenous innovation potential.</w:t>
      </w:r>
    </w:p>
    <w:p w14:paraId="644EC644" w14:textId="77777777" w:rsidR="00E233F0" w:rsidRPr="00E233F0" w:rsidRDefault="00E233F0" w:rsidP="00E233F0">
      <w:pPr>
        <w:rPr>
          <w:sz w:val="40"/>
          <w:szCs w:val="40"/>
        </w:rPr>
      </w:pPr>
    </w:p>
    <w:p w14:paraId="10B9FE5C" w14:textId="77777777" w:rsidR="009B0204" w:rsidRPr="009B0204" w:rsidRDefault="00E233F0" w:rsidP="009B0204">
      <w:pPr>
        <w:rPr>
          <w:sz w:val="40"/>
          <w:szCs w:val="40"/>
        </w:rPr>
      </w:pPr>
      <w:r w:rsidRPr="00E233F0">
        <w:rPr>
          <w:sz w:val="40"/>
          <w:szCs w:val="40"/>
        </w:rPr>
        <w:t xml:space="preserve">Success depends on effective innovation mechanisms, which are less effective in underdeveloped nations. While focusing on businesses, innovation systems also include systems for research and education, as well as those for government, civil society, and consumers. </w:t>
      </w:r>
      <w:r w:rsidR="00E00B94">
        <w:rPr>
          <w:sz w:val="40"/>
          <w:szCs w:val="40"/>
        </w:rPr>
        <w:br/>
        <w:t xml:space="preserve">   </w:t>
      </w:r>
      <w:r w:rsidR="009B0204" w:rsidRPr="009B0204">
        <w:rPr>
          <w:sz w:val="40"/>
          <w:szCs w:val="40"/>
        </w:rPr>
        <w:t xml:space="preserve">Consumers may experience power imbalances and knowledge asymmetries as a result of using AI and </w:t>
      </w:r>
      <w:r w:rsidR="009B0204" w:rsidRPr="009B0204">
        <w:rPr>
          <w:sz w:val="40"/>
          <w:szCs w:val="40"/>
        </w:rPr>
        <w:lastRenderedPageBreak/>
        <w:t>machine learning. AI-based applications generate fresh, unresolved legal issues, and consumer law is no exception.</w:t>
      </w:r>
    </w:p>
    <w:p w14:paraId="4A5FCDD7" w14:textId="77777777" w:rsidR="009B0204" w:rsidRPr="009B0204" w:rsidRDefault="009B0204" w:rsidP="009B0204">
      <w:pPr>
        <w:rPr>
          <w:sz w:val="40"/>
          <w:szCs w:val="40"/>
        </w:rPr>
      </w:pPr>
    </w:p>
    <w:p w14:paraId="58688759" w14:textId="77777777" w:rsidR="009B0204" w:rsidRPr="009B0204" w:rsidRDefault="009B0204" w:rsidP="009B0204">
      <w:pPr>
        <w:rPr>
          <w:sz w:val="40"/>
          <w:szCs w:val="40"/>
        </w:rPr>
      </w:pPr>
    </w:p>
    <w:p w14:paraId="7245979E" w14:textId="77777777" w:rsidR="00F40B44" w:rsidRPr="00F40B44" w:rsidRDefault="009B0204" w:rsidP="00F40B44">
      <w:pPr>
        <w:rPr>
          <w:sz w:val="40"/>
          <w:szCs w:val="40"/>
        </w:rPr>
      </w:pPr>
      <w:r w:rsidRPr="009B0204">
        <w:rPr>
          <w:sz w:val="40"/>
          <w:szCs w:val="40"/>
        </w:rPr>
        <w:t>specialised marketing. Big data analytics using self-learning algorithms allows private organisations the chance to obtain a thorough understanding of a person's particular circumstances, behavioural tendencies, and personality (purchases, sites visited, likes on social networks). Businesses can use the results of behavioural economics to exploit the consumer's biases and/or desire to pay by tailoring their advertising, prices, and contract terms to the specific customer profile. AI-based insights can also be used to score consumers and determine whether they can buy a product or sign up for a service.</w:t>
      </w:r>
      <w:r w:rsidR="00F40B44">
        <w:rPr>
          <w:sz w:val="40"/>
          <w:szCs w:val="40"/>
        </w:rPr>
        <w:br/>
      </w:r>
      <w:r w:rsidR="00F40B44">
        <w:rPr>
          <w:sz w:val="40"/>
          <w:szCs w:val="40"/>
        </w:rPr>
        <w:br/>
        <w:t>Conclusion :</w:t>
      </w:r>
      <w:r w:rsidR="00F40B44">
        <w:rPr>
          <w:sz w:val="40"/>
          <w:szCs w:val="40"/>
        </w:rPr>
        <w:br/>
      </w:r>
      <w:r w:rsidR="00F40B44" w:rsidRPr="00F40B44">
        <w:rPr>
          <w:sz w:val="40"/>
          <w:szCs w:val="40"/>
        </w:rPr>
        <w:t>To address the hazards and perils that the current computing and communications revolution poses to contemporary society, rigorous social science research is necessary. Such research would be useful for both technology design and social policy.</w:t>
      </w:r>
    </w:p>
    <w:p w14:paraId="72D684DA" w14:textId="77777777" w:rsidR="00F40B44" w:rsidRPr="00F40B44" w:rsidRDefault="00F40B44" w:rsidP="00F40B44">
      <w:pPr>
        <w:rPr>
          <w:sz w:val="40"/>
          <w:szCs w:val="40"/>
        </w:rPr>
      </w:pPr>
    </w:p>
    <w:p w14:paraId="2CFAD7F2" w14:textId="2AB39429" w:rsidR="00E00B94" w:rsidRPr="00E00B94" w:rsidRDefault="00F40B44" w:rsidP="00F40B44">
      <w:pPr>
        <w:rPr>
          <w:sz w:val="40"/>
          <w:szCs w:val="40"/>
        </w:rPr>
      </w:pPr>
      <w:r w:rsidRPr="00F40B44">
        <w:rPr>
          <w:sz w:val="40"/>
          <w:szCs w:val="40"/>
        </w:rPr>
        <w:lastRenderedPageBreak/>
        <w:t>Decisions must be thoroughly considered. Many decisions made now will cost money or be challenging to change in the future.</w:t>
      </w:r>
    </w:p>
    <w:p w14:paraId="2E3B3888" w14:textId="77777777" w:rsidR="00E00B94" w:rsidRPr="00E00B94" w:rsidRDefault="00E00B94" w:rsidP="00E00B94">
      <w:pPr>
        <w:rPr>
          <w:sz w:val="40"/>
          <w:szCs w:val="40"/>
        </w:rPr>
      </w:pPr>
    </w:p>
    <w:p w14:paraId="0BE7C3EB" w14:textId="53B490DF" w:rsidR="00451D92" w:rsidRPr="00451D92" w:rsidRDefault="00E00B94" w:rsidP="00E00B94">
      <w:pPr>
        <w:rPr>
          <w:sz w:val="40"/>
          <w:szCs w:val="40"/>
        </w:rPr>
      </w:pPr>
      <w:r w:rsidRPr="00E00B94">
        <w:rPr>
          <w:sz w:val="40"/>
          <w:szCs w:val="40"/>
        </w:rPr>
        <w:t>.</w:t>
      </w:r>
    </w:p>
    <w:p w14:paraId="137381B2" w14:textId="6A26CE96" w:rsidR="00643150" w:rsidRPr="00F76D49" w:rsidRDefault="009706EF" w:rsidP="00451D92">
      <w:pPr>
        <w:rPr>
          <w:sz w:val="40"/>
          <w:szCs w:val="40"/>
        </w:rPr>
      </w:pPr>
      <w:r>
        <w:rPr>
          <w:sz w:val="40"/>
          <w:szCs w:val="40"/>
        </w:rPr>
        <w:br/>
      </w:r>
      <w:r>
        <w:rPr>
          <w:sz w:val="40"/>
          <w:szCs w:val="40"/>
        </w:rPr>
        <w:br/>
      </w:r>
      <w:r>
        <w:rPr>
          <w:sz w:val="40"/>
          <w:szCs w:val="40"/>
        </w:rPr>
        <w:br/>
      </w:r>
      <w:r>
        <w:rPr>
          <w:sz w:val="40"/>
          <w:szCs w:val="40"/>
        </w:rPr>
        <w:br/>
        <w:t>References :</w:t>
      </w:r>
      <w:r w:rsidR="00110EA1">
        <w:rPr>
          <w:sz w:val="40"/>
          <w:szCs w:val="40"/>
        </w:rPr>
        <w:br/>
      </w:r>
      <w:r>
        <w:rPr>
          <w:sz w:val="40"/>
          <w:szCs w:val="40"/>
        </w:rPr>
        <w:t xml:space="preserve"> </w:t>
      </w:r>
      <w:r>
        <w:rPr>
          <w:rFonts w:ascii="Calibri" w:hAnsi="Calibri" w:cs="Calibri"/>
          <w:color w:val="2C3E50"/>
          <w:sz w:val="27"/>
          <w:szCs w:val="27"/>
          <w:shd w:val="clear" w:color="auto" w:fill="FEF1C4"/>
        </w:rPr>
        <w:t>unctad.org. (2018). </w:t>
      </w:r>
      <w:r>
        <w:rPr>
          <w:rFonts w:ascii="Calibri" w:hAnsi="Calibri" w:cs="Calibri"/>
          <w:i/>
          <w:iCs/>
          <w:color w:val="2C3E50"/>
          <w:sz w:val="27"/>
          <w:szCs w:val="27"/>
          <w:shd w:val="clear" w:color="auto" w:fill="FEF1C4"/>
        </w:rPr>
        <w:t>Report: new technology can fix global problems if managed well | UNCTAD</w:t>
      </w:r>
      <w:r>
        <w:rPr>
          <w:rFonts w:ascii="Calibri" w:hAnsi="Calibri" w:cs="Calibri"/>
          <w:color w:val="2C3E50"/>
          <w:sz w:val="27"/>
          <w:szCs w:val="27"/>
          <w:shd w:val="clear" w:color="auto" w:fill="FEF1C4"/>
        </w:rPr>
        <w:t>. [online] Available at: https://unctad.org/news/report-new-technology-can-fix-global-problems-if-managed-well [Accessed 12 Feb. 2023].</w:t>
      </w:r>
      <w:r w:rsidR="00E13EDA">
        <w:rPr>
          <w:rFonts w:ascii="Calibri" w:hAnsi="Calibri" w:cs="Calibri"/>
          <w:color w:val="2C3E50"/>
          <w:sz w:val="27"/>
          <w:szCs w:val="27"/>
          <w:shd w:val="clear" w:color="auto" w:fill="FEF1C4"/>
        </w:rPr>
        <w:br/>
      </w:r>
      <w:r w:rsidR="00E13EDA">
        <w:rPr>
          <w:rFonts w:ascii="Calibri" w:hAnsi="Calibri" w:cs="Calibri"/>
          <w:color w:val="2C3E50"/>
          <w:sz w:val="27"/>
          <w:szCs w:val="27"/>
          <w:shd w:val="clear" w:color="auto" w:fill="FEF1C4"/>
        </w:rPr>
        <w:t>Lufkin, B. (2017). </w:t>
      </w:r>
      <w:r w:rsidR="00E13EDA">
        <w:rPr>
          <w:rFonts w:ascii="Calibri" w:hAnsi="Calibri" w:cs="Calibri"/>
          <w:i/>
          <w:iCs/>
          <w:color w:val="2C3E50"/>
          <w:sz w:val="27"/>
          <w:szCs w:val="27"/>
          <w:shd w:val="clear" w:color="auto" w:fill="FEF1C4"/>
        </w:rPr>
        <w:t>50 grand challenges for the 21st Century</w:t>
      </w:r>
      <w:r w:rsidR="00E13EDA">
        <w:rPr>
          <w:rFonts w:ascii="Calibri" w:hAnsi="Calibri" w:cs="Calibri"/>
          <w:color w:val="2C3E50"/>
          <w:sz w:val="27"/>
          <w:szCs w:val="27"/>
          <w:shd w:val="clear" w:color="auto" w:fill="FEF1C4"/>
        </w:rPr>
        <w:t>. [online] Bbc.com. Available at: https://www.bbc.com/future/article/20170331-50-grand-challenges-for-the-21st-century.</w:t>
      </w:r>
      <w:r w:rsidR="0080638D">
        <w:rPr>
          <w:rFonts w:ascii="Calibri" w:hAnsi="Calibri" w:cs="Calibri"/>
          <w:color w:val="2C3E50"/>
          <w:sz w:val="27"/>
          <w:szCs w:val="27"/>
          <w:shd w:val="clear" w:color="auto" w:fill="FEF1C4"/>
        </w:rPr>
        <w:br/>
      </w:r>
      <w:r w:rsidR="0080638D">
        <w:rPr>
          <w:rFonts w:ascii="Calibri" w:hAnsi="Calibri" w:cs="Calibri"/>
          <w:color w:val="2C3E50"/>
          <w:sz w:val="27"/>
          <w:szCs w:val="27"/>
          <w:shd w:val="clear" w:color="auto" w:fill="FEF1C4"/>
        </w:rPr>
        <w:t>World Bank. (n.d.). </w:t>
      </w:r>
      <w:r w:rsidR="0080638D">
        <w:rPr>
          <w:rFonts w:ascii="Calibri" w:hAnsi="Calibri" w:cs="Calibri"/>
          <w:i/>
          <w:iCs/>
          <w:color w:val="2C3E50"/>
          <w:sz w:val="27"/>
          <w:szCs w:val="27"/>
          <w:shd w:val="clear" w:color="auto" w:fill="FEF1C4"/>
        </w:rPr>
        <w:t>Low Innovation is a Critical Barrier to Developing-Country Growth</w:t>
      </w:r>
      <w:r w:rsidR="0080638D">
        <w:rPr>
          <w:rFonts w:ascii="Calibri" w:hAnsi="Calibri" w:cs="Calibri"/>
          <w:color w:val="2C3E50"/>
          <w:sz w:val="27"/>
          <w:szCs w:val="27"/>
          <w:shd w:val="clear" w:color="auto" w:fill="FEF1C4"/>
        </w:rPr>
        <w:t>. [online] Available at: https://www.worldbank.org/en/news/press-release/2017/10/02/low-innovation-is-a-critical-barrier-to-developing-country-growth.</w:t>
      </w:r>
      <w:r w:rsidR="000848F9">
        <w:rPr>
          <w:rFonts w:ascii="Calibri" w:hAnsi="Calibri" w:cs="Calibri"/>
          <w:color w:val="2C3E50"/>
          <w:sz w:val="27"/>
          <w:szCs w:val="27"/>
          <w:shd w:val="clear" w:color="auto" w:fill="FEF1C4"/>
        </w:rPr>
        <w:br/>
      </w:r>
      <w:r w:rsidR="000848F9">
        <w:rPr>
          <w:rFonts w:ascii="Calibri" w:hAnsi="Calibri" w:cs="Calibri"/>
          <w:color w:val="2C3E50"/>
          <w:sz w:val="27"/>
          <w:szCs w:val="27"/>
          <w:shd w:val="clear" w:color="auto" w:fill="FEF1C4"/>
        </w:rPr>
        <w:t>digitalregulation.org. (n.d.). </w:t>
      </w:r>
      <w:r w:rsidR="000848F9">
        <w:rPr>
          <w:rFonts w:ascii="Calibri" w:hAnsi="Calibri" w:cs="Calibri"/>
          <w:i/>
          <w:iCs/>
          <w:color w:val="2C3E50"/>
          <w:sz w:val="27"/>
          <w:szCs w:val="27"/>
          <w:shd w:val="clear" w:color="auto" w:fill="FEF1C4"/>
        </w:rPr>
        <w:t>Digital Regulation Platform</w:t>
      </w:r>
      <w:r w:rsidR="000848F9">
        <w:rPr>
          <w:rFonts w:ascii="Calibri" w:hAnsi="Calibri" w:cs="Calibri"/>
          <w:color w:val="2C3E50"/>
          <w:sz w:val="27"/>
          <w:szCs w:val="27"/>
          <w:shd w:val="clear" w:color="auto" w:fill="FEF1C4"/>
        </w:rPr>
        <w:t>. [online] Available at: https://digitalregulation.org/3004297-2/.</w:t>
      </w:r>
      <w:r w:rsidR="00BE0B1C">
        <w:rPr>
          <w:rFonts w:ascii="Calibri" w:hAnsi="Calibri" w:cs="Calibri"/>
          <w:color w:val="2C3E50"/>
          <w:sz w:val="27"/>
          <w:szCs w:val="27"/>
          <w:shd w:val="clear" w:color="auto" w:fill="FEF1C4"/>
        </w:rPr>
        <w:br/>
      </w:r>
      <w:proofErr w:type="spellStart"/>
      <w:r w:rsidR="00BE0B1C">
        <w:rPr>
          <w:rFonts w:ascii="Calibri" w:hAnsi="Calibri" w:cs="Calibri"/>
          <w:color w:val="2C3E50"/>
          <w:sz w:val="27"/>
          <w:szCs w:val="27"/>
          <w:shd w:val="clear" w:color="auto" w:fill="FEF1C4"/>
        </w:rPr>
        <w:t>Konsbruck</w:t>
      </w:r>
      <w:proofErr w:type="spellEnd"/>
      <w:r w:rsidR="00BE0B1C">
        <w:rPr>
          <w:rFonts w:ascii="Calibri" w:hAnsi="Calibri" w:cs="Calibri"/>
          <w:color w:val="2C3E50"/>
          <w:sz w:val="27"/>
          <w:szCs w:val="27"/>
          <w:shd w:val="clear" w:color="auto" w:fill="FEF1C4"/>
        </w:rPr>
        <w:t xml:space="preserve"> Robert Lee (2002). </w:t>
      </w:r>
      <w:r w:rsidR="00BE0B1C">
        <w:rPr>
          <w:rFonts w:ascii="Calibri" w:hAnsi="Calibri" w:cs="Calibri"/>
          <w:i/>
          <w:iCs/>
          <w:color w:val="2C3E50"/>
          <w:sz w:val="27"/>
          <w:szCs w:val="27"/>
          <w:shd w:val="clear" w:color="auto" w:fill="FEF1C4"/>
        </w:rPr>
        <w:t>Impacts of Information Technology on Society in the new Century</w:t>
      </w:r>
      <w:r w:rsidR="00BE0B1C">
        <w:rPr>
          <w:rFonts w:ascii="Calibri" w:hAnsi="Calibri" w:cs="Calibri"/>
          <w:color w:val="2C3E50"/>
          <w:sz w:val="27"/>
          <w:szCs w:val="27"/>
          <w:shd w:val="clear" w:color="auto" w:fill="FEF1C4"/>
        </w:rPr>
        <w:t>. [online] Available at: https://www.zurich.ibm.com/pdf/news/Konsbruck.pdf.</w:t>
      </w:r>
    </w:p>
    <w:sectPr w:rsidR="00643150" w:rsidRPr="00F76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A95"/>
    <w:rsid w:val="00006F60"/>
    <w:rsid w:val="000620D8"/>
    <w:rsid w:val="000848F9"/>
    <w:rsid w:val="00110EA1"/>
    <w:rsid w:val="00111298"/>
    <w:rsid w:val="001724C8"/>
    <w:rsid w:val="00222B10"/>
    <w:rsid w:val="002452DA"/>
    <w:rsid w:val="00265410"/>
    <w:rsid w:val="00304FF2"/>
    <w:rsid w:val="00342484"/>
    <w:rsid w:val="003B2BED"/>
    <w:rsid w:val="003D0C95"/>
    <w:rsid w:val="00402F52"/>
    <w:rsid w:val="00402FBF"/>
    <w:rsid w:val="00421A95"/>
    <w:rsid w:val="00451D92"/>
    <w:rsid w:val="004724B2"/>
    <w:rsid w:val="00643150"/>
    <w:rsid w:val="007464F4"/>
    <w:rsid w:val="00774CB4"/>
    <w:rsid w:val="007C135F"/>
    <w:rsid w:val="0080638D"/>
    <w:rsid w:val="0084119E"/>
    <w:rsid w:val="00867AC7"/>
    <w:rsid w:val="008774D4"/>
    <w:rsid w:val="008860B3"/>
    <w:rsid w:val="009706EF"/>
    <w:rsid w:val="009B0204"/>
    <w:rsid w:val="00A165FB"/>
    <w:rsid w:val="00A53F8B"/>
    <w:rsid w:val="00B6132F"/>
    <w:rsid w:val="00BE0B1C"/>
    <w:rsid w:val="00BF5887"/>
    <w:rsid w:val="00C32974"/>
    <w:rsid w:val="00C73EC1"/>
    <w:rsid w:val="00D531B4"/>
    <w:rsid w:val="00D77B47"/>
    <w:rsid w:val="00DD3D74"/>
    <w:rsid w:val="00E00B94"/>
    <w:rsid w:val="00E04571"/>
    <w:rsid w:val="00E13EDA"/>
    <w:rsid w:val="00E233F0"/>
    <w:rsid w:val="00E360F8"/>
    <w:rsid w:val="00F234FB"/>
    <w:rsid w:val="00F40B44"/>
    <w:rsid w:val="00F46240"/>
    <w:rsid w:val="00F76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A5B5A"/>
  <w15:chartTrackingRefBased/>
  <w15:docId w15:val="{33B482CC-6EA1-4B9C-BD94-8526B40D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60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0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E360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4984">
      <w:bodyDiv w:val="1"/>
      <w:marLeft w:val="0"/>
      <w:marRight w:val="0"/>
      <w:marTop w:val="0"/>
      <w:marBottom w:val="0"/>
      <w:divBdr>
        <w:top w:val="none" w:sz="0" w:space="0" w:color="auto"/>
        <w:left w:val="none" w:sz="0" w:space="0" w:color="auto"/>
        <w:bottom w:val="none" w:sz="0" w:space="0" w:color="auto"/>
        <w:right w:val="none" w:sz="0" w:space="0" w:color="auto"/>
      </w:divBdr>
      <w:divsChild>
        <w:div w:id="553470598">
          <w:marLeft w:val="0"/>
          <w:marRight w:val="0"/>
          <w:marTop w:val="0"/>
          <w:marBottom w:val="0"/>
          <w:divBdr>
            <w:top w:val="none" w:sz="0" w:space="0" w:color="auto"/>
            <w:left w:val="none" w:sz="0" w:space="0" w:color="auto"/>
            <w:bottom w:val="none" w:sz="0" w:space="0" w:color="auto"/>
            <w:right w:val="none" w:sz="0" w:space="0" w:color="auto"/>
          </w:divBdr>
          <w:divsChild>
            <w:div w:id="118262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61914">
      <w:bodyDiv w:val="1"/>
      <w:marLeft w:val="0"/>
      <w:marRight w:val="0"/>
      <w:marTop w:val="0"/>
      <w:marBottom w:val="0"/>
      <w:divBdr>
        <w:top w:val="none" w:sz="0" w:space="0" w:color="auto"/>
        <w:left w:val="none" w:sz="0" w:space="0" w:color="auto"/>
        <w:bottom w:val="none" w:sz="0" w:space="0" w:color="auto"/>
        <w:right w:val="none" w:sz="0" w:space="0" w:color="auto"/>
      </w:divBdr>
      <w:divsChild>
        <w:div w:id="2066176734">
          <w:marLeft w:val="0"/>
          <w:marRight w:val="0"/>
          <w:marTop w:val="0"/>
          <w:marBottom w:val="0"/>
          <w:divBdr>
            <w:top w:val="none" w:sz="0" w:space="0" w:color="auto"/>
            <w:left w:val="none" w:sz="0" w:space="0" w:color="auto"/>
            <w:bottom w:val="none" w:sz="0" w:space="0" w:color="auto"/>
            <w:right w:val="none" w:sz="0" w:space="0" w:color="auto"/>
          </w:divBdr>
          <w:divsChild>
            <w:div w:id="55727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62370">
      <w:bodyDiv w:val="1"/>
      <w:marLeft w:val="0"/>
      <w:marRight w:val="0"/>
      <w:marTop w:val="0"/>
      <w:marBottom w:val="0"/>
      <w:divBdr>
        <w:top w:val="none" w:sz="0" w:space="0" w:color="auto"/>
        <w:left w:val="none" w:sz="0" w:space="0" w:color="auto"/>
        <w:bottom w:val="none" w:sz="0" w:space="0" w:color="auto"/>
        <w:right w:val="none" w:sz="0" w:space="0" w:color="auto"/>
      </w:divBdr>
      <w:divsChild>
        <w:div w:id="1499229656">
          <w:marLeft w:val="0"/>
          <w:marRight w:val="0"/>
          <w:marTop w:val="0"/>
          <w:marBottom w:val="0"/>
          <w:divBdr>
            <w:top w:val="none" w:sz="0" w:space="0" w:color="auto"/>
            <w:left w:val="none" w:sz="0" w:space="0" w:color="auto"/>
            <w:bottom w:val="none" w:sz="0" w:space="0" w:color="auto"/>
            <w:right w:val="none" w:sz="0" w:space="0" w:color="auto"/>
          </w:divBdr>
          <w:divsChild>
            <w:div w:id="143498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5</Pages>
  <Words>755</Words>
  <Characters>4306</Characters>
  <Application>Microsoft Office Word</Application>
  <DocSecurity>0</DocSecurity>
  <Lines>35</Lines>
  <Paragraphs>10</Paragraphs>
  <ScaleCrop>false</ScaleCrop>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Chirnoaga</dc:creator>
  <cp:keywords/>
  <dc:description/>
  <cp:lastModifiedBy>Florin Chirnoaga</cp:lastModifiedBy>
  <cp:revision>47</cp:revision>
  <dcterms:created xsi:type="dcterms:W3CDTF">2023-02-12T12:58:00Z</dcterms:created>
  <dcterms:modified xsi:type="dcterms:W3CDTF">2023-02-12T15:33:00Z</dcterms:modified>
</cp:coreProperties>
</file>