
<file path=[Content_Types].xml><?xml version="1.0" encoding="utf-8"?>
<Types xmlns="http://schemas.openxmlformats.org/package/2006/content-types">
  <Default Extension="xml" ContentType="application/xml"/>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endnotes.xml" ContentType="application/vnd.openxmlformats-officedocument.wordprocessingml.endnotes+xml"/>
  <Override PartName="/word/fontTable.xml" ContentType="application/vnd.openxmlformats-officedocument.wordprocessingml.fontTable+xml"/>
  <Override PartName="/word/footer1.xml" ContentType="application/vnd.openxmlformats-officedocument.wordprocessingml.footer+xml"/>
  <Override PartName="/word/footnotes.xml" ContentType="application/vnd.openxmlformats-officedocument.wordprocessingml.footnotes+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9"/>
      </w:pPr>
      <w:bookmarkStart w:id="8" w:name="_GoBack"/>
      <w:bookmarkEnd w:id="8"/>
    </w:p>
    <w:p/>
    <w:p>
      <w:pPr>
        <w:pStyle w:val="9"/>
      </w:pPr>
    </w:p>
    <w:p/>
    <w:p/>
    <w:p/>
    <w:p/>
    <w:p/>
    <w:p/>
    <w:p>
      <w:pPr>
        <w:jc w:val="center"/>
      </w:pPr>
    </w:p>
    <w:p>
      <w:pPr>
        <w:pStyle w:val="9"/>
      </w:pPr>
      <w:r>
        <w:t>Health and well-being initiatives in Wales Supporting Paper</w:t>
      </w:r>
    </w:p>
    <w:p/>
    <w:p/>
    <w:p/>
    <w:p/>
    <w:p/>
    <w:p/>
    <w:p/>
    <w:p/>
    <w:p/>
    <w:p>
      <w:pPr>
        <w:rPr>
          <w:b/>
          <w:bCs/>
        </w:rPr>
      </w:pPr>
      <w:r>
        <w:rPr>
          <w:b/>
          <w:bCs/>
        </w:rPr>
        <w:t>Student Name: Cristiana Roman</w:t>
      </w:r>
    </w:p>
    <w:p>
      <w:pPr>
        <w:rPr>
          <w:b/>
          <w:bCs/>
        </w:rPr>
      </w:pPr>
      <w:r>
        <w:rPr>
          <w:b/>
          <w:bCs/>
        </w:rPr>
        <w:t>Student number: 1920096</w:t>
      </w:r>
    </w:p>
    <w:p>
      <w:pPr>
        <w:rPr>
          <w:rFonts w:eastAsiaTheme="majorEastAsia" w:cstheme="majorBidi"/>
          <w:spacing w:val="-10"/>
          <w:kern w:val="28"/>
          <w:sz w:val="36"/>
          <w:szCs w:val="56"/>
        </w:rPr>
      </w:pPr>
      <w:r>
        <w:br w:type="page"/>
      </w:r>
    </w:p>
    <w:p/>
    <w:sdt>
      <w:sdtPr>
        <w:rPr>
          <w:rFonts w:ascii="Times New Roman" w:hAnsi="Times New Roman" w:eastAsiaTheme="minorHAnsi" w:cstheme="minorBidi"/>
          <w:color w:val="auto"/>
          <w:sz w:val="24"/>
          <w:szCs w:val="22"/>
          <w:lang w:val="en-IN"/>
        </w:rPr>
        <w:id w:val="1548882178"/>
        <w:docPartObj>
          <w:docPartGallery w:val="Table of Contents"/>
          <w:docPartUnique/>
        </w:docPartObj>
      </w:sdtPr>
      <w:sdtEndPr>
        <w:rPr>
          <w:rFonts w:ascii="Times New Roman" w:hAnsi="Times New Roman" w:eastAsiaTheme="minorHAnsi" w:cstheme="minorBidi"/>
          <w:b/>
          <w:bCs/>
          <w:color w:val="auto"/>
          <w:sz w:val="24"/>
          <w:szCs w:val="22"/>
          <w:lang w:val="en-IN"/>
        </w:rPr>
      </w:sdtEndPr>
      <w:sdtContent>
        <w:p>
          <w:pPr>
            <w:pStyle w:val="16"/>
            <w:jc w:val="center"/>
            <w:rPr>
              <w:rFonts w:ascii="Times New Roman" w:hAnsi="Times New Roman" w:cs="Times New Roman"/>
              <w:b/>
              <w:color w:val="44546A" w:themeColor="text2"/>
              <w:sz w:val="28"/>
              <w:szCs w:val="28"/>
              <w14:textFill>
                <w14:solidFill>
                  <w14:schemeClr w14:val="tx2"/>
                </w14:solidFill>
              </w14:textFill>
            </w:rPr>
          </w:pPr>
          <w:r>
            <w:rPr>
              <w:rFonts w:ascii="Times New Roman" w:hAnsi="Times New Roman" w:cs="Times New Roman"/>
              <w:b/>
              <w:color w:val="44546A" w:themeColor="text2"/>
              <w:sz w:val="28"/>
              <w:szCs w:val="28"/>
              <w14:textFill>
                <w14:solidFill>
                  <w14:schemeClr w14:val="tx2"/>
                </w14:solidFill>
              </w14:textFill>
            </w:rPr>
            <w:t>Table of Contents</w:t>
          </w:r>
        </w:p>
        <w:p>
          <w:pPr>
            <w:pStyle w:val="10"/>
            <w:tabs>
              <w:tab w:val="right" w:leader="dot" w:pos="9016"/>
            </w:tabs>
            <w:rPr>
              <w:rFonts w:asciiTheme="minorHAnsi" w:hAnsiTheme="minorHAnsi" w:eastAsiaTheme="minorEastAsia"/>
              <w:sz w:val="22"/>
              <w:lang w:eastAsia="en-IN"/>
            </w:rPr>
          </w:pPr>
          <w:r>
            <w:fldChar w:fldCharType="begin"/>
          </w:r>
          <w:r>
            <w:instrText xml:space="preserve"> TOC \o "1-3" \h \z \u </w:instrText>
          </w:r>
          <w:r>
            <w:fldChar w:fldCharType="separate"/>
          </w:r>
          <w:r>
            <w:fldChar w:fldCharType="begin"/>
          </w:r>
          <w:r>
            <w:instrText xml:space="preserve"> HYPERLINK \l "_Toc159253583" </w:instrText>
          </w:r>
          <w:r>
            <w:fldChar w:fldCharType="separate"/>
          </w:r>
          <w:r>
            <w:rPr>
              <w:rStyle w:val="8"/>
            </w:rPr>
            <w:t>Introduction</w:t>
          </w:r>
          <w:r>
            <w:tab/>
          </w:r>
          <w:r>
            <w:fldChar w:fldCharType="begin"/>
          </w:r>
          <w:r>
            <w:instrText xml:space="preserve"> PAGEREF _Toc159253583 \h </w:instrText>
          </w:r>
          <w:r>
            <w:fldChar w:fldCharType="separate"/>
          </w:r>
          <w:r>
            <w:t>3</w:t>
          </w:r>
          <w:r>
            <w:fldChar w:fldCharType="end"/>
          </w:r>
          <w:r>
            <w:fldChar w:fldCharType="end"/>
          </w:r>
        </w:p>
        <w:p>
          <w:pPr>
            <w:pStyle w:val="10"/>
            <w:tabs>
              <w:tab w:val="right" w:leader="dot" w:pos="9016"/>
            </w:tabs>
            <w:rPr>
              <w:rFonts w:asciiTheme="minorHAnsi" w:hAnsiTheme="minorHAnsi" w:eastAsiaTheme="minorEastAsia"/>
              <w:sz w:val="22"/>
              <w:lang w:eastAsia="en-IN"/>
            </w:rPr>
          </w:pPr>
          <w:r>
            <w:fldChar w:fldCharType="begin"/>
          </w:r>
          <w:r>
            <w:instrText xml:space="preserve"> HYPERLINK \l "_Toc159253584" </w:instrText>
          </w:r>
          <w:r>
            <w:fldChar w:fldCharType="separate"/>
          </w:r>
          <w:r>
            <w:rPr>
              <w:rStyle w:val="8"/>
            </w:rPr>
            <w:t>Obesity in Wales</w:t>
          </w:r>
          <w:r>
            <w:tab/>
          </w:r>
          <w:r>
            <w:fldChar w:fldCharType="begin"/>
          </w:r>
          <w:r>
            <w:instrText xml:space="preserve"> PAGEREF _Toc159253584 \h </w:instrText>
          </w:r>
          <w:r>
            <w:fldChar w:fldCharType="separate"/>
          </w:r>
          <w:r>
            <w:t>3</w:t>
          </w:r>
          <w:r>
            <w:fldChar w:fldCharType="end"/>
          </w:r>
          <w:r>
            <w:fldChar w:fldCharType="end"/>
          </w:r>
        </w:p>
        <w:p>
          <w:pPr>
            <w:pStyle w:val="10"/>
            <w:tabs>
              <w:tab w:val="right" w:leader="dot" w:pos="9016"/>
            </w:tabs>
            <w:rPr>
              <w:rFonts w:asciiTheme="minorHAnsi" w:hAnsiTheme="minorHAnsi" w:eastAsiaTheme="minorEastAsia"/>
              <w:sz w:val="22"/>
              <w:lang w:eastAsia="en-IN"/>
            </w:rPr>
          </w:pPr>
          <w:r>
            <w:fldChar w:fldCharType="begin"/>
          </w:r>
          <w:r>
            <w:instrText xml:space="preserve"> HYPERLINK \l "_Toc159253585" </w:instrText>
          </w:r>
          <w:r>
            <w:fldChar w:fldCharType="separate"/>
          </w:r>
          <w:r>
            <w:rPr>
              <w:rStyle w:val="8"/>
            </w:rPr>
            <w:t>Prevalence demonstration</w:t>
          </w:r>
          <w:r>
            <w:tab/>
          </w:r>
          <w:r>
            <w:fldChar w:fldCharType="begin"/>
          </w:r>
          <w:r>
            <w:instrText xml:space="preserve"> PAGEREF _Toc159253585 \h </w:instrText>
          </w:r>
          <w:r>
            <w:fldChar w:fldCharType="separate"/>
          </w:r>
          <w:r>
            <w:t>3</w:t>
          </w:r>
          <w:r>
            <w:fldChar w:fldCharType="end"/>
          </w:r>
          <w:r>
            <w:fldChar w:fldCharType="end"/>
          </w:r>
        </w:p>
        <w:p>
          <w:pPr>
            <w:pStyle w:val="10"/>
            <w:tabs>
              <w:tab w:val="right" w:leader="dot" w:pos="9016"/>
            </w:tabs>
            <w:rPr>
              <w:rFonts w:asciiTheme="minorHAnsi" w:hAnsiTheme="minorHAnsi" w:eastAsiaTheme="minorEastAsia"/>
              <w:sz w:val="22"/>
              <w:lang w:eastAsia="en-IN"/>
            </w:rPr>
          </w:pPr>
          <w:r>
            <w:fldChar w:fldCharType="begin"/>
          </w:r>
          <w:r>
            <w:instrText xml:space="preserve"> HYPERLINK \l "_Toc159253586" </w:instrText>
          </w:r>
          <w:r>
            <w:fldChar w:fldCharType="separate"/>
          </w:r>
          <w:r>
            <w:rPr>
              <w:rStyle w:val="8"/>
            </w:rPr>
            <w:t>Health initiatives in Wales</w:t>
          </w:r>
          <w:r>
            <w:tab/>
          </w:r>
          <w:r>
            <w:fldChar w:fldCharType="begin"/>
          </w:r>
          <w:r>
            <w:instrText xml:space="preserve"> PAGEREF _Toc159253586 \h </w:instrText>
          </w:r>
          <w:r>
            <w:fldChar w:fldCharType="separate"/>
          </w:r>
          <w:r>
            <w:t>4</w:t>
          </w:r>
          <w:r>
            <w:fldChar w:fldCharType="end"/>
          </w:r>
          <w:r>
            <w:fldChar w:fldCharType="end"/>
          </w:r>
        </w:p>
        <w:p>
          <w:pPr>
            <w:pStyle w:val="11"/>
            <w:tabs>
              <w:tab w:val="right" w:leader="dot" w:pos="9016"/>
            </w:tabs>
            <w:rPr>
              <w:rFonts w:asciiTheme="minorHAnsi" w:hAnsiTheme="minorHAnsi" w:eastAsiaTheme="minorEastAsia"/>
              <w:sz w:val="22"/>
              <w:lang w:eastAsia="en-IN"/>
            </w:rPr>
          </w:pPr>
          <w:r>
            <w:fldChar w:fldCharType="begin"/>
          </w:r>
          <w:r>
            <w:instrText xml:space="preserve"> HYPERLINK \l "_Toc159253587" </w:instrText>
          </w:r>
          <w:r>
            <w:fldChar w:fldCharType="separate"/>
          </w:r>
          <w:r>
            <w:rPr>
              <w:rStyle w:val="8"/>
            </w:rPr>
            <w:t>Healthy Weight: Healthy Wales</w:t>
          </w:r>
          <w:r>
            <w:tab/>
          </w:r>
          <w:r>
            <w:fldChar w:fldCharType="begin"/>
          </w:r>
          <w:r>
            <w:instrText xml:space="preserve"> PAGEREF _Toc159253587 \h </w:instrText>
          </w:r>
          <w:r>
            <w:fldChar w:fldCharType="separate"/>
          </w:r>
          <w:r>
            <w:t>4</w:t>
          </w:r>
          <w:r>
            <w:fldChar w:fldCharType="end"/>
          </w:r>
          <w:r>
            <w:fldChar w:fldCharType="end"/>
          </w:r>
        </w:p>
        <w:p>
          <w:pPr>
            <w:pStyle w:val="11"/>
            <w:tabs>
              <w:tab w:val="right" w:leader="dot" w:pos="9016"/>
            </w:tabs>
            <w:rPr>
              <w:rFonts w:asciiTheme="minorHAnsi" w:hAnsiTheme="minorHAnsi" w:eastAsiaTheme="minorEastAsia"/>
              <w:sz w:val="22"/>
              <w:lang w:eastAsia="en-IN"/>
            </w:rPr>
          </w:pPr>
          <w:r>
            <w:fldChar w:fldCharType="begin"/>
          </w:r>
          <w:r>
            <w:instrText xml:space="preserve"> HYPERLINK \l "_Toc159253588" </w:instrText>
          </w:r>
          <w:r>
            <w:fldChar w:fldCharType="separate"/>
          </w:r>
          <w:r>
            <w:rPr>
              <w:rStyle w:val="8"/>
            </w:rPr>
            <w:t>Every child Wales Programme Conclusion</w:t>
          </w:r>
          <w:r>
            <w:tab/>
          </w:r>
          <w:r>
            <w:fldChar w:fldCharType="begin"/>
          </w:r>
          <w:r>
            <w:instrText xml:space="preserve"> PAGEREF _Toc159253588 \h </w:instrText>
          </w:r>
          <w:r>
            <w:fldChar w:fldCharType="separate"/>
          </w:r>
          <w:r>
            <w:t>5</w:t>
          </w:r>
          <w:r>
            <w:fldChar w:fldCharType="end"/>
          </w:r>
          <w:r>
            <w:fldChar w:fldCharType="end"/>
          </w:r>
        </w:p>
        <w:p>
          <w:pPr>
            <w:pStyle w:val="10"/>
            <w:tabs>
              <w:tab w:val="right" w:leader="dot" w:pos="9016"/>
            </w:tabs>
            <w:rPr>
              <w:rFonts w:asciiTheme="minorHAnsi" w:hAnsiTheme="minorHAnsi" w:eastAsiaTheme="minorEastAsia"/>
              <w:sz w:val="22"/>
              <w:lang w:eastAsia="en-IN"/>
            </w:rPr>
          </w:pPr>
          <w:r>
            <w:fldChar w:fldCharType="begin"/>
          </w:r>
          <w:r>
            <w:instrText xml:space="preserve"> HYPERLINK \l "_Toc159253589" </w:instrText>
          </w:r>
          <w:r>
            <w:fldChar w:fldCharType="separate"/>
          </w:r>
          <w:r>
            <w:rPr>
              <w:rStyle w:val="8"/>
            </w:rPr>
            <w:t>Conclusion</w:t>
          </w:r>
          <w:r>
            <w:tab/>
          </w:r>
          <w:r>
            <w:fldChar w:fldCharType="begin"/>
          </w:r>
          <w:r>
            <w:instrText xml:space="preserve"> PAGEREF _Toc159253589 \h </w:instrText>
          </w:r>
          <w:r>
            <w:fldChar w:fldCharType="separate"/>
          </w:r>
          <w:r>
            <w:t>6</w:t>
          </w:r>
          <w:r>
            <w:fldChar w:fldCharType="end"/>
          </w:r>
          <w:r>
            <w:fldChar w:fldCharType="end"/>
          </w:r>
        </w:p>
        <w:p>
          <w:pPr>
            <w:pStyle w:val="10"/>
            <w:tabs>
              <w:tab w:val="right" w:leader="dot" w:pos="9016"/>
            </w:tabs>
            <w:rPr>
              <w:rFonts w:asciiTheme="minorHAnsi" w:hAnsiTheme="minorHAnsi" w:eastAsiaTheme="minorEastAsia"/>
              <w:sz w:val="22"/>
              <w:lang w:eastAsia="en-IN"/>
            </w:rPr>
          </w:pPr>
          <w:r>
            <w:fldChar w:fldCharType="begin"/>
          </w:r>
          <w:r>
            <w:instrText xml:space="preserve"> HYPERLINK \l "_Toc159253590" </w:instrText>
          </w:r>
          <w:r>
            <w:fldChar w:fldCharType="separate"/>
          </w:r>
          <w:r>
            <w:rPr>
              <w:rStyle w:val="8"/>
            </w:rPr>
            <w:t>References</w:t>
          </w:r>
          <w:r>
            <w:tab/>
          </w:r>
          <w:r>
            <w:fldChar w:fldCharType="begin"/>
          </w:r>
          <w:r>
            <w:instrText xml:space="preserve"> PAGEREF _Toc159253590 \h </w:instrText>
          </w:r>
          <w:r>
            <w:fldChar w:fldCharType="separate"/>
          </w:r>
          <w:r>
            <w:t>7</w:t>
          </w:r>
          <w:r>
            <w:fldChar w:fldCharType="end"/>
          </w:r>
          <w:r>
            <w:fldChar w:fldCharType="end"/>
          </w:r>
        </w:p>
        <w:p>
          <w:r>
            <w:rPr>
              <w:b/>
              <w:bCs/>
            </w:rPr>
            <w:fldChar w:fldCharType="end"/>
          </w:r>
        </w:p>
      </w:sdtContent>
    </w:sdt>
    <w:p>
      <w:r>
        <w:br w:type="page"/>
      </w:r>
    </w:p>
    <w:p>
      <w:pPr>
        <w:pStyle w:val="2"/>
      </w:pPr>
      <w:bookmarkStart w:id="0" w:name="_Toc159253583"/>
      <w:r>
        <w:t>Introduction</w:t>
      </w:r>
      <w:bookmarkEnd w:id="0"/>
      <w:r>
        <w:t xml:space="preserve"> </w:t>
      </w:r>
    </w:p>
    <w:p>
      <w:r>
        <w:t xml:space="preserve">Wales is facing significant challenges with obesity issue in population of different age groups. Welsh government and different organizations have taken diverse range of initiatives by recognizing the severity of the issue Wales region. These initiatives are helping population in weigh management for all age groups by providing guidance which ultimately leading to reduces obesity rates and health and well-being of population in Wales. This presentation discusses the 2 major initiatives taken by UK government for management of weight and their advantages and limitations. These two major initiatives are Heathy weight: healthy wales for people in Wales having obesity and Every child Wales Programme for children in Wales. </w:t>
      </w:r>
    </w:p>
    <w:p>
      <w:pPr>
        <w:pStyle w:val="2"/>
      </w:pPr>
      <w:bookmarkStart w:id="1" w:name="_Toc159253584"/>
      <w:r>
        <w:t>Obesity in Wales</w:t>
      </w:r>
      <w:bookmarkEnd w:id="1"/>
      <w:r>
        <w:t xml:space="preserve"> </w:t>
      </w:r>
    </w:p>
    <w:p>
      <w:r>
        <w:t>Obesity is being one of the serious public health issues in Wales and the UK, which has huge impact on life of million people and leading to various long-term conditions and diseases. According to the World Health Organisation obesity and overweight are the medical conditions in which individual have excessive body fat build up having risk to health (</w:t>
      </w:r>
      <w:r>
        <w:rPr>
          <w:bCs/>
          <w:lang w:val="en-US"/>
        </w:rPr>
        <w:t>dera.ioe.ac.uk</w:t>
      </w:r>
      <w:r>
        <w:t>, 2021). Obesity prevalence is rising faster in Wales and continuing to increase in coming 2-3 years. In some last year unemployment has been increased in the region of Wales which is becoming one of the major causes for weight gain due to deprivation and poor nutrition occurring from economic disadvantage (</w:t>
      </w:r>
      <w:r>
        <w:rPr>
          <w:bCs/>
          <w:lang w:val="en-US"/>
        </w:rPr>
        <w:t>Phw.Nhs. Wales</w:t>
      </w:r>
      <w:r>
        <w:t>, 2023). Another reason for rise in obesity rate of Wales people is fast-paced lifestyle and increased reliance on fast food and unhealthy food and increased sedentary lifestyle (</w:t>
      </w:r>
      <w:r>
        <w:rPr>
          <w:bCs/>
          <w:lang w:val="en-US"/>
        </w:rPr>
        <w:t>phw.nhs. Wales</w:t>
      </w:r>
      <w:r>
        <w:t>, 2023).</w:t>
      </w:r>
    </w:p>
    <w:p>
      <w:pPr>
        <w:pStyle w:val="2"/>
      </w:pPr>
      <w:bookmarkStart w:id="2" w:name="_Toc159253585"/>
      <w:r>
        <w:t>Prevalence demonstration</w:t>
      </w:r>
      <w:bookmarkEnd w:id="2"/>
      <w:r>
        <w:t xml:space="preserve"> </w:t>
      </w:r>
    </w:p>
    <w:p>
      <w:r>
        <w:t>According to the survey of NHS Wales, Wales has shown highest number of the obesity rate. 1 in 4 adults of age 16 and more have obesity which around 25 % of the adult population living in Wales. Another 35% were overweight. 67% men population were found to be either overweight or obese as compared to 55% of women (</w:t>
      </w:r>
      <w:r>
        <w:rPr>
          <w:bCs/>
          <w:lang w:val="en-US"/>
        </w:rPr>
        <w:t>dera.ioe.ac.uk</w:t>
      </w:r>
      <w:r>
        <w:t>, 2021). Around 12 % of children between age group of 4-5 years are also living with early age obesity condition. Based on the data from 2019 survey obesity rate is high in the most deprived area of the Wales which around 28 % (</w:t>
      </w:r>
      <w:r>
        <w:rPr>
          <w:bCs/>
          <w:lang w:val="en-US"/>
        </w:rPr>
        <w:t>dera.ioe.ac.uk</w:t>
      </w:r>
      <w:r>
        <w:t>, 2021).</w:t>
      </w:r>
    </w:p>
    <w:p>
      <w:pPr>
        <w:pStyle w:val="2"/>
      </w:pPr>
      <w:bookmarkStart w:id="3" w:name="_Toc159253586"/>
      <w:r>
        <w:t>Health initiatives in Wales</w:t>
      </w:r>
      <w:bookmarkEnd w:id="3"/>
    </w:p>
    <w:p>
      <w:pPr>
        <w:pStyle w:val="3"/>
      </w:pPr>
      <w:bookmarkStart w:id="4" w:name="_Toc159253587"/>
      <w:r>
        <w:t>Healthy Weight: Healthy Wales</w:t>
      </w:r>
      <w:bookmarkEnd w:id="4"/>
    </w:p>
    <w:p>
      <w:r>
        <w:t xml:space="preserve">Healthy Weight Healthy Wales is the initiative taken by Welsh Government for implementing long term goals to tackle with obesity and promote awareness of healthy weight among the population. It has been implemented since 2012 with multi-dimensional approach by targeting communities and individuals of different age groups (Gov.Wales, 2022). It works for healthy environment and healthy people by fostering collaboration across various sectors and organisations to create sustainable changes. </w:t>
      </w:r>
    </w:p>
    <w:p>
      <w:r>
        <w:t xml:space="preserve">Various key programmes come under this initiative such as Change for Life Wales, Making Every Contact Count (MECC), Healthy Eating in Schools, All Wales Weight Management Pathway, and other Community-based programs (nphs.wales.nhs.uk, 2022). All these programmes are arranged for promoting healthy eating habits, benefits of reducing sugar consumption, needs of weigh management plans, and importance of being physically active. </w:t>
      </w:r>
    </w:p>
    <w:p>
      <w:r>
        <w:t>This pathway includes four stages including lifestyle support, behavioural support, specialist or multidisciplinary support and surgical support. In first stage of lifestyle support people are advised to make necessary changes in their living habits such as eating, exercise, or smoking. In behavioural support people are encouraged to set the goals and learn the techniques to self-analysis and self-monitoring (Gov.Wales, 2022). Also, they are supported by motivational interview. In specialist and multidisciplinary support, the individual is given the more personalised treatment with multidisciplinary team of nutritionist, gym trainer, and physician. In last stage the surgical support is provided in case of severely obese individual who cannot control the weight by traditional weight loss interventions.</w:t>
      </w:r>
    </w:p>
    <w:p>
      <w:pPr>
        <w:rPr>
          <w:b/>
        </w:rPr>
      </w:pPr>
      <w:r>
        <w:rPr>
          <w:b/>
        </w:rPr>
        <w:t>Advantages:</w:t>
      </w:r>
    </w:p>
    <w:p>
      <w:r>
        <w:t>It promotes early interventions and prevention of health issues related with obesity.</w:t>
      </w:r>
    </w:p>
    <w:p>
      <w:r>
        <w:t xml:space="preserve">It encourages collaboration between community and healthcare professionals which ensures shared-decision-making. </w:t>
      </w:r>
    </w:p>
    <w:p>
      <w:r>
        <w:t>This pathway encourages individualised support according to the patient’s need and hence, it has more patient-centred approach (</w:t>
      </w:r>
      <w:r>
        <w:rPr>
          <w:bCs/>
          <w:lang w:val="en-US"/>
        </w:rPr>
        <w:t>Gov.Wales</w:t>
      </w:r>
      <w:r>
        <w:t>, 2021).</w:t>
      </w:r>
    </w:p>
    <w:p>
      <w:pPr>
        <w:rPr>
          <w:b/>
        </w:rPr>
      </w:pPr>
      <w:r>
        <w:rPr>
          <w:b/>
        </w:rPr>
        <w:t>Limitations:</w:t>
      </w:r>
    </w:p>
    <w:p>
      <w:r>
        <w:t>It is being difficult for implementing the pathway across all health boards of wales region (</w:t>
      </w:r>
      <w:r>
        <w:rPr>
          <w:bCs/>
          <w:lang w:val="en-US"/>
        </w:rPr>
        <w:t>aso.org.uk</w:t>
      </w:r>
      <w:r>
        <w:t>, 2022).</w:t>
      </w:r>
    </w:p>
    <w:p>
      <w:r>
        <w:t>Limited resources and funding for the program components.</w:t>
      </w:r>
    </w:p>
    <w:p>
      <w:r>
        <w:t>Require large workforce and training according to development needs (</w:t>
      </w:r>
      <w:r>
        <w:rPr>
          <w:bCs/>
          <w:lang w:val="en-US"/>
        </w:rPr>
        <w:t>gov. Wales</w:t>
      </w:r>
      <w:r>
        <w:t>, 2021).</w:t>
      </w:r>
    </w:p>
    <w:p>
      <w:pPr>
        <w:pStyle w:val="3"/>
      </w:pPr>
      <w:bookmarkStart w:id="5" w:name="_Toc159253588"/>
      <w:r>
        <w:t>Every child Wales Programme Conclusion</w:t>
      </w:r>
      <w:bookmarkEnd w:id="5"/>
      <w:r>
        <w:t xml:space="preserve"> </w:t>
      </w:r>
    </w:p>
    <w:p>
      <w:r>
        <w:t>This initiative was launched by Public Health Wales to support and promote the health and wellbeing for children. It offers immunization and developmental reviews throughout the pregnancy and for children in age group of 1-5 years.</w:t>
      </w:r>
    </w:p>
    <w:p>
      <w:r>
        <w:t>This programme acts as the information resource for parents by offering information related to the child health, child development, and weigh management in child. The guidance for nutritional requirement for child is giving to the parents (</w:t>
      </w:r>
      <w:r>
        <w:rPr>
          <w:bCs/>
          <w:lang w:val="en-US"/>
        </w:rPr>
        <w:t>everychildwales.co.uk</w:t>
      </w:r>
      <w:r>
        <w:t>, 2024).</w:t>
      </w:r>
    </w:p>
    <w:p>
      <w:r>
        <w:t>The campaign provides 10 steps to healthy weigh in children that includes (</w:t>
      </w:r>
      <w:r>
        <w:rPr>
          <w:bCs/>
          <w:lang w:val="en-US"/>
        </w:rPr>
        <w:t>everychildwales.co.uk</w:t>
      </w:r>
      <w:r>
        <w:t>, 2024):</w:t>
      </w:r>
    </w:p>
    <w:p>
      <w:pPr>
        <w:pStyle w:val="18"/>
        <w:numPr>
          <w:ilvl w:val="0"/>
          <w:numId w:val="1"/>
        </w:numPr>
      </w:pPr>
      <w:r>
        <w:t>Aim towards healthy weight of child</w:t>
      </w:r>
    </w:p>
    <w:p>
      <w:pPr>
        <w:pStyle w:val="18"/>
        <w:numPr>
          <w:ilvl w:val="0"/>
          <w:numId w:val="1"/>
        </w:numPr>
      </w:pPr>
      <w:r>
        <w:t>No solid food before six months</w:t>
      </w:r>
    </w:p>
    <w:p>
      <w:pPr>
        <w:pStyle w:val="18"/>
        <w:numPr>
          <w:ilvl w:val="0"/>
          <w:numId w:val="1"/>
        </w:numPr>
      </w:pPr>
      <w:r>
        <w:t>Outdoor games everyday</w:t>
      </w:r>
    </w:p>
    <w:p>
      <w:pPr>
        <w:pStyle w:val="18"/>
        <w:numPr>
          <w:ilvl w:val="0"/>
          <w:numId w:val="1"/>
        </w:numPr>
      </w:pPr>
      <w:r>
        <w:t>Let baby grow steadily</w:t>
      </w:r>
    </w:p>
    <w:p>
      <w:pPr>
        <w:pStyle w:val="18"/>
        <w:numPr>
          <w:ilvl w:val="0"/>
          <w:numId w:val="1"/>
        </w:numPr>
      </w:pPr>
      <w:r>
        <w:t>Avoid putting weight during pregnancy</w:t>
      </w:r>
    </w:p>
    <w:p>
      <w:pPr>
        <w:pStyle w:val="18"/>
        <w:numPr>
          <w:ilvl w:val="0"/>
          <w:numId w:val="1"/>
        </w:numPr>
      </w:pPr>
      <w:r>
        <w:t>Limited screen time</w:t>
      </w:r>
    </w:p>
    <w:p>
      <w:pPr>
        <w:pStyle w:val="18"/>
        <w:numPr>
          <w:ilvl w:val="0"/>
          <w:numId w:val="1"/>
        </w:numPr>
      </w:pPr>
      <w:r>
        <w:t>Let the child get enough sleep</w:t>
      </w:r>
    </w:p>
    <w:p>
      <w:pPr>
        <w:pStyle w:val="18"/>
        <w:numPr>
          <w:ilvl w:val="0"/>
          <w:numId w:val="1"/>
        </w:numPr>
      </w:pPr>
      <w:r>
        <w:t>Have plenty of water and milk and avoid sugary drinks</w:t>
      </w:r>
    </w:p>
    <w:p>
      <w:pPr>
        <w:pStyle w:val="18"/>
        <w:numPr>
          <w:ilvl w:val="0"/>
          <w:numId w:val="1"/>
        </w:numPr>
      </w:pPr>
      <w:r>
        <w:t>Prioritize breastfeeding the baby</w:t>
      </w:r>
    </w:p>
    <w:p>
      <w:pPr>
        <w:pStyle w:val="18"/>
        <w:numPr>
          <w:ilvl w:val="0"/>
          <w:numId w:val="1"/>
        </w:numPr>
      </w:pPr>
      <w:r>
        <w:t>Introduce fruits and vegetables in everyday meal of child</w:t>
      </w:r>
    </w:p>
    <w:p>
      <w:pPr>
        <w:rPr>
          <w:b/>
        </w:rPr>
      </w:pPr>
      <w:r>
        <w:rPr>
          <w:b/>
        </w:rPr>
        <w:t>Advantages:</w:t>
      </w:r>
    </w:p>
    <w:p>
      <w:r>
        <w:t>This program utilizes various schemes for children such as Welsh Network of Healthy School Schemes and Healthy and Sustainable Pre-school scheme (</w:t>
      </w:r>
      <w:r>
        <w:rPr>
          <w:bCs/>
          <w:lang w:val="en-US"/>
        </w:rPr>
        <w:t>everychildwales.co.uk</w:t>
      </w:r>
      <w:r>
        <w:t>, 2024).</w:t>
      </w:r>
    </w:p>
    <w:p>
      <w:r>
        <w:t>This program is focused to help parents to manage the healthy weight of their child at the start of the school.</w:t>
      </w:r>
    </w:p>
    <w:p>
      <w:r>
        <w:t>The programme has been addressing the wide range of factors affecting children’s health including physical activity, nutritional requirements, environmental factors, and physical activities (</w:t>
      </w:r>
      <w:r>
        <w:rPr>
          <w:bCs/>
          <w:lang w:val="en-US"/>
        </w:rPr>
        <w:t>everychildwales.co.uk</w:t>
      </w:r>
      <w:r>
        <w:t>, 2024).</w:t>
      </w:r>
    </w:p>
    <w:p>
      <w:pPr>
        <w:rPr>
          <w:b/>
        </w:rPr>
      </w:pPr>
      <w:r>
        <w:rPr>
          <w:b/>
        </w:rPr>
        <w:t>Limitations:</w:t>
      </w:r>
    </w:p>
    <w:p>
      <w:r>
        <w:t>Public Health Wales has limited funding and budget for this programme.</w:t>
      </w:r>
    </w:p>
    <w:p>
      <w:r>
        <w:t>A comprehensive advancement required for the programme that may ensure long term impact on the health and wellbeing of children is not achieved yet (</w:t>
      </w:r>
      <w:r>
        <w:rPr>
          <w:bCs/>
          <w:lang w:val="en-US"/>
        </w:rPr>
        <w:t>everychildwales.co.uk</w:t>
      </w:r>
      <w:r>
        <w:t>, 2024).</w:t>
      </w:r>
    </w:p>
    <w:p>
      <w:pPr>
        <w:pStyle w:val="2"/>
      </w:pPr>
      <w:bookmarkStart w:id="6" w:name="_Toc159253589"/>
      <w:r>
        <w:t>Conclusion</w:t>
      </w:r>
      <w:bookmarkEnd w:id="6"/>
    </w:p>
    <w:p>
      <w:r>
        <w:t>Wales has highest rate in obesity in the UK due to various factors such as deprivation, unemployment, lack of nutritious food, unhealthy and fast-paced lifestyle of people, sedentary lifestyle of Childrens, and inadequate coverage of areas in Wales by government initiatives. The initiatives like Healthy Weight: Healthy Wales and Every child Wales Programme are helping population in weight management and living healthy lifestyle which are beneficial for people in weight management but according to the data the campaigns require adequate resources and funding for better outcomes.</w:t>
      </w:r>
    </w:p>
    <w:p/>
    <w:p>
      <w:r>
        <w:br w:type="page"/>
      </w:r>
    </w:p>
    <w:p>
      <w:pPr>
        <w:pStyle w:val="2"/>
      </w:pPr>
      <w:bookmarkStart w:id="7" w:name="_Toc159253590"/>
      <w:r>
        <w:t>References</w:t>
      </w:r>
      <w:bookmarkEnd w:id="7"/>
      <w:r>
        <w:t xml:space="preserve"> </w:t>
      </w:r>
    </w:p>
    <w:p>
      <w:r>
        <w:rPr>
          <w:bCs/>
          <w:lang w:val="en-US"/>
        </w:rPr>
        <w:t>Aso.org.uk</w:t>
      </w:r>
      <w:r>
        <w:t xml:space="preserve">, (2022). </w:t>
      </w:r>
      <w:r>
        <w:rPr>
          <w:i/>
        </w:rPr>
        <w:t xml:space="preserve">Healthy Weight Healthy Wales – Revised Delivery Plan </w:t>
      </w:r>
      <w:r>
        <w:t xml:space="preserve">[Online] Available at:  </w:t>
      </w:r>
      <w:r>
        <w:rPr>
          <w:bCs/>
          <w:lang w:val="en-US"/>
        </w:rPr>
        <w:t xml:space="preserve">https://aso.org.uk/news/healthy-weight-healthy-wales-revised-delivery-plan </w:t>
      </w:r>
      <w:r>
        <w:t>[Accessed on 19 February 2024].</w:t>
      </w:r>
    </w:p>
    <w:p>
      <w:r>
        <w:t>Dera.ioe.ac.uk, (2021). Obesity Statistics [Online] Available at:  https://dera.ioe.ac.uk/id/eprint/37120/1/SN03336.pdf [Accessed on 19 February 2024].</w:t>
      </w:r>
    </w:p>
    <w:p>
      <w:r>
        <w:rPr>
          <w:bCs/>
          <w:lang w:val="en-US"/>
        </w:rPr>
        <w:t>Everychildwales.co.uk</w:t>
      </w:r>
      <w:r>
        <w:t xml:space="preserve">, (2024). </w:t>
      </w:r>
      <w:r>
        <w:rPr>
          <w:i/>
        </w:rPr>
        <w:t xml:space="preserve">10 STEPS TO A HEALTHY WEIGHT </w:t>
      </w:r>
      <w:r>
        <w:t xml:space="preserve">[Online] Available at:  </w:t>
      </w:r>
      <w:r>
        <w:rPr>
          <w:bCs/>
          <w:lang w:val="en-US"/>
        </w:rPr>
        <w:t xml:space="preserve">https://everychildwales.co.uk/parents/ </w:t>
      </w:r>
      <w:r>
        <w:t>[Accessed on 19 February 2024].</w:t>
      </w:r>
    </w:p>
    <w:p>
      <w:r>
        <w:t xml:space="preserve">Gov.wales, (2021). </w:t>
      </w:r>
      <w:r>
        <w:rPr>
          <w:i/>
        </w:rPr>
        <w:t>All Wales Weight Management Pathway 2021 (Adults): Core Components</w:t>
      </w:r>
      <w:r>
        <w:t xml:space="preserve"> [Online] Available at:  https://www.gov.wales/sites/default/files/publications/2021-06/all-wales-weight-management-pathway-2021.pdf [Accessed on 19 February 2024].</w:t>
      </w:r>
    </w:p>
    <w:p>
      <w:r>
        <w:t xml:space="preserve">Gov.wales, (2022). </w:t>
      </w:r>
      <w:r>
        <w:rPr>
          <w:i/>
        </w:rPr>
        <w:t>Healthy Weight: Healthy Wales 2022 to 2024 delivery plan</w:t>
      </w:r>
      <w:r>
        <w:t xml:space="preserve"> [Online] Available at:  https://www.gov.wales/healthy-weight-healthy-wales-2022-2024-delivery-plan [Accessed on 19 February 2024].</w:t>
      </w:r>
    </w:p>
    <w:p>
      <w:r>
        <w:t xml:space="preserve">Nphs.wales.nhs.uk, (2022). </w:t>
      </w:r>
      <w:r>
        <w:rPr>
          <w:i/>
        </w:rPr>
        <w:t>Making connections</w:t>
      </w:r>
      <w:r>
        <w:t xml:space="preserve"> [Online] Available at: https://www2.nphs.wales.nhs.uk/LPHTeamsDocs.nsf/815f97434d281f8b80257508003d3986/68f8e1fe63d2906280257c58004bd5ef/$FILE/Final%20AR%202012.pdf [Accessed on 19 February 2024].</w:t>
      </w:r>
    </w:p>
    <w:p>
      <w:r>
        <w:rPr>
          <w:bCs/>
          <w:lang w:val="en-US"/>
        </w:rPr>
        <w:t>Phw.nhs.wales</w:t>
      </w:r>
      <w:r>
        <w:t xml:space="preserve">, (2023). </w:t>
      </w:r>
      <w:r>
        <w:rPr>
          <w:i/>
        </w:rPr>
        <w:t xml:space="preserve">Overweight and Obesity </w:t>
      </w:r>
      <w:r>
        <w:t xml:space="preserve">[Online] Available at:  </w:t>
      </w:r>
      <w:r>
        <w:rPr>
          <w:bCs/>
          <w:lang w:val="en-US"/>
        </w:rPr>
        <w:t xml:space="preserve">https://phw.nhs.wales/topics/overweight-and-obesity/#why </w:t>
      </w:r>
      <w:r>
        <w:t>[Accessed on 19 February 2024].</w:t>
      </w:r>
    </w:p>
    <w:p/>
    <w:p/>
    <w:sectPr>
      <w:footerReference r:id="rId5" w:type="default"/>
      <w:pgSz w:w="11906" w:h="16838"/>
      <w:pgMar w:top="1440" w:right="1440" w:bottom="1440" w:left="1440" w:header="708" w:footer="708" w:gutter="0"/>
      <w:pgBorders w:offsetFrom="page">
        <w:top w:val="single" w:color="auto" w:sz="4" w:space="24"/>
        <w:left w:val="single" w:color="auto" w:sz="4" w:space="24"/>
        <w:bottom w:val="single" w:color="auto" w:sz="4" w:space="24"/>
        <w:right w:val="single" w:color="auto" w:sz="4" w:space="24"/>
      </w:pgBorders>
      <w:cols w:space="708" w:num="1"/>
      <w:docGrid w:linePitch="360" w:charSpace="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endnote w:type="separator" w:id="0">
    <w:p>
      <w:pPr>
        <w:spacing w:line="240" w:lineRule="auto"/>
      </w:pPr>
      <w:r>
        <w:separator/>
      </w:r>
    </w:p>
  </w:endnote>
  <w:endnote w:type="continuationSeparator" w:id="1">
    <w:p>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altName w:val="SimSun"/>
    <w:panose1 w:val="02010600030101010101"/>
    <w:charset w:val="86"/>
    <w:family w:val="auto"/>
    <w:pitch w:val="variable"/>
    <w:sig w:usb0="00000003" w:usb1="080E0000" w:usb2="00000010" w:usb3="00000000" w:csb0="00040001" w:csb1="00000000"/>
  </w:font>
  <w:font w:name="SimSun">
    <w:panose1 w:val="02010600030101010101"/>
    <w:charset w:val="86"/>
    <w:family w:val="auto"/>
    <w:pitch w:val="default"/>
    <w:sig w:usb0="00000203" w:usb1="288F0000" w:usb2="00000006" w:usb3="00000000" w:csb0="00040001" w:csb1="00000000"/>
  </w:font>
  <w:font w:name="Arial">
    <w:panose1 w:val="020B0604020202020204"/>
    <w:charset w:val="00"/>
    <w:family w:val="swiss"/>
    <w:pitch w:val="default"/>
    <w:sig w:usb0="E0002EFF" w:usb1="C000785B" w:usb2="00000009" w:usb3="00000000" w:csb0="400001FF" w:csb1="FFFF0000"/>
  </w:font>
  <w:font w:name="黑体">
    <w:altName w:val="SimSun"/>
    <w:panose1 w:val="02010600030101010101"/>
    <w:charset w:val="86"/>
    <w:family w:val="auto"/>
    <w:pitch w:val="default"/>
    <w:sig w:usb0="00000001" w:usb1="080E0000" w:usb2="00000010" w:usb3="00000000" w:csb0="00040000" w:csb1="00000000"/>
  </w:font>
  <w:font w:name="Courier New">
    <w:panose1 w:val="02070309020205020404"/>
    <w:charset w:val="00"/>
    <w:family w:val="modern"/>
    <w:pitch w:val="default"/>
    <w:sig w:usb0="E0002EFF" w:usb1="C0007843" w:usb2="00000009" w:usb3="00000000" w:csb0="400001FF" w:csb1="FFFF0000"/>
  </w:font>
  <w:font w:name="Wingdings">
    <w:panose1 w:val="05000000000000000000"/>
    <w:charset w:val="02"/>
    <w:family w:val="auto"/>
    <w:pitch w:val="default"/>
    <w:sig w:usb0="00000000" w:usb1="00000000" w:usb2="00000000" w:usb3="00000000" w:csb0="80000000" w:csb1="00000000"/>
  </w:font>
  <w:font w:name="Calibri">
    <w:panose1 w:val="020F0502020204030204"/>
    <w:charset w:val="86"/>
    <w:family w:val="swiss"/>
    <w:pitch w:val="default"/>
    <w:sig w:usb0="E4002EFF" w:usb1="C200247B" w:usb2="00000009" w:usb3="00000000" w:csb0="200001FF" w:csb1="00000000"/>
  </w:font>
  <w:font w:name="Calibri">
    <w:panose1 w:val="020F0502020204030204"/>
    <w:charset w:val="00"/>
    <w:family w:val="auto"/>
    <w:pitch w:val="default"/>
    <w:sig w:usb0="E4002EFF" w:usb1="C200247B" w:usb2="00000009" w:usb3="00000000" w:csb0="200001FF" w:csb1="00000000"/>
  </w:font>
  <w:font w:name="等线 Light">
    <w:altName w:val="Segoe Print"/>
    <w:panose1 w:val="00000000000000000000"/>
    <w:charset w:val="00"/>
    <w:family w:val="auto"/>
    <w:pitch w:val="default"/>
    <w:sig w:usb0="00000000" w:usb1="00000000" w:usb2="00000000" w:usb3="00000000" w:csb0="00000000" w:csb1="00000000"/>
  </w:font>
  <w:font w:name="Calibri Light">
    <w:panose1 w:val="020F0302020204030204"/>
    <w:charset w:val="00"/>
    <w:family w:val="swiss"/>
    <w:pitch w:val="default"/>
    <w:sig w:usb0="E4002EFF" w:usb1="C200247B" w:usb2="00000009" w:usb3="00000000" w:csb0="200001FF" w:csb1="00000000"/>
  </w:font>
  <w:font w:name="等线">
    <w:altName w:val="Microsoft YaHei"/>
    <w:panose1 w:val="00000000000000000000"/>
    <w:charset w:val="00"/>
    <w:family w:val="auto"/>
    <w:pitch w:val="default"/>
    <w:sig w:usb0="00000000" w:usb1="00000000" w:usb2="00000000" w:usb3="00000000" w:csb0="00000000" w:csb1="00000000"/>
  </w:font>
  <w:font w:name="Symbol">
    <w:panose1 w:val="05050102010706020507"/>
    <w:charset w:val="02"/>
    <w:family w:val="roman"/>
    <w:pitch w:val="default"/>
    <w:sig w:usb0="00000000" w:usb1="00000000" w:usb2="00000000" w:usb3="00000000" w:csb0="8000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sdt>
    <w:sdtPr>
      <w:id w:val="135080751"/>
      <w:docPartObj>
        <w:docPartGallery w:val="AutoText"/>
      </w:docPartObj>
    </w:sdtPr>
    <w:sdtContent>
      <w:p>
        <w:pPr>
          <w:pStyle w:val="6"/>
          <w:jc w:val="right"/>
        </w:pPr>
        <w:r>
          <w:fldChar w:fldCharType="begin"/>
        </w:r>
        <w:r>
          <w:instrText xml:space="preserve"> PAGE   \* MERGEFORMAT </w:instrText>
        </w:r>
        <w:r>
          <w:fldChar w:fldCharType="separate"/>
        </w:r>
        <w:r>
          <w:t>7</w:t>
        </w:r>
        <w:r>
          <w:fldChar w:fldCharType="end"/>
        </w:r>
      </w:p>
    </w:sdtContent>
  </w:sdt>
  <w:p>
    <w:pPr>
      <w:pStyle w:val="6"/>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5="http://schemas.microsoft.com/office/word/2012/wordml" xmlns:w10="urn:schemas-microsoft-com:office:word"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footnote w:type="separator" w:id="0">
    <w:p>
      <w:pPr>
        <w:spacing w:before="0" w:after="0" w:line="360" w:lineRule="auto"/>
      </w:pPr>
      <w:r>
        <w:separator/>
      </w:r>
    </w:p>
  </w:footnote>
  <w:footnote w:type="continuationSeparator" w:id="1">
    <w:p>
      <w:pPr>
        <w:spacing w:before="0" w:after="0" w:line="36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4ABD675D"/>
    <w:multiLevelType w:val="multilevel"/>
    <w:tmpl w:val="4ABD675D"/>
    <w:lvl w:ilvl="0" w:tentative="0">
      <w:start w:val="1"/>
      <w:numFmt w:val="bullet"/>
      <w:lvlText w:val=""/>
      <w:lvlJc w:val="left"/>
      <w:pPr>
        <w:ind w:left="720" w:hanging="360"/>
      </w:pPr>
      <w:rPr>
        <w:rFonts w:hint="default" w:ascii="Symbol" w:hAnsi="Symbol"/>
      </w:rPr>
    </w:lvl>
    <w:lvl w:ilvl="1" w:tentative="0">
      <w:start w:val="1"/>
      <w:numFmt w:val="bullet"/>
      <w:lvlText w:val="o"/>
      <w:lvlJc w:val="left"/>
      <w:pPr>
        <w:ind w:left="1440" w:hanging="360"/>
      </w:pPr>
      <w:rPr>
        <w:rFonts w:hint="default" w:ascii="Courier New" w:hAnsi="Courier New" w:cs="Courier New"/>
      </w:rPr>
    </w:lvl>
    <w:lvl w:ilvl="2" w:tentative="0">
      <w:start w:val="1"/>
      <w:numFmt w:val="bullet"/>
      <w:lvlText w:val=""/>
      <w:lvlJc w:val="left"/>
      <w:pPr>
        <w:ind w:left="2160" w:hanging="360"/>
      </w:pPr>
      <w:rPr>
        <w:rFonts w:hint="default" w:ascii="Wingdings" w:hAnsi="Wingdings"/>
      </w:rPr>
    </w:lvl>
    <w:lvl w:ilvl="3" w:tentative="0">
      <w:start w:val="1"/>
      <w:numFmt w:val="bullet"/>
      <w:lvlText w:val=""/>
      <w:lvlJc w:val="left"/>
      <w:pPr>
        <w:ind w:left="2880" w:hanging="360"/>
      </w:pPr>
      <w:rPr>
        <w:rFonts w:hint="default" w:ascii="Symbol" w:hAnsi="Symbol"/>
      </w:rPr>
    </w:lvl>
    <w:lvl w:ilvl="4" w:tentative="0">
      <w:start w:val="1"/>
      <w:numFmt w:val="bullet"/>
      <w:lvlText w:val="o"/>
      <w:lvlJc w:val="left"/>
      <w:pPr>
        <w:ind w:left="3600" w:hanging="360"/>
      </w:pPr>
      <w:rPr>
        <w:rFonts w:hint="default" w:ascii="Courier New" w:hAnsi="Courier New" w:cs="Courier New"/>
      </w:rPr>
    </w:lvl>
    <w:lvl w:ilvl="5" w:tentative="0">
      <w:start w:val="1"/>
      <w:numFmt w:val="bullet"/>
      <w:lvlText w:val=""/>
      <w:lvlJc w:val="left"/>
      <w:pPr>
        <w:ind w:left="4320" w:hanging="360"/>
      </w:pPr>
      <w:rPr>
        <w:rFonts w:hint="default" w:ascii="Wingdings" w:hAnsi="Wingdings"/>
      </w:rPr>
    </w:lvl>
    <w:lvl w:ilvl="6" w:tentative="0">
      <w:start w:val="1"/>
      <w:numFmt w:val="bullet"/>
      <w:lvlText w:val=""/>
      <w:lvlJc w:val="left"/>
      <w:pPr>
        <w:ind w:left="5040" w:hanging="360"/>
      </w:pPr>
      <w:rPr>
        <w:rFonts w:hint="default" w:ascii="Symbol" w:hAnsi="Symbol"/>
      </w:rPr>
    </w:lvl>
    <w:lvl w:ilvl="7" w:tentative="0">
      <w:start w:val="1"/>
      <w:numFmt w:val="bullet"/>
      <w:lvlText w:val="o"/>
      <w:lvlJc w:val="left"/>
      <w:pPr>
        <w:ind w:left="5760" w:hanging="360"/>
      </w:pPr>
      <w:rPr>
        <w:rFonts w:hint="default" w:ascii="Courier New" w:hAnsi="Courier New" w:cs="Courier New"/>
      </w:rPr>
    </w:lvl>
    <w:lvl w:ilvl="8" w:tentative="0">
      <w:start w:val="1"/>
      <w:numFmt w:val="bullet"/>
      <w:lvlText w:val=""/>
      <w:lvlJc w:val="left"/>
      <w:pPr>
        <w:ind w:left="6480" w:hanging="360"/>
      </w:pPr>
      <w:rPr>
        <w:rFonts w:hint="default" w:ascii="Wingdings" w:hAnsi="Wingdings"/>
      </w:rPr>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80"/>
  <w:documentProtection w:enforcement="0"/>
  <w:defaultTabStop w:val="720"/>
  <w:characterSpacingControl w:val="doNotCompress"/>
  <w:footnotePr>
    <w:footnote w:id="0"/>
    <w:footnote w:id="1"/>
  </w:footnotePr>
  <w:endnotePr>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C473EE"/>
    <w:rsid w:val="00025080"/>
    <w:rsid w:val="00204FAD"/>
    <w:rsid w:val="002A5007"/>
    <w:rsid w:val="00350562"/>
    <w:rsid w:val="003A7CD3"/>
    <w:rsid w:val="0044186D"/>
    <w:rsid w:val="00496B5E"/>
    <w:rsid w:val="00537318"/>
    <w:rsid w:val="0058512C"/>
    <w:rsid w:val="005B67B4"/>
    <w:rsid w:val="006403A0"/>
    <w:rsid w:val="0065047A"/>
    <w:rsid w:val="006A2F62"/>
    <w:rsid w:val="006B36E9"/>
    <w:rsid w:val="006D2B86"/>
    <w:rsid w:val="008C340F"/>
    <w:rsid w:val="008D655B"/>
    <w:rsid w:val="00927A84"/>
    <w:rsid w:val="009F724A"/>
    <w:rsid w:val="00AA14EB"/>
    <w:rsid w:val="00AC27B5"/>
    <w:rsid w:val="00AF101E"/>
    <w:rsid w:val="00B274E2"/>
    <w:rsid w:val="00B600C5"/>
    <w:rsid w:val="00B62B83"/>
    <w:rsid w:val="00C123E0"/>
    <w:rsid w:val="00C473EE"/>
    <w:rsid w:val="00CA64E7"/>
    <w:rsid w:val="00D7094B"/>
    <w:rsid w:val="00E772D0"/>
    <w:rsid w:val="00EC56BF"/>
    <w:rsid w:val="00ED29A8"/>
    <w:rsid w:val="00F64578"/>
    <w:rsid w:val="00F91CA4"/>
    <w:rsid w:val="00FD7E75"/>
    <w:rsid w:val="02264DB9"/>
  </w:rsids>
  <m:mathPr>
    <m:mathFont m:val="Cambria Math"/>
    <m:brkBin m:val="before"/>
    <m:brkBinSub m:val="--"/>
    <m:smallFrac m:val="0"/>
    <m:dispDef/>
    <m:lMargin m:val="0"/>
    <m:rMargin m:val="0"/>
    <m:defJc m:val="centerGroup"/>
    <m:wrapIndent m:val="1440"/>
    <m:intLim m:val="subSup"/>
    <m:naryLim m:val="undOvr"/>
  </m:mathPr>
  <w:themeFontLang w:val="en-IN"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heme="minorHAnsi" w:hAnsiTheme="minorHAnsi" w:eastAsiaTheme="minorHAnsi" w:cstheme="minorBidi"/>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semiHidden="0"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qFormat="1" w:uiPriority="39" w:semiHidden="0" w:name="toc 1"/>
    <w:lsdException w:qFormat="1" w:uiPriority="39" w:semiHidden="0"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qFormat="1" w:uiPriority="99" w:semiHidden="0" w:name="header"/>
    <w:lsdException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qFormat="1" w:uiPriority="99" w:semiHidden="0"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34"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spacing w:after="160" w:line="360" w:lineRule="auto"/>
      <w:jc w:val="both"/>
    </w:pPr>
    <w:rPr>
      <w:rFonts w:ascii="Times New Roman" w:hAnsi="Times New Roman" w:eastAsiaTheme="minorHAnsi" w:cstheme="minorBidi"/>
      <w:sz w:val="24"/>
      <w:szCs w:val="22"/>
      <w:lang w:val="en-IN" w:eastAsia="en-US" w:bidi="ar-SA"/>
    </w:rPr>
  </w:style>
  <w:style w:type="paragraph" w:styleId="2">
    <w:name w:val="heading 1"/>
    <w:basedOn w:val="1"/>
    <w:next w:val="1"/>
    <w:link w:val="12"/>
    <w:qFormat/>
    <w:uiPriority w:val="9"/>
    <w:pPr>
      <w:keepNext/>
      <w:keepLines/>
      <w:spacing w:before="240" w:after="0"/>
      <w:outlineLvl w:val="0"/>
    </w:pPr>
    <w:rPr>
      <w:rFonts w:eastAsiaTheme="majorEastAsia" w:cstheme="majorBidi"/>
      <w:b/>
      <w:sz w:val="28"/>
      <w:szCs w:val="32"/>
    </w:rPr>
  </w:style>
  <w:style w:type="paragraph" w:styleId="3">
    <w:name w:val="heading 2"/>
    <w:basedOn w:val="1"/>
    <w:next w:val="1"/>
    <w:link w:val="13"/>
    <w:unhideWhenUsed/>
    <w:qFormat/>
    <w:uiPriority w:val="9"/>
    <w:pPr>
      <w:keepNext/>
      <w:keepLines/>
      <w:spacing w:before="40" w:after="0"/>
      <w:outlineLvl w:val="1"/>
    </w:pPr>
    <w:rPr>
      <w:rFonts w:eastAsiaTheme="majorEastAsia" w:cstheme="majorBidi"/>
      <w:b/>
      <w:sz w:val="26"/>
      <w:szCs w:val="26"/>
    </w:rPr>
  </w:style>
  <w:style w:type="character" w:default="1" w:styleId="4">
    <w:name w:val="Default Paragraph Font"/>
    <w:semiHidden/>
    <w:unhideWhenUsed/>
    <w:uiPriority w:val="1"/>
  </w:style>
  <w:style w:type="table" w:default="1" w:styleId="5">
    <w:name w:val="Normal Table"/>
    <w:semiHidden/>
    <w:unhideWhenUsed/>
    <w:uiPriority w:val="99"/>
    <w:tblPr>
      <w:tblCellMar>
        <w:top w:w="0" w:type="dxa"/>
        <w:left w:w="108" w:type="dxa"/>
        <w:bottom w:w="0" w:type="dxa"/>
        <w:right w:w="108" w:type="dxa"/>
      </w:tblCellMar>
    </w:tblPr>
  </w:style>
  <w:style w:type="paragraph" w:styleId="6">
    <w:name w:val="footer"/>
    <w:basedOn w:val="1"/>
    <w:link w:val="15"/>
    <w:unhideWhenUsed/>
    <w:uiPriority w:val="99"/>
    <w:pPr>
      <w:tabs>
        <w:tab w:val="center" w:pos="4513"/>
        <w:tab w:val="right" w:pos="9026"/>
      </w:tabs>
      <w:spacing w:after="0" w:line="240" w:lineRule="auto"/>
    </w:pPr>
  </w:style>
  <w:style w:type="paragraph" w:styleId="7">
    <w:name w:val="header"/>
    <w:basedOn w:val="1"/>
    <w:link w:val="17"/>
    <w:unhideWhenUsed/>
    <w:qFormat/>
    <w:uiPriority w:val="99"/>
    <w:pPr>
      <w:tabs>
        <w:tab w:val="center" w:pos="4513"/>
        <w:tab w:val="right" w:pos="9026"/>
      </w:tabs>
      <w:spacing w:after="0" w:line="240" w:lineRule="auto"/>
    </w:pPr>
  </w:style>
  <w:style w:type="character" w:styleId="8">
    <w:name w:val="Hyperlink"/>
    <w:basedOn w:val="4"/>
    <w:unhideWhenUsed/>
    <w:qFormat/>
    <w:uiPriority w:val="99"/>
    <w:rPr>
      <w:color w:val="0563C1" w:themeColor="hyperlink"/>
      <w:u w:val="single"/>
      <w14:textFill>
        <w14:solidFill>
          <w14:schemeClr w14:val="hlink"/>
        </w14:solidFill>
      </w14:textFill>
    </w:rPr>
  </w:style>
  <w:style w:type="paragraph" w:styleId="9">
    <w:name w:val="Title"/>
    <w:basedOn w:val="1"/>
    <w:next w:val="1"/>
    <w:link w:val="14"/>
    <w:qFormat/>
    <w:uiPriority w:val="10"/>
    <w:pPr>
      <w:spacing w:after="0" w:line="240" w:lineRule="auto"/>
      <w:contextualSpacing/>
      <w:jc w:val="center"/>
    </w:pPr>
    <w:rPr>
      <w:rFonts w:eastAsiaTheme="majorEastAsia" w:cstheme="majorBidi"/>
      <w:b/>
      <w:color w:val="44546A" w:themeColor="text2"/>
      <w:spacing w:val="-10"/>
      <w:kern w:val="28"/>
      <w:sz w:val="36"/>
      <w:szCs w:val="56"/>
      <w14:textFill>
        <w14:solidFill>
          <w14:schemeClr w14:val="tx2"/>
        </w14:solidFill>
      </w14:textFill>
    </w:rPr>
  </w:style>
  <w:style w:type="paragraph" w:styleId="10">
    <w:name w:val="toc 1"/>
    <w:basedOn w:val="1"/>
    <w:next w:val="1"/>
    <w:unhideWhenUsed/>
    <w:qFormat/>
    <w:uiPriority w:val="39"/>
    <w:pPr>
      <w:spacing w:after="100"/>
    </w:pPr>
  </w:style>
  <w:style w:type="paragraph" w:styleId="11">
    <w:name w:val="toc 2"/>
    <w:basedOn w:val="1"/>
    <w:next w:val="1"/>
    <w:unhideWhenUsed/>
    <w:qFormat/>
    <w:uiPriority w:val="39"/>
    <w:pPr>
      <w:spacing w:after="100"/>
      <w:ind w:left="240"/>
    </w:pPr>
  </w:style>
  <w:style w:type="character" w:customStyle="1" w:styleId="12">
    <w:name w:val="Titlu 1 Caracter"/>
    <w:basedOn w:val="4"/>
    <w:link w:val="2"/>
    <w:uiPriority w:val="9"/>
    <w:rPr>
      <w:rFonts w:ascii="Times New Roman" w:hAnsi="Times New Roman" w:eastAsiaTheme="majorEastAsia" w:cstheme="majorBidi"/>
      <w:b/>
      <w:sz w:val="28"/>
      <w:szCs w:val="32"/>
    </w:rPr>
  </w:style>
  <w:style w:type="character" w:customStyle="1" w:styleId="13">
    <w:name w:val="Titlu 2 Caracter"/>
    <w:basedOn w:val="4"/>
    <w:link w:val="3"/>
    <w:qFormat/>
    <w:uiPriority w:val="9"/>
    <w:rPr>
      <w:rFonts w:ascii="Times New Roman" w:hAnsi="Times New Roman" w:eastAsiaTheme="majorEastAsia" w:cstheme="majorBidi"/>
      <w:b/>
      <w:sz w:val="26"/>
      <w:szCs w:val="26"/>
    </w:rPr>
  </w:style>
  <w:style w:type="character" w:customStyle="1" w:styleId="14">
    <w:name w:val="Titlu Caracter"/>
    <w:basedOn w:val="4"/>
    <w:link w:val="9"/>
    <w:uiPriority w:val="10"/>
    <w:rPr>
      <w:rFonts w:ascii="Times New Roman" w:hAnsi="Times New Roman" w:eastAsiaTheme="majorEastAsia" w:cstheme="majorBidi"/>
      <w:b/>
      <w:color w:val="44546A" w:themeColor="text2"/>
      <w:spacing w:val="-10"/>
      <w:kern w:val="28"/>
      <w:sz w:val="36"/>
      <w:szCs w:val="56"/>
      <w14:textFill>
        <w14:solidFill>
          <w14:schemeClr w14:val="tx2"/>
        </w14:solidFill>
      </w14:textFill>
    </w:rPr>
  </w:style>
  <w:style w:type="character" w:customStyle="1" w:styleId="15">
    <w:name w:val="Subsol Caracter"/>
    <w:basedOn w:val="4"/>
    <w:link w:val="6"/>
    <w:uiPriority w:val="99"/>
    <w:rPr>
      <w:rFonts w:ascii="Times New Roman" w:hAnsi="Times New Roman"/>
      <w:sz w:val="24"/>
    </w:rPr>
  </w:style>
  <w:style w:type="paragraph" w:customStyle="1" w:styleId="16">
    <w:name w:val="TOC Heading"/>
    <w:basedOn w:val="2"/>
    <w:next w:val="1"/>
    <w:unhideWhenUsed/>
    <w:qFormat/>
    <w:uiPriority w:val="39"/>
    <w:pPr>
      <w:spacing w:line="259" w:lineRule="auto"/>
      <w:jc w:val="left"/>
      <w:outlineLvl w:val="9"/>
    </w:pPr>
    <w:rPr>
      <w:rFonts w:asciiTheme="majorHAnsi" w:hAnsiTheme="majorHAnsi"/>
      <w:b w:val="0"/>
      <w:color w:val="2E75B6" w:themeColor="accent1" w:themeShade="BF"/>
      <w:sz w:val="32"/>
      <w:lang w:val="en-US"/>
    </w:rPr>
  </w:style>
  <w:style w:type="character" w:customStyle="1" w:styleId="17">
    <w:name w:val="Antet Caracter"/>
    <w:basedOn w:val="4"/>
    <w:link w:val="7"/>
    <w:qFormat/>
    <w:uiPriority w:val="99"/>
    <w:rPr>
      <w:rFonts w:ascii="Times New Roman" w:hAnsi="Times New Roman"/>
      <w:sz w:val="24"/>
    </w:rPr>
  </w:style>
  <w:style w:type="paragraph" w:styleId="18">
    <w:name w:val="List Paragraph"/>
    <w:basedOn w:val="1"/>
    <w:qFormat/>
    <w:uiPriority w:val="34"/>
    <w:pPr>
      <w:ind w:left="720"/>
      <w:contextualSpacing/>
    </w:pPr>
  </w:style>
</w:styles>
</file>

<file path=word/_rels/document.xml.rels><?xml version="1.0" encoding="UTF-8" standalone="yes"?>
<Relationships xmlns="http://schemas.openxmlformats.org/package/2006/relationships"><Relationship Id="rId9" Type="http://schemas.openxmlformats.org/officeDocument/2006/relationships/fontTable" Target="fontTable.xml"/><Relationship Id="rId8" Type="http://schemas.openxmlformats.org/officeDocument/2006/relationships/customXml" Target="../customXml/item1.xml"/><Relationship Id="rId7"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oter" Target="footer1.xml"/><Relationship Id="rId4" Type="http://schemas.openxmlformats.org/officeDocument/2006/relationships/endnotes" Target="endnotes.xml"/><Relationship Id="rId3" Type="http://schemas.openxmlformats.org/officeDocument/2006/relationships/footnotes" Target="footnotes.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00A7CF2-1CAB-4388-9212-59EAEA88881A}">
  <ds:schemaRefs/>
</ds:datastoreItem>
</file>

<file path=docProps/app.xml><?xml version="1.0" encoding="utf-8"?>
<Properties xmlns="http://schemas.openxmlformats.org/officeDocument/2006/extended-properties" xmlns:vt="http://schemas.openxmlformats.org/officeDocument/2006/docPropsVTypes">
  <Template>Normal</Template>
  <Pages>7</Pages>
  <Words>1390</Words>
  <Characters>7928</Characters>
  <Lines>66</Lines>
  <Paragraphs>18</Paragraphs>
  <TotalTime>0</TotalTime>
  <ScaleCrop>false</ScaleCrop>
  <LinksUpToDate>false</LinksUpToDate>
  <CharactersWithSpaces>9300</CharactersWithSpaces>
  <Application>WPS Office_12.2.0.13489_F1E327BC-269C-435d-A152-05C5408002CA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2024-03-01T13:12:00Z</dcterms:created>
  <dc:creator>Ionut</dc:creator>
  <cp:lastModifiedBy>Ionut</cp:lastModifiedBy>
  <dcterms:modified xsi:type="dcterms:W3CDTF">2024-03-01T13:13:17Z</dcterms:modified>
  <cp:revision>2</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2057-12.2.0.13489</vt:lpwstr>
  </property>
  <property fmtid="{D5CDD505-2E9C-101B-9397-08002B2CF9AE}" pid="3" name="ICV">
    <vt:lpwstr>0D84CA31ECB3452B942AB2991B24CC91_13</vt:lpwstr>
  </property>
</Properties>
</file>