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rPr>
      </w:pPr>
      <w:r w:rsidDel="00000000" w:rsidR="00000000" w:rsidRPr="00000000">
        <w:rPr>
          <w:b w:val="1"/>
          <w:rtl w:val="0"/>
        </w:rPr>
        <w:t xml:space="preserve">Aaron Hosken-Thomas</w:t>
      </w:r>
    </w:p>
    <w:p w:rsidR="00000000" w:rsidDel="00000000" w:rsidP="00000000" w:rsidRDefault="00000000" w:rsidRPr="00000000" w14:paraId="00000002">
      <w:pPr>
        <w:rPr>
          <w:b w:val="1"/>
        </w:rPr>
      </w:pPr>
      <w:r w:rsidDel="00000000" w:rsidR="00000000" w:rsidRPr="00000000">
        <w:rPr>
          <w:b w:val="1"/>
          <w:rtl w:val="0"/>
        </w:rPr>
        <w:t xml:space="preserve">2416766</w:t>
      </w:r>
    </w:p>
    <w:p w:rsidR="00000000" w:rsidDel="00000000" w:rsidP="00000000" w:rsidRDefault="00000000" w:rsidRPr="00000000" w14:paraId="00000003">
      <w:pPr>
        <w:rPr>
          <w:b w:val="1"/>
          <w:u w:val="single"/>
        </w:rPr>
      </w:pPr>
      <w:r w:rsidDel="00000000" w:rsidR="00000000" w:rsidRPr="00000000">
        <w:rPr>
          <w:rtl w:val="0"/>
        </w:rPr>
      </w:r>
    </w:p>
    <w:p w:rsidR="00000000" w:rsidDel="00000000" w:rsidP="00000000" w:rsidRDefault="00000000" w:rsidRPr="00000000" w14:paraId="00000004">
      <w:pPr>
        <w:rPr>
          <w:b w:val="1"/>
          <w:u w:val="single"/>
        </w:rPr>
      </w:pPr>
      <w:r w:rsidDel="00000000" w:rsidR="00000000" w:rsidRPr="00000000">
        <w:rPr>
          <w:b w:val="1"/>
          <w:u w:val="single"/>
          <w:rtl w:val="0"/>
        </w:rPr>
        <w:t xml:space="preserve">To undertake an examination of the relationship between physical activity levels and behavioural regulation to exercise for a student population.</w:t>
      </w:r>
    </w:p>
    <w:p w:rsidR="00000000" w:rsidDel="00000000" w:rsidP="00000000" w:rsidRDefault="00000000" w:rsidRPr="00000000" w14:paraId="00000005">
      <w:pPr>
        <w:rPr>
          <w:b w:val="1"/>
          <w:u w:val="single"/>
        </w:rPr>
      </w:pPr>
      <w:r w:rsidDel="00000000" w:rsidR="00000000" w:rsidRPr="00000000">
        <w:rPr>
          <w:rtl w:val="0"/>
        </w:rPr>
      </w:r>
    </w:p>
    <w:p w:rsidR="00000000" w:rsidDel="00000000" w:rsidP="00000000" w:rsidRDefault="00000000" w:rsidRPr="00000000" w14:paraId="00000006">
      <w:pPr>
        <w:rPr>
          <w:b w:val="1"/>
        </w:rPr>
      </w:pPr>
      <w:r w:rsidDel="00000000" w:rsidR="00000000" w:rsidRPr="00000000">
        <w:rPr>
          <w:b w:val="1"/>
          <w:rtl w:val="0"/>
        </w:rPr>
        <w:t xml:space="preserve">Introduction</w:t>
      </w:r>
    </w:p>
    <w:p w:rsidR="00000000" w:rsidDel="00000000" w:rsidP="00000000" w:rsidRDefault="00000000" w:rsidRPr="00000000" w14:paraId="00000007">
      <w:pPr>
        <w:rPr>
          <w:b w:val="1"/>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Motivation can be found in many different ways, for example, there is, </w:t>
      </w:r>
      <w:r w:rsidDel="00000000" w:rsidR="00000000" w:rsidRPr="00000000">
        <w:rPr>
          <w:rtl w:val="0"/>
        </w:rPr>
        <w:t xml:space="preserve">amotivation</w:t>
      </w:r>
      <w:r w:rsidDel="00000000" w:rsidR="00000000" w:rsidRPr="00000000">
        <w:rPr>
          <w:rtl w:val="0"/>
        </w:rPr>
        <w:t xml:space="preserve">, introjected, integrated, intrinsic, identified, extrinsic and external motivation, Although there are many different types of motivation, they can often be generalised into two main categories, these being, Intrinsic and Extrinsic. Extrinsic motivation is induced by external factors, for example, recognition from peers and family members or rewards such as; setting personal best records, winning competitions or being able to lift more weight than previous attempts in a gym setting. On the other hand, Intrinsic motivation comes from the drive of an individual. This can include one’s enjoyment for an activity or can be down to their particular interest in a certain task. Another example could be a person’s feeling of satisfaction or feeling good during or after the completion of an exercise or a workout. “Endorphins release into the </w:t>
      </w:r>
      <w:r w:rsidDel="00000000" w:rsidR="00000000" w:rsidRPr="00000000">
        <w:rPr>
          <w:rtl w:val="0"/>
        </w:rPr>
        <w:t xml:space="preserve">blood stream</w:t>
      </w:r>
      <w:r w:rsidDel="00000000" w:rsidR="00000000" w:rsidRPr="00000000">
        <w:rPr>
          <w:rtl w:val="0"/>
        </w:rPr>
        <w:t xml:space="preserve"> and help reduce pain, discomfort, and stress. This leaves us feeling great at the end of the workout” (Ewen, 2023) An individual may well exercise because they enjoy knowing that it is having a positive effect on their physical and mental well-being. Motivation is vital for a person’s aspirations to pursue their goals, it helps provide determination and energy which, in turn, helps them to overcome challenges. Motivation can aid towards increased performance and also assists people in order to remain committed to reaching their goals, it can also help people to focus when aiming to achieve a goal. “Motivation is the force behind your actions, helping you stay focused, overcome obstacles, and achieve your objectives.” (Ulster.ac.uk. 2024) Additionally, objectives are far more easily achieved when motivated and can leave individuals feeling a sense of accomplishment and self satisfaction. Motivation is also important for individuals as it can help them become resilient and can allow people to obtain a positive attitude towards exercise and help them bounce back from any negative experiences they may have faced, such as injuries or family issues. On the whole, motivation can help people foster a wide range of benefits and can lead to success in various walks of life. Motivation is also very important because after an individual has completed a task, they may want to replicate the feel-good factor they may have experienced which can lead to routine and a positive snow-ball effect for the individual. Taking part in physical activity can come with many benefits for a person and can have an effect on the individual's integral development. It can also help a person maintain a healthy level of confidence. Physical activity levels are a lot higher in early life however “Young people report more physical activity than older ones, men more than women” (D Zimmermann-Sloutskis, 2010), levels tend to drop as a person ages due to different reasons such as; decreased energy levels or people having other commitments such as work or having children. “Less than half of mums meet the recommended levels of moderate-to-vigorous physical activity - mothers of </w:t>
      </w:r>
      <w:r w:rsidDel="00000000" w:rsidR="00000000" w:rsidRPr="00000000">
        <w:rPr>
          <w:rtl w:val="0"/>
        </w:rPr>
        <w:t xml:space="preserve">younger</w:t>
      </w:r>
      <w:r w:rsidDel="00000000" w:rsidR="00000000" w:rsidRPr="00000000">
        <w:rPr>
          <w:rtl w:val="0"/>
        </w:rPr>
        <w:t xml:space="preserve"> children manage to do the least” (Mums’ activity levels may depend on number and ages of ages, 2022) These are all factors as to why people are not hitting their recommended 150 minutes of exercise weekly. “74 per cent of us are still not reaching the NHS recommended guidelines of 150 minutes of moderate exercise a week. The data revealed that motivation, financial issues and health concerns were common barriers to exercise.” (Women's Health, 2024) Studies have shown that men engage in exercise to help them gain more size and muscle mass. They have also shown that they find pleasure in exercising and social factors also play a role with males as they may feel a sense of camaraderie which is a contributing factor as to why they continue to exercise. “The experience of camaraderie evoked in team sports brings fidelity and solidarity. There is a felt sense of having one </w:t>
      </w:r>
      <w:r w:rsidDel="00000000" w:rsidR="00000000" w:rsidRPr="00000000">
        <w:rPr>
          <w:rtl w:val="0"/>
        </w:rPr>
        <w:t xml:space="preserve">anothers’</w:t>
      </w:r>
      <w:r w:rsidDel="00000000" w:rsidR="00000000" w:rsidRPr="00000000">
        <w:rPr>
          <w:rtl w:val="0"/>
        </w:rPr>
        <w:t xml:space="preserve"> backs that is unique to this arena of social engagement.” (G Senecal, 2017) Studies have shown that females tend to exercise in order to boost their physical health and to help enhance their body image. Similar to males, women also thrive from the social aspects of exercising and working will peers has shown to increase their chances of returning to certain exercise classes and helps with their maintenance of motivation. Weight management was also a big reason as to why females exercise which is important, but can also be dangerous if one becomes too obsessed with their body image as it can lead to health problems. The general focus of the study is to undertake an examination of the overall relationship between behavioural regulation and exercise amidst a group of university students. The study aimed to focus on contrasting kinds of motivation and will look to explore both intrinsic and extrinsic motivational factors, highlighting reasons why students are driven to exercise. The study will also look to seek different identity patterns that can affect the promotion of an active lifestyle. In addition to this, research will also impact the analysis of strategic self-regulation and how it can impact one’s health. This will conclusively provide us with awareness that will ultimately help increase the levels of physical activity for students in an academic setting.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b w:val="1"/>
        </w:rPr>
      </w:pPr>
      <w:r w:rsidDel="00000000" w:rsidR="00000000" w:rsidRPr="00000000">
        <w:rPr>
          <w:b w:val="1"/>
          <w:rtl w:val="0"/>
        </w:rPr>
        <w:t xml:space="preserve">Method</w:t>
      </w:r>
    </w:p>
    <w:p w:rsidR="00000000" w:rsidDel="00000000" w:rsidP="00000000" w:rsidRDefault="00000000" w:rsidRPr="00000000" w14:paraId="0000000B">
      <w:pPr>
        <w:rPr>
          <w:b w:val="1"/>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In order to help collect information for our selected study, we used a specific procedure and handed out two different questionnaires to help us determine the activity levels of the members of Carmarthen University. To help us gain this information we used the IPAQ and BREQ3 questionnaires. On the whole, there were 47 students that took part in the completion of the questionnaire, the results of the 47 students were then calculated and were divided into 3 separate activity level groups, showing 15 students with high activity levels, 18 showing moderate activity levels and 14 students showing a low activity level. Within the questionnaire, there were numerous categories covering different subject areas relating to why people partake in exercise, an example of this would be questions 11, 16 and 30. These questions are all visible avoidance-based extrinsic motivation factors that suggest people may be working-out to avoid negative consequences. In addition to this, the IPAQ form helped us work out the students' differing activity levels. After carrying out the questionnaire, we then utilized Excel to generate a graph and a table to make the presentation of our results clearly, these will both be shown in the results section of the lab report.</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b w:val="1"/>
        </w:rPr>
      </w:pPr>
      <w:r w:rsidDel="00000000" w:rsidR="00000000" w:rsidRPr="00000000">
        <w:rPr>
          <w:b w:val="1"/>
          <w:rtl w:val="0"/>
        </w:rPr>
        <w:t xml:space="preserve">Results</w:t>
      </w:r>
    </w:p>
    <w:p w:rsidR="00000000" w:rsidDel="00000000" w:rsidP="00000000" w:rsidRDefault="00000000" w:rsidRPr="00000000" w14:paraId="0000000F">
      <w:pPr>
        <w:rPr>
          <w:b w:val="1"/>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Our results were obtained by the completion of both the IPAQ and BREQ3 questionnaires, these provided a precious perception into the behavioural regulation and physical activity levels of the students. The BREQ3 questionnaire gave valuable insights and aided us in order to measure different kinds of motivation, such as, intrinsic and extrinsic motivational factors. Students responded to statements/questions from the questionnaire with a number from 1 to 5, 1 being ‘not at all true for me’ and 5 being ‘very true for me’. After the completion of the questionnaires, we then worked out the mean scores for the participants of the questionnaires. We did this by numbering the questions that fall under the same branch of motivation, for example, questions 6, 20, 34 and 46 all come under stress management. We then added up the scores we received and then proceeded to divide that score by the number of participants in order for us to work out the mean score. A graph and table was then created to help us gain a clearer and more easy to read set of results using Excel. In addition to this, the standard deviation allowed us to view our results from a clearer perspective, giving us a clearer dispersion between results.</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 </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drawing>
          <wp:inline distB="114300" distT="114300" distL="114300" distR="114300">
            <wp:extent cx="5691188" cy="28479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691188" cy="2847975"/>
                    </a:xfrm>
                    <a:prstGeom prst="rect"/>
                    <a:ln/>
                  </pic:spPr>
                </pic:pic>
              </a:graphicData>
            </a:graphic>
          </wp:inline>
        </w:drawing>
      </w: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tbl>
      <w:tblPr>
        <w:tblStyle w:val="Table1"/>
        <w:tblW w:w="9025.511811023625"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148.26351332418"/>
        <w:gridCol w:w="770.8622187351137"/>
        <w:gridCol w:w="626.3255527222799"/>
        <w:gridCol w:w="602.2361083868076"/>
        <w:gridCol w:w="626.3255527222799"/>
        <w:gridCol w:w="722.6833300641691"/>
        <w:gridCol w:w="626.3255527222799"/>
        <w:gridCol w:w="666.4746266147337"/>
        <w:gridCol w:w="626.3255527222799"/>
        <w:gridCol w:w="754.8025891781322"/>
        <w:gridCol w:w="626.3255527222799"/>
        <w:gridCol w:w="602.2361083868076"/>
        <w:gridCol w:w="626.3255527222799"/>
        <w:tblGridChange w:id="0">
          <w:tblGrid>
            <w:gridCol w:w="1148.26351332418"/>
            <w:gridCol w:w="770.8622187351137"/>
            <w:gridCol w:w="626.3255527222799"/>
            <w:gridCol w:w="602.2361083868076"/>
            <w:gridCol w:w="626.3255527222799"/>
            <w:gridCol w:w="722.6833300641691"/>
            <w:gridCol w:w="626.3255527222799"/>
            <w:gridCol w:w="666.4746266147337"/>
            <w:gridCol w:w="626.3255527222799"/>
            <w:gridCol w:w="754.8025891781322"/>
            <w:gridCol w:w="626.3255527222799"/>
            <w:gridCol w:w="602.2361083868076"/>
            <w:gridCol w:w="626.3255527222799"/>
          </w:tblGrid>
        </w:tblGridChange>
      </w:tblGrid>
      <w:tr>
        <w:trPr>
          <w:cantSplit w:val="0"/>
          <w:trHeight w:val="400" w:hRule="atLeast"/>
          <w:tblHeader w:val="0"/>
        </w:trPr>
        <w:tc>
          <w:tcPr>
            <w:tcBorders>
              <w:top w:color="000000" w:space="0" w:sz="0" w:val="nil"/>
              <w:left w:color="000000" w:space="0" w:sz="0" w:val="nil"/>
              <w:bottom w:color="000000" w:space="0" w:sz="0" w:val="nil"/>
              <w:right w:color="000000" w:space="0" w:sz="0" w:val="nil"/>
            </w:tcBorders>
            <w:shd w:fill="145f82" w:val="clear"/>
            <w:tcMar>
              <w:top w:w="20.0" w:type="dxa"/>
              <w:left w:w="20.0" w:type="dxa"/>
              <w:bottom w:w="100.0" w:type="dxa"/>
              <w:right w:w="20.0" w:type="dxa"/>
            </w:tcMar>
            <w:vAlign w:val="bottom"/>
          </w:tcPr>
          <w:p w:rsidR="00000000" w:rsidDel="00000000" w:rsidP="00000000" w:rsidRDefault="00000000" w:rsidRPr="00000000" w14:paraId="0000001C">
            <w:pPr>
              <w:rPr/>
            </w:pPr>
            <w:r w:rsidDel="00000000" w:rsidR="00000000" w:rsidRPr="00000000">
              <w:rPr>
                <w:b w:val="1"/>
                <w:color w:val="ffffff"/>
                <w:rtl w:val="0"/>
              </w:rPr>
              <w:t xml:space="preserve">Column1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145f82" w:val="clear"/>
            <w:tcMar>
              <w:top w:w="20.0" w:type="dxa"/>
              <w:left w:w="20.0" w:type="dxa"/>
              <w:bottom w:w="100.0" w:type="dxa"/>
              <w:right w:w="20.0" w:type="dxa"/>
            </w:tcMar>
            <w:vAlign w:val="bottom"/>
          </w:tcPr>
          <w:p w:rsidR="00000000" w:rsidDel="00000000" w:rsidP="00000000" w:rsidRDefault="00000000" w:rsidRPr="00000000" w14:paraId="0000001D">
            <w:pPr>
              <w:rPr/>
            </w:pPr>
            <w:r w:rsidDel="00000000" w:rsidR="00000000" w:rsidRPr="00000000">
              <w:rPr>
                <w:b w:val="1"/>
                <w:color w:val="ffffff"/>
                <w:rtl w:val="0"/>
              </w:rPr>
              <w:t xml:space="preserve">amotivation</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145f82" w:val="clear"/>
            <w:tcMar>
              <w:top w:w="20.0" w:type="dxa"/>
              <w:left w:w="20.0" w:type="dxa"/>
              <w:bottom w:w="100.0" w:type="dxa"/>
              <w:right w:w="20.0" w:type="dxa"/>
            </w:tcMar>
            <w:vAlign w:val="bottom"/>
          </w:tcPr>
          <w:p w:rsidR="00000000" w:rsidDel="00000000" w:rsidP="00000000" w:rsidRDefault="00000000" w:rsidRPr="00000000" w14:paraId="0000001E">
            <w:pPr>
              <w:rPr/>
            </w:pPr>
            <w:r w:rsidDel="00000000" w:rsidR="00000000" w:rsidRPr="00000000">
              <w:rPr>
                <w:b w:val="1"/>
                <w:color w:val="ffffff"/>
                <w:rtl w:val="0"/>
              </w:rPr>
              <w:t xml:space="preserve">Column2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145f82" w:val="clear"/>
            <w:tcMar>
              <w:top w:w="20.0" w:type="dxa"/>
              <w:left w:w="20.0" w:type="dxa"/>
              <w:bottom w:w="100.0" w:type="dxa"/>
              <w:right w:w="20.0" w:type="dxa"/>
            </w:tcMar>
            <w:vAlign w:val="bottom"/>
          </w:tcPr>
          <w:p w:rsidR="00000000" w:rsidDel="00000000" w:rsidP="00000000" w:rsidRDefault="00000000" w:rsidRPr="00000000" w14:paraId="0000001F">
            <w:pPr>
              <w:rPr/>
            </w:pPr>
            <w:r w:rsidDel="00000000" w:rsidR="00000000" w:rsidRPr="00000000">
              <w:rPr>
                <w:b w:val="1"/>
                <w:color w:val="ffffff"/>
                <w:rtl w:val="0"/>
              </w:rPr>
              <w:t xml:space="preserve">external </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145f82" w:val="clear"/>
            <w:tcMar>
              <w:top w:w="20.0" w:type="dxa"/>
              <w:left w:w="20.0" w:type="dxa"/>
              <w:bottom w:w="100.0" w:type="dxa"/>
              <w:right w:w="20.0" w:type="dxa"/>
            </w:tcMar>
            <w:vAlign w:val="bottom"/>
          </w:tcPr>
          <w:p w:rsidR="00000000" w:rsidDel="00000000" w:rsidP="00000000" w:rsidRDefault="00000000" w:rsidRPr="00000000" w14:paraId="00000020">
            <w:pPr>
              <w:rPr/>
            </w:pPr>
            <w:r w:rsidDel="00000000" w:rsidR="00000000" w:rsidRPr="00000000">
              <w:rPr>
                <w:b w:val="1"/>
                <w:color w:val="ffffff"/>
                <w:rtl w:val="0"/>
              </w:rPr>
              <w:t xml:space="preserve">Column3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145f82" w:val="clear"/>
            <w:tcMar>
              <w:top w:w="20.0" w:type="dxa"/>
              <w:left w:w="20.0" w:type="dxa"/>
              <w:bottom w:w="100.0" w:type="dxa"/>
              <w:right w:w="20.0" w:type="dxa"/>
            </w:tcMar>
            <w:vAlign w:val="bottom"/>
          </w:tcPr>
          <w:p w:rsidR="00000000" w:rsidDel="00000000" w:rsidP="00000000" w:rsidRDefault="00000000" w:rsidRPr="00000000" w14:paraId="00000021">
            <w:pPr>
              <w:rPr/>
            </w:pPr>
            <w:r w:rsidDel="00000000" w:rsidR="00000000" w:rsidRPr="00000000">
              <w:rPr>
                <w:b w:val="1"/>
                <w:color w:val="ffffff"/>
                <w:rtl w:val="0"/>
              </w:rPr>
              <w:t xml:space="preserve">introjected</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145f82" w:val="clear"/>
            <w:tcMar>
              <w:top w:w="20.0" w:type="dxa"/>
              <w:left w:w="20.0" w:type="dxa"/>
              <w:bottom w:w="100.0" w:type="dxa"/>
              <w:right w:w="20.0" w:type="dxa"/>
            </w:tcMar>
            <w:vAlign w:val="bottom"/>
          </w:tcPr>
          <w:p w:rsidR="00000000" w:rsidDel="00000000" w:rsidP="00000000" w:rsidRDefault="00000000" w:rsidRPr="00000000" w14:paraId="00000022">
            <w:pPr>
              <w:rPr/>
            </w:pPr>
            <w:r w:rsidDel="00000000" w:rsidR="00000000" w:rsidRPr="00000000">
              <w:rPr>
                <w:b w:val="1"/>
                <w:color w:val="ffffff"/>
                <w:rtl w:val="0"/>
              </w:rPr>
              <w:t xml:space="preserve">Column4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145f82" w:val="clear"/>
            <w:tcMar>
              <w:top w:w="20.0" w:type="dxa"/>
              <w:left w:w="20.0" w:type="dxa"/>
              <w:bottom w:w="100.0" w:type="dxa"/>
              <w:right w:w="20.0" w:type="dxa"/>
            </w:tcMar>
            <w:vAlign w:val="bottom"/>
          </w:tcPr>
          <w:p w:rsidR="00000000" w:rsidDel="00000000" w:rsidP="00000000" w:rsidRDefault="00000000" w:rsidRPr="00000000" w14:paraId="00000023">
            <w:pPr>
              <w:rPr/>
            </w:pPr>
            <w:r w:rsidDel="00000000" w:rsidR="00000000" w:rsidRPr="00000000">
              <w:rPr>
                <w:b w:val="1"/>
                <w:color w:val="ffffff"/>
                <w:rtl w:val="0"/>
              </w:rPr>
              <w:t xml:space="preserve">identified </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145f82" w:val="clear"/>
            <w:tcMar>
              <w:top w:w="20.0" w:type="dxa"/>
              <w:left w:w="20.0" w:type="dxa"/>
              <w:bottom w:w="100.0" w:type="dxa"/>
              <w:right w:w="20.0" w:type="dxa"/>
            </w:tcMar>
            <w:vAlign w:val="bottom"/>
          </w:tcPr>
          <w:p w:rsidR="00000000" w:rsidDel="00000000" w:rsidP="00000000" w:rsidRDefault="00000000" w:rsidRPr="00000000" w14:paraId="00000024">
            <w:pPr>
              <w:rPr/>
            </w:pPr>
            <w:r w:rsidDel="00000000" w:rsidR="00000000" w:rsidRPr="00000000">
              <w:rPr>
                <w:b w:val="1"/>
                <w:color w:val="ffffff"/>
                <w:rtl w:val="0"/>
              </w:rPr>
              <w:t xml:space="preserve">Column5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145f82" w:val="clear"/>
            <w:tcMar>
              <w:top w:w="20.0" w:type="dxa"/>
              <w:left w:w="20.0" w:type="dxa"/>
              <w:bottom w:w="100.0" w:type="dxa"/>
              <w:right w:w="20.0" w:type="dxa"/>
            </w:tcMar>
            <w:vAlign w:val="bottom"/>
          </w:tcPr>
          <w:p w:rsidR="00000000" w:rsidDel="00000000" w:rsidP="00000000" w:rsidRDefault="00000000" w:rsidRPr="00000000" w14:paraId="00000025">
            <w:pPr>
              <w:rPr/>
            </w:pPr>
            <w:r w:rsidDel="00000000" w:rsidR="00000000" w:rsidRPr="00000000">
              <w:rPr>
                <w:b w:val="1"/>
                <w:color w:val="ffffff"/>
                <w:rtl w:val="0"/>
              </w:rPr>
              <w:t xml:space="preserve">intergrated </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145f82" w:val="clear"/>
            <w:tcMar>
              <w:top w:w="20.0" w:type="dxa"/>
              <w:left w:w="20.0" w:type="dxa"/>
              <w:bottom w:w="100.0" w:type="dxa"/>
              <w:right w:w="20.0" w:type="dxa"/>
            </w:tcMar>
            <w:vAlign w:val="bottom"/>
          </w:tcPr>
          <w:p w:rsidR="00000000" w:rsidDel="00000000" w:rsidP="00000000" w:rsidRDefault="00000000" w:rsidRPr="00000000" w14:paraId="00000026">
            <w:pPr>
              <w:rPr/>
            </w:pPr>
            <w:r w:rsidDel="00000000" w:rsidR="00000000" w:rsidRPr="00000000">
              <w:rPr>
                <w:b w:val="1"/>
                <w:color w:val="ffffff"/>
                <w:rtl w:val="0"/>
              </w:rPr>
              <w:t xml:space="preserve">Column6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145f82" w:val="clear"/>
            <w:tcMar>
              <w:top w:w="20.0" w:type="dxa"/>
              <w:left w:w="20.0" w:type="dxa"/>
              <w:bottom w:w="100.0" w:type="dxa"/>
              <w:right w:w="20.0" w:type="dxa"/>
            </w:tcMar>
            <w:vAlign w:val="bottom"/>
          </w:tcPr>
          <w:p w:rsidR="00000000" w:rsidDel="00000000" w:rsidP="00000000" w:rsidRDefault="00000000" w:rsidRPr="00000000" w14:paraId="00000027">
            <w:pPr>
              <w:rPr/>
            </w:pPr>
            <w:r w:rsidDel="00000000" w:rsidR="00000000" w:rsidRPr="00000000">
              <w:rPr>
                <w:b w:val="1"/>
                <w:color w:val="ffffff"/>
                <w:rtl w:val="0"/>
              </w:rPr>
              <w:t xml:space="preserve">intrinsic </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145f82" w:val="clear"/>
            <w:tcMar>
              <w:top w:w="20.0" w:type="dxa"/>
              <w:left w:w="20.0" w:type="dxa"/>
              <w:bottom w:w="100.0" w:type="dxa"/>
              <w:right w:w="20.0" w:type="dxa"/>
            </w:tcMar>
            <w:vAlign w:val="bottom"/>
          </w:tcPr>
          <w:p w:rsidR="00000000" w:rsidDel="00000000" w:rsidP="00000000" w:rsidRDefault="00000000" w:rsidRPr="00000000" w14:paraId="00000028">
            <w:pPr>
              <w:rPr/>
            </w:pPr>
            <w:r w:rsidDel="00000000" w:rsidR="00000000" w:rsidRPr="00000000">
              <w:rPr>
                <w:b w:val="1"/>
                <w:color w:val="ffffff"/>
                <w:rtl w:val="0"/>
              </w:rPr>
              <w:t xml:space="preserve">Column7</w:t>
            </w:r>
            <w:r w:rsidDel="00000000" w:rsidR="00000000" w:rsidRPr="00000000">
              <w:rPr>
                <w:rtl w:val="0"/>
              </w:rPr>
            </w:r>
          </w:p>
        </w:tc>
      </w:tr>
      <w:tr>
        <w:trPr>
          <w:cantSplit w:val="0"/>
          <w:trHeight w:val="400" w:hRule="atLeast"/>
          <w:tblHeader w:val="0"/>
        </w:trPr>
        <w:tc>
          <w:tcPr>
            <w:tcBorders>
              <w:top w:color="000000" w:space="0" w:sz="0" w:val="nil"/>
              <w:left w:color="000000" w:space="0" w:sz="0" w:val="nil"/>
              <w:bottom w:color="000000" w:space="0" w:sz="0" w:val="nil"/>
              <w:right w:color="000000" w:space="0" w:sz="0" w:val="nil"/>
            </w:tcBorders>
            <w:shd w:fill="c0e4f5" w:val="clear"/>
            <w:tcMar>
              <w:top w:w="20.0" w:type="dxa"/>
              <w:left w:w="20.0" w:type="dxa"/>
              <w:bottom w:w="100.0" w:type="dxa"/>
              <w:right w:w="20.0" w:type="dxa"/>
            </w:tcMar>
            <w:vAlign w:val="bottom"/>
          </w:tcPr>
          <w:p w:rsidR="00000000" w:rsidDel="00000000" w:rsidP="00000000" w:rsidRDefault="00000000" w:rsidRPr="00000000" w14:paraId="00000029">
            <w:pP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c0e4f5" w:val="clear"/>
            <w:tcMar>
              <w:top w:w="20.0" w:type="dxa"/>
              <w:left w:w="20.0" w:type="dxa"/>
              <w:bottom w:w="100.0" w:type="dxa"/>
              <w:right w:w="20.0" w:type="dxa"/>
            </w:tcMar>
            <w:vAlign w:val="bottom"/>
          </w:tcPr>
          <w:p w:rsidR="00000000" w:rsidDel="00000000" w:rsidP="00000000" w:rsidRDefault="00000000" w:rsidRPr="00000000" w14:paraId="0000002A">
            <w:pPr>
              <w:rPr/>
            </w:pPr>
            <w:r w:rsidDel="00000000" w:rsidR="00000000" w:rsidRPr="00000000">
              <w:rPr>
                <w:rtl w:val="0"/>
              </w:rPr>
              <w:t xml:space="preserve">mean </w:t>
            </w:r>
          </w:p>
        </w:tc>
        <w:tc>
          <w:tcPr>
            <w:tcBorders>
              <w:top w:color="000000" w:space="0" w:sz="0" w:val="nil"/>
              <w:left w:color="000000" w:space="0" w:sz="0" w:val="nil"/>
              <w:bottom w:color="000000" w:space="0" w:sz="0" w:val="nil"/>
              <w:right w:color="000000" w:space="0" w:sz="0" w:val="nil"/>
            </w:tcBorders>
            <w:shd w:fill="c0e4f5" w:val="clear"/>
            <w:tcMar>
              <w:top w:w="20.0" w:type="dxa"/>
              <w:left w:w="20.0" w:type="dxa"/>
              <w:bottom w:w="100.0" w:type="dxa"/>
              <w:right w:w="20.0" w:type="dxa"/>
            </w:tcMar>
            <w:vAlign w:val="bottom"/>
          </w:tcPr>
          <w:p w:rsidR="00000000" w:rsidDel="00000000" w:rsidP="00000000" w:rsidRDefault="00000000" w:rsidRPr="00000000" w14:paraId="0000002B">
            <w:pPr>
              <w:rPr/>
            </w:pPr>
            <w:r w:rsidDel="00000000" w:rsidR="00000000" w:rsidRPr="00000000">
              <w:rPr>
                <w:rtl w:val="0"/>
              </w:rPr>
              <w:t xml:space="preserve">SD</w:t>
            </w:r>
          </w:p>
        </w:tc>
        <w:tc>
          <w:tcPr>
            <w:tcBorders>
              <w:top w:color="000000" w:space="0" w:sz="0" w:val="nil"/>
              <w:left w:color="000000" w:space="0" w:sz="0" w:val="nil"/>
              <w:bottom w:color="000000" w:space="0" w:sz="0" w:val="nil"/>
              <w:right w:color="000000" w:space="0" w:sz="0" w:val="nil"/>
            </w:tcBorders>
            <w:shd w:fill="c0e4f5" w:val="clear"/>
            <w:tcMar>
              <w:top w:w="20.0" w:type="dxa"/>
              <w:left w:w="20.0" w:type="dxa"/>
              <w:bottom w:w="100.0" w:type="dxa"/>
              <w:right w:w="20.0" w:type="dxa"/>
            </w:tcMar>
            <w:vAlign w:val="bottom"/>
          </w:tcPr>
          <w:p w:rsidR="00000000" w:rsidDel="00000000" w:rsidP="00000000" w:rsidRDefault="00000000" w:rsidRPr="00000000" w14:paraId="0000002C">
            <w:pPr>
              <w:rPr/>
            </w:pPr>
            <w:r w:rsidDel="00000000" w:rsidR="00000000" w:rsidRPr="00000000">
              <w:rPr>
                <w:rtl w:val="0"/>
              </w:rPr>
              <w:t xml:space="preserve">mean </w:t>
            </w:r>
          </w:p>
        </w:tc>
        <w:tc>
          <w:tcPr>
            <w:tcBorders>
              <w:top w:color="000000" w:space="0" w:sz="0" w:val="nil"/>
              <w:left w:color="000000" w:space="0" w:sz="0" w:val="nil"/>
              <w:bottom w:color="000000" w:space="0" w:sz="0" w:val="nil"/>
              <w:right w:color="000000" w:space="0" w:sz="0" w:val="nil"/>
            </w:tcBorders>
            <w:shd w:fill="c0e4f5" w:val="clear"/>
            <w:tcMar>
              <w:top w:w="20.0" w:type="dxa"/>
              <w:left w:w="20.0" w:type="dxa"/>
              <w:bottom w:w="100.0" w:type="dxa"/>
              <w:right w:w="20.0" w:type="dxa"/>
            </w:tcMar>
            <w:vAlign w:val="bottom"/>
          </w:tcPr>
          <w:p w:rsidR="00000000" w:rsidDel="00000000" w:rsidP="00000000" w:rsidRDefault="00000000" w:rsidRPr="00000000" w14:paraId="0000002D">
            <w:pPr>
              <w:rPr/>
            </w:pPr>
            <w:r w:rsidDel="00000000" w:rsidR="00000000" w:rsidRPr="00000000">
              <w:rPr>
                <w:rtl w:val="0"/>
              </w:rPr>
              <w:t xml:space="preserve">SD</w:t>
            </w:r>
          </w:p>
        </w:tc>
        <w:tc>
          <w:tcPr>
            <w:tcBorders>
              <w:top w:color="000000" w:space="0" w:sz="0" w:val="nil"/>
              <w:left w:color="000000" w:space="0" w:sz="0" w:val="nil"/>
              <w:bottom w:color="000000" w:space="0" w:sz="0" w:val="nil"/>
              <w:right w:color="000000" w:space="0" w:sz="0" w:val="nil"/>
            </w:tcBorders>
            <w:shd w:fill="c0e4f5" w:val="clear"/>
            <w:tcMar>
              <w:top w:w="20.0" w:type="dxa"/>
              <w:left w:w="20.0" w:type="dxa"/>
              <w:bottom w:w="100.0" w:type="dxa"/>
              <w:right w:w="20.0" w:type="dxa"/>
            </w:tcMar>
            <w:vAlign w:val="bottom"/>
          </w:tcPr>
          <w:p w:rsidR="00000000" w:rsidDel="00000000" w:rsidP="00000000" w:rsidRDefault="00000000" w:rsidRPr="00000000" w14:paraId="0000002E">
            <w:pPr>
              <w:rPr/>
            </w:pPr>
            <w:r w:rsidDel="00000000" w:rsidR="00000000" w:rsidRPr="00000000">
              <w:rPr>
                <w:rtl w:val="0"/>
              </w:rPr>
              <w:t xml:space="preserve">Mean </w:t>
            </w:r>
          </w:p>
        </w:tc>
        <w:tc>
          <w:tcPr>
            <w:tcBorders>
              <w:top w:color="000000" w:space="0" w:sz="0" w:val="nil"/>
              <w:left w:color="000000" w:space="0" w:sz="0" w:val="nil"/>
              <w:bottom w:color="000000" w:space="0" w:sz="0" w:val="nil"/>
              <w:right w:color="000000" w:space="0" w:sz="0" w:val="nil"/>
            </w:tcBorders>
            <w:shd w:fill="c0e4f5" w:val="clear"/>
            <w:tcMar>
              <w:top w:w="20.0" w:type="dxa"/>
              <w:left w:w="20.0" w:type="dxa"/>
              <w:bottom w:w="100.0" w:type="dxa"/>
              <w:right w:w="20.0" w:type="dxa"/>
            </w:tcMar>
            <w:vAlign w:val="bottom"/>
          </w:tcPr>
          <w:p w:rsidR="00000000" w:rsidDel="00000000" w:rsidP="00000000" w:rsidRDefault="00000000" w:rsidRPr="00000000" w14:paraId="0000002F">
            <w:pPr>
              <w:rPr/>
            </w:pPr>
            <w:r w:rsidDel="00000000" w:rsidR="00000000" w:rsidRPr="00000000">
              <w:rPr>
                <w:rtl w:val="0"/>
              </w:rPr>
              <w:t xml:space="preserve">SD</w:t>
            </w:r>
          </w:p>
        </w:tc>
        <w:tc>
          <w:tcPr>
            <w:tcBorders>
              <w:top w:color="000000" w:space="0" w:sz="0" w:val="nil"/>
              <w:left w:color="000000" w:space="0" w:sz="0" w:val="nil"/>
              <w:bottom w:color="000000" w:space="0" w:sz="0" w:val="nil"/>
              <w:right w:color="000000" w:space="0" w:sz="0" w:val="nil"/>
            </w:tcBorders>
            <w:shd w:fill="c0e4f5" w:val="clear"/>
            <w:tcMar>
              <w:top w:w="20.0" w:type="dxa"/>
              <w:left w:w="20.0" w:type="dxa"/>
              <w:bottom w:w="100.0" w:type="dxa"/>
              <w:right w:w="20.0" w:type="dxa"/>
            </w:tcMar>
            <w:vAlign w:val="bottom"/>
          </w:tcPr>
          <w:p w:rsidR="00000000" w:rsidDel="00000000" w:rsidP="00000000" w:rsidRDefault="00000000" w:rsidRPr="00000000" w14:paraId="00000030">
            <w:pPr>
              <w:rPr/>
            </w:pPr>
            <w:r w:rsidDel="00000000" w:rsidR="00000000" w:rsidRPr="00000000">
              <w:rPr>
                <w:rtl w:val="0"/>
              </w:rPr>
              <w:t xml:space="preserve">mean</w:t>
            </w:r>
          </w:p>
        </w:tc>
        <w:tc>
          <w:tcPr>
            <w:tcBorders>
              <w:top w:color="000000" w:space="0" w:sz="0" w:val="nil"/>
              <w:left w:color="000000" w:space="0" w:sz="0" w:val="nil"/>
              <w:bottom w:color="000000" w:space="0" w:sz="0" w:val="nil"/>
              <w:right w:color="000000" w:space="0" w:sz="0" w:val="nil"/>
            </w:tcBorders>
            <w:shd w:fill="c0e4f5" w:val="clear"/>
            <w:tcMar>
              <w:top w:w="20.0" w:type="dxa"/>
              <w:left w:w="20.0" w:type="dxa"/>
              <w:bottom w:w="100.0" w:type="dxa"/>
              <w:right w:w="20.0" w:type="dxa"/>
            </w:tcMar>
            <w:vAlign w:val="bottom"/>
          </w:tcPr>
          <w:p w:rsidR="00000000" w:rsidDel="00000000" w:rsidP="00000000" w:rsidRDefault="00000000" w:rsidRPr="00000000" w14:paraId="00000031">
            <w:pPr>
              <w:rPr/>
            </w:pPr>
            <w:r w:rsidDel="00000000" w:rsidR="00000000" w:rsidRPr="00000000">
              <w:rPr>
                <w:rtl w:val="0"/>
              </w:rPr>
              <w:t xml:space="preserve">SD </w:t>
            </w:r>
          </w:p>
        </w:tc>
        <w:tc>
          <w:tcPr>
            <w:tcBorders>
              <w:top w:color="000000" w:space="0" w:sz="0" w:val="nil"/>
              <w:left w:color="000000" w:space="0" w:sz="0" w:val="nil"/>
              <w:bottom w:color="000000" w:space="0" w:sz="0" w:val="nil"/>
              <w:right w:color="000000" w:space="0" w:sz="0" w:val="nil"/>
            </w:tcBorders>
            <w:shd w:fill="c0e4f5" w:val="clear"/>
            <w:tcMar>
              <w:top w:w="20.0" w:type="dxa"/>
              <w:left w:w="20.0" w:type="dxa"/>
              <w:bottom w:w="100.0" w:type="dxa"/>
              <w:right w:w="20.0" w:type="dxa"/>
            </w:tcMar>
            <w:vAlign w:val="bottom"/>
          </w:tcPr>
          <w:p w:rsidR="00000000" w:rsidDel="00000000" w:rsidP="00000000" w:rsidRDefault="00000000" w:rsidRPr="00000000" w14:paraId="00000032">
            <w:pPr>
              <w:rPr/>
            </w:pPr>
            <w:r w:rsidDel="00000000" w:rsidR="00000000" w:rsidRPr="00000000">
              <w:rPr>
                <w:rtl w:val="0"/>
              </w:rPr>
              <w:t xml:space="preserve">mean </w:t>
            </w:r>
          </w:p>
        </w:tc>
        <w:tc>
          <w:tcPr>
            <w:tcBorders>
              <w:top w:color="000000" w:space="0" w:sz="0" w:val="nil"/>
              <w:left w:color="000000" w:space="0" w:sz="0" w:val="nil"/>
              <w:bottom w:color="000000" w:space="0" w:sz="0" w:val="nil"/>
              <w:right w:color="000000" w:space="0" w:sz="0" w:val="nil"/>
            </w:tcBorders>
            <w:shd w:fill="c0e4f5" w:val="clear"/>
            <w:tcMar>
              <w:top w:w="20.0" w:type="dxa"/>
              <w:left w:w="20.0" w:type="dxa"/>
              <w:bottom w:w="100.0" w:type="dxa"/>
              <w:right w:w="20.0" w:type="dxa"/>
            </w:tcMar>
            <w:vAlign w:val="bottom"/>
          </w:tcPr>
          <w:p w:rsidR="00000000" w:rsidDel="00000000" w:rsidP="00000000" w:rsidRDefault="00000000" w:rsidRPr="00000000" w14:paraId="00000033">
            <w:pPr>
              <w:rPr/>
            </w:pPr>
            <w:r w:rsidDel="00000000" w:rsidR="00000000" w:rsidRPr="00000000">
              <w:rPr>
                <w:rtl w:val="0"/>
              </w:rPr>
              <w:t xml:space="preserve">SD </w:t>
            </w:r>
          </w:p>
        </w:tc>
        <w:tc>
          <w:tcPr>
            <w:tcBorders>
              <w:top w:color="000000" w:space="0" w:sz="0" w:val="nil"/>
              <w:left w:color="000000" w:space="0" w:sz="0" w:val="nil"/>
              <w:bottom w:color="000000" w:space="0" w:sz="0" w:val="nil"/>
              <w:right w:color="000000" w:space="0" w:sz="0" w:val="nil"/>
            </w:tcBorders>
            <w:shd w:fill="c0e4f5" w:val="clear"/>
            <w:tcMar>
              <w:top w:w="20.0" w:type="dxa"/>
              <w:left w:w="20.0" w:type="dxa"/>
              <w:bottom w:w="100.0" w:type="dxa"/>
              <w:right w:w="20.0" w:type="dxa"/>
            </w:tcMar>
            <w:vAlign w:val="bottom"/>
          </w:tcPr>
          <w:p w:rsidR="00000000" w:rsidDel="00000000" w:rsidP="00000000" w:rsidRDefault="00000000" w:rsidRPr="00000000" w14:paraId="00000034">
            <w:pPr>
              <w:rPr/>
            </w:pPr>
            <w:r w:rsidDel="00000000" w:rsidR="00000000" w:rsidRPr="00000000">
              <w:rPr>
                <w:rtl w:val="0"/>
              </w:rPr>
              <w:t xml:space="preserve">mean </w:t>
            </w:r>
          </w:p>
        </w:tc>
        <w:tc>
          <w:tcPr>
            <w:tcBorders>
              <w:top w:color="000000" w:space="0" w:sz="0" w:val="nil"/>
              <w:left w:color="000000" w:space="0" w:sz="0" w:val="nil"/>
              <w:bottom w:color="000000" w:space="0" w:sz="0" w:val="nil"/>
              <w:right w:color="000000" w:space="0" w:sz="0" w:val="nil"/>
            </w:tcBorders>
            <w:shd w:fill="c0e4f5" w:val="clear"/>
            <w:tcMar>
              <w:top w:w="20.0" w:type="dxa"/>
              <w:left w:w="20.0" w:type="dxa"/>
              <w:bottom w:w="100.0" w:type="dxa"/>
              <w:right w:w="20.0" w:type="dxa"/>
            </w:tcMar>
            <w:vAlign w:val="bottom"/>
          </w:tcPr>
          <w:p w:rsidR="00000000" w:rsidDel="00000000" w:rsidP="00000000" w:rsidRDefault="00000000" w:rsidRPr="00000000" w14:paraId="00000035">
            <w:pPr>
              <w:rPr/>
            </w:pPr>
            <w:r w:rsidDel="00000000" w:rsidR="00000000" w:rsidRPr="00000000">
              <w:rPr>
                <w:rtl w:val="0"/>
              </w:rPr>
              <w:t xml:space="preserve">SD </w:t>
            </w:r>
          </w:p>
        </w:tc>
      </w:tr>
      <w:tr>
        <w:trPr>
          <w:cantSplit w:val="0"/>
          <w:trHeight w:val="40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36">
            <w:pPr>
              <w:rPr/>
            </w:pPr>
            <w:r w:rsidDel="00000000" w:rsidR="00000000" w:rsidRPr="00000000">
              <w:rPr>
                <w:rtl w:val="0"/>
              </w:rPr>
              <w:t xml:space="preserve">low activity level </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37">
            <w:pPr>
              <w:rPr/>
            </w:pPr>
            <w:r w:rsidDel="00000000" w:rsidR="00000000" w:rsidRPr="00000000">
              <w:rPr>
                <w:rtl w:val="0"/>
              </w:rPr>
              <w:t xml:space="preserve">1.68</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38">
            <w:pPr>
              <w:rPr/>
            </w:pPr>
            <w:r w:rsidDel="00000000" w:rsidR="00000000" w:rsidRPr="00000000">
              <w:rPr>
                <w:rtl w:val="0"/>
              </w:rPr>
              <w:t xml:space="preserve">1.49</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39">
            <w:pPr>
              <w:rPr/>
            </w:pPr>
            <w:r w:rsidDel="00000000" w:rsidR="00000000" w:rsidRPr="00000000">
              <w:rPr>
                <w:rtl w:val="0"/>
              </w:rPr>
              <w:t xml:space="preserve">2.61</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3A">
            <w:pPr>
              <w:rPr/>
            </w:pPr>
            <w:r w:rsidDel="00000000" w:rsidR="00000000" w:rsidRPr="00000000">
              <w:rPr>
                <w:rtl w:val="0"/>
              </w:rPr>
              <w:t xml:space="preserve">1.13</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3B">
            <w:pPr>
              <w:rPr/>
            </w:pPr>
            <w:r w:rsidDel="00000000" w:rsidR="00000000" w:rsidRPr="00000000">
              <w:rPr>
                <w:rtl w:val="0"/>
              </w:rPr>
              <w:t xml:space="preserve">2.59</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3C">
            <w:pPr>
              <w:rPr/>
            </w:pPr>
            <w:r w:rsidDel="00000000" w:rsidR="00000000" w:rsidRPr="00000000">
              <w:rPr>
                <w:rtl w:val="0"/>
              </w:rPr>
              <w:t xml:space="preserve">0.78</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3D">
            <w:pPr>
              <w:rPr/>
            </w:pPr>
            <w:r w:rsidDel="00000000" w:rsidR="00000000" w:rsidRPr="00000000">
              <w:rPr>
                <w:rtl w:val="0"/>
              </w:rPr>
              <w:t xml:space="preserve">2.29</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3E">
            <w:pPr>
              <w:rPr/>
            </w:pPr>
            <w:r w:rsidDel="00000000" w:rsidR="00000000" w:rsidRPr="00000000">
              <w:rPr>
                <w:rtl w:val="0"/>
              </w:rPr>
              <w:t xml:space="preserve">0.79</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3F">
            <w:pPr>
              <w:rPr/>
            </w:pPr>
            <w:r w:rsidDel="00000000" w:rsidR="00000000" w:rsidRPr="00000000">
              <w:rPr>
                <w:rtl w:val="0"/>
              </w:rPr>
              <w:t xml:space="preserve">1.25</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40">
            <w:pPr>
              <w:rPr/>
            </w:pPr>
            <w:r w:rsidDel="00000000" w:rsidR="00000000" w:rsidRPr="00000000">
              <w:rPr>
                <w:rtl w:val="0"/>
              </w:rPr>
              <w:t xml:space="preserve">1.23</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41">
            <w:pPr>
              <w:rPr/>
            </w:pPr>
            <w:r w:rsidDel="00000000" w:rsidR="00000000" w:rsidRPr="00000000">
              <w:rPr>
                <w:rtl w:val="0"/>
              </w:rPr>
              <w:t xml:space="preserve">1.04</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42">
            <w:pPr>
              <w:rPr/>
            </w:pPr>
            <w:r w:rsidDel="00000000" w:rsidR="00000000" w:rsidRPr="00000000">
              <w:rPr>
                <w:rtl w:val="0"/>
              </w:rPr>
              <w:t xml:space="preserve">1.38</w:t>
            </w:r>
          </w:p>
        </w:tc>
      </w:tr>
      <w:tr>
        <w:trPr>
          <w:cantSplit w:val="0"/>
          <w:trHeight w:val="400" w:hRule="atLeast"/>
          <w:tblHeader w:val="0"/>
        </w:trPr>
        <w:tc>
          <w:tcPr>
            <w:tcBorders>
              <w:top w:color="000000" w:space="0" w:sz="0" w:val="nil"/>
              <w:left w:color="000000" w:space="0" w:sz="0" w:val="nil"/>
              <w:bottom w:color="000000" w:space="0" w:sz="0" w:val="nil"/>
              <w:right w:color="000000" w:space="0" w:sz="0" w:val="nil"/>
            </w:tcBorders>
            <w:shd w:fill="c0e4f5" w:val="clear"/>
            <w:tcMar>
              <w:top w:w="20.0" w:type="dxa"/>
              <w:left w:w="20.0" w:type="dxa"/>
              <w:bottom w:w="100.0" w:type="dxa"/>
              <w:right w:w="20.0" w:type="dxa"/>
            </w:tcMar>
            <w:vAlign w:val="bottom"/>
          </w:tcPr>
          <w:p w:rsidR="00000000" w:rsidDel="00000000" w:rsidP="00000000" w:rsidRDefault="00000000" w:rsidRPr="00000000" w14:paraId="00000043">
            <w:pPr>
              <w:rPr/>
            </w:pPr>
            <w:r w:rsidDel="00000000" w:rsidR="00000000" w:rsidRPr="00000000">
              <w:rPr>
                <w:rtl w:val="0"/>
              </w:rPr>
              <w:t xml:space="preserve">medium activity level </w:t>
            </w:r>
          </w:p>
        </w:tc>
        <w:tc>
          <w:tcPr>
            <w:tcBorders>
              <w:top w:color="000000" w:space="0" w:sz="0" w:val="nil"/>
              <w:left w:color="000000" w:space="0" w:sz="0" w:val="nil"/>
              <w:bottom w:color="000000" w:space="0" w:sz="0" w:val="nil"/>
              <w:right w:color="000000" w:space="0" w:sz="0" w:val="nil"/>
            </w:tcBorders>
            <w:shd w:fill="c0e4f5" w:val="clear"/>
            <w:tcMar>
              <w:top w:w="20.0" w:type="dxa"/>
              <w:left w:w="20.0" w:type="dxa"/>
              <w:bottom w:w="100.0" w:type="dxa"/>
              <w:right w:w="20.0" w:type="dxa"/>
            </w:tcMar>
            <w:vAlign w:val="bottom"/>
          </w:tcPr>
          <w:p w:rsidR="00000000" w:rsidDel="00000000" w:rsidP="00000000" w:rsidRDefault="00000000" w:rsidRPr="00000000" w14:paraId="00000044">
            <w:pPr>
              <w:rPr/>
            </w:pPr>
            <w:r w:rsidDel="00000000" w:rsidR="00000000" w:rsidRPr="00000000">
              <w:rPr>
                <w:rtl w:val="0"/>
              </w:rPr>
              <w:t xml:space="preserve">0.01</w:t>
            </w:r>
          </w:p>
        </w:tc>
        <w:tc>
          <w:tcPr>
            <w:tcBorders>
              <w:top w:color="000000" w:space="0" w:sz="0" w:val="nil"/>
              <w:left w:color="000000" w:space="0" w:sz="0" w:val="nil"/>
              <w:bottom w:color="000000" w:space="0" w:sz="0" w:val="nil"/>
              <w:right w:color="000000" w:space="0" w:sz="0" w:val="nil"/>
            </w:tcBorders>
            <w:shd w:fill="c0e4f5" w:val="clear"/>
            <w:tcMar>
              <w:top w:w="20.0" w:type="dxa"/>
              <w:left w:w="20.0" w:type="dxa"/>
              <w:bottom w:w="100.0" w:type="dxa"/>
              <w:right w:w="20.0" w:type="dxa"/>
            </w:tcMar>
            <w:vAlign w:val="bottom"/>
          </w:tcPr>
          <w:p w:rsidR="00000000" w:rsidDel="00000000" w:rsidP="00000000" w:rsidRDefault="00000000" w:rsidRPr="00000000" w14:paraId="00000045">
            <w:pPr>
              <w:rPr/>
            </w:pPr>
            <w:r w:rsidDel="00000000" w:rsidR="00000000" w:rsidRPr="00000000">
              <w:rPr>
                <w:rtl w:val="0"/>
              </w:rPr>
              <w:t xml:space="preserve">0.06</w:t>
            </w:r>
          </w:p>
        </w:tc>
        <w:tc>
          <w:tcPr>
            <w:tcBorders>
              <w:top w:color="000000" w:space="0" w:sz="0" w:val="nil"/>
              <w:left w:color="000000" w:space="0" w:sz="0" w:val="nil"/>
              <w:bottom w:color="000000" w:space="0" w:sz="0" w:val="nil"/>
              <w:right w:color="000000" w:space="0" w:sz="0" w:val="nil"/>
            </w:tcBorders>
            <w:shd w:fill="c0e4f5" w:val="clear"/>
            <w:tcMar>
              <w:top w:w="20.0" w:type="dxa"/>
              <w:left w:w="20.0" w:type="dxa"/>
              <w:bottom w:w="100.0" w:type="dxa"/>
              <w:right w:w="20.0" w:type="dxa"/>
            </w:tcMar>
            <w:vAlign w:val="bottom"/>
          </w:tcPr>
          <w:p w:rsidR="00000000" w:rsidDel="00000000" w:rsidP="00000000" w:rsidRDefault="00000000" w:rsidRPr="00000000" w14:paraId="00000046">
            <w:pPr>
              <w:rPr/>
            </w:pPr>
            <w:r w:rsidDel="00000000" w:rsidR="00000000" w:rsidRPr="00000000">
              <w:rPr>
                <w:rtl w:val="0"/>
              </w:rPr>
              <w:t xml:space="preserve">0.29</w:t>
            </w:r>
          </w:p>
        </w:tc>
        <w:tc>
          <w:tcPr>
            <w:tcBorders>
              <w:top w:color="000000" w:space="0" w:sz="0" w:val="nil"/>
              <w:left w:color="000000" w:space="0" w:sz="0" w:val="nil"/>
              <w:bottom w:color="000000" w:space="0" w:sz="0" w:val="nil"/>
              <w:right w:color="000000" w:space="0" w:sz="0" w:val="nil"/>
            </w:tcBorders>
            <w:shd w:fill="c0e4f5" w:val="clear"/>
            <w:tcMar>
              <w:top w:w="20.0" w:type="dxa"/>
              <w:left w:w="20.0" w:type="dxa"/>
              <w:bottom w:w="100.0" w:type="dxa"/>
              <w:right w:w="20.0" w:type="dxa"/>
            </w:tcMar>
            <w:vAlign w:val="bottom"/>
          </w:tcPr>
          <w:p w:rsidR="00000000" w:rsidDel="00000000" w:rsidP="00000000" w:rsidRDefault="00000000" w:rsidRPr="00000000" w14:paraId="00000047">
            <w:pPr>
              <w:rPr/>
            </w:pPr>
            <w:r w:rsidDel="00000000" w:rsidR="00000000" w:rsidRPr="00000000">
              <w:rPr>
                <w:rtl w:val="0"/>
              </w:rPr>
              <w:t xml:space="preserve">0.41</w:t>
            </w:r>
          </w:p>
        </w:tc>
        <w:tc>
          <w:tcPr>
            <w:tcBorders>
              <w:top w:color="000000" w:space="0" w:sz="0" w:val="nil"/>
              <w:left w:color="000000" w:space="0" w:sz="0" w:val="nil"/>
              <w:bottom w:color="000000" w:space="0" w:sz="0" w:val="nil"/>
              <w:right w:color="000000" w:space="0" w:sz="0" w:val="nil"/>
            </w:tcBorders>
            <w:shd w:fill="c0e4f5" w:val="clear"/>
            <w:tcMar>
              <w:top w:w="20.0" w:type="dxa"/>
              <w:left w:w="20.0" w:type="dxa"/>
              <w:bottom w:w="100.0" w:type="dxa"/>
              <w:right w:w="20.0" w:type="dxa"/>
            </w:tcMar>
            <w:vAlign w:val="bottom"/>
          </w:tcPr>
          <w:p w:rsidR="00000000" w:rsidDel="00000000" w:rsidP="00000000" w:rsidRDefault="00000000" w:rsidRPr="00000000" w14:paraId="00000048">
            <w:pPr>
              <w:rPr/>
            </w:pPr>
            <w:r w:rsidDel="00000000" w:rsidR="00000000" w:rsidRPr="00000000">
              <w:rPr>
                <w:rtl w:val="0"/>
              </w:rPr>
              <w:t xml:space="preserve">2.25</w:t>
            </w:r>
          </w:p>
        </w:tc>
        <w:tc>
          <w:tcPr>
            <w:tcBorders>
              <w:top w:color="000000" w:space="0" w:sz="0" w:val="nil"/>
              <w:left w:color="000000" w:space="0" w:sz="0" w:val="nil"/>
              <w:bottom w:color="000000" w:space="0" w:sz="0" w:val="nil"/>
              <w:right w:color="000000" w:space="0" w:sz="0" w:val="nil"/>
            </w:tcBorders>
            <w:shd w:fill="c0e4f5" w:val="clear"/>
            <w:tcMar>
              <w:top w:w="20.0" w:type="dxa"/>
              <w:left w:w="20.0" w:type="dxa"/>
              <w:bottom w:w="100.0" w:type="dxa"/>
              <w:right w:w="20.0" w:type="dxa"/>
            </w:tcMar>
            <w:vAlign w:val="bottom"/>
          </w:tcPr>
          <w:p w:rsidR="00000000" w:rsidDel="00000000" w:rsidP="00000000" w:rsidRDefault="00000000" w:rsidRPr="00000000" w14:paraId="00000049">
            <w:pPr>
              <w:rPr/>
            </w:pPr>
            <w:r w:rsidDel="00000000" w:rsidR="00000000" w:rsidRPr="00000000">
              <w:rPr>
                <w:rtl w:val="0"/>
              </w:rPr>
              <w:t xml:space="preserve">1.02</w:t>
            </w:r>
          </w:p>
        </w:tc>
        <w:tc>
          <w:tcPr>
            <w:tcBorders>
              <w:top w:color="000000" w:space="0" w:sz="0" w:val="nil"/>
              <w:left w:color="000000" w:space="0" w:sz="0" w:val="nil"/>
              <w:bottom w:color="000000" w:space="0" w:sz="0" w:val="nil"/>
              <w:right w:color="000000" w:space="0" w:sz="0" w:val="nil"/>
            </w:tcBorders>
            <w:shd w:fill="c0e4f5" w:val="clear"/>
            <w:tcMar>
              <w:top w:w="20.0" w:type="dxa"/>
              <w:left w:w="20.0" w:type="dxa"/>
              <w:bottom w:w="100.0" w:type="dxa"/>
              <w:right w:w="20.0" w:type="dxa"/>
            </w:tcMar>
            <w:vAlign w:val="bottom"/>
          </w:tcPr>
          <w:p w:rsidR="00000000" w:rsidDel="00000000" w:rsidP="00000000" w:rsidRDefault="00000000" w:rsidRPr="00000000" w14:paraId="0000004A">
            <w:pPr>
              <w:rPr/>
            </w:pPr>
            <w:r w:rsidDel="00000000" w:rsidR="00000000" w:rsidRPr="00000000">
              <w:rPr>
                <w:rtl w:val="0"/>
              </w:rPr>
              <w:t xml:space="preserve">3.36</w:t>
            </w:r>
          </w:p>
        </w:tc>
        <w:tc>
          <w:tcPr>
            <w:tcBorders>
              <w:top w:color="000000" w:space="0" w:sz="0" w:val="nil"/>
              <w:left w:color="000000" w:space="0" w:sz="0" w:val="nil"/>
              <w:bottom w:color="000000" w:space="0" w:sz="0" w:val="nil"/>
              <w:right w:color="000000" w:space="0" w:sz="0" w:val="nil"/>
            </w:tcBorders>
            <w:shd w:fill="c0e4f5" w:val="clear"/>
            <w:tcMar>
              <w:top w:w="20.0" w:type="dxa"/>
              <w:left w:w="20.0" w:type="dxa"/>
              <w:bottom w:w="100.0" w:type="dxa"/>
              <w:right w:w="20.0" w:type="dxa"/>
            </w:tcMar>
            <w:vAlign w:val="bottom"/>
          </w:tcPr>
          <w:p w:rsidR="00000000" w:rsidDel="00000000" w:rsidP="00000000" w:rsidRDefault="00000000" w:rsidRPr="00000000" w14:paraId="0000004B">
            <w:pPr>
              <w:rPr/>
            </w:pPr>
            <w:r w:rsidDel="00000000" w:rsidR="00000000" w:rsidRPr="00000000">
              <w:rPr>
                <w:rtl w:val="0"/>
              </w:rPr>
              <w:t xml:space="preserve">0.5</w:t>
            </w:r>
          </w:p>
        </w:tc>
        <w:tc>
          <w:tcPr>
            <w:tcBorders>
              <w:top w:color="000000" w:space="0" w:sz="0" w:val="nil"/>
              <w:left w:color="000000" w:space="0" w:sz="0" w:val="nil"/>
              <w:bottom w:color="000000" w:space="0" w:sz="0" w:val="nil"/>
              <w:right w:color="000000" w:space="0" w:sz="0" w:val="nil"/>
            </w:tcBorders>
            <w:shd w:fill="c0e4f5" w:val="clear"/>
            <w:tcMar>
              <w:top w:w="20.0" w:type="dxa"/>
              <w:left w:w="20.0" w:type="dxa"/>
              <w:bottom w:w="100.0" w:type="dxa"/>
              <w:right w:w="20.0" w:type="dxa"/>
            </w:tcMar>
            <w:vAlign w:val="bottom"/>
          </w:tcPr>
          <w:p w:rsidR="00000000" w:rsidDel="00000000" w:rsidP="00000000" w:rsidRDefault="00000000" w:rsidRPr="00000000" w14:paraId="0000004C">
            <w:pPr>
              <w:rPr/>
            </w:pPr>
            <w:r w:rsidDel="00000000" w:rsidR="00000000" w:rsidRPr="00000000">
              <w:rPr>
                <w:rtl w:val="0"/>
              </w:rPr>
              <w:t xml:space="preserve">2.65</w:t>
            </w:r>
          </w:p>
        </w:tc>
        <w:tc>
          <w:tcPr>
            <w:tcBorders>
              <w:top w:color="000000" w:space="0" w:sz="0" w:val="nil"/>
              <w:left w:color="000000" w:space="0" w:sz="0" w:val="nil"/>
              <w:bottom w:color="000000" w:space="0" w:sz="0" w:val="nil"/>
              <w:right w:color="000000" w:space="0" w:sz="0" w:val="nil"/>
            </w:tcBorders>
            <w:shd w:fill="c0e4f5" w:val="clear"/>
            <w:tcMar>
              <w:top w:w="20.0" w:type="dxa"/>
              <w:left w:w="20.0" w:type="dxa"/>
              <w:bottom w:w="100.0" w:type="dxa"/>
              <w:right w:w="20.0" w:type="dxa"/>
            </w:tcMar>
            <w:vAlign w:val="bottom"/>
          </w:tcPr>
          <w:p w:rsidR="00000000" w:rsidDel="00000000" w:rsidP="00000000" w:rsidRDefault="00000000" w:rsidRPr="00000000" w14:paraId="0000004D">
            <w:pPr>
              <w:rPr/>
            </w:pPr>
            <w:r w:rsidDel="00000000" w:rsidR="00000000" w:rsidRPr="00000000">
              <w:rPr>
                <w:rtl w:val="0"/>
              </w:rPr>
              <w:t xml:space="preserve">1.29</w:t>
            </w:r>
          </w:p>
        </w:tc>
        <w:tc>
          <w:tcPr>
            <w:tcBorders>
              <w:top w:color="000000" w:space="0" w:sz="0" w:val="nil"/>
              <w:left w:color="000000" w:space="0" w:sz="0" w:val="nil"/>
              <w:bottom w:color="000000" w:space="0" w:sz="0" w:val="nil"/>
              <w:right w:color="000000" w:space="0" w:sz="0" w:val="nil"/>
            </w:tcBorders>
            <w:shd w:fill="c0e4f5" w:val="clear"/>
            <w:tcMar>
              <w:top w:w="20.0" w:type="dxa"/>
              <w:left w:w="20.0" w:type="dxa"/>
              <w:bottom w:w="100.0" w:type="dxa"/>
              <w:right w:w="20.0" w:type="dxa"/>
            </w:tcMar>
            <w:vAlign w:val="bottom"/>
          </w:tcPr>
          <w:p w:rsidR="00000000" w:rsidDel="00000000" w:rsidP="00000000" w:rsidRDefault="00000000" w:rsidRPr="00000000" w14:paraId="0000004E">
            <w:pPr>
              <w:rPr/>
            </w:pPr>
            <w:r w:rsidDel="00000000" w:rsidR="00000000" w:rsidRPr="00000000">
              <w:rPr>
                <w:rtl w:val="0"/>
              </w:rPr>
              <w:t xml:space="preserve">3.15</w:t>
            </w:r>
          </w:p>
        </w:tc>
        <w:tc>
          <w:tcPr>
            <w:tcBorders>
              <w:top w:color="000000" w:space="0" w:sz="0" w:val="nil"/>
              <w:left w:color="000000" w:space="0" w:sz="0" w:val="nil"/>
              <w:bottom w:color="000000" w:space="0" w:sz="0" w:val="nil"/>
              <w:right w:color="000000" w:space="0" w:sz="0" w:val="nil"/>
            </w:tcBorders>
            <w:shd w:fill="c0e4f5" w:val="clear"/>
            <w:tcMar>
              <w:top w:w="20.0" w:type="dxa"/>
              <w:left w:w="20.0" w:type="dxa"/>
              <w:bottom w:w="100.0" w:type="dxa"/>
              <w:right w:w="20.0" w:type="dxa"/>
            </w:tcMar>
            <w:vAlign w:val="bottom"/>
          </w:tcPr>
          <w:p w:rsidR="00000000" w:rsidDel="00000000" w:rsidP="00000000" w:rsidRDefault="00000000" w:rsidRPr="00000000" w14:paraId="0000004F">
            <w:pPr>
              <w:rPr/>
            </w:pPr>
            <w:r w:rsidDel="00000000" w:rsidR="00000000" w:rsidRPr="00000000">
              <w:rPr>
                <w:rtl w:val="0"/>
              </w:rPr>
              <w:t xml:space="preserve">0.55</w:t>
            </w:r>
          </w:p>
        </w:tc>
      </w:tr>
      <w:tr>
        <w:trPr>
          <w:cantSplit w:val="0"/>
          <w:trHeight w:val="40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50">
            <w:pPr>
              <w:rPr/>
            </w:pPr>
            <w:r w:rsidDel="00000000" w:rsidR="00000000" w:rsidRPr="00000000">
              <w:rPr>
                <w:rtl w:val="0"/>
              </w:rPr>
              <w:t xml:space="preserve">high activty level </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51">
            <w:pPr>
              <w:rPr/>
            </w:pPr>
            <w:r w:rsidDel="00000000" w:rsidR="00000000" w:rsidRPr="00000000">
              <w:rPr>
                <w:rtl w:val="0"/>
              </w:rPr>
              <w:t xml:space="preserve">0.33</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52">
            <w:pPr>
              <w:rPr/>
            </w:pPr>
            <w:r w:rsidDel="00000000" w:rsidR="00000000" w:rsidRPr="00000000">
              <w:rPr>
                <w:rtl w:val="0"/>
              </w:rPr>
              <w:t xml:space="preserve">0.72</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53">
            <w:pPr>
              <w:rPr/>
            </w:pPr>
            <w:r w:rsidDel="00000000" w:rsidR="00000000" w:rsidRPr="00000000">
              <w:rPr>
                <w:rtl w:val="0"/>
              </w:rPr>
              <w:t xml:space="preserve">0.93</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54">
            <w:pPr>
              <w:rPr/>
            </w:pPr>
            <w:r w:rsidDel="00000000" w:rsidR="00000000" w:rsidRPr="00000000">
              <w:rPr>
                <w:rtl w:val="0"/>
              </w:rPr>
              <w:t xml:space="preserve">1.04</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55">
            <w:pPr>
              <w:rPr/>
            </w:pPr>
            <w:r w:rsidDel="00000000" w:rsidR="00000000" w:rsidRPr="00000000">
              <w:rPr>
                <w:rtl w:val="0"/>
              </w:rPr>
              <w:t xml:space="preserve">2.63</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56">
            <w:pPr>
              <w:rPr/>
            </w:pPr>
            <w:r w:rsidDel="00000000" w:rsidR="00000000" w:rsidRPr="00000000">
              <w:rPr>
                <w:rtl w:val="0"/>
              </w:rPr>
              <w:t xml:space="preserve">0.94</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57">
            <w:pPr>
              <w:rPr/>
            </w:pPr>
            <w:r w:rsidDel="00000000" w:rsidR="00000000" w:rsidRPr="00000000">
              <w:rPr>
                <w:rtl w:val="0"/>
              </w:rPr>
              <w:t xml:space="preserve">3.42</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58">
            <w:pPr>
              <w:rPr/>
            </w:pPr>
            <w:r w:rsidDel="00000000" w:rsidR="00000000" w:rsidRPr="00000000">
              <w:rPr>
                <w:rtl w:val="0"/>
              </w:rPr>
              <w:t xml:space="preserve">0.05</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59">
            <w:pPr>
              <w:rPr/>
            </w:pPr>
            <w:r w:rsidDel="00000000" w:rsidR="00000000" w:rsidRPr="00000000">
              <w:rPr>
                <w:rtl w:val="0"/>
              </w:rPr>
              <w:t xml:space="preserve">3.02</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5A">
            <w:pPr>
              <w:rPr/>
            </w:pPr>
            <w:r w:rsidDel="00000000" w:rsidR="00000000" w:rsidRPr="00000000">
              <w:rPr>
                <w:rtl w:val="0"/>
              </w:rPr>
              <w:t xml:space="preserve">0.8</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5B">
            <w:pPr>
              <w:rPr/>
            </w:pPr>
            <w:r w:rsidDel="00000000" w:rsidR="00000000" w:rsidRPr="00000000">
              <w:rPr>
                <w:rtl w:val="0"/>
              </w:rPr>
              <w:t xml:space="preserve">3.28</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bottom"/>
          </w:tcPr>
          <w:p w:rsidR="00000000" w:rsidDel="00000000" w:rsidP="00000000" w:rsidRDefault="00000000" w:rsidRPr="00000000" w14:paraId="0000005C">
            <w:pPr>
              <w:rPr/>
            </w:pPr>
            <w:r w:rsidDel="00000000" w:rsidR="00000000" w:rsidRPr="00000000">
              <w:rPr>
                <w:rtl w:val="0"/>
              </w:rPr>
              <w:t xml:space="preserve">0.71</w:t>
            </w:r>
          </w:p>
        </w:tc>
      </w:tr>
    </w:tbl>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b w:val="1"/>
        </w:rPr>
      </w:pPr>
      <w:r w:rsidDel="00000000" w:rsidR="00000000" w:rsidRPr="00000000">
        <w:rPr>
          <w:b w:val="1"/>
          <w:rtl w:val="0"/>
        </w:rPr>
        <w:t xml:space="preserve">Discussion</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b w:val="1"/>
        </w:rPr>
      </w:pPr>
      <w:r w:rsidDel="00000000" w:rsidR="00000000" w:rsidRPr="00000000">
        <w:rPr>
          <w:rtl w:val="0"/>
        </w:rPr>
        <w:t xml:space="preserve">Overall, the questionnaires helped us identify and categorize individuals into groups and helped figure out what motivation helped which specific groups. For the highest activity level group, the highest motivation type was identified regulation meaning that this group tended to understand the benefits of being physically active, such as, becoming or remaining fit and how they may exercise, as it aligns with their personal beliefs or goals. On the other hand, their lowest form of motivation was </w:t>
      </w:r>
      <w:r w:rsidDel="00000000" w:rsidR="00000000" w:rsidRPr="00000000">
        <w:rPr>
          <w:rtl w:val="0"/>
        </w:rPr>
        <w:t xml:space="preserve">amotivation</w:t>
      </w:r>
      <w:r w:rsidDel="00000000" w:rsidR="00000000" w:rsidRPr="00000000">
        <w:rPr>
          <w:rtl w:val="0"/>
        </w:rPr>
        <w:t xml:space="preserve"> which suggests that some of the participants in this group did not find as much motivation due to factors such as; a lack of confidence, feeling overwhelmed and external pressures. The Moderate activity level groups’ lowest motivational form was also </w:t>
      </w:r>
      <w:r w:rsidDel="00000000" w:rsidR="00000000" w:rsidRPr="00000000">
        <w:rPr>
          <w:rtl w:val="0"/>
        </w:rPr>
        <w:t xml:space="preserve">amotivation</w:t>
      </w:r>
      <w:r w:rsidDel="00000000" w:rsidR="00000000" w:rsidRPr="00000000">
        <w:rPr>
          <w:rtl w:val="0"/>
        </w:rPr>
        <w:t xml:space="preserve">, signalling similar reasons as the high activity level group. Additionally, their highest kind of motivation was identified regulation, understanding health benefits and setting personal goals are examples of this type. Subsequently, for the group with the lowest level of activity, external regulation was the largest form of motivation, whilst intrinsic motivation was the lowest form. To conclude, the most unpopular forms of motivation were </w:t>
      </w:r>
      <w:r w:rsidDel="00000000" w:rsidR="00000000" w:rsidRPr="00000000">
        <w:rPr>
          <w:rtl w:val="0"/>
        </w:rPr>
        <w:t xml:space="preserve">amotivation</w:t>
      </w:r>
      <w:r w:rsidDel="00000000" w:rsidR="00000000" w:rsidRPr="00000000">
        <w:rPr>
          <w:rtl w:val="0"/>
        </w:rPr>
        <w:t xml:space="preserve"> for both the high level group and the moderate activity level group. Additionally, both the high and moderate level group showed more similarities as they both recognised identified regulation as their best forms of motivation. To conclude, we found accurate results and when comparing our results with peoples original answers on the questionnaires, we found our results to show a fair portrayal of people’s feelings when it comes to motivation.</w:t>
      </w:r>
      <w:r w:rsidDel="00000000" w:rsidR="00000000" w:rsidRPr="00000000">
        <w:rPr>
          <w:rtl w:val="0"/>
        </w:rPr>
      </w:r>
    </w:p>
    <w:p w:rsidR="00000000" w:rsidDel="00000000" w:rsidP="00000000" w:rsidRDefault="00000000" w:rsidRPr="00000000" w14:paraId="00000062">
      <w:pPr>
        <w:rPr>
          <w:b w:val="1"/>
        </w:rPr>
      </w:pPr>
      <w:r w:rsidDel="00000000" w:rsidR="00000000" w:rsidRPr="00000000">
        <w:rPr>
          <w:rtl w:val="0"/>
        </w:rPr>
      </w:r>
    </w:p>
    <w:p w:rsidR="00000000" w:rsidDel="00000000" w:rsidP="00000000" w:rsidRDefault="00000000" w:rsidRPr="00000000" w14:paraId="00000063">
      <w:pPr>
        <w:rPr>
          <w:b w:val="1"/>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b w:val="1"/>
        </w:rPr>
      </w:pPr>
      <w:r w:rsidDel="00000000" w:rsidR="00000000" w:rsidRPr="00000000">
        <w:rPr>
          <w:rtl w:val="0"/>
        </w:rPr>
      </w:r>
    </w:p>
    <w:p w:rsidR="00000000" w:rsidDel="00000000" w:rsidP="00000000" w:rsidRDefault="00000000" w:rsidRPr="00000000" w14:paraId="00000066">
      <w:pPr>
        <w:rPr>
          <w:b w:val="1"/>
        </w:rPr>
      </w:pPr>
      <w:r w:rsidDel="00000000" w:rsidR="00000000" w:rsidRPr="00000000">
        <w:rPr>
          <w:rtl w:val="0"/>
        </w:rPr>
      </w:r>
    </w:p>
    <w:p w:rsidR="00000000" w:rsidDel="00000000" w:rsidP="00000000" w:rsidRDefault="00000000" w:rsidRPr="00000000" w14:paraId="00000067">
      <w:pPr>
        <w:rPr>
          <w:b w:val="1"/>
        </w:rPr>
      </w:pPr>
      <w:r w:rsidDel="00000000" w:rsidR="00000000" w:rsidRPr="00000000">
        <w:rPr>
          <w:rtl w:val="0"/>
        </w:rPr>
      </w:r>
    </w:p>
    <w:p w:rsidR="00000000" w:rsidDel="00000000" w:rsidP="00000000" w:rsidRDefault="00000000" w:rsidRPr="00000000" w14:paraId="00000068">
      <w:pPr>
        <w:rPr>
          <w:b w:val="1"/>
        </w:rPr>
      </w:pPr>
      <w:r w:rsidDel="00000000" w:rsidR="00000000" w:rsidRPr="00000000">
        <w:rPr>
          <w:rtl w:val="0"/>
        </w:rPr>
      </w:r>
    </w:p>
    <w:p w:rsidR="00000000" w:rsidDel="00000000" w:rsidP="00000000" w:rsidRDefault="00000000" w:rsidRPr="00000000" w14:paraId="00000069">
      <w:pPr>
        <w:rPr>
          <w:b w:val="1"/>
        </w:rPr>
      </w:pPr>
      <w:r w:rsidDel="00000000" w:rsidR="00000000" w:rsidRPr="00000000">
        <w:rPr>
          <w:rtl w:val="0"/>
        </w:rPr>
      </w:r>
    </w:p>
    <w:p w:rsidR="00000000" w:rsidDel="00000000" w:rsidP="00000000" w:rsidRDefault="00000000" w:rsidRPr="00000000" w14:paraId="0000006A">
      <w:pPr>
        <w:rPr>
          <w:b w:val="1"/>
        </w:rPr>
      </w:pPr>
      <w:r w:rsidDel="00000000" w:rsidR="00000000" w:rsidRPr="00000000">
        <w:rPr>
          <w:rtl w:val="0"/>
        </w:rPr>
      </w:r>
    </w:p>
    <w:p w:rsidR="00000000" w:rsidDel="00000000" w:rsidP="00000000" w:rsidRDefault="00000000" w:rsidRPr="00000000" w14:paraId="0000006B">
      <w:pPr>
        <w:rPr>
          <w:b w:val="1"/>
        </w:rPr>
      </w:pPr>
      <w:r w:rsidDel="00000000" w:rsidR="00000000" w:rsidRPr="00000000">
        <w:rPr>
          <w:rtl w:val="0"/>
        </w:rPr>
      </w:r>
    </w:p>
    <w:p w:rsidR="00000000" w:rsidDel="00000000" w:rsidP="00000000" w:rsidRDefault="00000000" w:rsidRPr="00000000" w14:paraId="0000006C">
      <w:pPr>
        <w:rPr>
          <w:b w:val="1"/>
        </w:rPr>
      </w:pPr>
      <w:r w:rsidDel="00000000" w:rsidR="00000000" w:rsidRPr="00000000">
        <w:rPr>
          <w:rtl w:val="0"/>
        </w:rPr>
      </w:r>
    </w:p>
    <w:p w:rsidR="00000000" w:rsidDel="00000000" w:rsidP="00000000" w:rsidRDefault="00000000" w:rsidRPr="00000000" w14:paraId="0000006D">
      <w:pPr>
        <w:rPr>
          <w:b w:val="1"/>
        </w:rPr>
      </w:pPr>
      <w:r w:rsidDel="00000000" w:rsidR="00000000" w:rsidRPr="00000000">
        <w:rPr>
          <w:rtl w:val="0"/>
        </w:rPr>
      </w:r>
    </w:p>
    <w:p w:rsidR="00000000" w:rsidDel="00000000" w:rsidP="00000000" w:rsidRDefault="00000000" w:rsidRPr="00000000" w14:paraId="0000006E">
      <w:pPr>
        <w:rPr>
          <w:b w:val="1"/>
        </w:rPr>
      </w:pPr>
      <w:r w:rsidDel="00000000" w:rsidR="00000000" w:rsidRPr="00000000">
        <w:rPr>
          <w:rtl w:val="0"/>
        </w:rPr>
      </w:r>
    </w:p>
    <w:p w:rsidR="00000000" w:rsidDel="00000000" w:rsidP="00000000" w:rsidRDefault="00000000" w:rsidRPr="00000000" w14:paraId="0000006F">
      <w:pPr>
        <w:rPr>
          <w:b w:val="1"/>
        </w:rPr>
      </w:pPr>
      <w:r w:rsidDel="00000000" w:rsidR="00000000" w:rsidRPr="00000000">
        <w:rPr>
          <w:rtl w:val="0"/>
        </w:rPr>
      </w:r>
    </w:p>
    <w:p w:rsidR="00000000" w:rsidDel="00000000" w:rsidP="00000000" w:rsidRDefault="00000000" w:rsidRPr="00000000" w14:paraId="00000070">
      <w:pPr>
        <w:rPr>
          <w:b w:val="1"/>
        </w:rPr>
      </w:pPr>
      <w:r w:rsidDel="00000000" w:rsidR="00000000" w:rsidRPr="00000000">
        <w:rPr>
          <w:rtl w:val="0"/>
        </w:rPr>
      </w:r>
    </w:p>
    <w:p w:rsidR="00000000" w:rsidDel="00000000" w:rsidP="00000000" w:rsidRDefault="00000000" w:rsidRPr="00000000" w14:paraId="00000071">
      <w:pPr>
        <w:rPr>
          <w:b w:val="1"/>
        </w:rPr>
      </w:pPr>
      <w:r w:rsidDel="00000000" w:rsidR="00000000" w:rsidRPr="00000000">
        <w:rPr>
          <w:rtl w:val="0"/>
        </w:rPr>
      </w:r>
    </w:p>
    <w:p w:rsidR="00000000" w:rsidDel="00000000" w:rsidP="00000000" w:rsidRDefault="00000000" w:rsidRPr="00000000" w14:paraId="00000072">
      <w:pPr>
        <w:rPr>
          <w:b w:val="1"/>
        </w:rPr>
      </w:pPr>
      <w:r w:rsidDel="00000000" w:rsidR="00000000" w:rsidRPr="00000000">
        <w:rPr>
          <w:b w:val="1"/>
          <w:rtl w:val="0"/>
        </w:rPr>
        <w:t xml:space="preserve">Reference List</w:t>
      </w:r>
    </w:p>
    <w:p w:rsidR="00000000" w:rsidDel="00000000" w:rsidP="00000000" w:rsidRDefault="00000000" w:rsidRPr="00000000" w14:paraId="00000073">
      <w:pPr>
        <w:rPr>
          <w:b w:val="1"/>
        </w:rPr>
      </w:pPr>
      <w:r w:rsidDel="00000000" w:rsidR="00000000" w:rsidRPr="00000000">
        <w:rPr>
          <w:rtl w:val="0"/>
        </w:rPr>
      </w:r>
    </w:p>
    <w:p w:rsidR="00000000" w:rsidDel="00000000" w:rsidP="00000000" w:rsidRDefault="00000000" w:rsidRPr="00000000" w14:paraId="00000074">
      <w:pPr>
        <w:spacing w:after="240" w:line="360" w:lineRule="auto"/>
        <w:rPr/>
      </w:pPr>
      <w:r w:rsidDel="00000000" w:rsidR="00000000" w:rsidRPr="00000000">
        <w:rPr>
          <w:rFonts w:ascii="Times New Roman" w:cs="Times New Roman" w:eastAsia="Times New Roman" w:hAnsi="Times New Roman"/>
          <w:sz w:val="24"/>
          <w:szCs w:val="24"/>
          <w:rtl w:val="0"/>
        </w:rPr>
        <w:t xml:space="preserve">Ewen, E. (2023). </w:t>
      </w:r>
      <w:r w:rsidDel="00000000" w:rsidR="00000000" w:rsidRPr="00000000">
        <w:rPr>
          <w:rFonts w:ascii="Times New Roman" w:cs="Times New Roman" w:eastAsia="Times New Roman" w:hAnsi="Times New Roman"/>
          <w:i w:val="1"/>
          <w:sz w:val="24"/>
          <w:szCs w:val="24"/>
          <w:rtl w:val="0"/>
        </w:rPr>
        <w:t xml:space="preserve">Expert Answers: Why Do I Feel So Good After a Workout?</w:t>
      </w:r>
      <w:r w:rsidDel="00000000" w:rsidR="00000000" w:rsidRPr="00000000">
        <w:rPr>
          <w:rFonts w:ascii="Times New Roman" w:cs="Times New Roman" w:eastAsia="Times New Roman" w:hAnsi="Times New Roman"/>
          <w:sz w:val="24"/>
          <w:szCs w:val="24"/>
          <w:rtl w:val="0"/>
        </w:rPr>
        <w:t xml:space="preserve"> [online] Experience Life. Available at: </w:t>
      </w:r>
      <w:hyperlink r:id="rId7">
        <w:r w:rsidDel="00000000" w:rsidR="00000000" w:rsidRPr="00000000">
          <w:rPr>
            <w:rFonts w:ascii="Times New Roman" w:cs="Times New Roman" w:eastAsia="Times New Roman" w:hAnsi="Times New Roman"/>
            <w:color w:val="1155cc"/>
            <w:sz w:val="24"/>
            <w:szCs w:val="24"/>
            <w:u w:val="single"/>
            <w:rtl w:val="0"/>
          </w:rPr>
          <w:t xml:space="preserve">https://experiencelife.lifetime.life/article/expert-answers-why-do-i-feel-so-good-after-a-workout/</w:t>
        </w:r>
      </w:hyperlink>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75">
      <w:pPr>
        <w:spacing w:line="360" w:lineRule="auto"/>
        <w:rPr/>
      </w:pPr>
      <w:r w:rsidDel="00000000" w:rsidR="00000000" w:rsidRPr="00000000">
        <w:rPr>
          <w:rtl w:val="0"/>
        </w:rPr>
      </w:r>
    </w:p>
    <w:p w:rsidR="00000000" w:rsidDel="00000000" w:rsidP="00000000" w:rsidRDefault="00000000" w:rsidRPr="00000000" w14:paraId="00000076">
      <w:pPr>
        <w:spacing w:after="240" w:line="360" w:lineRule="auto"/>
        <w:rPr/>
      </w:pPr>
      <w:r w:rsidDel="00000000" w:rsidR="00000000" w:rsidRPr="00000000">
        <w:rPr>
          <w:rFonts w:ascii="Times New Roman" w:cs="Times New Roman" w:eastAsia="Times New Roman" w:hAnsi="Times New Roman"/>
          <w:sz w:val="24"/>
          <w:szCs w:val="24"/>
          <w:rtl w:val="0"/>
        </w:rPr>
        <w:t xml:space="preserve">Senecal, G. (2017). Solidarity and camaraderie—A psychosocial examination of contact sport athletes’ career transitions. </w:t>
      </w:r>
      <w:r w:rsidDel="00000000" w:rsidR="00000000" w:rsidRPr="00000000">
        <w:rPr>
          <w:rFonts w:ascii="Times New Roman" w:cs="Times New Roman" w:eastAsia="Times New Roman" w:hAnsi="Times New Roman"/>
          <w:i w:val="1"/>
          <w:sz w:val="24"/>
          <w:szCs w:val="24"/>
          <w:rtl w:val="0"/>
        </w:rPr>
        <w:t xml:space="preserve">Cogent Business &amp; Management</w:t>
      </w:r>
      <w:r w:rsidDel="00000000" w:rsidR="00000000" w:rsidRPr="00000000">
        <w:rPr>
          <w:rFonts w:ascii="Times New Roman" w:cs="Times New Roman" w:eastAsia="Times New Roman" w:hAnsi="Times New Roman"/>
          <w:sz w:val="24"/>
          <w:szCs w:val="24"/>
          <w:rtl w:val="0"/>
        </w:rPr>
        <w:t xml:space="preserve">, 4(1). doi:</w:t>
      </w:r>
      <w:hyperlink r:id="rId8">
        <w:r w:rsidDel="00000000" w:rsidR="00000000" w:rsidRPr="00000000">
          <w:rPr>
            <w:rFonts w:ascii="Times New Roman" w:cs="Times New Roman" w:eastAsia="Times New Roman" w:hAnsi="Times New Roman"/>
            <w:color w:val="1155cc"/>
            <w:sz w:val="24"/>
            <w:szCs w:val="24"/>
            <w:u w:val="single"/>
            <w:rtl w:val="0"/>
          </w:rPr>
          <w:t xml:space="preserve">https://doi.org/10.1080/23311975.2017.1280897</w:t>
        </w:r>
      </w:hyperlink>
      <w:r w:rsidDel="00000000" w:rsidR="00000000" w:rsidRPr="00000000">
        <w:rPr>
          <w:rFonts w:ascii="Times New Roman" w:cs="Times New Roman" w:eastAsia="Times New Roman" w:hAnsi="Times New Roman"/>
          <w:sz w:val="24"/>
          <w:szCs w:val="24"/>
          <w:rtl w:val="0"/>
        </w:rPr>
        <w:t xml:space="preserve">. </w:t>
      </w:r>
      <w:r w:rsidDel="00000000" w:rsidR="00000000" w:rsidRPr="00000000">
        <w:rPr>
          <w:rtl w:val="0"/>
        </w:rPr>
      </w:r>
    </w:p>
    <w:p w:rsidR="00000000" w:rsidDel="00000000" w:rsidP="00000000" w:rsidRDefault="00000000" w:rsidRPr="00000000" w14:paraId="00000077">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8">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University of Southampton (2022). </w:t>
      </w:r>
      <w:r w:rsidDel="00000000" w:rsidR="00000000" w:rsidRPr="00000000">
        <w:rPr>
          <w:rFonts w:ascii="Times New Roman" w:cs="Times New Roman" w:eastAsia="Times New Roman" w:hAnsi="Times New Roman"/>
          <w:i w:val="1"/>
          <w:sz w:val="24"/>
          <w:szCs w:val="24"/>
          <w:rtl w:val="0"/>
        </w:rPr>
        <w:t xml:space="preserve">Mums’ Activity Levels May Depend On Number And Ages Of Children | University of Southampton</w:t>
      </w:r>
      <w:r w:rsidDel="00000000" w:rsidR="00000000" w:rsidRPr="00000000">
        <w:rPr>
          <w:rFonts w:ascii="Times New Roman" w:cs="Times New Roman" w:eastAsia="Times New Roman" w:hAnsi="Times New Roman"/>
          <w:sz w:val="24"/>
          <w:szCs w:val="24"/>
          <w:rtl w:val="0"/>
        </w:rPr>
        <w:t xml:space="preserve">. [online] www.southampton.ac.uk. Available at: </w:t>
      </w:r>
      <w:hyperlink r:id="rId9">
        <w:r w:rsidDel="00000000" w:rsidR="00000000" w:rsidRPr="00000000">
          <w:rPr>
            <w:rFonts w:ascii="Times New Roman" w:cs="Times New Roman" w:eastAsia="Times New Roman" w:hAnsi="Times New Roman"/>
            <w:color w:val="1155cc"/>
            <w:sz w:val="24"/>
            <w:szCs w:val="24"/>
            <w:u w:val="single"/>
            <w:rtl w:val="0"/>
          </w:rPr>
          <w:t xml:space="preserve">https://www.southampton.ac.uk/news/2022/11/southampton-womens-survey.page</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79">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A">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Ulster.ac.uk. (2024b). </w:t>
      </w:r>
      <w:r w:rsidDel="00000000" w:rsidR="00000000" w:rsidRPr="00000000">
        <w:rPr>
          <w:rFonts w:ascii="Times New Roman" w:cs="Times New Roman" w:eastAsia="Times New Roman" w:hAnsi="Times New Roman"/>
          <w:i w:val="1"/>
          <w:sz w:val="24"/>
          <w:szCs w:val="24"/>
          <w:rtl w:val="0"/>
        </w:rPr>
        <w:t xml:space="preserve">Mastering Goal Setting and Motivation</w:t>
      </w:r>
      <w:r w:rsidDel="00000000" w:rsidR="00000000" w:rsidRPr="00000000">
        <w:rPr>
          <w:rFonts w:ascii="Times New Roman" w:cs="Times New Roman" w:eastAsia="Times New Roman" w:hAnsi="Times New Roman"/>
          <w:sz w:val="24"/>
          <w:szCs w:val="24"/>
          <w:rtl w:val="0"/>
        </w:rPr>
        <w:t xml:space="preserve">. [online] Available at: </w:t>
      </w:r>
      <w:hyperlink r:id="rId10">
        <w:r w:rsidDel="00000000" w:rsidR="00000000" w:rsidRPr="00000000">
          <w:rPr>
            <w:rFonts w:ascii="Times New Roman" w:cs="Times New Roman" w:eastAsia="Times New Roman" w:hAnsi="Times New Roman"/>
            <w:color w:val="1155cc"/>
            <w:sz w:val="24"/>
            <w:szCs w:val="24"/>
            <w:u w:val="single"/>
            <w:rtl w:val="0"/>
          </w:rPr>
          <w:t xml:space="preserve">https://www.ulster.ac.uk/student/success/study-skills/mastering-goal-setting-and-motivation</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7B">
      <w:pPr>
        <w:spacing w:line="360" w:lineRule="auto"/>
        <w:rPr/>
      </w:pPr>
      <w:r w:rsidDel="00000000" w:rsidR="00000000" w:rsidRPr="00000000">
        <w:rPr>
          <w:rtl w:val="0"/>
        </w:rPr>
      </w:r>
    </w:p>
    <w:p w:rsidR="00000000" w:rsidDel="00000000" w:rsidP="00000000" w:rsidRDefault="00000000" w:rsidRPr="00000000" w14:paraId="0000007C">
      <w:pPr>
        <w:spacing w:line="360" w:lineRule="auto"/>
        <w:rPr/>
      </w:pPr>
      <w:r w:rsidDel="00000000" w:rsidR="00000000" w:rsidRPr="00000000">
        <w:rPr>
          <w:rtl w:val="0"/>
        </w:rPr>
        <w:t xml:space="preserve">Women’s Health. (2024). </w:t>
      </w:r>
      <w:r w:rsidDel="00000000" w:rsidR="00000000" w:rsidRPr="00000000">
        <w:rPr>
          <w:i w:val="1"/>
          <w:rtl w:val="0"/>
        </w:rPr>
        <w:t xml:space="preserve">New study reveals 3-in-4 people aren’t exercising enough</w:t>
      </w:r>
      <w:r w:rsidDel="00000000" w:rsidR="00000000" w:rsidRPr="00000000">
        <w:rPr>
          <w:rtl w:val="0"/>
        </w:rPr>
        <w:t xml:space="preserve">. [online] Available at: </w:t>
      </w:r>
      <w:hyperlink r:id="rId11">
        <w:r w:rsidDel="00000000" w:rsidR="00000000" w:rsidRPr="00000000">
          <w:rPr>
            <w:color w:val="1155cc"/>
            <w:u w:val="single"/>
            <w:rtl w:val="0"/>
          </w:rPr>
          <w:t xml:space="preserve">https://www.womenshealthmag.com/uk/fitness/a60534260/people-not-exercising-enough/</w:t>
        </w:r>
      </w:hyperlink>
      <w:r w:rsidDel="00000000" w:rsidR="00000000" w:rsidRPr="00000000">
        <w:rPr>
          <w:rtl w:val="0"/>
        </w:rPr>
        <w:t xml:space="preserve">. </w:t>
      </w:r>
    </w:p>
    <w:p w:rsidR="00000000" w:rsidDel="00000000" w:rsidP="00000000" w:rsidRDefault="00000000" w:rsidRPr="00000000" w14:paraId="0000007D">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F">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Zimmermann-Sloutskis, D., Wanner, M., Zimmermann, E. and Martin, B.W. (2010). Physical activity levels and determinants of change in young adults: a longitudinal panel study. </w:t>
      </w:r>
      <w:r w:rsidDel="00000000" w:rsidR="00000000" w:rsidRPr="00000000">
        <w:rPr>
          <w:rFonts w:ascii="Times New Roman" w:cs="Times New Roman" w:eastAsia="Times New Roman" w:hAnsi="Times New Roman"/>
          <w:i w:val="1"/>
          <w:sz w:val="24"/>
          <w:szCs w:val="24"/>
          <w:rtl w:val="0"/>
        </w:rPr>
        <w:t xml:space="preserve">International Journal of Behavioral Nutrition and Physical Activity</w:t>
      </w:r>
      <w:r w:rsidDel="00000000" w:rsidR="00000000" w:rsidRPr="00000000">
        <w:rPr>
          <w:rFonts w:ascii="Times New Roman" w:cs="Times New Roman" w:eastAsia="Times New Roman" w:hAnsi="Times New Roman"/>
          <w:sz w:val="24"/>
          <w:szCs w:val="24"/>
          <w:rtl w:val="0"/>
        </w:rPr>
        <w:t xml:space="preserve">, 7(1), p.2. doi:</w:t>
      </w:r>
      <w:hyperlink r:id="rId12">
        <w:r w:rsidDel="00000000" w:rsidR="00000000" w:rsidRPr="00000000">
          <w:rPr>
            <w:rFonts w:ascii="Times New Roman" w:cs="Times New Roman" w:eastAsia="Times New Roman" w:hAnsi="Times New Roman"/>
            <w:color w:val="1155cc"/>
            <w:sz w:val="24"/>
            <w:szCs w:val="24"/>
            <w:u w:val="single"/>
            <w:rtl w:val="0"/>
          </w:rPr>
          <w:t xml:space="preserve">https://doi.org/10.1186/1479-5868-7-2</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80">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1">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2">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3">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4">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5">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6">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7">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8">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9">
      <w:pPr>
        <w:spacing w:line="360" w:lineRule="auto"/>
        <w:rPr>
          <w:sz w:val="27"/>
          <w:szCs w:val="27"/>
        </w:rPr>
      </w:pPr>
      <w:r w:rsidDel="00000000" w:rsidR="00000000" w:rsidRPr="00000000">
        <w:rPr>
          <w:rtl w:val="0"/>
        </w:rPr>
      </w:r>
    </w:p>
    <w:p w:rsidR="00000000" w:rsidDel="00000000" w:rsidP="00000000" w:rsidRDefault="00000000" w:rsidRPr="00000000" w14:paraId="0000008A">
      <w:pPr>
        <w:spacing w:after="240" w:before="240" w:lineRule="auto"/>
        <w:rPr/>
      </w:pPr>
      <w:r w:rsidDel="00000000" w:rsidR="00000000" w:rsidRPr="00000000">
        <w:rPr>
          <w:rtl w:val="0"/>
        </w:rPr>
        <w:t xml:space="preserve">‌</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womenshealthmag.com/uk/fitness/a60534260/people-not-exercising-enough/" TargetMode="External"/><Relationship Id="rId10" Type="http://schemas.openxmlformats.org/officeDocument/2006/relationships/hyperlink" Target="https://www.ulster.ac.uk/student/success/study-skills/mastering-goal-setting-and-motivation" TargetMode="External"/><Relationship Id="rId12" Type="http://schemas.openxmlformats.org/officeDocument/2006/relationships/hyperlink" Target="https://doi.org/10.1186/1479-5868-7-2" TargetMode="External"/><Relationship Id="rId9" Type="http://schemas.openxmlformats.org/officeDocument/2006/relationships/hyperlink" Target="https://www.southampton.ac.uk/news/2022/11/southampton-womens-survey.page"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experiencelife.lifetime.life/article/expert-answers-why-do-i-feel-so-good-after-a-workout/" TargetMode="External"/><Relationship Id="rId8" Type="http://schemas.openxmlformats.org/officeDocument/2006/relationships/hyperlink" Target="https://doi.org/10.1080/23311975.2017.12808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