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9EEEF" w14:textId="77777777" w:rsidR="00F44EAE" w:rsidRDefault="00F44EAE">
      <w:bookmarkStart w:id="0" w:name="_gjdgxs" w:colFirst="0" w:colLast="0"/>
      <w:bookmarkEnd w:id="0"/>
    </w:p>
    <w:p w14:paraId="17F023AA" w14:textId="77777777" w:rsidR="00F44EAE" w:rsidRDefault="00F44EAE"/>
    <w:p w14:paraId="7294E641" w14:textId="77777777" w:rsidR="00F44EAE" w:rsidRDefault="00AB3F43">
      <w:pPr>
        <w:jc w:val="center"/>
      </w:pPr>
      <w:r>
        <w:rPr>
          <w:noProof/>
        </w:rPr>
        <w:drawing>
          <wp:inline distT="0" distB="0" distL="0" distR="0" wp14:anchorId="6BD429C8" wp14:editId="4553C236">
            <wp:extent cx="1981477" cy="809738"/>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981477" cy="809738"/>
                    </a:xfrm>
                    <a:prstGeom prst="rect">
                      <a:avLst/>
                    </a:prstGeom>
                    <a:ln/>
                  </pic:spPr>
                </pic:pic>
              </a:graphicData>
            </a:graphic>
          </wp:inline>
        </w:drawing>
      </w:r>
    </w:p>
    <w:p w14:paraId="55523FFA" w14:textId="77777777" w:rsidR="00F44EAE" w:rsidRDefault="00AB3F43">
      <w:pPr>
        <w:jc w:val="center"/>
        <w:rPr>
          <w:b/>
          <w:sz w:val="36"/>
          <w:szCs w:val="36"/>
        </w:rPr>
      </w:pPr>
      <w:r>
        <w:rPr>
          <w:b/>
          <w:sz w:val="36"/>
          <w:szCs w:val="36"/>
        </w:rPr>
        <w:t>Programme: MBA - Master of Business Administration</w:t>
      </w:r>
    </w:p>
    <w:p w14:paraId="4F6D371B" w14:textId="77777777" w:rsidR="00F44EAE" w:rsidRDefault="00AB3F43">
      <w:pPr>
        <w:jc w:val="center"/>
        <w:rPr>
          <w:b/>
          <w:sz w:val="36"/>
          <w:szCs w:val="36"/>
        </w:rPr>
      </w:pPr>
      <w:r>
        <w:rPr>
          <w:b/>
          <w:sz w:val="36"/>
          <w:szCs w:val="36"/>
        </w:rPr>
        <w:t>Module: Financial Management</w:t>
      </w:r>
    </w:p>
    <w:p w14:paraId="2BE7E61E" w14:textId="77777777" w:rsidR="00F44EAE" w:rsidRDefault="00AB3F43">
      <w:pPr>
        <w:jc w:val="center"/>
        <w:rPr>
          <w:b/>
          <w:sz w:val="36"/>
          <w:szCs w:val="36"/>
        </w:rPr>
      </w:pPr>
      <w:r>
        <w:rPr>
          <w:b/>
          <w:sz w:val="36"/>
          <w:szCs w:val="36"/>
        </w:rPr>
        <w:t>Module Code: LCMB7002</w:t>
      </w:r>
    </w:p>
    <w:p w14:paraId="7A73E888" w14:textId="77777777" w:rsidR="00F44EAE" w:rsidRDefault="00AB3F43">
      <w:pPr>
        <w:jc w:val="center"/>
        <w:rPr>
          <w:b/>
          <w:sz w:val="36"/>
          <w:szCs w:val="36"/>
        </w:rPr>
      </w:pPr>
      <w:r>
        <w:rPr>
          <w:b/>
          <w:sz w:val="36"/>
          <w:szCs w:val="36"/>
        </w:rPr>
        <w:t>Company: Tesla</w:t>
      </w:r>
    </w:p>
    <w:p w14:paraId="4BACAF3A" w14:textId="1523BA08" w:rsidR="00F44EAE" w:rsidRDefault="00AB3F43">
      <w:pPr>
        <w:jc w:val="center"/>
      </w:pPr>
      <w:r>
        <w:t>Name of the Student:</w:t>
      </w:r>
      <w:r w:rsidR="00D452E5">
        <w:t xml:space="preserve"> </w:t>
      </w:r>
      <w:proofErr w:type="spellStart"/>
      <w:r w:rsidR="00D452E5" w:rsidRPr="00D452E5">
        <w:rPr>
          <w:rFonts w:asciiTheme="minorHAnsi" w:hAnsiTheme="minorHAnsi"/>
          <w:sz w:val="22"/>
          <w:szCs w:val="22"/>
        </w:rPr>
        <w:t>Kharthik</w:t>
      </w:r>
      <w:proofErr w:type="spellEnd"/>
      <w:r w:rsidR="00D452E5" w:rsidRPr="00D452E5">
        <w:rPr>
          <w:rFonts w:asciiTheme="minorHAnsi" w:hAnsiTheme="minorHAnsi"/>
          <w:sz w:val="22"/>
          <w:szCs w:val="22"/>
        </w:rPr>
        <w:t xml:space="preserve"> Raaja Vadivel Saveetha</w:t>
      </w:r>
    </w:p>
    <w:p w14:paraId="3ACB2DCB" w14:textId="5BD37D4C" w:rsidR="00F44EAE" w:rsidRDefault="00AB3F43">
      <w:pPr>
        <w:jc w:val="center"/>
      </w:pPr>
      <w:r>
        <w:t>Student ID:</w:t>
      </w:r>
      <w:r w:rsidR="00D452E5">
        <w:t xml:space="preserve"> 2330743</w:t>
      </w:r>
    </w:p>
    <w:p w14:paraId="1FA8A9E7" w14:textId="22BB5F98" w:rsidR="00F44EAE" w:rsidRDefault="00F44EAE" w:rsidP="00D452E5"/>
    <w:p w14:paraId="248ABEA3" w14:textId="77777777" w:rsidR="00F44EAE" w:rsidRDefault="00AB3F43">
      <w:r>
        <w:br w:type="page"/>
      </w:r>
    </w:p>
    <w:p w14:paraId="79C04422" w14:textId="77777777" w:rsidR="00F44EAE" w:rsidRDefault="00AB3F43">
      <w:pPr>
        <w:rPr>
          <w:b/>
          <w:sz w:val="28"/>
          <w:szCs w:val="28"/>
        </w:rPr>
      </w:pPr>
      <w:r>
        <w:rPr>
          <w:b/>
          <w:sz w:val="28"/>
          <w:szCs w:val="28"/>
        </w:rPr>
        <w:lastRenderedPageBreak/>
        <w:t>List of Abbreviations</w:t>
      </w:r>
    </w:p>
    <w:p w14:paraId="6002D325" w14:textId="77777777" w:rsidR="00F44EAE" w:rsidRDefault="00AB3F43">
      <w:r>
        <w:t>PR: Profitability Ratios</w:t>
      </w:r>
    </w:p>
    <w:p w14:paraId="676B29F3" w14:textId="77777777" w:rsidR="00F44EAE" w:rsidRDefault="00AB3F43">
      <w:r>
        <w:t>LR: Liquidity Ratios</w:t>
      </w:r>
    </w:p>
    <w:p w14:paraId="1535449E" w14:textId="77777777" w:rsidR="00F44EAE" w:rsidRDefault="00AB3F43">
      <w:r>
        <w:t>ER: Efficiency Ratios</w:t>
      </w:r>
    </w:p>
    <w:p w14:paraId="3796261C" w14:textId="77777777" w:rsidR="00F44EAE" w:rsidRDefault="00AB3F43">
      <w:r>
        <w:t xml:space="preserve">GR: Gearing Ratios </w:t>
      </w:r>
    </w:p>
    <w:p w14:paraId="1640C94E" w14:textId="77777777" w:rsidR="00F44EAE" w:rsidRDefault="00AB3F43">
      <w:r>
        <w:t xml:space="preserve">NPR: Net Profit Margin </w:t>
      </w:r>
    </w:p>
    <w:p w14:paraId="4E77739A" w14:textId="77777777" w:rsidR="00F44EAE" w:rsidRDefault="00AB3F43">
      <w:r>
        <w:t xml:space="preserve">ROCE: Return on capital employed </w:t>
      </w:r>
    </w:p>
    <w:p w14:paraId="579AB29C" w14:textId="77777777" w:rsidR="00F44EAE" w:rsidRDefault="00AB3F43">
      <w:r>
        <w:t xml:space="preserve">CR: Current Ratio </w:t>
      </w:r>
    </w:p>
    <w:p w14:paraId="64C2F871" w14:textId="77777777" w:rsidR="00F44EAE" w:rsidRDefault="00AB3F43">
      <w:r>
        <w:t xml:space="preserve">QR: Quick Ratio </w:t>
      </w:r>
    </w:p>
    <w:p w14:paraId="26C1E4DD" w14:textId="77777777" w:rsidR="00F44EAE" w:rsidRDefault="00AB3F43">
      <w:r>
        <w:t>ATR: Asset Turnover Ratio</w:t>
      </w:r>
    </w:p>
    <w:p w14:paraId="7775B5A5" w14:textId="77777777" w:rsidR="00F44EAE" w:rsidRDefault="00AB3F43">
      <w:r>
        <w:t>ITR: Inventory Turnover Ratio</w:t>
      </w:r>
      <w:r>
        <w:br w:type="page"/>
      </w:r>
    </w:p>
    <w:p w14:paraId="79C66017" w14:textId="77777777" w:rsidR="00F44EAE" w:rsidRDefault="00AB3F43">
      <w:pPr>
        <w:keepNext/>
        <w:keepLines/>
        <w:pBdr>
          <w:top w:val="nil"/>
          <w:left w:val="nil"/>
          <w:bottom w:val="nil"/>
          <w:right w:val="nil"/>
          <w:between w:val="nil"/>
        </w:pBdr>
        <w:spacing w:after="0" w:line="259" w:lineRule="auto"/>
        <w:jc w:val="center"/>
        <w:rPr>
          <w:b/>
          <w:color w:val="000000"/>
          <w:sz w:val="28"/>
          <w:szCs w:val="28"/>
        </w:rPr>
      </w:pPr>
      <w:r>
        <w:rPr>
          <w:b/>
          <w:color w:val="000000"/>
          <w:sz w:val="28"/>
          <w:szCs w:val="28"/>
        </w:rPr>
        <w:lastRenderedPageBreak/>
        <w:t>Table of Contents</w:t>
      </w:r>
    </w:p>
    <w:sdt>
      <w:sdtPr>
        <w:id w:val="1848825042"/>
        <w:docPartObj>
          <w:docPartGallery w:val="Table of Contents"/>
          <w:docPartUnique/>
        </w:docPartObj>
      </w:sdtPr>
      <w:sdtContent>
        <w:p w14:paraId="3DFDC9CC" w14:textId="2BC35FAA" w:rsidR="00D057AD" w:rsidRDefault="00AB3F43">
          <w:pPr>
            <w:pStyle w:val="TOC1"/>
            <w:tabs>
              <w:tab w:val="right" w:pos="9350"/>
            </w:tabs>
            <w:rPr>
              <w:noProof/>
            </w:rPr>
          </w:pPr>
          <w:r>
            <w:fldChar w:fldCharType="begin"/>
          </w:r>
          <w:r>
            <w:instrText xml:space="preserve"> TOC \h \u \z \t "Heading 1,1,Heading 2,2,Heading 3,3,"</w:instrText>
          </w:r>
          <w:r>
            <w:fldChar w:fldCharType="separate"/>
          </w:r>
          <w:hyperlink w:anchor="_Toc171616536" w:history="1">
            <w:r w:rsidR="00D057AD" w:rsidRPr="00EF60ED">
              <w:rPr>
                <w:rStyle w:val="Hyperlink"/>
                <w:noProof/>
              </w:rPr>
              <w:t>Part A). Introduction</w:t>
            </w:r>
            <w:r w:rsidR="00D057AD">
              <w:rPr>
                <w:noProof/>
                <w:webHidden/>
              </w:rPr>
              <w:tab/>
            </w:r>
            <w:r w:rsidR="00D057AD">
              <w:rPr>
                <w:noProof/>
                <w:webHidden/>
              </w:rPr>
              <w:fldChar w:fldCharType="begin"/>
            </w:r>
            <w:r w:rsidR="00D057AD">
              <w:rPr>
                <w:noProof/>
                <w:webHidden/>
              </w:rPr>
              <w:instrText xml:space="preserve"> PAGEREF _Toc171616536 \h </w:instrText>
            </w:r>
            <w:r w:rsidR="00D057AD">
              <w:rPr>
                <w:noProof/>
                <w:webHidden/>
              </w:rPr>
            </w:r>
            <w:r w:rsidR="00D057AD">
              <w:rPr>
                <w:noProof/>
                <w:webHidden/>
              </w:rPr>
              <w:fldChar w:fldCharType="separate"/>
            </w:r>
            <w:r w:rsidR="00D057AD">
              <w:rPr>
                <w:noProof/>
                <w:webHidden/>
              </w:rPr>
              <w:t>5</w:t>
            </w:r>
            <w:r w:rsidR="00D057AD">
              <w:rPr>
                <w:noProof/>
                <w:webHidden/>
              </w:rPr>
              <w:fldChar w:fldCharType="end"/>
            </w:r>
          </w:hyperlink>
        </w:p>
        <w:p w14:paraId="4C337E5C" w14:textId="6EFFCAEC" w:rsidR="00D057AD" w:rsidRDefault="00000000">
          <w:pPr>
            <w:pStyle w:val="TOC2"/>
            <w:tabs>
              <w:tab w:val="right" w:pos="9350"/>
            </w:tabs>
            <w:rPr>
              <w:noProof/>
            </w:rPr>
          </w:pPr>
          <w:hyperlink w:anchor="_Toc171616537" w:history="1">
            <w:r w:rsidR="00D057AD" w:rsidRPr="00EF60ED">
              <w:rPr>
                <w:rStyle w:val="Hyperlink"/>
                <w:noProof/>
              </w:rPr>
              <w:t>Company Overview</w:t>
            </w:r>
            <w:r w:rsidR="00D057AD">
              <w:rPr>
                <w:noProof/>
                <w:webHidden/>
              </w:rPr>
              <w:tab/>
            </w:r>
            <w:r w:rsidR="00D057AD">
              <w:rPr>
                <w:noProof/>
                <w:webHidden/>
              </w:rPr>
              <w:fldChar w:fldCharType="begin"/>
            </w:r>
            <w:r w:rsidR="00D057AD">
              <w:rPr>
                <w:noProof/>
                <w:webHidden/>
              </w:rPr>
              <w:instrText xml:space="preserve"> PAGEREF _Toc171616537 \h </w:instrText>
            </w:r>
            <w:r w:rsidR="00D057AD">
              <w:rPr>
                <w:noProof/>
                <w:webHidden/>
              </w:rPr>
            </w:r>
            <w:r w:rsidR="00D057AD">
              <w:rPr>
                <w:noProof/>
                <w:webHidden/>
              </w:rPr>
              <w:fldChar w:fldCharType="separate"/>
            </w:r>
            <w:r w:rsidR="00D057AD">
              <w:rPr>
                <w:noProof/>
                <w:webHidden/>
              </w:rPr>
              <w:t>5</w:t>
            </w:r>
            <w:r w:rsidR="00D057AD">
              <w:rPr>
                <w:noProof/>
                <w:webHidden/>
              </w:rPr>
              <w:fldChar w:fldCharType="end"/>
            </w:r>
          </w:hyperlink>
        </w:p>
        <w:p w14:paraId="6E8374CC" w14:textId="0DBE5E3E" w:rsidR="00D057AD" w:rsidRDefault="00000000">
          <w:pPr>
            <w:pStyle w:val="TOC2"/>
            <w:tabs>
              <w:tab w:val="right" w:pos="9350"/>
            </w:tabs>
            <w:rPr>
              <w:noProof/>
            </w:rPr>
          </w:pPr>
          <w:hyperlink w:anchor="_Toc171616538" w:history="1">
            <w:r w:rsidR="00D057AD" w:rsidRPr="00EF60ED">
              <w:rPr>
                <w:rStyle w:val="Hyperlink"/>
                <w:noProof/>
              </w:rPr>
              <w:t>Business Model</w:t>
            </w:r>
            <w:r w:rsidR="00D057AD">
              <w:rPr>
                <w:noProof/>
                <w:webHidden/>
              </w:rPr>
              <w:tab/>
            </w:r>
            <w:r w:rsidR="00D057AD">
              <w:rPr>
                <w:noProof/>
                <w:webHidden/>
              </w:rPr>
              <w:fldChar w:fldCharType="begin"/>
            </w:r>
            <w:r w:rsidR="00D057AD">
              <w:rPr>
                <w:noProof/>
                <w:webHidden/>
              </w:rPr>
              <w:instrText xml:space="preserve"> PAGEREF _Toc171616538 \h </w:instrText>
            </w:r>
            <w:r w:rsidR="00D057AD">
              <w:rPr>
                <w:noProof/>
                <w:webHidden/>
              </w:rPr>
            </w:r>
            <w:r w:rsidR="00D057AD">
              <w:rPr>
                <w:noProof/>
                <w:webHidden/>
              </w:rPr>
              <w:fldChar w:fldCharType="separate"/>
            </w:r>
            <w:r w:rsidR="00D057AD">
              <w:rPr>
                <w:noProof/>
                <w:webHidden/>
              </w:rPr>
              <w:t>5</w:t>
            </w:r>
            <w:r w:rsidR="00D057AD">
              <w:rPr>
                <w:noProof/>
                <w:webHidden/>
              </w:rPr>
              <w:fldChar w:fldCharType="end"/>
            </w:r>
          </w:hyperlink>
        </w:p>
        <w:p w14:paraId="4424AD18" w14:textId="6E67F47F" w:rsidR="00D057AD" w:rsidRDefault="00000000">
          <w:pPr>
            <w:pStyle w:val="TOC2"/>
            <w:tabs>
              <w:tab w:val="right" w:pos="9350"/>
            </w:tabs>
            <w:rPr>
              <w:noProof/>
            </w:rPr>
          </w:pPr>
          <w:hyperlink w:anchor="_Toc171616539" w:history="1">
            <w:r w:rsidR="00D057AD" w:rsidRPr="00EF60ED">
              <w:rPr>
                <w:rStyle w:val="Hyperlink"/>
                <w:noProof/>
              </w:rPr>
              <w:t>Marketplace and Key Competitors</w:t>
            </w:r>
            <w:r w:rsidR="00D057AD">
              <w:rPr>
                <w:noProof/>
                <w:webHidden/>
              </w:rPr>
              <w:tab/>
            </w:r>
            <w:r w:rsidR="00D057AD">
              <w:rPr>
                <w:noProof/>
                <w:webHidden/>
              </w:rPr>
              <w:fldChar w:fldCharType="begin"/>
            </w:r>
            <w:r w:rsidR="00D057AD">
              <w:rPr>
                <w:noProof/>
                <w:webHidden/>
              </w:rPr>
              <w:instrText xml:space="preserve"> PAGEREF _Toc171616539 \h </w:instrText>
            </w:r>
            <w:r w:rsidR="00D057AD">
              <w:rPr>
                <w:noProof/>
                <w:webHidden/>
              </w:rPr>
            </w:r>
            <w:r w:rsidR="00D057AD">
              <w:rPr>
                <w:noProof/>
                <w:webHidden/>
              </w:rPr>
              <w:fldChar w:fldCharType="separate"/>
            </w:r>
            <w:r w:rsidR="00D057AD">
              <w:rPr>
                <w:noProof/>
                <w:webHidden/>
              </w:rPr>
              <w:t>6</w:t>
            </w:r>
            <w:r w:rsidR="00D057AD">
              <w:rPr>
                <w:noProof/>
                <w:webHidden/>
              </w:rPr>
              <w:fldChar w:fldCharType="end"/>
            </w:r>
          </w:hyperlink>
        </w:p>
        <w:p w14:paraId="4E115CA4" w14:textId="114A483E" w:rsidR="00D057AD" w:rsidRDefault="00000000">
          <w:pPr>
            <w:pStyle w:val="TOC2"/>
            <w:tabs>
              <w:tab w:val="right" w:pos="9350"/>
            </w:tabs>
            <w:rPr>
              <w:noProof/>
            </w:rPr>
          </w:pPr>
          <w:hyperlink w:anchor="_Toc171616540" w:history="1">
            <w:r w:rsidR="00D057AD" w:rsidRPr="00EF60ED">
              <w:rPr>
                <w:rStyle w:val="Hyperlink"/>
                <w:noProof/>
              </w:rPr>
              <w:t>Recent Events</w:t>
            </w:r>
            <w:r w:rsidR="00D057AD">
              <w:rPr>
                <w:noProof/>
                <w:webHidden/>
              </w:rPr>
              <w:tab/>
            </w:r>
            <w:r w:rsidR="00D057AD">
              <w:rPr>
                <w:noProof/>
                <w:webHidden/>
              </w:rPr>
              <w:fldChar w:fldCharType="begin"/>
            </w:r>
            <w:r w:rsidR="00D057AD">
              <w:rPr>
                <w:noProof/>
                <w:webHidden/>
              </w:rPr>
              <w:instrText xml:space="preserve"> PAGEREF _Toc171616540 \h </w:instrText>
            </w:r>
            <w:r w:rsidR="00D057AD">
              <w:rPr>
                <w:noProof/>
                <w:webHidden/>
              </w:rPr>
            </w:r>
            <w:r w:rsidR="00D057AD">
              <w:rPr>
                <w:noProof/>
                <w:webHidden/>
              </w:rPr>
              <w:fldChar w:fldCharType="separate"/>
            </w:r>
            <w:r w:rsidR="00D057AD">
              <w:rPr>
                <w:noProof/>
                <w:webHidden/>
              </w:rPr>
              <w:t>7</w:t>
            </w:r>
            <w:r w:rsidR="00D057AD">
              <w:rPr>
                <w:noProof/>
                <w:webHidden/>
              </w:rPr>
              <w:fldChar w:fldCharType="end"/>
            </w:r>
          </w:hyperlink>
        </w:p>
        <w:p w14:paraId="0B1BE123" w14:textId="6E4965A6" w:rsidR="00D057AD" w:rsidRDefault="00000000">
          <w:pPr>
            <w:pStyle w:val="TOC1"/>
            <w:tabs>
              <w:tab w:val="right" w:pos="9350"/>
            </w:tabs>
            <w:rPr>
              <w:noProof/>
            </w:rPr>
          </w:pPr>
          <w:hyperlink w:anchor="_Toc171616541" w:history="1">
            <w:r w:rsidR="00D057AD" w:rsidRPr="00EF60ED">
              <w:rPr>
                <w:rStyle w:val="Hyperlink"/>
                <w:noProof/>
              </w:rPr>
              <w:t>Part B). Financial performance review</w:t>
            </w:r>
            <w:r w:rsidR="00D057AD">
              <w:rPr>
                <w:noProof/>
                <w:webHidden/>
              </w:rPr>
              <w:tab/>
            </w:r>
            <w:r w:rsidR="00D057AD">
              <w:rPr>
                <w:noProof/>
                <w:webHidden/>
              </w:rPr>
              <w:fldChar w:fldCharType="begin"/>
            </w:r>
            <w:r w:rsidR="00D057AD">
              <w:rPr>
                <w:noProof/>
                <w:webHidden/>
              </w:rPr>
              <w:instrText xml:space="preserve"> PAGEREF _Toc171616541 \h </w:instrText>
            </w:r>
            <w:r w:rsidR="00D057AD">
              <w:rPr>
                <w:noProof/>
                <w:webHidden/>
              </w:rPr>
            </w:r>
            <w:r w:rsidR="00D057AD">
              <w:rPr>
                <w:noProof/>
                <w:webHidden/>
              </w:rPr>
              <w:fldChar w:fldCharType="separate"/>
            </w:r>
            <w:r w:rsidR="00D057AD">
              <w:rPr>
                <w:noProof/>
                <w:webHidden/>
              </w:rPr>
              <w:t>7</w:t>
            </w:r>
            <w:r w:rsidR="00D057AD">
              <w:rPr>
                <w:noProof/>
                <w:webHidden/>
              </w:rPr>
              <w:fldChar w:fldCharType="end"/>
            </w:r>
          </w:hyperlink>
        </w:p>
        <w:p w14:paraId="4798C239" w14:textId="39F8E699" w:rsidR="00D057AD" w:rsidRDefault="00000000">
          <w:pPr>
            <w:pStyle w:val="TOC2"/>
            <w:tabs>
              <w:tab w:val="right" w:pos="9350"/>
            </w:tabs>
            <w:rPr>
              <w:noProof/>
            </w:rPr>
          </w:pPr>
          <w:hyperlink w:anchor="_Toc171616542" w:history="1">
            <w:r w:rsidR="00D057AD" w:rsidRPr="00EF60ED">
              <w:rPr>
                <w:rStyle w:val="Hyperlink"/>
                <w:noProof/>
              </w:rPr>
              <w:t>Critical Evaluation of the Financial Ratios</w:t>
            </w:r>
            <w:r w:rsidR="00D057AD">
              <w:rPr>
                <w:noProof/>
                <w:webHidden/>
              </w:rPr>
              <w:tab/>
            </w:r>
            <w:r w:rsidR="00D057AD">
              <w:rPr>
                <w:noProof/>
                <w:webHidden/>
              </w:rPr>
              <w:fldChar w:fldCharType="begin"/>
            </w:r>
            <w:r w:rsidR="00D057AD">
              <w:rPr>
                <w:noProof/>
                <w:webHidden/>
              </w:rPr>
              <w:instrText xml:space="preserve"> PAGEREF _Toc171616542 \h </w:instrText>
            </w:r>
            <w:r w:rsidR="00D057AD">
              <w:rPr>
                <w:noProof/>
                <w:webHidden/>
              </w:rPr>
            </w:r>
            <w:r w:rsidR="00D057AD">
              <w:rPr>
                <w:noProof/>
                <w:webHidden/>
              </w:rPr>
              <w:fldChar w:fldCharType="separate"/>
            </w:r>
            <w:r w:rsidR="00D057AD">
              <w:rPr>
                <w:noProof/>
                <w:webHidden/>
              </w:rPr>
              <w:t>7</w:t>
            </w:r>
            <w:r w:rsidR="00D057AD">
              <w:rPr>
                <w:noProof/>
                <w:webHidden/>
              </w:rPr>
              <w:fldChar w:fldCharType="end"/>
            </w:r>
          </w:hyperlink>
        </w:p>
        <w:p w14:paraId="4A5FDBA0" w14:textId="7A91875A" w:rsidR="00D057AD" w:rsidRDefault="00000000">
          <w:pPr>
            <w:pStyle w:val="TOC3"/>
            <w:tabs>
              <w:tab w:val="right" w:pos="9350"/>
            </w:tabs>
            <w:rPr>
              <w:noProof/>
            </w:rPr>
          </w:pPr>
          <w:hyperlink w:anchor="_Toc171616543" w:history="1">
            <w:r w:rsidR="00D057AD" w:rsidRPr="00EF60ED">
              <w:rPr>
                <w:rStyle w:val="Hyperlink"/>
                <w:noProof/>
              </w:rPr>
              <w:t>Profitability Ratio</w:t>
            </w:r>
            <w:r w:rsidR="00D057AD">
              <w:rPr>
                <w:noProof/>
                <w:webHidden/>
              </w:rPr>
              <w:tab/>
            </w:r>
            <w:r w:rsidR="00D057AD">
              <w:rPr>
                <w:noProof/>
                <w:webHidden/>
              </w:rPr>
              <w:fldChar w:fldCharType="begin"/>
            </w:r>
            <w:r w:rsidR="00D057AD">
              <w:rPr>
                <w:noProof/>
                <w:webHidden/>
              </w:rPr>
              <w:instrText xml:space="preserve"> PAGEREF _Toc171616543 \h </w:instrText>
            </w:r>
            <w:r w:rsidR="00D057AD">
              <w:rPr>
                <w:noProof/>
                <w:webHidden/>
              </w:rPr>
            </w:r>
            <w:r w:rsidR="00D057AD">
              <w:rPr>
                <w:noProof/>
                <w:webHidden/>
              </w:rPr>
              <w:fldChar w:fldCharType="separate"/>
            </w:r>
            <w:r w:rsidR="00D057AD">
              <w:rPr>
                <w:noProof/>
                <w:webHidden/>
              </w:rPr>
              <w:t>7</w:t>
            </w:r>
            <w:r w:rsidR="00D057AD">
              <w:rPr>
                <w:noProof/>
                <w:webHidden/>
              </w:rPr>
              <w:fldChar w:fldCharType="end"/>
            </w:r>
          </w:hyperlink>
        </w:p>
        <w:p w14:paraId="5A795793" w14:textId="02D4CCED" w:rsidR="00D057AD" w:rsidRDefault="00000000">
          <w:pPr>
            <w:pStyle w:val="TOC3"/>
            <w:tabs>
              <w:tab w:val="right" w:pos="9350"/>
            </w:tabs>
            <w:rPr>
              <w:noProof/>
            </w:rPr>
          </w:pPr>
          <w:hyperlink w:anchor="_Toc171616544" w:history="1">
            <w:r w:rsidR="00D057AD" w:rsidRPr="00EF60ED">
              <w:rPr>
                <w:rStyle w:val="Hyperlink"/>
                <w:noProof/>
              </w:rPr>
              <w:t>Liquidity Ratio</w:t>
            </w:r>
            <w:r w:rsidR="00D057AD">
              <w:rPr>
                <w:noProof/>
                <w:webHidden/>
              </w:rPr>
              <w:tab/>
            </w:r>
            <w:r w:rsidR="00D057AD">
              <w:rPr>
                <w:noProof/>
                <w:webHidden/>
              </w:rPr>
              <w:fldChar w:fldCharType="begin"/>
            </w:r>
            <w:r w:rsidR="00D057AD">
              <w:rPr>
                <w:noProof/>
                <w:webHidden/>
              </w:rPr>
              <w:instrText xml:space="preserve"> PAGEREF _Toc171616544 \h </w:instrText>
            </w:r>
            <w:r w:rsidR="00D057AD">
              <w:rPr>
                <w:noProof/>
                <w:webHidden/>
              </w:rPr>
            </w:r>
            <w:r w:rsidR="00D057AD">
              <w:rPr>
                <w:noProof/>
                <w:webHidden/>
              </w:rPr>
              <w:fldChar w:fldCharType="separate"/>
            </w:r>
            <w:r w:rsidR="00D057AD">
              <w:rPr>
                <w:noProof/>
                <w:webHidden/>
              </w:rPr>
              <w:t>9</w:t>
            </w:r>
            <w:r w:rsidR="00D057AD">
              <w:rPr>
                <w:noProof/>
                <w:webHidden/>
              </w:rPr>
              <w:fldChar w:fldCharType="end"/>
            </w:r>
          </w:hyperlink>
        </w:p>
        <w:p w14:paraId="7C21830E" w14:textId="6CEEABE2" w:rsidR="00D057AD" w:rsidRDefault="00000000">
          <w:pPr>
            <w:pStyle w:val="TOC3"/>
            <w:tabs>
              <w:tab w:val="right" w:pos="9350"/>
            </w:tabs>
            <w:rPr>
              <w:noProof/>
            </w:rPr>
          </w:pPr>
          <w:hyperlink w:anchor="_Toc171616545" w:history="1">
            <w:r w:rsidR="00D057AD" w:rsidRPr="00EF60ED">
              <w:rPr>
                <w:rStyle w:val="Hyperlink"/>
                <w:noProof/>
              </w:rPr>
              <w:t>Efficiency Ratio</w:t>
            </w:r>
            <w:r w:rsidR="00D057AD">
              <w:rPr>
                <w:noProof/>
                <w:webHidden/>
              </w:rPr>
              <w:tab/>
            </w:r>
            <w:r w:rsidR="00D057AD">
              <w:rPr>
                <w:noProof/>
                <w:webHidden/>
              </w:rPr>
              <w:fldChar w:fldCharType="begin"/>
            </w:r>
            <w:r w:rsidR="00D057AD">
              <w:rPr>
                <w:noProof/>
                <w:webHidden/>
              </w:rPr>
              <w:instrText xml:space="preserve"> PAGEREF _Toc171616545 \h </w:instrText>
            </w:r>
            <w:r w:rsidR="00D057AD">
              <w:rPr>
                <w:noProof/>
                <w:webHidden/>
              </w:rPr>
            </w:r>
            <w:r w:rsidR="00D057AD">
              <w:rPr>
                <w:noProof/>
                <w:webHidden/>
              </w:rPr>
              <w:fldChar w:fldCharType="separate"/>
            </w:r>
            <w:r w:rsidR="00D057AD">
              <w:rPr>
                <w:noProof/>
                <w:webHidden/>
              </w:rPr>
              <w:t>10</w:t>
            </w:r>
            <w:r w:rsidR="00D057AD">
              <w:rPr>
                <w:noProof/>
                <w:webHidden/>
              </w:rPr>
              <w:fldChar w:fldCharType="end"/>
            </w:r>
          </w:hyperlink>
        </w:p>
        <w:p w14:paraId="2CADBC6E" w14:textId="2CD0611B" w:rsidR="00D057AD" w:rsidRDefault="00000000">
          <w:pPr>
            <w:pStyle w:val="TOC3"/>
            <w:tabs>
              <w:tab w:val="right" w:pos="9350"/>
            </w:tabs>
            <w:rPr>
              <w:noProof/>
            </w:rPr>
          </w:pPr>
          <w:hyperlink w:anchor="_Toc171616546" w:history="1">
            <w:r w:rsidR="00D057AD" w:rsidRPr="00EF60ED">
              <w:rPr>
                <w:rStyle w:val="Hyperlink"/>
                <w:noProof/>
              </w:rPr>
              <w:t>Gearing Ratio</w:t>
            </w:r>
            <w:r w:rsidR="00D057AD">
              <w:rPr>
                <w:noProof/>
                <w:webHidden/>
              </w:rPr>
              <w:tab/>
            </w:r>
            <w:r w:rsidR="00D057AD">
              <w:rPr>
                <w:noProof/>
                <w:webHidden/>
              </w:rPr>
              <w:fldChar w:fldCharType="begin"/>
            </w:r>
            <w:r w:rsidR="00D057AD">
              <w:rPr>
                <w:noProof/>
                <w:webHidden/>
              </w:rPr>
              <w:instrText xml:space="preserve"> PAGEREF _Toc171616546 \h </w:instrText>
            </w:r>
            <w:r w:rsidR="00D057AD">
              <w:rPr>
                <w:noProof/>
                <w:webHidden/>
              </w:rPr>
            </w:r>
            <w:r w:rsidR="00D057AD">
              <w:rPr>
                <w:noProof/>
                <w:webHidden/>
              </w:rPr>
              <w:fldChar w:fldCharType="separate"/>
            </w:r>
            <w:r w:rsidR="00D057AD">
              <w:rPr>
                <w:noProof/>
                <w:webHidden/>
              </w:rPr>
              <w:t>11</w:t>
            </w:r>
            <w:r w:rsidR="00D057AD">
              <w:rPr>
                <w:noProof/>
                <w:webHidden/>
              </w:rPr>
              <w:fldChar w:fldCharType="end"/>
            </w:r>
          </w:hyperlink>
        </w:p>
        <w:p w14:paraId="202283AE" w14:textId="7C467DE5" w:rsidR="00D057AD" w:rsidRDefault="00000000">
          <w:pPr>
            <w:pStyle w:val="TOC2"/>
            <w:tabs>
              <w:tab w:val="right" w:pos="9350"/>
            </w:tabs>
            <w:rPr>
              <w:noProof/>
            </w:rPr>
          </w:pPr>
          <w:hyperlink w:anchor="_Toc171616547" w:history="1">
            <w:r w:rsidR="00D057AD" w:rsidRPr="00EF60ED">
              <w:rPr>
                <w:rStyle w:val="Hyperlink"/>
                <w:noProof/>
              </w:rPr>
              <w:t>Comparison to significant competitor(s)</w:t>
            </w:r>
            <w:r w:rsidR="00D057AD">
              <w:rPr>
                <w:noProof/>
                <w:webHidden/>
              </w:rPr>
              <w:tab/>
            </w:r>
            <w:r w:rsidR="00D057AD">
              <w:rPr>
                <w:noProof/>
                <w:webHidden/>
              </w:rPr>
              <w:fldChar w:fldCharType="begin"/>
            </w:r>
            <w:r w:rsidR="00D057AD">
              <w:rPr>
                <w:noProof/>
                <w:webHidden/>
              </w:rPr>
              <w:instrText xml:space="preserve"> PAGEREF _Toc171616547 \h </w:instrText>
            </w:r>
            <w:r w:rsidR="00D057AD">
              <w:rPr>
                <w:noProof/>
                <w:webHidden/>
              </w:rPr>
            </w:r>
            <w:r w:rsidR="00D057AD">
              <w:rPr>
                <w:noProof/>
                <w:webHidden/>
              </w:rPr>
              <w:fldChar w:fldCharType="separate"/>
            </w:r>
            <w:r w:rsidR="00D057AD">
              <w:rPr>
                <w:noProof/>
                <w:webHidden/>
              </w:rPr>
              <w:t>12</w:t>
            </w:r>
            <w:r w:rsidR="00D057AD">
              <w:rPr>
                <w:noProof/>
                <w:webHidden/>
              </w:rPr>
              <w:fldChar w:fldCharType="end"/>
            </w:r>
          </w:hyperlink>
        </w:p>
        <w:p w14:paraId="67227B22" w14:textId="5635E308" w:rsidR="00D057AD" w:rsidRDefault="00000000">
          <w:pPr>
            <w:pStyle w:val="TOC2"/>
            <w:tabs>
              <w:tab w:val="right" w:pos="9350"/>
            </w:tabs>
            <w:rPr>
              <w:noProof/>
            </w:rPr>
          </w:pPr>
          <w:hyperlink w:anchor="_Toc171616548" w:history="1">
            <w:r w:rsidR="00D057AD" w:rsidRPr="00EF60ED">
              <w:rPr>
                <w:rStyle w:val="Hyperlink"/>
                <w:noProof/>
              </w:rPr>
              <w:t>Recommendations to improve financial management</w:t>
            </w:r>
            <w:r w:rsidR="00D057AD">
              <w:rPr>
                <w:noProof/>
                <w:webHidden/>
              </w:rPr>
              <w:tab/>
            </w:r>
            <w:r w:rsidR="00D057AD">
              <w:rPr>
                <w:noProof/>
                <w:webHidden/>
              </w:rPr>
              <w:fldChar w:fldCharType="begin"/>
            </w:r>
            <w:r w:rsidR="00D057AD">
              <w:rPr>
                <w:noProof/>
                <w:webHidden/>
              </w:rPr>
              <w:instrText xml:space="preserve"> PAGEREF _Toc171616548 \h </w:instrText>
            </w:r>
            <w:r w:rsidR="00D057AD">
              <w:rPr>
                <w:noProof/>
                <w:webHidden/>
              </w:rPr>
            </w:r>
            <w:r w:rsidR="00D057AD">
              <w:rPr>
                <w:noProof/>
                <w:webHidden/>
              </w:rPr>
              <w:fldChar w:fldCharType="separate"/>
            </w:r>
            <w:r w:rsidR="00D057AD">
              <w:rPr>
                <w:noProof/>
                <w:webHidden/>
              </w:rPr>
              <w:t>18</w:t>
            </w:r>
            <w:r w:rsidR="00D057AD">
              <w:rPr>
                <w:noProof/>
                <w:webHidden/>
              </w:rPr>
              <w:fldChar w:fldCharType="end"/>
            </w:r>
          </w:hyperlink>
        </w:p>
        <w:p w14:paraId="30DAA7C9" w14:textId="47F7D724" w:rsidR="00D057AD" w:rsidRDefault="00000000">
          <w:pPr>
            <w:pStyle w:val="TOC1"/>
            <w:tabs>
              <w:tab w:val="right" w:pos="9350"/>
            </w:tabs>
            <w:rPr>
              <w:noProof/>
            </w:rPr>
          </w:pPr>
          <w:hyperlink w:anchor="_Toc171616549" w:history="1">
            <w:r w:rsidR="00D057AD" w:rsidRPr="00EF60ED">
              <w:rPr>
                <w:rStyle w:val="Hyperlink"/>
                <w:noProof/>
              </w:rPr>
              <w:t>Part C). Investment appraisal</w:t>
            </w:r>
            <w:r w:rsidR="00D057AD">
              <w:rPr>
                <w:noProof/>
                <w:webHidden/>
              </w:rPr>
              <w:tab/>
            </w:r>
            <w:r w:rsidR="00D057AD">
              <w:rPr>
                <w:noProof/>
                <w:webHidden/>
              </w:rPr>
              <w:fldChar w:fldCharType="begin"/>
            </w:r>
            <w:r w:rsidR="00D057AD">
              <w:rPr>
                <w:noProof/>
                <w:webHidden/>
              </w:rPr>
              <w:instrText xml:space="preserve"> PAGEREF _Toc171616549 \h </w:instrText>
            </w:r>
            <w:r w:rsidR="00D057AD">
              <w:rPr>
                <w:noProof/>
                <w:webHidden/>
              </w:rPr>
            </w:r>
            <w:r w:rsidR="00D057AD">
              <w:rPr>
                <w:noProof/>
                <w:webHidden/>
              </w:rPr>
              <w:fldChar w:fldCharType="separate"/>
            </w:r>
            <w:r w:rsidR="00D057AD">
              <w:rPr>
                <w:noProof/>
                <w:webHidden/>
              </w:rPr>
              <w:t>20</w:t>
            </w:r>
            <w:r w:rsidR="00D057AD">
              <w:rPr>
                <w:noProof/>
                <w:webHidden/>
              </w:rPr>
              <w:fldChar w:fldCharType="end"/>
            </w:r>
          </w:hyperlink>
        </w:p>
        <w:p w14:paraId="4F639B17" w14:textId="2D1107FA" w:rsidR="00D057AD" w:rsidRDefault="00000000">
          <w:pPr>
            <w:pStyle w:val="TOC2"/>
            <w:tabs>
              <w:tab w:val="right" w:pos="9350"/>
            </w:tabs>
            <w:rPr>
              <w:noProof/>
            </w:rPr>
          </w:pPr>
          <w:hyperlink w:anchor="_Toc171616550" w:history="1">
            <w:r w:rsidR="00D057AD" w:rsidRPr="00EF60ED">
              <w:rPr>
                <w:rStyle w:val="Hyperlink"/>
                <w:noProof/>
              </w:rPr>
              <w:t>Project A</w:t>
            </w:r>
            <w:r w:rsidR="00D057AD">
              <w:rPr>
                <w:noProof/>
                <w:webHidden/>
              </w:rPr>
              <w:tab/>
            </w:r>
            <w:r w:rsidR="00D057AD">
              <w:rPr>
                <w:noProof/>
                <w:webHidden/>
              </w:rPr>
              <w:fldChar w:fldCharType="begin"/>
            </w:r>
            <w:r w:rsidR="00D057AD">
              <w:rPr>
                <w:noProof/>
                <w:webHidden/>
              </w:rPr>
              <w:instrText xml:space="preserve"> PAGEREF _Toc171616550 \h </w:instrText>
            </w:r>
            <w:r w:rsidR="00D057AD">
              <w:rPr>
                <w:noProof/>
                <w:webHidden/>
              </w:rPr>
            </w:r>
            <w:r w:rsidR="00D057AD">
              <w:rPr>
                <w:noProof/>
                <w:webHidden/>
              </w:rPr>
              <w:fldChar w:fldCharType="separate"/>
            </w:r>
            <w:r w:rsidR="00D057AD">
              <w:rPr>
                <w:noProof/>
                <w:webHidden/>
              </w:rPr>
              <w:t>20</w:t>
            </w:r>
            <w:r w:rsidR="00D057AD">
              <w:rPr>
                <w:noProof/>
                <w:webHidden/>
              </w:rPr>
              <w:fldChar w:fldCharType="end"/>
            </w:r>
          </w:hyperlink>
        </w:p>
        <w:p w14:paraId="3B41AFBA" w14:textId="549DAE35" w:rsidR="00D057AD" w:rsidRDefault="00000000">
          <w:pPr>
            <w:pStyle w:val="TOC3"/>
            <w:tabs>
              <w:tab w:val="right" w:pos="9350"/>
            </w:tabs>
            <w:rPr>
              <w:noProof/>
            </w:rPr>
          </w:pPr>
          <w:hyperlink w:anchor="_Toc171616551" w:history="1">
            <w:r w:rsidR="00D057AD" w:rsidRPr="00EF60ED">
              <w:rPr>
                <w:rStyle w:val="Hyperlink"/>
                <w:noProof/>
              </w:rPr>
              <w:t>Payback period (PBP)</w:t>
            </w:r>
            <w:r w:rsidR="00D057AD">
              <w:rPr>
                <w:noProof/>
                <w:webHidden/>
              </w:rPr>
              <w:tab/>
            </w:r>
            <w:r w:rsidR="00D057AD">
              <w:rPr>
                <w:noProof/>
                <w:webHidden/>
              </w:rPr>
              <w:fldChar w:fldCharType="begin"/>
            </w:r>
            <w:r w:rsidR="00D057AD">
              <w:rPr>
                <w:noProof/>
                <w:webHidden/>
              </w:rPr>
              <w:instrText xml:space="preserve"> PAGEREF _Toc171616551 \h </w:instrText>
            </w:r>
            <w:r w:rsidR="00D057AD">
              <w:rPr>
                <w:noProof/>
                <w:webHidden/>
              </w:rPr>
            </w:r>
            <w:r w:rsidR="00D057AD">
              <w:rPr>
                <w:noProof/>
                <w:webHidden/>
              </w:rPr>
              <w:fldChar w:fldCharType="separate"/>
            </w:r>
            <w:r w:rsidR="00D057AD">
              <w:rPr>
                <w:noProof/>
                <w:webHidden/>
              </w:rPr>
              <w:t>20</w:t>
            </w:r>
            <w:r w:rsidR="00D057AD">
              <w:rPr>
                <w:noProof/>
                <w:webHidden/>
              </w:rPr>
              <w:fldChar w:fldCharType="end"/>
            </w:r>
          </w:hyperlink>
        </w:p>
        <w:p w14:paraId="61FF3B66" w14:textId="3F4B748C" w:rsidR="00D057AD" w:rsidRDefault="00000000">
          <w:pPr>
            <w:pStyle w:val="TOC3"/>
            <w:tabs>
              <w:tab w:val="right" w:pos="9350"/>
            </w:tabs>
            <w:rPr>
              <w:noProof/>
            </w:rPr>
          </w:pPr>
          <w:hyperlink w:anchor="_Toc171616552" w:history="1">
            <w:r w:rsidR="00D057AD" w:rsidRPr="00EF60ED">
              <w:rPr>
                <w:rStyle w:val="Hyperlink"/>
                <w:noProof/>
              </w:rPr>
              <w:t>Accounting Rate of Return (ARR)</w:t>
            </w:r>
            <w:r w:rsidR="00D057AD">
              <w:rPr>
                <w:noProof/>
                <w:webHidden/>
              </w:rPr>
              <w:tab/>
            </w:r>
            <w:r w:rsidR="00D057AD">
              <w:rPr>
                <w:noProof/>
                <w:webHidden/>
              </w:rPr>
              <w:fldChar w:fldCharType="begin"/>
            </w:r>
            <w:r w:rsidR="00D057AD">
              <w:rPr>
                <w:noProof/>
                <w:webHidden/>
              </w:rPr>
              <w:instrText xml:space="preserve"> PAGEREF _Toc171616552 \h </w:instrText>
            </w:r>
            <w:r w:rsidR="00D057AD">
              <w:rPr>
                <w:noProof/>
                <w:webHidden/>
              </w:rPr>
            </w:r>
            <w:r w:rsidR="00D057AD">
              <w:rPr>
                <w:noProof/>
                <w:webHidden/>
              </w:rPr>
              <w:fldChar w:fldCharType="separate"/>
            </w:r>
            <w:r w:rsidR="00D057AD">
              <w:rPr>
                <w:noProof/>
                <w:webHidden/>
              </w:rPr>
              <w:t>20</w:t>
            </w:r>
            <w:r w:rsidR="00D057AD">
              <w:rPr>
                <w:noProof/>
                <w:webHidden/>
              </w:rPr>
              <w:fldChar w:fldCharType="end"/>
            </w:r>
          </w:hyperlink>
        </w:p>
        <w:p w14:paraId="1796A72D" w14:textId="02B5EC86" w:rsidR="00D057AD" w:rsidRDefault="00000000">
          <w:pPr>
            <w:pStyle w:val="TOC3"/>
            <w:tabs>
              <w:tab w:val="right" w:pos="9350"/>
            </w:tabs>
            <w:rPr>
              <w:noProof/>
            </w:rPr>
          </w:pPr>
          <w:hyperlink w:anchor="_Toc171616553" w:history="1">
            <w:r w:rsidR="00D057AD" w:rsidRPr="00EF60ED">
              <w:rPr>
                <w:rStyle w:val="Hyperlink"/>
                <w:noProof/>
              </w:rPr>
              <w:t>Net Present Value</w:t>
            </w:r>
            <w:r w:rsidR="00D057AD">
              <w:rPr>
                <w:noProof/>
                <w:webHidden/>
              </w:rPr>
              <w:tab/>
            </w:r>
            <w:r w:rsidR="00D057AD">
              <w:rPr>
                <w:noProof/>
                <w:webHidden/>
              </w:rPr>
              <w:fldChar w:fldCharType="begin"/>
            </w:r>
            <w:r w:rsidR="00D057AD">
              <w:rPr>
                <w:noProof/>
                <w:webHidden/>
              </w:rPr>
              <w:instrText xml:space="preserve"> PAGEREF _Toc171616553 \h </w:instrText>
            </w:r>
            <w:r w:rsidR="00D057AD">
              <w:rPr>
                <w:noProof/>
                <w:webHidden/>
              </w:rPr>
            </w:r>
            <w:r w:rsidR="00D057AD">
              <w:rPr>
                <w:noProof/>
                <w:webHidden/>
              </w:rPr>
              <w:fldChar w:fldCharType="separate"/>
            </w:r>
            <w:r w:rsidR="00D057AD">
              <w:rPr>
                <w:noProof/>
                <w:webHidden/>
              </w:rPr>
              <w:t>21</w:t>
            </w:r>
            <w:r w:rsidR="00D057AD">
              <w:rPr>
                <w:noProof/>
                <w:webHidden/>
              </w:rPr>
              <w:fldChar w:fldCharType="end"/>
            </w:r>
          </w:hyperlink>
        </w:p>
        <w:p w14:paraId="09982B23" w14:textId="4790A4AC" w:rsidR="00D057AD" w:rsidRDefault="00000000">
          <w:pPr>
            <w:pStyle w:val="TOC2"/>
            <w:tabs>
              <w:tab w:val="right" w:pos="9350"/>
            </w:tabs>
            <w:rPr>
              <w:noProof/>
            </w:rPr>
          </w:pPr>
          <w:hyperlink w:anchor="_Toc171616554" w:history="1">
            <w:r w:rsidR="00D057AD" w:rsidRPr="00EF60ED">
              <w:rPr>
                <w:rStyle w:val="Hyperlink"/>
                <w:noProof/>
              </w:rPr>
              <w:t>Project B</w:t>
            </w:r>
            <w:r w:rsidR="00D057AD">
              <w:rPr>
                <w:noProof/>
                <w:webHidden/>
              </w:rPr>
              <w:tab/>
            </w:r>
            <w:r w:rsidR="00D057AD">
              <w:rPr>
                <w:noProof/>
                <w:webHidden/>
              </w:rPr>
              <w:fldChar w:fldCharType="begin"/>
            </w:r>
            <w:r w:rsidR="00D057AD">
              <w:rPr>
                <w:noProof/>
                <w:webHidden/>
              </w:rPr>
              <w:instrText xml:space="preserve"> PAGEREF _Toc171616554 \h </w:instrText>
            </w:r>
            <w:r w:rsidR="00D057AD">
              <w:rPr>
                <w:noProof/>
                <w:webHidden/>
              </w:rPr>
            </w:r>
            <w:r w:rsidR="00D057AD">
              <w:rPr>
                <w:noProof/>
                <w:webHidden/>
              </w:rPr>
              <w:fldChar w:fldCharType="separate"/>
            </w:r>
            <w:r w:rsidR="00D057AD">
              <w:rPr>
                <w:noProof/>
                <w:webHidden/>
              </w:rPr>
              <w:t>21</w:t>
            </w:r>
            <w:r w:rsidR="00D057AD">
              <w:rPr>
                <w:noProof/>
                <w:webHidden/>
              </w:rPr>
              <w:fldChar w:fldCharType="end"/>
            </w:r>
          </w:hyperlink>
        </w:p>
        <w:p w14:paraId="2DBBA3A0" w14:textId="1A13BD77" w:rsidR="00D057AD" w:rsidRDefault="00000000">
          <w:pPr>
            <w:pStyle w:val="TOC3"/>
            <w:tabs>
              <w:tab w:val="right" w:pos="9350"/>
            </w:tabs>
            <w:rPr>
              <w:noProof/>
            </w:rPr>
          </w:pPr>
          <w:hyperlink w:anchor="_Toc171616555" w:history="1">
            <w:r w:rsidR="00D057AD" w:rsidRPr="00EF60ED">
              <w:rPr>
                <w:rStyle w:val="Hyperlink"/>
                <w:noProof/>
              </w:rPr>
              <w:t>Payback period (PBP)</w:t>
            </w:r>
            <w:r w:rsidR="00D057AD">
              <w:rPr>
                <w:noProof/>
                <w:webHidden/>
              </w:rPr>
              <w:tab/>
            </w:r>
            <w:r w:rsidR="00D057AD">
              <w:rPr>
                <w:noProof/>
                <w:webHidden/>
              </w:rPr>
              <w:fldChar w:fldCharType="begin"/>
            </w:r>
            <w:r w:rsidR="00D057AD">
              <w:rPr>
                <w:noProof/>
                <w:webHidden/>
              </w:rPr>
              <w:instrText xml:space="preserve"> PAGEREF _Toc171616555 \h </w:instrText>
            </w:r>
            <w:r w:rsidR="00D057AD">
              <w:rPr>
                <w:noProof/>
                <w:webHidden/>
              </w:rPr>
            </w:r>
            <w:r w:rsidR="00D057AD">
              <w:rPr>
                <w:noProof/>
                <w:webHidden/>
              </w:rPr>
              <w:fldChar w:fldCharType="separate"/>
            </w:r>
            <w:r w:rsidR="00D057AD">
              <w:rPr>
                <w:noProof/>
                <w:webHidden/>
              </w:rPr>
              <w:t>21</w:t>
            </w:r>
            <w:r w:rsidR="00D057AD">
              <w:rPr>
                <w:noProof/>
                <w:webHidden/>
              </w:rPr>
              <w:fldChar w:fldCharType="end"/>
            </w:r>
          </w:hyperlink>
        </w:p>
        <w:p w14:paraId="1280F6A9" w14:textId="36FCFE67" w:rsidR="00D057AD" w:rsidRDefault="00000000">
          <w:pPr>
            <w:pStyle w:val="TOC3"/>
            <w:tabs>
              <w:tab w:val="right" w:pos="9350"/>
            </w:tabs>
            <w:rPr>
              <w:noProof/>
            </w:rPr>
          </w:pPr>
          <w:hyperlink w:anchor="_Toc171616556" w:history="1">
            <w:r w:rsidR="00D057AD" w:rsidRPr="00EF60ED">
              <w:rPr>
                <w:rStyle w:val="Hyperlink"/>
                <w:noProof/>
              </w:rPr>
              <w:t>Accounting Rate of Return (ARR)</w:t>
            </w:r>
            <w:r w:rsidR="00D057AD">
              <w:rPr>
                <w:noProof/>
                <w:webHidden/>
              </w:rPr>
              <w:tab/>
            </w:r>
            <w:r w:rsidR="00D057AD">
              <w:rPr>
                <w:noProof/>
                <w:webHidden/>
              </w:rPr>
              <w:fldChar w:fldCharType="begin"/>
            </w:r>
            <w:r w:rsidR="00D057AD">
              <w:rPr>
                <w:noProof/>
                <w:webHidden/>
              </w:rPr>
              <w:instrText xml:space="preserve"> PAGEREF _Toc171616556 \h </w:instrText>
            </w:r>
            <w:r w:rsidR="00D057AD">
              <w:rPr>
                <w:noProof/>
                <w:webHidden/>
              </w:rPr>
            </w:r>
            <w:r w:rsidR="00D057AD">
              <w:rPr>
                <w:noProof/>
                <w:webHidden/>
              </w:rPr>
              <w:fldChar w:fldCharType="separate"/>
            </w:r>
            <w:r w:rsidR="00D057AD">
              <w:rPr>
                <w:noProof/>
                <w:webHidden/>
              </w:rPr>
              <w:t>22</w:t>
            </w:r>
            <w:r w:rsidR="00D057AD">
              <w:rPr>
                <w:noProof/>
                <w:webHidden/>
              </w:rPr>
              <w:fldChar w:fldCharType="end"/>
            </w:r>
          </w:hyperlink>
        </w:p>
        <w:p w14:paraId="78837A72" w14:textId="4BAEF9F7" w:rsidR="00D057AD" w:rsidRDefault="00000000">
          <w:pPr>
            <w:pStyle w:val="TOC3"/>
            <w:tabs>
              <w:tab w:val="right" w:pos="9350"/>
            </w:tabs>
            <w:rPr>
              <w:noProof/>
            </w:rPr>
          </w:pPr>
          <w:hyperlink w:anchor="_Toc171616557" w:history="1">
            <w:r w:rsidR="00D057AD" w:rsidRPr="00EF60ED">
              <w:rPr>
                <w:rStyle w:val="Hyperlink"/>
                <w:noProof/>
              </w:rPr>
              <w:t>Net Present Value</w:t>
            </w:r>
            <w:r w:rsidR="00D057AD">
              <w:rPr>
                <w:noProof/>
                <w:webHidden/>
              </w:rPr>
              <w:tab/>
            </w:r>
            <w:r w:rsidR="00D057AD">
              <w:rPr>
                <w:noProof/>
                <w:webHidden/>
              </w:rPr>
              <w:fldChar w:fldCharType="begin"/>
            </w:r>
            <w:r w:rsidR="00D057AD">
              <w:rPr>
                <w:noProof/>
                <w:webHidden/>
              </w:rPr>
              <w:instrText xml:space="preserve"> PAGEREF _Toc171616557 \h </w:instrText>
            </w:r>
            <w:r w:rsidR="00D057AD">
              <w:rPr>
                <w:noProof/>
                <w:webHidden/>
              </w:rPr>
            </w:r>
            <w:r w:rsidR="00D057AD">
              <w:rPr>
                <w:noProof/>
                <w:webHidden/>
              </w:rPr>
              <w:fldChar w:fldCharType="separate"/>
            </w:r>
            <w:r w:rsidR="00D057AD">
              <w:rPr>
                <w:noProof/>
                <w:webHidden/>
              </w:rPr>
              <w:t>22</w:t>
            </w:r>
            <w:r w:rsidR="00D057AD">
              <w:rPr>
                <w:noProof/>
                <w:webHidden/>
              </w:rPr>
              <w:fldChar w:fldCharType="end"/>
            </w:r>
          </w:hyperlink>
        </w:p>
        <w:p w14:paraId="66FD6B70" w14:textId="0BAE597B" w:rsidR="00D057AD" w:rsidRDefault="00000000">
          <w:pPr>
            <w:pStyle w:val="TOC2"/>
            <w:tabs>
              <w:tab w:val="right" w:pos="9350"/>
            </w:tabs>
            <w:rPr>
              <w:noProof/>
            </w:rPr>
          </w:pPr>
          <w:hyperlink w:anchor="_Toc171616558" w:history="1">
            <w:r w:rsidR="00D057AD" w:rsidRPr="00EF60ED">
              <w:rPr>
                <w:rStyle w:val="Hyperlink"/>
                <w:noProof/>
              </w:rPr>
              <w:t>Selection with appropriate reasons</w:t>
            </w:r>
            <w:r w:rsidR="00D057AD">
              <w:rPr>
                <w:noProof/>
                <w:webHidden/>
              </w:rPr>
              <w:tab/>
            </w:r>
            <w:r w:rsidR="00D057AD">
              <w:rPr>
                <w:noProof/>
                <w:webHidden/>
              </w:rPr>
              <w:fldChar w:fldCharType="begin"/>
            </w:r>
            <w:r w:rsidR="00D057AD">
              <w:rPr>
                <w:noProof/>
                <w:webHidden/>
              </w:rPr>
              <w:instrText xml:space="preserve"> PAGEREF _Toc171616558 \h </w:instrText>
            </w:r>
            <w:r w:rsidR="00D057AD">
              <w:rPr>
                <w:noProof/>
                <w:webHidden/>
              </w:rPr>
            </w:r>
            <w:r w:rsidR="00D057AD">
              <w:rPr>
                <w:noProof/>
                <w:webHidden/>
              </w:rPr>
              <w:fldChar w:fldCharType="separate"/>
            </w:r>
            <w:r w:rsidR="00D057AD">
              <w:rPr>
                <w:noProof/>
                <w:webHidden/>
              </w:rPr>
              <w:t>22</w:t>
            </w:r>
            <w:r w:rsidR="00D057AD">
              <w:rPr>
                <w:noProof/>
                <w:webHidden/>
              </w:rPr>
              <w:fldChar w:fldCharType="end"/>
            </w:r>
          </w:hyperlink>
        </w:p>
        <w:p w14:paraId="230F83A0" w14:textId="39EDED71" w:rsidR="00D057AD" w:rsidRDefault="00000000">
          <w:pPr>
            <w:pStyle w:val="TOC2"/>
            <w:tabs>
              <w:tab w:val="right" w:pos="9350"/>
            </w:tabs>
            <w:rPr>
              <w:noProof/>
            </w:rPr>
          </w:pPr>
          <w:hyperlink w:anchor="_Toc171616559" w:history="1">
            <w:r w:rsidR="00D057AD" w:rsidRPr="00EF60ED">
              <w:rPr>
                <w:rStyle w:val="Hyperlink"/>
                <w:noProof/>
              </w:rPr>
              <w:t>Critical discussion on the advantages and shortcomings of the PBP, ARR and NPV techniques</w:t>
            </w:r>
            <w:r w:rsidR="00D057AD">
              <w:rPr>
                <w:noProof/>
                <w:webHidden/>
              </w:rPr>
              <w:tab/>
            </w:r>
            <w:r w:rsidR="00D057AD">
              <w:rPr>
                <w:noProof/>
                <w:webHidden/>
              </w:rPr>
              <w:fldChar w:fldCharType="begin"/>
            </w:r>
            <w:r w:rsidR="00D057AD">
              <w:rPr>
                <w:noProof/>
                <w:webHidden/>
              </w:rPr>
              <w:instrText xml:space="preserve"> PAGEREF _Toc171616559 \h </w:instrText>
            </w:r>
            <w:r w:rsidR="00D057AD">
              <w:rPr>
                <w:noProof/>
                <w:webHidden/>
              </w:rPr>
            </w:r>
            <w:r w:rsidR="00D057AD">
              <w:rPr>
                <w:noProof/>
                <w:webHidden/>
              </w:rPr>
              <w:fldChar w:fldCharType="separate"/>
            </w:r>
            <w:r w:rsidR="00D057AD">
              <w:rPr>
                <w:noProof/>
                <w:webHidden/>
              </w:rPr>
              <w:t>23</w:t>
            </w:r>
            <w:r w:rsidR="00D057AD">
              <w:rPr>
                <w:noProof/>
                <w:webHidden/>
              </w:rPr>
              <w:fldChar w:fldCharType="end"/>
            </w:r>
          </w:hyperlink>
        </w:p>
        <w:p w14:paraId="25396618" w14:textId="10F245ED" w:rsidR="00D057AD" w:rsidRDefault="00000000">
          <w:pPr>
            <w:pStyle w:val="TOC3"/>
            <w:tabs>
              <w:tab w:val="right" w:pos="9350"/>
            </w:tabs>
            <w:rPr>
              <w:noProof/>
            </w:rPr>
          </w:pPr>
          <w:hyperlink w:anchor="_Toc171616560" w:history="1">
            <w:r w:rsidR="00D057AD" w:rsidRPr="00EF60ED">
              <w:rPr>
                <w:rStyle w:val="Hyperlink"/>
                <w:noProof/>
              </w:rPr>
              <w:t>Payback Period (PBP)</w:t>
            </w:r>
            <w:r w:rsidR="00D057AD">
              <w:rPr>
                <w:noProof/>
                <w:webHidden/>
              </w:rPr>
              <w:tab/>
            </w:r>
            <w:r w:rsidR="00D057AD">
              <w:rPr>
                <w:noProof/>
                <w:webHidden/>
              </w:rPr>
              <w:fldChar w:fldCharType="begin"/>
            </w:r>
            <w:r w:rsidR="00D057AD">
              <w:rPr>
                <w:noProof/>
                <w:webHidden/>
              </w:rPr>
              <w:instrText xml:space="preserve"> PAGEREF _Toc171616560 \h </w:instrText>
            </w:r>
            <w:r w:rsidR="00D057AD">
              <w:rPr>
                <w:noProof/>
                <w:webHidden/>
              </w:rPr>
            </w:r>
            <w:r w:rsidR="00D057AD">
              <w:rPr>
                <w:noProof/>
                <w:webHidden/>
              </w:rPr>
              <w:fldChar w:fldCharType="separate"/>
            </w:r>
            <w:r w:rsidR="00D057AD">
              <w:rPr>
                <w:noProof/>
                <w:webHidden/>
              </w:rPr>
              <w:t>23</w:t>
            </w:r>
            <w:r w:rsidR="00D057AD">
              <w:rPr>
                <w:noProof/>
                <w:webHidden/>
              </w:rPr>
              <w:fldChar w:fldCharType="end"/>
            </w:r>
          </w:hyperlink>
        </w:p>
        <w:p w14:paraId="260E7FCF" w14:textId="7F6E7B9D" w:rsidR="00D057AD" w:rsidRDefault="00000000">
          <w:pPr>
            <w:pStyle w:val="TOC3"/>
            <w:tabs>
              <w:tab w:val="right" w:pos="9350"/>
            </w:tabs>
            <w:rPr>
              <w:noProof/>
            </w:rPr>
          </w:pPr>
          <w:hyperlink w:anchor="_Toc171616561" w:history="1">
            <w:r w:rsidR="00D057AD" w:rsidRPr="00EF60ED">
              <w:rPr>
                <w:rStyle w:val="Hyperlink"/>
                <w:noProof/>
              </w:rPr>
              <w:t>Accounting Rate of Return (ARR)</w:t>
            </w:r>
            <w:r w:rsidR="00D057AD">
              <w:rPr>
                <w:noProof/>
                <w:webHidden/>
              </w:rPr>
              <w:tab/>
            </w:r>
            <w:r w:rsidR="00D057AD">
              <w:rPr>
                <w:noProof/>
                <w:webHidden/>
              </w:rPr>
              <w:fldChar w:fldCharType="begin"/>
            </w:r>
            <w:r w:rsidR="00D057AD">
              <w:rPr>
                <w:noProof/>
                <w:webHidden/>
              </w:rPr>
              <w:instrText xml:space="preserve"> PAGEREF _Toc171616561 \h </w:instrText>
            </w:r>
            <w:r w:rsidR="00D057AD">
              <w:rPr>
                <w:noProof/>
                <w:webHidden/>
              </w:rPr>
            </w:r>
            <w:r w:rsidR="00D057AD">
              <w:rPr>
                <w:noProof/>
                <w:webHidden/>
              </w:rPr>
              <w:fldChar w:fldCharType="separate"/>
            </w:r>
            <w:r w:rsidR="00D057AD">
              <w:rPr>
                <w:noProof/>
                <w:webHidden/>
              </w:rPr>
              <w:t>23</w:t>
            </w:r>
            <w:r w:rsidR="00D057AD">
              <w:rPr>
                <w:noProof/>
                <w:webHidden/>
              </w:rPr>
              <w:fldChar w:fldCharType="end"/>
            </w:r>
          </w:hyperlink>
        </w:p>
        <w:p w14:paraId="154A00EB" w14:textId="37AE812A" w:rsidR="00D057AD" w:rsidRDefault="00000000">
          <w:pPr>
            <w:pStyle w:val="TOC3"/>
            <w:tabs>
              <w:tab w:val="right" w:pos="9350"/>
            </w:tabs>
            <w:rPr>
              <w:noProof/>
            </w:rPr>
          </w:pPr>
          <w:hyperlink w:anchor="_Toc171616562" w:history="1">
            <w:r w:rsidR="00D057AD" w:rsidRPr="00EF60ED">
              <w:rPr>
                <w:rStyle w:val="Hyperlink"/>
                <w:noProof/>
              </w:rPr>
              <w:t>Net Present Value (NPV)</w:t>
            </w:r>
            <w:r w:rsidR="00D057AD">
              <w:rPr>
                <w:noProof/>
                <w:webHidden/>
              </w:rPr>
              <w:tab/>
            </w:r>
            <w:r w:rsidR="00D057AD">
              <w:rPr>
                <w:noProof/>
                <w:webHidden/>
              </w:rPr>
              <w:fldChar w:fldCharType="begin"/>
            </w:r>
            <w:r w:rsidR="00D057AD">
              <w:rPr>
                <w:noProof/>
                <w:webHidden/>
              </w:rPr>
              <w:instrText xml:space="preserve"> PAGEREF _Toc171616562 \h </w:instrText>
            </w:r>
            <w:r w:rsidR="00D057AD">
              <w:rPr>
                <w:noProof/>
                <w:webHidden/>
              </w:rPr>
            </w:r>
            <w:r w:rsidR="00D057AD">
              <w:rPr>
                <w:noProof/>
                <w:webHidden/>
              </w:rPr>
              <w:fldChar w:fldCharType="separate"/>
            </w:r>
            <w:r w:rsidR="00D057AD">
              <w:rPr>
                <w:noProof/>
                <w:webHidden/>
              </w:rPr>
              <w:t>24</w:t>
            </w:r>
            <w:r w:rsidR="00D057AD">
              <w:rPr>
                <w:noProof/>
                <w:webHidden/>
              </w:rPr>
              <w:fldChar w:fldCharType="end"/>
            </w:r>
          </w:hyperlink>
        </w:p>
        <w:p w14:paraId="5311ED3E" w14:textId="76E044F6" w:rsidR="00D057AD" w:rsidRDefault="00000000">
          <w:pPr>
            <w:pStyle w:val="TOC3"/>
            <w:tabs>
              <w:tab w:val="right" w:pos="9350"/>
            </w:tabs>
            <w:rPr>
              <w:noProof/>
            </w:rPr>
          </w:pPr>
          <w:hyperlink w:anchor="_Toc171616563" w:history="1">
            <w:r w:rsidR="00D057AD" w:rsidRPr="00EF60ED">
              <w:rPr>
                <w:rStyle w:val="Hyperlink"/>
                <w:noProof/>
              </w:rPr>
              <w:t>Consideration of Non-Financial Factors</w:t>
            </w:r>
            <w:r w:rsidR="00D057AD">
              <w:rPr>
                <w:noProof/>
                <w:webHidden/>
              </w:rPr>
              <w:tab/>
            </w:r>
            <w:r w:rsidR="00D057AD">
              <w:rPr>
                <w:noProof/>
                <w:webHidden/>
              </w:rPr>
              <w:fldChar w:fldCharType="begin"/>
            </w:r>
            <w:r w:rsidR="00D057AD">
              <w:rPr>
                <w:noProof/>
                <w:webHidden/>
              </w:rPr>
              <w:instrText xml:space="preserve"> PAGEREF _Toc171616563 \h </w:instrText>
            </w:r>
            <w:r w:rsidR="00D057AD">
              <w:rPr>
                <w:noProof/>
                <w:webHidden/>
              </w:rPr>
            </w:r>
            <w:r w:rsidR="00D057AD">
              <w:rPr>
                <w:noProof/>
                <w:webHidden/>
              </w:rPr>
              <w:fldChar w:fldCharType="separate"/>
            </w:r>
            <w:r w:rsidR="00D057AD">
              <w:rPr>
                <w:noProof/>
                <w:webHidden/>
              </w:rPr>
              <w:t>24</w:t>
            </w:r>
            <w:r w:rsidR="00D057AD">
              <w:rPr>
                <w:noProof/>
                <w:webHidden/>
              </w:rPr>
              <w:fldChar w:fldCharType="end"/>
            </w:r>
          </w:hyperlink>
        </w:p>
        <w:p w14:paraId="71C7545D" w14:textId="368AFEB3" w:rsidR="00D057AD" w:rsidRDefault="00000000">
          <w:pPr>
            <w:pStyle w:val="TOC1"/>
            <w:tabs>
              <w:tab w:val="right" w:pos="9350"/>
            </w:tabs>
            <w:rPr>
              <w:noProof/>
            </w:rPr>
          </w:pPr>
          <w:hyperlink w:anchor="_Toc171616564" w:history="1">
            <w:r w:rsidR="00D057AD" w:rsidRPr="00EF60ED">
              <w:rPr>
                <w:rStyle w:val="Hyperlink"/>
                <w:noProof/>
              </w:rPr>
              <w:t>Conclusion</w:t>
            </w:r>
            <w:r w:rsidR="00D057AD">
              <w:rPr>
                <w:noProof/>
                <w:webHidden/>
              </w:rPr>
              <w:tab/>
            </w:r>
            <w:r w:rsidR="00D057AD">
              <w:rPr>
                <w:noProof/>
                <w:webHidden/>
              </w:rPr>
              <w:fldChar w:fldCharType="begin"/>
            </w:r>
            <w:r w:rsidR="00D057AD">
              <w:rPr>
                <w:noProof/>
                <w:webHidden/>
              </w:rPr>
              <w:instrText xml:space="preserve"> PAGEREF _Toc171616564 \h </w:instrText>
            </w:r>
            <w:r w:rsidR="00D057AD">
              <w:rPr>
                <w:noProof/>
                <w:webHidden/>
              </w:rPr>
            </w:r>
            <w:r w:rsidR="00D057AD">
              <w:rPr>
                <w:noProof/>
                <w:webHidden/>
              </w:rPr>
              <w:fldChar w:fldCharType="separate"/>
            </w:r>
            <w:r w:rsidR="00D057AD">
              <w:rPr>
                <w:noProof/>
                <w:webHidden/>
              </w:rPr>
              <w:t>24</w:t>
            </w:r>
            <w:r w:rsidR="00D057AD">
              <w:rPr>
                <w:noProof/>
                <w:webHidden/>
              </w:rPr>
              <w:fldChar w:fldCharType="end"/>
            </w:r>
          </w:hyperlink>
        </w:p>
        <w:p w14:paraId="06FC62C2" w14:textId="674BDB3B" w:rsidR="00D057AD" w:rsidRDefault="00000000">
          <w:pPr>
            <w:pStyle w:val="TOC1"/>
            <w:tabs>
              <w:tab w:val="right" w:pos="9350"/>
            </w:tabs>
            <w:rPr>
              <w:noProof/>
            </w:rPr>
          </w:pPr>
          <w:hyperlink w:anchor="_Toc171616565" w:history="1">
            <w:r w:rsidR="00D057AD" w:rsidRPr="00EF60ED">
              <w:rPr>
                <w:rStyle w:val="Hyperlink"/>
                <w:noProof/>
              </w:rPr>
              <w:t>Reference list</w:t>
            </w:r>
            <w:r w:rsidR="00D057AD">
              <w:rPr>
                <w:noProof/>
                <w:webHidden/>
              </w:rPr>
              <w:tab/>
            </w:r>
            <w:r w:rsidR="00D057AD">
              <w:rPr>
                <w:noProof/>
                <w:webHidden/>
              </w:rPr>
              <w:fldChar w:fldCharType="begin"/>
            </w:r>
            <w:r w:rsidR="00D057AD">
              <w:rPr>
                <w:noProof/>
                <w:webHidden/>
              </w:rPr>
              <w:instrText xml:space="preserve"> PAGEREF _Toc171616565 \h </w:instrText>
            </w:r>
            <w:r w:rsidR="00D057AD">
              <w:rPr>
                <w:noProof/>
                <w:webHidden/>
              </w:rPr>
            </w:r>
            <w:r w:rsidR="00D057AD">
              <w:rPr>
                <w:noProof/>
                <w:webHidden/>
              </w:rPr>
              <w:fldChar w:fldCharType="separate"/>
            </w:r>
            <w:r w:rsidR="00D057AD">
              <w:rPr>
                <w:noProof/>
                <w:webHidden/>
              </w:rPr>
              <w:t>26</w:t>
            </w:r>
            <w:r w:rsidR="00D057AD">
              <w:rPr>
                <w:noProof/>
                <w:webHidden/>
              </w:rPr>
              <w:fldChar w:fldCharType="end"/>
            </w:r>
          </w:hyperlink>
        </w:p>
        <w:p w14:paraId="1B656068" w14:textId="21F24C66" w:rsidR="00D057AD" w:rsidRDefault="00000000">
          <w:pPr>
            <w:pStyle w:val="TOC1"/>
            <w:tabs>
              <w:tab w:val="right" w:pos="9350"/>
            </w:tabs>
            <w:rPr>
              <w:noProof/>
            </w:rPr>
          </w:pPr>
          <w:hyperlink w:anchor="_Toc171616566" w:history="1">
            <w:r w:rsidR="00D057AD" w:rsidRPr="00EF60ED">
              <w:rPr>
                <w:rStyle w:val="Hyperlink"/>
                <w:noProof/>
              </w:rPr>
              <w:t>Appendix</w:t>
            </w:r>
            <w:r w:rsidR="00D057AD">
              <w:rPr>
                <w:noProof/>
                <w:webHidden/>
              </w:rPr>
              <w:tab/>
            </w:r>
            <w:r w:rsidR="00D057AD">
              <w:rPr>
                <w:noProof/>
                <w:webHidden/>
              </w:rPr>
              <w:fldChar w:fldCharType="begin"/>
            </w:r>
            <w:r w:rsidR="00D057AD">
              <w:rPr>
                <w:noProof/>
                <w:webHidden/>
              </w:rPr>
              <w:instrText xml:space="preserve"> PAGEREF _Toc171616566 \h </w:instrText>
            </w:r>
            <w:r w:rsidR="00D057AD">
              <w:rPr>
                <w:noProof/>
                <w:webHidden/>
              </w:rPr>
            </w:r>
            <w:r w:rsidR="00D057AD">
              <w:rPr>
                <w:noProof/>
                <w:webHidden/>
              </w:rPr>
              <w:fldChar w:fldCharType="separate"/>
            </w:r>
            <w:r w:rsidR="00D057AD">
              <w:rPr>
                <w:noProof/>
                <w:webHidden/>
              </w:rPr>
              <w:t>31</w:t>
            </w:r>
            <w:r w:rsidR="00D057AD">
              <w:rPr>
                <w:noProof/>
                <w:webHidden/>
              </w:rPr>
              <w:fldChar w:fldCharType="end"/>
            </w:r>
          </w:hyperlink>
        </w:p>
        <w:p w14:paraId="1B30248A" w14:textId="2C9B07DF" w:rsidR="00D057AD" w:rsidRDefault="00000000">
          <w:pPr>
            <w:pStyle w:val="TOC2"/>
            <w:tabs>
              <w:tab w:val="right" w:pos="9350"/>
            </w:tabs>
            <w:rPr>
              <w:noProof/>
            </w:rPr>
          </w:pPr>
          <w:hyperlink w:anchor="_Toc171616567" w:history="1">
            <w:r w:rsidR="00D057AD" w:rsidRPr="00EF60ED">
              <w:rPr>
                <w:rStyle w:val="Hyperlink"/>
                <w:noProof/>
              </w:rPr>
              <w:t>Ratio Analysis</w:t>
            </w:r>
            <w:r w:rsidR="00D057AD">
              <w:rPr>
                <w:noProof/>
                <w:webHidden/>
              </w:rPr>
              <w:tab/>
            </w:r>
            <w:r w:rsidR="00D057AD">
              <w:rPr>
                <w:noProof/>
                <w:webHidden/>
              </w:rPr>
              <w:fldChar w:fldCharType="begin"/>
            </w:r>
            <w:r w:rsidR="00D057AD">
              <w:rPr>
                <w:noProof/>
                <w:webHidden/>
              </w:rPr>
              <w:instrText xml:space="preserve"> PAGEREF _Toc171616567 \h </w:instrText>
            </w:r>
            <w:r w:rsidR="00D057AD">
              <w:rPr>
                <w:noProof/>
                <w:webHidden/>
              </w:rPr>
            </w:r>
            <w:r w:rsidR="00D057AD">
              <w:rPr>
                <w:noProof/>
                <w:webHidden/>
              </w:rPr>
              <w:fldChar w:fldCharType="separate"/>
            </w:r>
            <w:r w:rsidR="00D057AD">
              <w:rPr>
                <w:noProof/>
                <w:webHidden/>
              </w:rPr>
              <w:t>31</w:t>
            </w:r>
            <w:r w:rsidR="00D057AD">
              <w:rPr>
                <w:noProof/>
                <w:webHidden/>
              </w:rPr>
              <w:fldChar w:fldCharType="end"/>
            </w:r>
          </w:hyperlink>
        </w:p>
        <w:p w14:paraId="20F682CC" w14:textId="029A7B9C" w:rsidR="00D057AD" w:rsidRDefault="00000000">
          <w:pPr>
            <w:pStyle w:val="TOC2"/>
            <w:tabs>
              <w:tab w:val="right" w:pos="9350"/>
            </w:tabs>
            <w:rPr>
              <w:noProof/>
            </w:rPr>
          </w:pPr>
          <w:hyperlink w:anchor="_Toc171616568" w:history="1">
            <w:r w:rsidR="00D057AD" w:rsidRPr="00EF60ED">
              <w:rPr>
                <w:rStyle w:val="Hyperlink"/>
                <w:noProof/>
              </w:rPr>
              <w:t>‌Investment Proposal</w:t>
            </w:r>
            <w:r w:rsidR="00D057AD">
              <w:rPr>
                <w:noProof/>
                <w:webHidden/>
              </w:rPr>
              <w:tab/>
            </w:r>
            <w:r w:rsidR="00D057AD">
              <w:rPr>
                <w:noProof/>
                <w:webHidden/>
              </w:rPr>
              <w:fldChar w:fldCharType="begin"/>
            </w:r>
            <w:r w:rsidR="00D057AD">
              <w:rPr>
                <w:noProof/>
                <w:webHidden/>
              </w:rPr>
              <w:instrText xml:space="preserve"> PAGEREF _Toc171616568 \h </w:instrText>
            </w:r>
            <w:r w:rsidR="00D057AD">
              <w:rPr>
                <w:noProof/>
                <w:webHidden/>
              </w:rPr>
            </w:r>
            <w:r w:rsidR="00D057AD">
              <w:rPr>
                <w:noProof/>
                <w:webHidden/>
              </w:rPr>
              <w:fldChar w:fldCharType="separate"/>
            </w:r>
            <w:r w:rsidR="00D057AD">
              <w:rPr>
                <w:noProof/>
                <w:webHidden/>
              </w:rPr>
              <w:t>33</w:t>
            </w:r>
            <w:r w:rsidR="00D057AD">
              <w:rPr>
                <w:noProof/>
                <w:webHidden/>
              </w:rPr>
              <w:fldChar w:fldCharType="end"/>
            </w:r>
          </w:hyperlink>
        </w:p>
        <w:p w14:paraId="19D190F9" w14:textId="2C049C95" w:rsidR="00F44EAE" w:rsidRDefault="00AB3F43">
          <w:r>
            <w:fldChar w:fldCharType="end"/>
          </w:r>
        </w:p>
      </w:sdtContent>
    </w:sdt>
    <w:p w14:paraId="17B36DC9" w14:textId="77777777" w:rsidR="00F44EAE" w:rsidRDefault="00AB3F43">
      <w:pPr>
        <w:rPr>
          <w:b/>
          <w:sz w:val="28"/>
          <w:szCs w:val="28"/>
        </w:rPr>
      </w:pPr>
      <w:r>
        <w:br w:type="page"/>
      </w:r>
    </w:p>
    <w:p w14:paraId="59877CE1" w14:textId="77777777" w:rsidR="00F44EAE" w:rsidRDefault="00AB3F43">
      <w:pPr>
        <w:pStyle w:val="Heading1"/>
      </w:pPr>
      <w:bookmarkStart w:id="1" w:name="_Toc171616536"/>
      <w:r>
        <w:lastRenderedPageBreak/>
        <w:t>Part A). Introduction</w:t>
      </w:r>
      <w:bookmarkEnd w:id="1"/>
    </w:p>
    <w:p w14:paraId="3DCE9ACE" w14:textId="77777777" w:rsidR="00F44EAE" w:rsidRDefault="00AB3F43">
      <w:pPr>
        <w:pStyle w:val="Heading2"/>
      </w:pPr>
      <w:bookmarkStart w:id="2" w:name="_1fob9te" w:colFirst="0" w:colLast="0"/>
      <w:bookmarkStart w:id="3" w:name="_Toc171616537"/>
      <w:bookmarkEnd w:id="2"/>
      <w:r>
        <w:t>Company Overview</w:t>
      </w:r>
      <w:bookmarkEnd w:id="3"/>
    </w:p>
    <w:p w14:paraId="3A15AD39" w14:textId="77777777" w:rsidR="00F44EAE" w:rsidRDefault="00AB3F43">
      <w:r>
        <w:t>Tesla In. is an American multinational automobile manufacturer with the main mission of providing clean energy to global automobile consumers (</w:t>
      </w:r>
      <w:proofErr w:type="spellStart"/>
      <w:r>
        <w:t>Maradin</w:t>
      </w:r>
      <w:proofErr w:type="spellEnd"/>
      <w:r>
        <w:t xml:space="preserve">, Malnar, and </w:t>
      </w:r>
      <w:proofErr w:type="spellStart"/>
      <w:r>
        <w:t>Kaštelan</w:t>
      </w:r>
      <w:proofErr w:type="spellEnd"/>
      <w:r>
        <w:t xml:space="preserve">, 2022). The company was founded in 2003 by Martin Eberhard and Marc Tarpenning (Bhardwaj </w:t>
      </w:r>
      <w:r>
        <w:rPr>
          <w:i/>
        </w:rPr>
        <w:t xml:space="preserve">et al., </w:t>
      </w:r>
      <w:r>
        <w:t xml:space="preserve">2020). Both of the founding members have served as the CEO and CFO of the company till the year of 2005. In 2005, Elon Musk took over the active roles of the company, but the new owner is not highly involved in its day-to-day operations. The company has started its operations as a premium sports car manufacturer. Later, the company shifted to producing mainstream vehicles such as sedans. On May 10, the Tesla </w:t>
      </w:r>
      <w:proofErr w:type="spellStart"/>
      <w:r>
        <w:t>automotors</w:t>
      </w:r>
      <w:proofErr w:type="spellEnd"/>
      <w:r>
        <w:t xml:space="preserve"> opened its Tesla factory in 2010 with the production of Tesla Model S vehicles.</w:t>
      </w:r>
    </w:p>
    <w:p w14:paraId="6CA33C1F" w14:textId="77777777" w:rsidR="00F44EAE" w:rsidRDefault="00AB3F43">
      <w:pPr>
        <w:jc w:val="center"/>
      </w:pPr>
      <w:r>
        <w:rPr>
          <w:noProof/>
        </w:rPr>
        <w:drawing>
          <wp:inline distT="114300" distB="114300" distL="114300" distR="114300" wp14:anchorId="394E6277" wp14:editId="0F2448B3">
            <wp:extent cx="2643188" cy="10025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643188" cy="1002588"/>
                    </a:xfrm>
                    <a:prstGeom prst="rect">
                      <a:avLst/>
                    </a:prstGeom>
                    <a:ln/>
                  </pic:spPr>
                </pic:pic>
              </a:graphicData>
            </a:graphic>
          </wp:inline>
        </w:drawing>
      </w:r>
    </w:p>
    <w:p w14:paraId="4D4657FD" w14:textId="77777777" w:rsidR="00F44EAE" w:rsidRDefault="00AB3F43">
      <w:pPr>
        <w:jc w:val="center"/>
        <w:rPr>
          <w:b/>
        </w:rPr>
      </w:pPr>
      <w:r>
        <w:rPr>
          <w:b/>
        </w:rPr>
        <w:t>Figure 1: Tesla’s Logo</w:t>
      </w:r>
    </w:p>
    <w:p w14:paraId="1EAA5FF3" w14:textId="77777777" w:rsidR="00F44EAE" w:rsidRDefault="00AB3F43">
      <w:pPr>
        <w:jc w:val="center"/>
      </w:pPr>
      <w:r>
        <w:t>(Source: Tesla, 2024)</w:t>
      </w:r>
    </w:p>
    <w:p w14:paraId="092FBB5B" w14:textId="77777777" w:rsidR="00F44EAE" w:rsidRDefault="00F44EAE"/>
    <w:p w14:paraId="07334FE1" w14:textId="77777777" w:rsidR="00F44EAE" w:rsidRDefault="00AB3F43">
      <w:pPr>
        <w:pStyle w:val="Heading2"/>
      </w:pPr>
      <w:bookmarkStart w:id="4" w:name="_3znysh7" w:colFirst="0" w:colLast="0"/>
      <w:bookmarkStart w:id="5" w:name="_Toc171616538"/>
      <w:bookmarkEnd w:id="4"/>
      <w:r>
        <w:t>Business Model</w:t>
      </w:r>
      <w:bookmarkEnd w:id="5"/>
    </w:p>
    <w:p w14:paraId="568C1898" w14:textId="77777777" w:rsidR="00F44EAE" w:rsidRDefault="00AB3F43">
      <w:r>
        <w:t xml:space="preserve">The founders of Tesla have set its vision and mission for commercialising electric vehicles, with the start of its operation on luxury vehicles (Anderson </w:t>
      </w:r>
      <w:r>
        <w:rPr>
          <w:i/>
        </w:rPr>
        <w:t xml:space="preserve">et al., </w:t>
      </w:r>
      <w:r>
        <w:t xml:space="preserve">2022). The vehicles are set for making affordable vehicles in the mass market. The profitability of Tesla mostly comes from selling its EVs and home batters, which Tesla calls Powerwall. The business structure of Tesla has a U form function for its engineering for sales and service. The company also deals in energy generation models to deliver sustainable forms of energy in my cities in the US. The combination of selling sedan-based cars and providing sustainable power plants. </w:t>
      </w:r>
    </w:p>
    <w:p w14:paraId="57985F5A" w14:textId="77777777" w:rsidR="00F44EAE" w:rsidRDefault="00F44EAE"/>
    <w:p w14:paraId="0B8EDB43" w14:textId="77777777" w:rsidR="00F44EAE" w:rsidRDefault="00AB3F43">
      <w:pPr>
        <w:pStyle w:val="Heading2"/>
      </w:pPr>
      <w:bookmarkStart w:id="6" w:name="_2et92p0" w:colFirst="0" w:colLast="0"/>
      <w:bookmarkStart w:id="7" w:name="_Toc171616539"/>
      <w:bookmarkEnd w:id="6"/>
      <w:r>
        <w:t>Marketplace and Key Competitors</w:t>
      </w:r>
      <w:bookmarkEnd w:id="7"/>
    </w:p>
    <w:p w14:paraId="027E4B79" w14:textId="77777777" w:rsidR="00F44EAE" w:rsidRDefault="00AB3F43">
      <w:r>
        <w:rPr>
          <w:noProof/>
        </w:rPr>
        <w:drawing>
          <wp:inline distT="114300" distB="114300" distL="114300" distR="114300" wp14:anchorId="7E05A9DB" wp14:editId="3A52248E">
            <wp:extent cx="5086350" cy="423862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086350" cy="4238625"/>
                    </a:xfrm>
                    <a:prstGeom prst="rect">
                      <a:avLst/>
                    </a:prstGeom>
                    <a:ln/>
                  </pic:spPr>
                </pic:pic>
              </a:graphicData>
            </a:graphic>
          </wp:inline>
        </w:drawing>
      </w:r>
    </w:p>
    <w:p w14:paraId="422201ED" w14:textId="77777777" w:rsidR="00F44EAE" w:rsidRDefault="00AB3F43">
      <w:pPr>
        <w:jc w:val="center"/>
        <w:rPr>
          <w:b/>
        </w:rPr>
      </w:pPr>
      <w:r>
        <w:rPr>
          <w:b/>
        </w:rPr>
        <w:t>Figure 2: Tesla’s Yearly Revenue</w:t>
      </w:r>
    </w:p>
    <w:p w14:paraId="2DB0B7F1" w14:textId="77777777" w:rsidR="00F44EAE" w:rsidRDefault="00AB3F43">
      <w:pPr>
        <w:jc w:val="center"/>
      </w:pPr>
      <w:r>
        <w:t>(Source: Statista, 2024)</w:t>
      </w:r>
    </w:p>
    <w:p w14:paraId="6F8D7708" w14:textId="77777777" w:rsidR="00F44EAE" w:rsidRDefault="00AB3F43">
      <w:r>
        <w:t xml:space="preserve">Tesla's marketplace is available in the western urban areas to run its advanced vehicles and energy supplies. In Western countries, Tesla will make a profit of about 96 billion dollars in 2023 (Statista, 2024). Tesla's automotive segment induces the design, manufacturing sales and service. On the contrary, the key competitors of Tesla are General Motors, Ford Motors, BMW&lt; Toyota, and Volkswagen. All of these competitors have a great presence in the automotive sector. After the covid 19 lockdown, the rivals of Tesla have improved their operation in the development of their electric vehicles. These global changes in the automotive industry can set a challenging situation </w:t>
      </w:r>
      <w:r>
        <w:lastRenderedPageBreak/>
        <w:t>for Tesla Inc. in its automotive business. However, a good sales effort for Tesla can lead to improving its car sales and customer loyalty for a longer period.</w:t>
      </w:r>
    </w:p>
    <w:p w14:paraId="211C6FFC" w14:textId="77777777" w:rsidR="00F44EAE" w:rsidRDefault="00AB3F43">
      <w:pPr>
        <w:pStyle w:val="Heading2"/>
      </w:pPr>
      <w:bookmarkStart w:id="8" w:name="_tyjcwt" w:colFirst="0" w:colLast="0"/>
      <w:bookmarkStart w:id="9" w:name="_Toc171616540"/>
      <w:bookmarkEnd w:id="8"/>
      <w:r>
        <w:t>Recent Events</w:t>
      </w:r>
      <w:bookmarkEnd w:id="9"/>
    </w:p>
    <w:p w14:paraId="5B00D69C" w14:textId="77777777" w:rsidR="00F44EAE" w:rsidRDefault="00AB3F43">
      <w:r>
        <w:t>On 23rd April 2024, Tesla introduced its new model named Tesla Model 3 (Tesla, 2019). The features of the Tesla Model 3 leverage the hardware improvements of its chassis hardware that deliver performance. Along with improving the reduction of mass, including adaptive dampers with damper pistons, stabiliser bars, strength steel springs, and stiffer suspension top mounts. With these updates, the Tesla group has improved its Tesla Model 3 car. Additionally, Tesla has started using its in-house lithium refinery, located in the Corpus Christi area of Texas.</w:t>
      </w:r>
    </w:p>
    <w:p w14:paraId="4A360420" w14:textId="77777777" w:rsidR="00F44EAE" w:rsidRDefault="00AB3F43">
      <w:pPr>
        <w:pStyle w:val="Heading1"/>
      </w:pPr>
      <w:bookmarkStart w:id="10" w:name="_Toc171616541"/>
      <w:r>
        <w:t>Part B). Financial performance review</w:t>
      </w:r>
      <w:bookmarkEnd w:id="10"/>
    </w:p>
    <w:p w14:paraId="15491738" w14:textId="77777777" w:rsidR="00F44EAE" w:rsidRDefault="00AB3F43">
      <w:pPr>
        <w:pStyle w:val="Heading2"/>
      </w:pPr>
      <w:bookmarkStart w:id="11" w:name="_Toc171616542"/>
      <w:r>
        <w:t>Critical Evaluation of the Financial Ratios</w:t>
      </w:r>
      <w:bookmarkEnd w:id="11"/>
    </w:p>
    <w:p w14:paraId="300C7FC9" w14:textId="77777777" w:rsidR="00F44EAE" w:rsidRDefault="00AB3F43">
      <w:pPr>
        <w:pStyle w:val="Heading3"/>
      </w:pPr>
      <w:bookmarkStart w:id="12" w:name="_Toc171616543"/>
      <w:r>
        <w:t>Profitability Ratio</w:t>
      </w:r>
      <w:bookmarkEnd w:id="12"/>
    </w:p>
    <w:p w14:paraId="6A8EFD96"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PR</w:t>
      </w:r>
      <w:r>
        <w:rPr>
          <w:color w:val="000000"/>
        </w:rPr>
        <w:t xml:space="preserve"> is one of the significant measuring tools which provides opportunities for the organisation to evaluate the company's performance in the market.  By using this ratio investors can compare the performance of Tesla with the different competitors.  The Organisation can introduce multiple business expansion strategies by utilising the ratio (</w:t>
      </w:r>
      <w:r>
        <w:rPr>
          <w:color w:val="222222"/>
          <w:highlight w:val="white"/>
        </w:rPr>
        <w:t xml:space="preserve">Husain and </w:t>
      </w:r>
      <w:proofErr w:type="spellStart"/>
      <w:r>
        <w:rPr>
          <w:color w:val="222222"/>
          <w:highlight w:val="white"/>
        </w:rPr>
        <w:t>Sunardi</w:t>
      </w:r>
      <w:proofErr w:type="spellEnd"/>
      <w:r>
        <w:rPr>
          <w:color w:val="222222"/>
          <w:highlight w:val="white"/>
        </w:rPr>
        <w:t>, 2020)</w:t>
      </w:r>
      <w:r>
        <w:rPr>
          <w:color w:val="000000"/>
        </w:rPr>
        <w:t xml:space="preserve">.  The stakeholders can analyse the capability of the management to generate profit and manage the overall cost of the operations by using this ratio. </w:t>
      </w:r>
    </w:p>
    <w:p w14:paraId="0AA34CD8"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NPR</w:t>
      </w:r>
      <w:r>
        <w:rPr>
          <w:color w:val="000000"/>
        </w:rPr>
        <w:t xml:space="preserve"> is the most important ratio for Tesla for determining the actual profit of the business in the market.  The company's ratio is gradually improving, a positive sign for the business (</w:t>
      </w:r>
      <w:proofErr w:type="spellStart"/>
      <w:r>
        <w:rPr>
          <w:color w:val="222222"/>
          <w:highlight w:val="white"/>
        </w:rPr>
        <w:t>Nariswari</w:t>
      </w:r>
      <w:proofErr w:type="spellEnd"/>
      <w:r>
        <w:rPr>
          <w:color w:val="222222"/>
          <w:highlight w:val="white"/>
        </w:rPr>
        <w:t xml:space="preserve"> and Nugraha, 2020)</w:t>
      </w:r>
      <w:r>
        <w:rPr>
          <w:color w:val="000000"/>
        </w:rPr>
        <w:t xml:space="preserve">.  In 2019, Tesla witnessed a loss of 3.54%.  The increasing demand for </w:t>
      </w:r>
      <w:r>
        <w:t>electric</w:t>
      </w:r>
      <w:r>
        <w:rPr>
          <w:color w:val="000000"/>
        </w:rPr>
        <w:t xml:space="preserve"> vehicles is the primary reason behind increasing revenue and profit.  Currently, the Governments of different countries are influencing sustainability, which provides multiple opportunities to the Tesla company.  </w:t>
      </w:r>
    </w:p>
    <w:p w14:paraId="35C7BCC8" w14:textId="77777777" w:rsidR="00F44EAE" w:rsidRDefault="00AB3F43">
      <w:pPr>
        <w:pBdr>
          <w:top w:val="nil"/>
          <w:left w:val="nil"/>
          <w:bottom w:val="nil"/>
          <w:right w:val="nil"/>
          <w:between w:val="nil"/>
        </w:pBdr>
        <w:rPr>
          <w:color w:val="000000"/>
        </w:rPr>
      </w:pPr>
      <w:r>
        <w:rPr>
          <w:color w:val="000000"/>
        </w:rPr>
        <w:t xml:space="preserve">However, the organisation's income is increasing rapidly and positively impacting the profit.  In 2021, the profit of the organisation was 10.26%.  In 2023, the profit of the Tesla company was </w:t>
      </w:r>
      <w:r>
        <w:rPr>
          <w:color w:val="000000"/>
        </w:rPr>
        <w:lastRenderedPageBreak/>
        <w:t>15.47% (</w:t>
      </w:r>
      <w:proofErr w:type="spellStart"/>
      <w:r>
        <w:rPr>
          <w:color w:val="000000"/>
        </w:rPr>
        <w:t>Wsj</w:t>
      </w:r>
      <w:proofErr w:type="spellEnd"/>
      <w:r>
        <w:rPr>
          <w:color w:val="000000"/>
        </w:rPr>
        <w:t xml:space="preserve">, 2024).  So, the organisation is closely focusing on improving the organisation's performance and marketing.  The Organisation is attracting different customers through which the overall profit and revenue have been enhanced. </w:t>
      </w:r>
    </w:p>
    <w:p w14:paraId="4AA214FB" w14:textId="77777777" w:rsidR="00F44EAE" w:rsidRDefault="00AB3F43">
      <w:pPr>
        <w:pBdr>
          <w:top w:val="nil"/>
          <w:left w:val="nil"/>
          <w:bottom w:val="nil"/>
          <w:right w:val="nil"/>
          <w:between w:val="nil"/>
        </w:pBdr>
        <w:jc w:val="center"/>
        <w:rPr>
          <w:color w:val="000000"/>
        </w:rPr>
      </w:pPr>
      <w:r>
        <w:rPr>
          <w:noProof/>
          <w:color w:val="000000"/>
        </w:rPr>
        <w:drawing>
          <wp:inline distT="0" distB="0" distL="0" distR="0" wp14:anchorId="7C5127EF" wp14:editId="5075FF8C">
            <wp:extent cx="4401164" cy="264832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4401164" cy="2648320"/>
                    </a:xfrm>
                    <a:prstGeom prst="rect">
                      <a:avLst/>
                    </a:prstGeom>
                    <a:ln/>
                  </pic:spPr>
                </pic:pic>
              </a:graphicData>
            </a:graphic>
          </wp:inline>
        </w:drawing>
      </w:r>
    </w:p>
    <w:p w14:paraId="470BB03C"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3</w:t>
      </w:r>
      <w:r>
        <w:rPr>
          <w:b/>
          <w:color w:val="000000"/>
        </w:rPr>
        <w:t>: Profitability Ratio</w:t>
      </w:r>
    </w:p>
    <w:p w14:paraId="2674B97A" w14:textId="77777777" w:rsidR="00F44EAE" w:rsidRDefault="00AB3F43">
      <w:pPr>
        <w:pBdr>
          <w:top w:val="nil"/>
          <w:left w:val="nil"/>
          <w:bottom w:val="nil"/>
          <w:right w:val="nil"/>
          <w:between w:val="nil"/>
        </w:pBdr>
        <w:jc w:val="center"/>
        <w:rPr>
          <w:color w:val="000000"/>
        </w:rPr>
      </w:pPr>
      <w:r>
        <w:rPr>
          <w:color w:val="000000"/>
        </w:rPr>
        <w:t>(Source: Self-developed)</w:t>
      </w:r>
    </w:p>
    <w:p w14:paraId="66FC4254"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ROCE</w:t>
      </w:r>
      <w:r>
        <w:rPr>
          <w:color w:val="000000"/>
        </w:rPr>
        <w:t xml:space="preserve"> is also a practical financial metric which provides the opportunity to understand the capital efficiency in the market.  Using the stakeholders, Tesla can develop knowledge about the capability of the management to utilise the capital to generate profit.  The ratio provides an in-depth understanding of how effectively the organisation uses capital in different areas (</w:t>
      </w:r>
      <w:proofErr w:type="spellStart"/>
      <w:r>
        <w:rPr>
          <w:color w:val="222222"/>
          <w:highlight w:val="white"/>
        </w:rPr>
        <w:t>Maeenuddina</w:t>
      </w:r>
      <w:proofErr w:type="spellEnd"/>
      <w:r>
        <w:rPr>
          <w:color w:val="222222"/>
          <w:highlight w:val="white"/>
        </w:rPr>
        <w:t xml:space="preserve"> et al., 2020)</w:t>
      </w:r>
      <w:r>
        <w:rPr>
          <w:color w:val="000000"/>
        </w:rPr>
        <w:t xml:space="preserve">. </w:t>
      </w:r>
    </w:p>
    <w:p w14:paraId="76897584" w14:textId="5706D820" w:rsidR="00F44EAE" w:rsidRDefault="00AB3F43">
      <w:pPr>
        <w:pBdr>
          <w:top w:val="nil"/>
          <w:left w:val="nil"/>
          <w:bottom w:val="nil"/>
          <w:right w:val="nil"/>
          <w:between w:val="nil"/>
        </w:pBdr>
        <w:rPr>
          <w:color w:val="000000"/>
        </w:rPr>
      </w:pPr>
      <w:r>
        <w:rPr>
          <w:color w:val="000000"/>
        </w:rPr>
        <w:t>In 2020, the ratio of Tesla was 5.26%.  In the following years, the ratio is gradually increasing.  In 2022, the company's ratio was 24.86%, which is an excellent sign in this current market condition.  The primary reason for increasing this ratio is that the company's profit has improved by almost 50% (</w:t>
      </w:r>
      <w:proofErr w:type="spellStart"/>
      <w:r>
        <w:rPr>
          <w:color w:val="000000"/>
        </w:rPr>
        <w:t>Wsj</w:t>
      </w:r>
      <w:proofErr w:type="spellEnd"/>
      <w:r>
        <w:rPr>
          <w:color w:val="000000"/>
        </w:rPr>
        <w:t xml:space="preserve">, 2024).  </w:t>
      </w:r>
      <w:r w:rsidR="00D057AD">
        <w:rPr>
          <w:color w:val="000000"/>
        </w:rPr>
        <w:t>So,</w:t>
      </w:r>
      <w:r>
        <w:rPr>
          <w:color w:val="000000"/>
        </w:rPr>
        <w:t xml:space="preserve"> the management has introduced multiple new strategies for enhancing the company's profit.  However, in 2023, the ratio declined to 11.42%.  The company has to focus on improving this ratio to generate more capital from the investment. </w:t>
      </w:r>
    </w:p>
    <w:p w14:paraId="126E4377" w14:textId="77777777" w:rsidR="00F44EAE" w:rsidRDefault="00AB3F43">
      <w:pPr>
        <w:pStyle w:val="Heading3"/>
      </w:pPr>
      <w:bookmarkStart w:id="13" w:name="_Toc171616544"/>
      <w:r>
        <w:lastRenderedPageBreak/>
        <w:t>Liquidity Ratio</w:t>
      </w:r>
      <w:bookmarkEnd w:id="13"/>
    </w:p>
    <w:p w14:paraId="2B1EDF1C"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LR</w:t>
      </w:r>
      <w:r>
        <w:rPr>
          <w:color w:val="000000"/>
        </w:rPr>
        <w:t xml:space="preserve"> is also a critical financial metric that provides the opportunity to understand the capability to pay short-term debt in time.  The creditors can realise the ability to free the date by analysing this ratio (</w:t>
      </w:r>
      <w:proofErr w:type="spellStart"/>
      <w:r>
        <w:rPr>
          <w:color w:val="222222"/>
          <w:highlight w:val="white"/>
        </w:rPr>
        <w:t>Markonah</w:t>
      </w:r>
      <w:proofErr w:type="spellEnd"/>
      <w:r>
        <w:rPr>
          <w:color w:val="222222"/>
          <w:highlight w:val="white"/>
        </w:rPr>
        <w:t xml:space="preserve"> et al., 2020)</w:t>
      </w:r>
      <w:r>
        <w:rPr>
          <w:color w:val="000000"/>
        </w:rPr>
        <w:t xml:space="preserve">.  A good liquidity position provides an opportunity for collecting the debt from the market and utilising it to improve the business performance.  The ratio also develops a compelling scenario regarding the business's financial stability.  The automobile industry is very competitive and the liquidity ratio has maintained a crucial role in raising the depth of the capital structure. </w:t>
      </w:r>
    </w:p>
    <w:p w14:paraId="5A61F576"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CR</w:t>
      </w:r>
      <w:r>
        <w:rPr>
          <w:color w:val="000000"/>
        </w:rPr>
        <w:t xml:space="preserve"> is an essential part of this ratio, which is necessary for managing the company's ability to repay debt.  The ratio is the competition between the current assets and the current liability of Tesla.  The stakeholders can understand the operating cycle of the business and the credit status by implementing this ratio (</w:t>
      </w:r>
      <w:r>
        <w:rPr>
          <w:color w:val="222222"/>
          <w:highlight w:val="white"/>
        </w:rPr>
        <w:t>Mulyadi and Sinaga, 2020)</w:t>
      </w:r>
      <w:r>
        <w:rPr>
          <w:color w:val="000000"/>
        </w:rPr>
        <w:t xml:space="preserve">.  The investors are also utilising this ratio but developing multiple decisions regarding the investment.  In 2019, the ratio of Tesla was 1.134.  In the following year, the ratio improved to 1.8.  In 2024, the ratio of the organisation was 1.72.  The CR ratio of the company is excellent compared to the industrial standard. </w:t>
      </w:r>
    </w:p>
    <w:p w14:paraId="7B1283DC" w14:textId="77777777" w:rsidR="00F44EAE" w:rsidRDefault="00AB3F43">
      <w:pPr>
        <w:pBdr>
          <w:top w:val="nil"/>
          <w:left w:val="nil"/>
          <w:bottom w:val="nil"/>
          <w:right w:val="nil"/>
          <w:between w:val="nil"/>
        </w:pBdr>
        <w:jc w:val="center"/>
        <w:rPr>
          <w:color w:val="000000"/>
        </w:rPr>
      </w:pPr>
      <w:r>
        <w:rPr>
          <w:noProof/>
          <w:color w:val="000000"/>
        </w:rPr>
        <w:drawing>
          <wp:inline distT="0" distB="0" distL="0" distR="0" wp14:anchorId="59D98449" wp14:editId="08B4C9FA">
            <wp:extent cx="3839111" cy="241016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839111" cy="2410161"/>
                    </a:xfrm>
                    <a:prstGeom prst="rect">
                      <a:avLst/>
                    </a:prstGeom>
                    <a:ln/>
                  </pic:spPr>
                </pic:pic>
              </a:graphicData>
            </a:graphic>
          </wp:inline>
        </w:drawing>
      </w:r>
    </w:p>
    <w:p w14:paraId="10598084"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4</w:t>
      </w:r>
      <w:r>
        <w:rPr>
          <w:b/>
          <w:color w:val="000000"/>
        </w:rPr>
        <w:t>: Liquidity Ratio</w:t>
      </w:r>
    </w:p>
    <w:p w14:paraId="54A40984" w14:textId="77777777" w:rsidR="00F44EAE" w:rsidRDefault="00AB3F43">
      <w:pPr>
        <w:pBdr>
          <w:top w:val="nil"/>
          <w:left w:val="nil"/>
          <w:bottom w:val="nil"/>
          <w:right w:val="nil"/>
          <w:between w:val="nil"/>
        </w:pBdr>
        <w:jc w:val="center"/>
        <w:rPr>
          <w:color w:val="000000"/>
        </w:rPr>
      </w:pPr>
      <w:r>
        <w:rPr>
          <w:color w:val="000000"/>
        </w:rPr>
        <w:t>(Source: Self-developed)</w:t>
      </w:r>
    </w:p>
    <w:p w14:paraId="340DE452" w14:textId="77777777" w:rsidR="00F44EAE" w:rsidRDefault="00AB3F43">
      <w:pPr>
        <w:pBdr>
          <w:top w:val="nil"/>
          <w:left w:val="nil"/>
          <w:bottom w:val="nil"/>
          <w:right w:val="nil"/>
          <w:between w:val="nil"/>
        </w:pBdr>
        <w:rPr>
          <w:color w:val="000000"/>
        </w:rPr>
      </w:pPr>
      <w:r>
        <w:rPr>
          <w:color w:val="000000"/>
        </w:rPr>
        <w:lastRenderedPageBreak/>
        <w:t xml:space="preserve">The </w:t>
      </w:r>
      <w:r>
        <w:rPr>
          <w:b/>
          <w:i/>
          <w:color w:val="000000"/>
        </w:rPr>
        <w:t>QR</w:t>
      </w:r>
      <w:r>
        <w:rPr>
          <w:color w:val="000000"/>
        </w:rPr>
        <w:t xml:space="preserve"> is also a critical ratio that provides an opportunity to understand how quickly the company uses the liquid asset to pay the debt.  The 2012 ratio of the Tesla company was 0.80.  the effective performance for improving this ratio in 2023 to 1.25 (</w:t>
      </w:r>
      <w:proofErr w:type="spellStart"/>
      <w:r>
        <w:rPr>
          <w:color w:val="000000"/>
        </w:rPr>
        <w:t>Wsj</w:t>
      </w:r>
      <w:proofErr w:type="spellEnd"/>
      <w:r>
        <w:rPr>
          <w:color w:val="000000"/>
        </w:rPr>
        <w:t>, 2024).</w:t>
      </w:r>
    </w:p>
    <w:p w14:paraId="13FCEFB0" w14:textId="77777777" w:rsidR="00F44EAE" w:rsidRDefault="00AB3F43">
      <w:pPr>
        <w:pStyle w:val="Heading3"/>
      </w:pPr>
      <w:bookmarkStart w:id="14" w:name="_Toc171616545"/>
      <w:r>
        <w:t>Efficiency Ratio</w:t>
      </w:r>
      <w:bookmarkEnd w:id="14"/>
    </w:p>
    <w:p w14:paraId="6983FADE"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ER</w:t>
      </w:r>
      <w:r>
        <w:rPr>
          <w:color w:val="000000"/>
        </w:rPr>
        <w:t xml:space="preserve"> is also a significant financial metric which can provide the opportunity to understand the ability of the organisation to manage its operations.  The ratio is the critical indicator which provides the opportunity for analysing financial health and management efficiency (</w:t>
      </w:r>
      <w:r>
        <w:rPr>
          <w:color w:val="222222"/>
          <w:highlight w:val="white"/>
        </w:rPr>
        <w:t>Iqbal and Anwar, 2022)</w:t>
      </w:r>
      <w:r>
        <w:rPr>
          <w:color w:val="000000"/>
        </w:rPr>
        <w:t xml:space="preserve">. </w:t>
      </w:r>
    </w:p>
    <w:p w14:paraId="073BFEE1"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ATR</w:t>
      </w:r>
      <w:r>
        <w:rPr>
          <w:color w:val="000000"/>
        </w:rPr>
        <w:t xml:space="preserve"> is a significant part of this ratio for recognising how effectively the company uses this asset to generate revenue.  So, the ratio is a competition between the net sales and the company's assets (</w:t>
      </w:r>
      <w:r>
        <w:rPr>
          <w:color w:val="222222"/>
          <w:highlight w:val="white"/>
        </w:rPr>
        <w:t>Patin et al., 2020)</w:t>
      </w:r>
      <w:r>
        <w:rPr>
          <w:color w:val="000000"/>
        </w:rPr>
        <w:t>.  In 2019, the ratio of the organisation was 0.71 (</w:t>
      </w:r>
      <w:proofErr w:type="spellStart"/>
      <w:r>
        <w:rPr>
          <w:color w:val="000000"/>
        </w:rPr>
        <w:t>Wsj</w:t>
      </w:r>
      <w:proofErr w:type="spellEnd"/>
      <w:r>
        <w:rPr>
          <w:color w:val="000000"/>
        </w:rPr>
        <w:t xml:space="preserve">, 2024).  In 2022, the ratio improved to 0.98, and in the next year, the ratio declined to 0.90.  The primary design behind the decline is that the sales did not increase like the company's assets. </w:t>
      </w:r>
    </w:p>
    <w:p w14:paraId="23ADA441" w14:textId="77777777" w:rsidR="00F44EAE" w:rsidRDefault="00AB3F43">
      <w:pPr>
        <w:pBdr>
          <w:top w:val="nil"/>
          <w:left w:val="nil"/>
          <w:bottom w:val="nil"/>
          <w:right w:val="nil"/>
          <w:between w:val="nil"/>
        </w:pBdr>
        <w:jc w:val="center"/>
        <w:rPr>
          <w:color w:val="000000"/>
        </w:rPr>
      </w:pPr>
      <w:r>
        <w:rPr>
          <w:noProof/>
          <w:color w:val="000000"/>
        </w:rPr>
        <w:drawing>
          <wp:inline distT="0" distB="0" distL="0" distR="0" wp14:anchorId="1AB52D0D" wp14:editId="338E0C29">
            <wp:extent cx="4201111" cy="2467319"/>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201111" cy="2467319"/>
                    </a:xfrm>
                    <a:prstGeom prst="rect">
                      <a:avLst/>
                    </a:prstGeom>
                    <a:ln/>
                  </pic:spPr>
                </pic:pic>
              </a:graphicData>
            </a:graphic>
          </wp:inline>
        </w:drawing>
      </w:r>
    </w:p>
    <w:p w14:paraId="57831306"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5</w:t>
      </w:r>
      <w:r>
        <w:rPr>
          <w:b/>
          <w:color w:val="000000"/>
        </w:rPr>
        <w:t>: Efficiency Ratio</w:t>
      </w:r>
    </w:p>
    <w:p w14:paraId="5A7DBCF9" w14:textId="77777777" w:rsidR="00F44EAE" w:rsidRDefault="00AB3F43">
      <w:pPr>
        <w:pBdr>
          <w:top w:val="nil"/>
          <w:left w:val="nil"/>
          <w:bottom w:val="nil"/>
          <w:right w:val="nil"/>
          <w:between w:val="nil"/>
        </w:pBdr>
        <w:jc w:val="center"/>
        <w:rPr>
          <w:color w:val="000000"/>
        </w:rPr>
      </w:pPr>
      <w:r>
        <w:rPr>
          <w:color w:val="000000"/>
        </w:rPr>
        <w:t>(Source: Self-developed)</w:t>
      </w:r>
    </w:p>
    <w:p w14:paraId="24C77699"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ITR</w:t>
      </w:r>
      <w:r>
        <w:rPr>
          <w:color w:val="000000"/>
        </w:rPr>
        <w:t xml:space="preserve"> is an integral part through which the inventory management capability can be understood.  Implementing this ratio can evaluate the flow of the organisation's sales.  The organisation can </w:t>
      </w:r>
      <w:r>
        <w:rPr>
          <w:color w:val="000000"/>
        </w:rPr>
        <w:lastRenderedPageBreak/>
        <w:t>introduce this ratio to improve the inventory management capability and development decisions (</w:t>
      </w:r>
      <w:proofErr w:type="spellStart"/>
      <w:r>
        <w:rPr>
          <w:color w:val="222222"/>
          <w:highlight w:val="white"/>
        </w:rPr>
        <w:t>Herison</w:t>
      </w:r>
      <w:proofErr w:type="spellEnd"/>
      <w:r>
        <w:rPr>
          <w:color w:val="222222"/>
          <w:highlight w:val="white"/>
        </w:rPr>
        <w:t xml:space="preserve"> et al., 2022)</w:t>
      </w:r>
      <w:r>
        <w:rPr>
          <w:color w:val="000000"/>
        </w:rPr>
        <w:t xml:space="preserve">.  In 2020, </w:t>
      </w:r>
      <w:r>
        <w:t>Tesla's</w:t>
      </w:r>
      <w:r>
        <w:rPr>
          <w:color w:val="000000"/>
        </w:rPr>
        <w:t xml:space="preserve"> Ratio was 6.07.  In the last year, the ratio of the organisation reduced to 5.80.  The company has to sell more products to improve this ratio. </w:t>
      </w:r>
    </w:p>
    <w:p w14:paraId="131D92C4" w14:textId="77777777" w:rsidR="00F44EAE" w:rsidRDefault="00AB3F43">
      <w:pPr>
        <w:pStyle w:val="Heading3"/>
      </w:pPr>
      <w:bookmarkStart w:id="15" w:name="_Toc171616546"/>
      <w:r>
        <w:t>Gearing Ratio</w:t>
      </w:r>
      <w:bookmarkEnd w:id="15"/>
      <w:r>
        <w:t xml:space="preserve"> </w:t>
      </w:r>
    </w:p>
    <w:p w14:paraId="7094321B"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GR</w:t>
      </w:r>
      <w:r>
        <w:rPr>
          <w:color w:val="000000"/>
        </w:rPr>
        <w:t xml:space="preserve"> develops the picture regarding a company's financial stability and health in the automobile industry.  The investors understand the risk of the investment by utilising this ratio.  The ratio provides a clear picture of the company's capital structure </w:t>
      </w:r>
      <w:r>
        <w:rPr>
          <w:color w:val="000000"/>
          <w:highlight w:val="white"/>
        </w:rPr>
        <w:t>(</w:t>
      </w:r>
      <w:proofErr w:type="spellStart"/>
      <w:r>
        <w:rPr>
          <w:color w:val="000000"/>
          <w:highlight w:val="white"/>
        </w:rPr>
        <w:t>AvaTrade</w:t>
      </w:r>
      <w:proofErr w:type="spellEnd"/>
      <w:r>
        <w:rPr>
          <w:color w:val="000000"/>
          <w:highlight w:val="white"/>
        </w:rPr>
        <w:t>, 2022)</w:t>
      </w:r>
      <w:r>
        <w:rPr>
          <w:color w:val="000000"/>
        </w:rPr>
        <w:t xml:space="preserve">. </w:t>
      </w:r>
    </w:p>
    <w:p w14:paraId="00532BE6" w14:textId="77777777" w:rsidR="00F44EAE" w:rsidRDefault="00AB3F43">
      <w:pPr>
        <w:pBdr>
          <w:top w:val="nil"/>
          <w:left w:val="nil"/>
          <w:bottom w:val="nil"/>
          <w:right w:val="nil"/>
          <w:between w:val="nil"/>
        </w:pBdr>
        <w:rPr>
          <w:color w:val="000000"/>
        </w:rPr>
      </w:pPr>
      <w:r>
        <w:t>Debt-to-equity</w:t>
      </w:r>
      <w:r>
        <w:rPr>
          <w:color w:val="000000"/>
        </w:rPr>
        <w:t xml:space="preserve"> is very effective for comparing the equity and the debt in the organisation's capital structure.  The risk in the capital structure can be evaluated very quickly by implementing this ratio.  The ratio of Tesla in 2016 was 3.23.  the ratio of the company declined heavily, and in 2023, that ratio was 0.67.  So, it is a convenient sign for the company as Tesla reduces the date in the capital structure and the risk also.  The management has gradually focused on raising the capital from the equity (</w:t>
      </w:r>
      <w:r>
        <w:rPr>
          <w:color w:val="222222"/>
          <w:highlight w:val="white"/>
        </w:rPr>
        <w:t xml:space="preserve">Desmon and </w:t>
      </w:r>
      <w:proofErr w:type="spellStart"/>
      <w:r>
        <w:rPr>
          <w:color w:val="222222"/>
          <w:highlight w:val="white"/>
        </w:rPr>
        <w:t>Meirinaldi</w:t>
      </w:r>
      <w:proofErr w:type="spellEnd"/>
      <w:r>
        <w:rPr>
          <w:color w:val="222222"/>
          <w:highlight w:val="white"/>
        </w:rPr>
        <w:t>, 2022)</w:t>
      </w:r>
      <w:r>
        <w:rPr>
          <w:color w:val="000000"/>
        </w:rPr>
        <w:t xml:space="preserve">.  The organisation has successfully attracted multiple investors, which has created a positive effect on the capital structure. </w:t>
      </w:r>
    </w:p>
    <w:p w14:paraId="11C7D439" w14:textId="77777777" w:rsidR="00F44EAE" w:rsidRDefault="00AB3F43">
      <w:pPr>
        <w:pBdr>
          <w:top w:val="nil"/>
          <w:left w:val="nil"/>
          <w:bottom w:val="nil"/>
          <w:right w:val="nil"/>
          <w:between w:val="nil"/>
        </w:pBdr>
        <w:jc w:val="center"/>
        <w:rPr>
          <w:color w:val="000000"/>
        </w:rPr>
      </w:pPr>
      <w:r>
        <w:rPr>
          <w:noProof/>
          <w:color w:val="000000"/>
        </w:rPr>
        <w:drawing>
          <wp:inline distT="0" distB="0" distL="0" distR="0" wp14:anchorId="6B7562D3" wp14:editId="115D2201">
            <wp:extent cx="4058216" cy="2467319"/>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4058216" cy="2467319"/>
                    </a:xfrm>
                    <a:prstGeom prst="rect">
                      <a:avLst/>
                    </a:prstGeom>
                    <a:ln/>
                  </pic:spPr>
                </pic:pic>
              </a:graphicData>
            </a:graphic>
          </wp:inline>
        </w:drawing>
      </w:r>
    </w:p>
    <w:p w14:paraId="3A2554FE"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6</w:t>
      </w:r>
      <w:r>
        <w:rPr>
          <w:b/>
          <w:color w:val="000000"/>
        </w:rPr>
        <w:t>: Gearing Ratio</w:t>
      </w:r>
    </w:p>
    <w:p w14:paraId="453A64A7" w14:textId="77777777" w:rsidR="00F44EAE" w:rsidRDefault="00AB3F43">
      <w:pPr>
        <w:pBdr>
          <w:top w:val="nil"/>
          <w:left w:val="nil"/>
          <w:bottom w:val="nil"/>
          <w:right w:val="nil"/>
          <w:between w:val="nil"/>
        </w:pBdr>
        <w:jc w:val="center"/>
        <w:rPr>
          <w:color w:val="000000"/>
        </w:rPr>
      </w:pPr>
      <w:r>
        <w:rPr>
          <w:color w:val="000000"/>
        </w:rPr>
        <w:t>(Source: Self-developed)</w:t>
      </w:r>
    </w:p>
    <w:p w14:paraId="6C34388D" w14:textId="77777777" w:rsidR="00F44EAE" w:rsidRDefault="00AB3F43">
      <w:pPr>
        <w:pBdr>
          <w:top w:val="nil"/>
          <w:left w:val="nil"/>
          <w:bottom w:val="nil"/>
          <w:right w:val="nil"/>
          <w:between w:val="nil"/>
        </w:pBdr>
        <w:rPr>
          <w:color w:val="000000"/>
        </w:rPr>
      </w:pPr>
      <w:r>
        <w:rPr>
          <w:color w:val="000000"/>
        </w:rPr>
        <w:lastRenderedPageBreak/>
        <w:t>The leverage condition of Tesla can be evaluated by calculating the total liabilities to assets ratio.  The ratio is a competition between the assets and liabilities of the company in a financial year.  In 2019, the ratio was 0.76 (</w:t>
      </w:r>
      <w:proofErr w:type="spellStart"/>
      <w:r>
        <w:rPr>
          <w:color w:val="000000"/>
        </w:rPr>
        <w:t>Wsj</w:t>
      </w:r>
      <w:proofErr w:type="spellEnd"/>
      <w:r>
        <w:rPr>
          <w:color w:val="000000"/>
        </w:rPr>
        <w:t xml:space="preserve">, 2024).  Tesla is rapidly increasing its assets every year, which has developed the effects of reducing this ratio and providing strong financial stability.  In the last </w:t>
      </w:r>
      <w:r>
        <w:t>year, the ratio</w:t>
      </w:r>
      <w:r>
        <w:rPr>
          <w:color w:val="000000"/>
        </w:rPr>
        <w:t xml:space="preserve"> </w:t>
      </w:r>
      <w:r>
        <w:t>was reduced</w:t>
      </w:r>
      <w:r>
        <w:rPr>
          <w:color w:val="000000"/>
        </w:rPr>
        <w:t xml:space="preserve"> to 0.40.  So, the CEO of Tesla focuses on improving the total assets every year. </w:t>
      </w:r>
    </w:p>
    <w:p w14:paraId="2A6A69EB" w14:textId="77777777" w:rsidR="00F44EAE" w:rsidRDefault="00AB3F43">
      <w:pPr>
        <w:pStyle w:val="Heading2"/>
      </w:pPr>
      <w:bookmarkStart w:id="16" w:name="_Toc171616547"/>
      <w:r>
        <w:t>Comparison to significant competitor(s)</w:t>
      </w:r>
      <w:bookmarkEnd w:id="16"/>
    </w:p>
    <w:p w14:paraId="4F6E170A" w14:textId="77777777" w:rsidR="00F44EAE" w:rsidRDefault="00AB3F43">
      <w:pPr>
        <w:pBdr>
          <w:top w:val="nil"/>
          <w:left w:val="nil"/>
          <w:bottom w:val="nil"/>
          <w:right w:val="nil"/>
          <w:between w:val="nil"/>
        </w:pBdr>
        <w:rPr>
          <w:b/>
          <w:i/>
          <w:color w:val="000000"/>
        </w:rPr>
      </w:pPr>
      <w:r>
        <w:rPr>
          <w:b/>
          <w:i/>
          <w:color w:val="000000"/>
        </w:rPr>
        <w:t>Profitability Ratios</w:t>
      </w:r>
    </w:p>
    <w:p w14:paraId="4D76BD17" w14:textId="77777777" w:rsidR="00F44EAE" w:rsidRDefault="00AB3F43">
      <w:pPr>
        <w:pBdr>
          <w:top w:val="nil"/>
          <w:left w:val="nil"/>
          <w:bottom w:val="nil"/>
          <w:right w:val="nil"/>
          <w:between w:val="nil"/>
        </w:pBdr>
        <w:rPr>
          <w:color w:val="000000"/>
        </w:rPr>
      </w:pPr>
      <w:r>
        <w:rPr>
          <w:color w:val="000000"/>
        </w:rPr>
        <w:t>According to the</w:t>
      </w:r>
      <w:r>
        <w:rPr>
          <w:b/>
          <w:i/>
          <w:color w:val="000000"/>
        </w:rPr>
        <w:t xml:space="preserve"> “Net Profit Margin”,</w:t>
      </w:r>
      <w:r>
        <w:rPr>
          <w:color w:val="000000"/>
        </w:rPr>
        <w:t xml:space="preserve"> the performance of </w:t>
      </w:r>
      <w:r>
        <w:rPr>
          <w:b/>
          <w:i/>
          <w:color w:val="000000"/>
        </w:rPr>
        <w:t>Tesla</w:t>
      </w:r>
      <w:r>
        <w:rPr>
          <w:color w:val="000000"/>
        </w:rPr>
        <w:t xml:space="preserve"> has continuously improved over the last five years. In 2019, the company had a ratio of (3.54%) which increased to 2.19% in 2020. Again in 2021, the company has made a vast improvement, represented by a ratio of 10.26% (</w:t>
      </w:r>
      <w:proofErr w:type="spellStart"/>
      <w:r>
        <w:rPr>
          <w:color w:val="000000"/>
        </w:rPr>
        <w:t>Wsj</w:t>
      </w:r>
      <w:proofErr w:type="spellEnd"/>
      <w:r>
        <w:rPr>
          <w:color w:val="000000"/>
        </w:rPr>
        <w:t xml:space="preserve">, 2024). In 2022, the ratio increased to 15.45%. However, the following year, the company failed to maintain the exact increase, and its ratio got stuck at 15.47%. </w:t>
      </w:r>
    </w:p>
    <w:p w14:paraId="5F40E8C1" w14:textId="77777777" w:rsidR="00F44EAE" w:rsidRDefault="00AB3F43">
      <w:pPr>
        <w:pBdr>
          <w:top w:val="nil"/>
          <w:left w:val="nil"/>
          <w:bottom w:val="nil"/>
          <w:right w:val="nil"/>
          <w:between w:val="nil"/>
        </w:pBdr>
        <w:rPr>
          <w:color w:val="000000"/>
        </w:rPr>
      </w:pPr>
      <w:r>
        <w:rPr>
          <w:color w:val="000000"/>
        </w:rPr>
        <w:t xml:space="preserve">In comparison, the performance of one of its competitors, </w:t>
      </w:r>
      <w:r>
        <w:rPr>
          <w:b/>
          <w:i/>
          <w:color w:val="000000"/>
        </w:rPr>
        <w:t>Toyota</w:t>
      </w:r>
      <w:r>
        <w:rPr>
          <w:color w:val="000000"/>
        </w:rPr>
        <w:t>, presents areas of improvement. In 2019, the company had a ratio of 6.23%, which slightly increased to 6.82% in 2020 and 8.25% in 2021 (</w:t>
      </w:r>
      <w:proofErr w:type="spellStart"/>
      <w:r>
        <w:rPr>
          <w:color w:val="000000"/>
        </w:rPr>
        <w:t>Wsj</w:t>
      </w:r>
      <w:proofErr w:type="spellEnd"/>
      <w:r>
        <w:rPr>
          <w:color w:val="000000"/>
        </w:rPr>
        <w:t xml:space="preserve">, 2024). Despite a further increase to 9.08% in 2022, Toyota has experienced a decline in ratio to 6.60% in 2023, representing a negative attribute. So, compared with Tesla, Toyota needs to focus on increasing its ratio to maintain competitiveness. </w:t>
      </w:r>
    </w:p>
    <w:p w14:paraId="582E264E" w14:textId="77777777" w:rsidR="00F44EAE" w:rsidRDefault="00AB3F43">
      <w:pPr>
        <w:pBdr>
          <w:top w:val="nil"/>
          <w:left w:val="nil"/>
          <w:bottom w:val="nil"/>
          <w:right w:val="nil"/>
          <w:between w:val="nil"/>
        </w:pBdr>
        <w:rPr>
          <w:color w:val="000000"/>
        </w:rPr>
      </w:pPr>
      <w:r>
        <w:rPr>
          <w:color w:val="000000"/>
        </w:rPr>
        <w:t xml:space="preserve">Similarly, </w:t>
      </w:r>
      <w:r>
        <w:rPr>
          <w:b/>
          <w:i/>
          <w:color w:val="000000"/>
        </w:rPr>
        <w:t>Volkswagen</w:t>
      </w:r>
      <w:r>
        <w:rPr>
          <w:color w:val="000000"/>
        </w:rPr>
        <w:t xml:space="preserve"> is another competitor of Tesla but has not maintained the same ratio over the last five years </w:t>
      </w:r>
      <w:r>
        <w:rPr>
          <w:color w:val="000000"/>
          <w:highlight w:val="white"/>
        </w:rPr>
        <w:t>(Volkswagen Group, 2024)</w:t>
      </w:r>
      <w:r>
        <w:rPr>
          <w:color w:val="000000"/>
        </w:rPr>
        <w:t xml:space="preserve">. Even Volkswagen's ratio is lower than Toyota's. From 2019 to 2023, Volkswagen's ratio has witnessed a significant fluctuation. From 2019 to 2020, the ratio has declined from 5.28% to 3.74%. However, in 2021, the ratio increased to 5.93% but again declined to 5.33% in 2022 and 4.97% in 2023. </w:t>
      </w:r>
    </w:p>
    <w:p w14:paraId="7D805147" w14:textId="77777777" w:rsidR="00F44EAE" w:rsidRDefault="00AB3F43">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3CEE42D3" wp14:editId="1B8676EA">
            <wp:extent cx="4548188" cy="2733286"/>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4548188" cy="2733286"/>
                    </a:xfrm>
                    <a:prstGeom prst="rect">
                      <a:avLst/>
                    </a:prstGeom>
                    <a:ln/>
                  </pic:spPr>
                </pic:pic>
              </a:graphicData>
            </a:graphic>
          </wp:inline>
        </w:drawing>
      </w:r>
    </w:p>
    <w:p w14:paraId="3EBB13EB"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7</w:t>
      </w:r>
      <w:r>
        <w:rPr>
          <w:b/>
          <w:color w:val="000000"/>
        </w:rPr>
        <w:t>: Net Profit Margin of Tesla, Toyota and Volkswagen</w:t>
      </w:r>
    </w:p>
    <w:p w14:paraId="29F7F36B" w14:textId="77777777" w:rsidR="00F44EAE" w:rsidRDefault="00AB3F43">
      <w:pPr>
        <w:pBdr>
          <w:top w:val="nil"/>
          <w:left w:val="nil"/>
          <w:bottom w:val="nil"/>
          <w:right w:val="nil"/>
          <w:between w:val="nil"/>
        </w:pBdr>
        <w:jc w:val="center"/>
        <w:rPr>
          <w:color w:val="000000"/>
        </w:rPr>
      </w:pPr>
      <w:r>
        <w:rPr>
          <w:color w:val="000000"/>
        </w:rPr>
        <w:t>(Source: Self-Developed)</w:t>
      </w:r>
    </w:p>
    <w:p w14:paraId="28420991" w14:textId="77777777" w:rsidR="00F44EAE" w:rsidRDefault="00AB3F43">
      <w:pPr>
        <w:pBdr>
          <w:top w:val="nil"/>
          <w:left w:val="nil"/>
          <w:bottom w:val="nil"/>
          <w:right w:val="nil"/>
          <w:between w:val="nil"/>
        </w:pBdr>
        <w:rPr>
          <w:color w:val="000000"/>
        </w:rPr>
      </w:pPr>
      <w:r>
        <w:rPr>
          <w:color w:val="000000"/>
        </w:rPr>
        <w:t xml:space="preserve">According to the </w:t>
      </w:r>
      <w:r>
        <w:rPr>
          <w:b/>
          <w:i/>
          <w:color w:val="000000"/>
        </w:rPr>
        <w:t>“ROCE”</w:t>
      </w:r>
      <w:r>
        <w:rPr>
          <w:color w:val="000000"/>
        </w:rPr>
        <w:t xml:space="preserve">, </w:t>
      </w:r>
      <w:r>
        <w:rPr>
          <w:b/>
          <w:i/>
          <w:color w:val="000000"/>
        </w:rPr>
        <w:t>Tesla</w:t>
      </w:r>
      <w:r>
        <w:rPr>
          <w:color w:val="000000"/>
        </w:rPr>
        <w:t xml:space="preserve"> also significantly improved until 2022. However, the company has experienced a sharp decline in recent years, impacting its financial performance. In 2019, they were at 0%, while they increased to 5.26% in 2020 (</w:t>
      </w:r>
      <w:proofErr w:type="spellStart"/>
      <w:r>
        <w:rPr>
          <w:color w:val="000000"/>
        </w:rPr>
        <w:t>Wsj</w:t>
      </w:r>
      <w:proofErr w:type="spellEnd"/>
      <w:r>
        <w:rPr>
          <w:color w:val="000000"/>
        </w:rPr>
        <w:t xml:space="preserve">, 2024). Again, in 2021, the company experienced a sharp increase, represented by a ratio of 15.31%. The same increase continued in 2022, a ratio of 24.86%. However, in 2023, the ratio heavily declined to 11.42%. </w:t>
      </w:r>
    </w:p>
    <w:p w14:paraId="0875D446" w14:textId="77777777" w:rsidR="00F44EAE" w:rsidRDefault="00AB3F43">
      <w:pPr>
        <w:pBdr>
          <w:top w:val="nil"/>
          <w:left w:val="nil"/>
          <w:bottom w:val="nil"/>
          <w:right w:val="nil"/>
          <w:between w:val="nil"/>
        </w:pBdr>
        <w:rPr>
          <w:color w:val="000000"/>
        </w:rPr>
      </w:pPr>
      <w:r>
        <w:rPr>
          <w:color w:val="000000"/>
        </w:rPr>
        <w:t xml:space="preserve">In comparison, </w:t>
      </w:r>
      <w:r>
        <w:rPr>
          <w:b/>
          <w:i/>
          <w:color w:val="000000"/>
        </w:rPr>
        <w:t>Toyota</w:t>
      </w:r>
      <w:r>
        <w:rPr>
          <w:color w:val="000000"/>
        </w:rPr>
        <w:t xml:space="preserve"> has experienced a sharp decline in the ratio from 2019 to 2023. In 2019, the ratio was 7.27%, reaching 5.41% after several fluctuations over the last five years </w:t>
      </w:r>
      <w:r>
        <w:rPr>
          <w:color w:val="000000"/>
          <w:highlight w:val="white"/>
        </w:rPr>
        <w:t>(Toyota Industries, 2023)</w:t>
      </w:r>
      <w:r>
        <w:rPr>
          <w:color w:val="000000"/>
        </w:rPr>
        <w:t xml:space="preserve">. Even </w:t>
      </w:r>
      <w:r>
        <w:rPr>
          <w:b/>
          <w:i/>
          <w:color w:val="000000"/>
        </w:rPr>
        <w:t>Volkswagen</w:t>
      </w:r>
      <w:r>
        <w:rPr>
          <w:color w:val="000000"/>
        </w:rPr>
        <w:t xml:space="preserve"> has experienced a lower financial performance than Tesla. However, Volkswagen has represented a better performance than Toyota but failed to match it with Tesla. In 2019, the ratio of 5.25% </w:t>
      </w:r>
      <w:r>
        <w:t>will</w:t>
      </w:r>
      <w:r>
        <w:rPr>
          <w:color w:val="000000"/>
        </w:rPr>
        <w:t xml:space="preserve"> become 5.09% after several fluctuations in 2023. </w:t>
      </w:r>
    </w:p>
    <w:p w14:paraId="2B5D37AE" w14:textId="77777777" w:rsidR="00F44EAE" w:rsidRDefault="00AB3F43">
      <w:pPr>
        <w:pBdr>
          <w:top w:val="nil"/>
          <w:left w:val="nil"/>
          <w:bottom w:val="nil"/>
          <w:right w:val="nil"/>
          <w:between w:val="nil"/>
        </w:pBdr>
        <w:rPr>
          <w:color w:val="000000"/>
        </w:rPr>
      </w:pPr>
      <w:r>
        <w:rPr>
          <w:color w:val="000000"/>
        </w:rPr>
        <w:t xml:space="preserve">So, the overall comparison concludes that the profitability status of Tesla is better than Toyota and Volkswagen, represented by both the Net Profit Margin and ROCE. </w:t>
      </w:r>
    </w:p>
    <w:p w14:paraId="322DD52B" w14:textId="77777777" w:rsidR="00F44EAE" w:rsidRDefault="00AB3F43">
      <w:pPr>
        <w:pBdr>
          <w:top w:val="nil"/>
          <w:left w:val="nil"/>
          <w:bottom w:val="nil"/>
          <w:right w:val="nil"/>
          <w:between w:val="nil"/>
        </w:pBdr>
        <w:rPr>
          <w:b/>
          <w:i/>
          <w:color w:val="000000"/>
        </w:rPr>
      </w:pPr>
      <w:r>
        <w:rPr>
          <w:b/>
          <w:i/>
          <w:color w:val="000000"/>
        </w:rPr>
        <w:t xml:space="preserve">Liquidity Ratios </w:t>
      </w:r>
    </w:p>
    <w:p w14:paraId="2357ACFD" w14:textId="77777777" w:rsidR="00F44EAE" w:rsidRDefault="00AB3F43">
      <w:pPr>
        <w:pBdr>
          <w:top w:val="nil"/>
          <w:left w:val="nil"/>
          <w:bottom w:val="nil"/>
          <w:right w:val="nil"/>
          <w:between w:val="nil"/>
        </w:pBdr>
        <w:rPr>
          <w:color w:val="000000"/>
        </w:rPr>
      </w:pPr>
      <w:r>
        <w:rPr>
          <w:color w:val="000000"/>
        </w:rPr>
        <w:lastRenderedPageBreak/>
        <w:t xml:space="preserve">According to the </w:t>
      </w:r>
      <w:r>
        <w:rPr>
          <w:b/>
          <w:i/>
          <w:color w:val="000000"/>
        </w:rPr>
        <w:t>“Current Ratio”</w:t>
      </w:r>
      <w:r>
        <w:rPr>
          <w:color w:val="000000"/>
        </w:rPr>
        <w:t xml:space="preserve">, </w:t>
      </w:r>
      <w:r>
        <w:rPr>
          <w:b/>
          <w:i/>
          <w:color w:val="000000"/>
        </w:rPr>
        <w:t>Tesla's</w:t>
      </w:r>
      <w:r>
        <w:rPr>
          <w:color w:val="000000"/>
        </w:rPr>
        <w:t xml:space="preserve"> performance has improved in the last five years. In 2019, the ratio was 1.13, which drastically increased to 1.87 in 2020 (</w:t>
      </w:r>
      <w:proofErr w:type="spellStart"/>
      <w:r>
        <w:rPr>
          <w:color w:val="000000"/>
        </w:rPr>
        <w:t>Wsj</w:t>
      </w:r>
      <w:proofErr w:type="spellEnd"/>
      <w:r>
        <w:rPr>
          <w:color w:val="000000"/>
        </w:rPr>
        <w:t xml:space="preserve">, 2024). However, Tesla experienced a sharp fall in 2021, but in the two subsequent years, they have improved their performance, represented by the ratios of 1.53 and 1.72 in 2022 and 2023, respectively. </w:t>
      </w:r>
    </w:p>
    <w:p w14:paraId="75941BA1" w14:textId="77777777" w:rsidR="00F44EAE" w:rsidRDefault="00AB3F43">
      <w:pPr>
        <w:pBdr>
          <w:top w:val="nil"/>
          <w:left w:val="nil"/>
          <w:bottom w:val="nil"/>
          <w:right w:val="nil"/>
          <w:between w:val="nil"/>
        </w:pBdr>
        <w:rPr>
          <w:color w:val="000000"/>
        </w:rPr>
      </w:pPr>
      <w:r>
        <w:rPr>
          <w:color w:val="000000"/>
        </w:rPr>
        <w:t xml:space="preserve">In comparison, </w:t>
      </w:r>
      <w:r>
        <w:rPr>
          <w:b/>
          <w:i/>
          <w:color w:val="000000"/>
        </w:rPr>
        <w:t>Toyota's</w:t>
      </w:r>
      <w:r>
        <w:rPr>
          <w:color w:val="000000"/>
        </w:rPr>
        <w:t xml:space="preserve"> performance is still lower than Tesla's. In 2019, the ratio was 1.03, slightly increasing to 1.04 in 2020 and 1.06 in 2021. In the two consecutive years of 2022 and 2023, the ratio increased at the same level and became 1.08 and 1.10 (</w:t>
      </w:r>
      <w:proofErr w:type="spellStart"/>
      <w:r>
        <w:rPr>
          <w:color w:val="000000"/>
        </w:rPr>
        <w:t>Wsj</w:t>
      </w:r>
      <w:proofErr w:type="spellEnd"/>
      <w:r>
        <w:rPr>
          <w:color w:val="000000"/>
        </w:rPr>
        <w:t xml:space="preserve">, 2024). So, compared with Tesla, Toyota needs to improve its liquidity performance. The performance of </w:t>
      </w:r>
      <w:r>
        <w:rPr>
          <w:b/>
          <w:i/>
          <w:color w:val="000000"/>
        </w:rPr>
        <w:t>Volkswagen</w:t>
      </w:r>
      <w:r>
        <w:rPr>
          <w:color w:val="000000"/>
        </w:rPr>
        <w:t xml:space="preserve"> is also present in the study to maintain competitiveness. In the last five years, the ratio has increased from 1.15 to 1.19 despite a significant increase till 2022. </w:t>
      </w:r>
    </w:p>
    <w:p w14:paraId="4DF4F8C2" w14:textId="77777777" w:rsidR="00F44EAE" w:rsidRDefault="00AB3F43">
      <w:pPr>
        <w:pBdr>
          <w:top w:val="nil"/>
          <w:left w:val="nil"/>
          <w:bottom w:val="nil"/>
          <w:right w:val="nil"/>
          <w:between w:val="nil"/>
        </w:pBdr>
        <w:jc w:val="center"/>
        <w:rPr>
          <w:color w:val="000000"/>
        </w:rPr>
      </w:pPr>
      <w:r>
        <w:rPr>
          <w:noProof/>
          <w:color w:val="000000"/>
        </w:rPr>
        <w:drawing>
          <wp:inline distT="114300" distB="114300" distL="114300" distR="114300" wp14:anchorId="108CB5D1" wp14:editId="0127DF5B">
            <wp:extent cx="4540910" cy="2728913"/>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540910" cy="2728913"/>
                    </a:xfrm>
                    <a:prstGeom prst="rect">
                      <a:avLst/>
                    </a:prstGeom>
                    <a:ln/>
                  </pic:spPr>
                </pic:pic>
              </a:graphicData>
            </a:graphic>
          </wp:inline>
        </w:drawing>
      </w:r>
    </w:p>
    <w:p w14:paraId="49F7FB53"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8</w:t>
      </w:r>
      <w:r>
        <w:rPr>
          <w:b/>
          <w:color w:val="000000"/>
        </w:rPr>
        <w:t>: Current Ratio of Tesla, Toyota and Volkswagen</w:t>
      </w:r>
    </w:p>
    <w:p w14:paraId="4971789E" w14:textId="77777777" w:rsidR="00F44EAE" w:rsidRDefault="00AB3F43">
      <w:pPr>
        <w:pBdr>
          <w:top w:val="nil"/>
          <w:left w:val="nil"/>
          <w:bottom w:val="nil"/>
          <w:right w:val="nil"/>
          <w:between w:val="nil"/>
        </w:pBdr>
        <w:jc w:val="center"/>
        <w:rPr>
          <w:color w:val="000000"/>
        </w:rPr>
      </w:pPr>
      <w:r>
        <w:rPr>
          <w:color w:val="000000"/>
        </w:rPr>
        <w:t>(Source: Self-Developed)</w:t>
      </w:r>
    </w:p>
    <w:p w14:paraId="212D1A98" w14:textId="77777777" w:rsidR="00F44EAE" w:rsidRDefault="00AB3F43">
      <w:pPr>
        <w:pBdr>
          <w:top w:val="nil"/>
          <w:left w:val="nil"/>
          <w:bottom w:val="nil"/>
          <w:right w:val="nil"/>
          <w:between w:val="nil"/>
        </w:pBdr>
        <w:rPr>
          <w:color w:val="000000"/>
        </w:rPr>
      </w:pPr>
      <w:r>
        <w:rPr>
          <w:color w:val="000000"/>
        </w:rPr>
        <w:t xml:space="preserve">According to the </w:t>
      </w:r>
      <w:r>
        <w:rPr>
          <w:b/>
          <w:i/>
          <w:color w:val="000000"/>
        </w:rPr>
        <w:t>“Quick Ratio,”</w:t>
      </w:r>
      <w:r>
        <w:rPr>
          <w:color w:val="000000"/>
        </w:rPr>
        <w:t xml:space="preserve"> a similar situation has been witnessed in </w:t>
      </w:r>
      <w:r>
        <w:rPr>
          <w:b/>
          <w:i/>
          <w:color w:val="000000"/>
        </w:rPr>
        <w:t>Tesla</w:t>
      </w:r>
      <w:r>
        <w:rPr>
          <w:color w:val="000000"/>
        </w:rPr>
        <w:t>. In 2019, the ratio was 0.80, which again experienced a boost in 2020 due to the ratio of 1.58 (</w:t>
      </w:r>
      <w:proofErr w:type="spellStart"/>
      <w:r>
        <w:rPr>
          <w:color w:val="000000"/>
        </w:rPr>
        <w:t>Wsj</w:t>
      </w:r>
      <w:proofErr w:type="spellEnd"/>
      <w:r>
        <w:rPr>
          <w:color w:val="000000"/>
        </w:rPr>
        <w:t xml:space="preserve">, 2024). However, in 2021, the ratio declined to 1.08; in 2022, it again fell to 1.05. However, the ratio will increase to 1.25 in 2023. </w:t>
      </w:r>
    </w:p>
    <w:p w14:paraId="5A6200D9" w14:textId="77777777" w:rsidR="00F44EAE" w:rsidRDefault="00AB3F43">
      <w:pPr>
        <w:pBdr>
          <w:top w:val="nil"/>
          <w:left w:val="nil"/>
          <w:bottom w:val="nil"/>
          <w:right w:val="nil"/>
          <w:between w:val="nil"/>
        </w:pBdr>
        <w:rPr>
          <w:color w:val="000000"/>
        </w:rPr>
      </w:pPr>
      <w:r>
        <w:rPr>
          <w:color w:val="000000"/>
        </w:rPr>
        <w:lastRenderedPageBreak/>
        <w:t xml:space="preserve">In contrast, </w:t>
      </w:r>
      <w:r>
        <w:rPr>
          <w:b/>
          <w:i/>
          <w:color w:val="000000"/>
        </w:rPr>
        <w:t>Toyota's</w:t>
      </w:r>
      <w:r>
        <w:rPr>
          <w:color w:val="000000"/>
        </w:rPr>
        <w:t xml:space="preserve"> ratio has slightly increased. </w:t>
      </w:r>
      <w:r>
        <w:t>In 2019</w:t>
      </w:r>
      <w:r>
        <w:rPr>
          <w:color w:val="000000"/>
        </w:rPr>
        <w:t xml:space="preserve">, it was 0.89, rising to 0.90 and 0.92 in 2020 and 2021. Despite a slight decline in 2022 to 0.91, Toyota experienced a slide increase to 0.92 in 2023. So, in comparison with Tesla, Toyota is in a lower position and needs to improve its ratio. Similarly, the comparison with </w:t>
      </w:r>
      <w:r>
        <w:rPr>
          <w:b/>
          <w:i/>
          <w:color w:val="000000"/>
        </w:rPr>
        <w:t>Volkswagen</w:t>
      </w:r>
      <w:r>
        <w:rPr>
          <w:color w:val="000000"/>
        </w:rPr>
        <w:t xml:space="preserve"> represents a similar status as Toyota. From 2019 to 20123 the ratio has shifted from 0.8 to 0.93 (</w:t>
      </w:r>
      <w:proofErr w:type="spellStart"/>
      <w:r>
        <w:rPr>
          <w:color w:val="000000"/>
        </w:rPr>
        <w:t>Wsj</w:t>
      </w:r>
      <w:proofErr w:type="spellEnd"/>
      <w:r>
        <w:rPr>
          <w:color w:val="000000"/>
        </w:rPr>
        <w:t xml:space="preserve">, 2024). However, between the five years the ratio has significantly fluctuated. Volkswagen has seen to maintain the same level of liquidity in terms of the ratio. Even in comparison with Tesla, Toyota and Volkswagen have failed to maintain the same level of competitiveness. </w:t>
      </w:r>
    </w:p>
    <w:p w14:paraId="7CC7778B" w14:textId="77777777" w:rsidR="00F44EAE" w:rsidRDefault="00AB3F43">
      <w:pPr>
        <w:pBdr>
          <w:top w:val="nil"/>
          <w:left w:val="nil"/>
          <w:bottom w:val="nil"/>
          <w:right w:val="nil"/>
          <w:between w:val="nil"/>
        </w:pBdr>
        <w:rPr>
          <w:color w:val="000000"/>
        </w:rPr>
      </w:pPr>
      <w:r>
        <w:rPr>
          <w:color w:val="000000"/>
        </w:rPr>
        <w:t xml:space="preserve">From the above comparison of the three companies based on the significant ratios under the liquidity ratio, it has been observed that Toyota and Volkswagen need to focus on their </w:t>
      </w:r>
      <w:r>
        <w:t>assets</w:t>
      </w:r>
      <w:r>
        <w:rPr>
          <w:color w:val="000000"/>
        </w:rPr>
        <w:t xml:space="preserve"> and liabilities to improve their liquidity position and maintain their competitiveness with Tesla. </w:t>
      </w:r>
    </w:p>
    <w:p w14:paraId="0B421339" w14:textId="77777777" w:rsidR="00F44EAE" w:rsidRDefault="00AB3F43">
      <w:pPr>
        <w:pBdr>
          <w:top w:val="nil"/>
          <w:left w:val="nil"/>
          <w:bottom w:val="nil"/>
          <w:right w:val="nil"/>
          <w:between w:val="nil"/>
        </w:pBdr>
        <w:rPr>
          <w:b/>
          <w:i/>
          <w:color w:val="000000"/>
        </w:rPr>
      </w:pPr>
      <w:r>
        <w:rPr>
          <w:b/>
          <w:i/>
          <w:color w:val="000000"/>
        </w:rPr>
        <w:t xml:space="preserve">Efficiency Ratios </w:t>
      </w:r>
    </w:p>
    <w:p w14:paraId="00E831C6" w14:textId="77777777" w:rsidR="00F44EAE" w:rsidRDefault="00AB3F43">
      <w:pPr>
        <w:pBdr>
          <w:top w:val="nil"/>
          <w:left w:val="nil"/>
          <w:bottom w:val="nil"/>
          <w:right w:val="nil"/>
          <w:between w:val="nil"/>
        </w:pBdr>
        <w:rPr>
          <w:color w:val="000000"/>
        </w:rPr>
      </w:pPr>
      <w:r>
        <w:rPr>
          <w:color w:val="000000"/>
        </w:rPr>
        <w:t xml:space="preserve">Based on the </w:t>
      </w:r>
      <w:r>
        <w:rPr>
          <w:b/>
          <w:i/>
          <w:color w:val="000000"/>
        </w:rPr>
        <w:t>“Asset Turnover Ratio”</w:t>
      </w:r>
      <w:r>
        <w:rPr>
          <w:color w:val="000000"/>
        </w:rPr>
        <w:t xml:space="preserve">, an increase has been witnessed in the ratios over the last five years in </w:t>
      </w:r>
      <w:r>
        <w:rPr>
          <w:b/>
          <w:i/>
          <w:color w:val="000000"/>
        </w:rPr>
        <w:t>Tesla</w:t>
      </w:r>
      <w:r>
        <w:rPr>
          <w:color w:val="000000"/>
        </w:rPr>
        <w:t xml:space="preserve">. For example, in 2019 the ratio was 0.71, which declined to 0.60 in 2020. Again, in 2021 and 2022, the increase to 0.86 and 0.98 is impressive for Tesla. However, Tesla has failed to maintain its position in 2023, </w:t>
      </w:r>
      <w:r>
        <w:t>as</w:t>
      </w:r>
      <w:r>
        <w:rPr>
          <w:color w:val="000000"/>
        </w:rPr>
        <w:t xml:space="preserve"> the ratio has declined to 0.90. </w:t>
      </w:r>
    </w:p>
    <w:p w14:paraId="66CA3804" w14:textId="77777777" w:rsidR="00F44EAE" w:rsidRDefault="00AB3F43">
      <w:pPr>
        <w:pBdr>
          <w:top w:val="nil"/>
          <w:left w:val="nil"/>
          <w:bottom w:val="nil"/>
          <w:right w:val="nil"/>
          <w:between w:val="nil"/>
        </w:pBdr>
        <w:rPr>
          <w:color w:val="000000"/>
        </w:rPr>
      </w:pPr>
      <w:r>
        <w:rPr>
          <w:color w:val="000000"/>
        </w:rPr>
        <w:t xml:space="preserve">Compared with </w:t>
      </w:r>
      <w:r>
        <w:rPr>
          <w:b/>
          <w:i/>
          <w:color w:val="000000"/>
        </w:rPr>
        <w:t>Toyota</w:t>
      </w:r>
      <w:r>
        <w:rPr>
          <w:color w:val="000000"/>
        </w:rPr>
        <w:t>, the ratio declined from 0.58 to 0.50 from 2019 to 2023. In Contrast, Tesla's ratio has increased in the past five years. However, the opposite scenario is witnessed in Toyota. Despite several declines from 2019 to 2021, the ratio increased in 2023 (</w:t>
      </w:r>
      <w:proofErr w:type="spellStart"/>
      <w:r>
        <w:rPr>
          <w:color w:val="000000"/>
        </w:rPr>
        <w:t>Wsj</w:t>
      </w:r>
      <w:proofErr w:type="spellEnd"/>
      <w:r>
        <w:rPr>
          <w:color w:val="000000"/>
        </w:rPr>
        <w:t xml:space="preserve">, 2024). In 2019, the ratio was 0.58, which declined to 0.55 in 2020 and 0.43 in 2021. Again, in 2022 and 2023, the increase has been witnessed. </w:t>
      </w:r>
    </w:p>
    <w:p w14:paraId="76D3EF68" w14:textId="77777777" w:rsidR="00F44EAE" w:rsidRDefault="00AB3F43">
      <w:pPr>
        <w:pBdr>
          <w:top w:val="nil"/>
          <w:left w:val="nil"/>
          <w:bottom w:val="nil"/>
          <w:right w:val="nil"/>
          <w:between w:val="nil"/>
        </w:pBdr>
        <w:rPr>
          <w:color w:val="000000"/>
        </w:rPr>
      </w:pPr>
      <w:r>
        <w:rPr>
          <w:b/>
          <w:i/>
          <w:color w:val="000000"/>
        </w:rPr>
        <w:t>Volkswagen's</w:t>
      </w:r>
      <w:r>
        <w:rPr>
          <w:color w:val="000000"/>
        </w:rPr>
        <w:t xml:space="preserve"> ratio has increased from 0.48 to 0.51 within five years. For example, in 2019, the ratio was 0.48, which became 0.42 in 2020 and 0.44 in 2021 (</w:t>
      </w:r>
      <w:proofErr w:type="spellStart"/>
      <w:r>
        <w:rPr>
          <w:color w:val="000000"/>
        </w:rPr>
        <w:t>Wsj</w:t>
      </w:r>
      <w:proofErr w:type="spellEnd"/>
      <w:r>
        <w:rPr>
          <w:color w:val="000000"/>
        </w:rPr>
        <w:t xml:space="preserve">, 2024). After several fluctuations, the ratio recently stands at 0.51, representing a significant improvement from Volkswagen, but the company needs to focus on the multiple fluctuations. </w:t>
      </w:r>
    </w:p>
    <w:p w14:paraId="3B945B0C" w14:textId="77777777" w:rsidR="00F44EAE" w:rsidRDefault="00AB3F43">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71B06406" wp14:editId="16FA1C57">
            <wp:extent cx="4477512" cy="2690813"/>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4477512" cy="2690813"/>
                    </a:xfrm>
                    <a:prstGeom prst="rect">
                      <a:avLst/>
                    </a:prstGeom>
                    <a:ln/>
                  </pic:spPr>
                </pic:pic>
              </a:graphicData>
            </a:graphic>
          </wp:inline>
        </w:drawing>
      </w:r>
    </w:p>
    <w:p w14:paraId="4575B559"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9</w:t>
      </w:r>
      <w:r>
        <w:rPr>
          <w:b/>
          <w:color w:val="000000"/>
        </w:rPr>
        <w:t>: Inventory Turnover of Tesla, Toyota and Volkswagen</w:t>
      </w:r>
    </w:p>
    <w:p w14:paraId="4FBAF6F1" w14:textId="77777777" w:rsidR="00F44EAE" w:rsidRDefault="00AB3F43">
      <w:pPr>
        <w:pBdr>
          <w:top w:val="nil"/>
          <w:left w:val="nil"/>
          <w:bottom w:val="nil"/>
          <w:right w:val="nil"/>
          <w:between w:val="nil"/>
        </w:pBdr>
        <w:jc w:val="center"/>
        <w:rPr>
          <w:color w:val="000000"/>
        </w:rPr>
      </w:pPr>
      <w:r>
        <w:rPr>
          <w:color w:val="000000"/>
        </w:rPr>
        <w:t>(Source: Self-Developed)</w:t>
      </w:r>
    </w:p>
    <w:p w14:paraId="52A04CB3" w14:textId="77777777" w:rsidR="00F44EAE" w:rsidRDefault="00AB3F43">
      <w:pPr>
        <w:pBdr>
          <w:top w:val="nil"/>
          <w:left w:val="nil"/>
          <w:bottom w:val="nil"/>
          <w:right w:val="nil"/>
          <w:between w:val="nil"/>
        </w:pBdr>
        <w:rPr>
          <w:color w:val="000000"/>
        </w:rPr>
      </w:pPr>
      <w:r>
        <w:rPr>
          <w:color w:val="000000"/>
        </w:rPr>
        <w:t xml:space="preserve">Again, the </w:t>
      </w:r>
      <w:r>
        <w:rPr>
          <w:b/>
          <w:i/>
          <w:color w:val="000000"/>
        </w:rPr>
        <w:t>“Inventory Turnover Ratio”</w:t>
      </w:r>
      <w:r>
        <w:rPr>
          <w:color w:val="000000"/>
        </w:rPr>
        <w:t xml:space="preserve"> represents </w:t>
      </w:r>
      <w:r>
        <w:rPr>
          <w:b/>
          <w:i/>
          <w:color w:val="000000"/>
        </w:rPr>
        <w:t>Tesla's</w:t>
      </w:r>
      <w:r>
        <w:rPr>
          <w:color w:val="000000"/>
        </w:rPr>
        <w:t xml:space="preserve"> efficiency. According to the ratio, the company has been in a similar position from 2019 to 2023. For example, in 2019, the ratio was 5.77, which increased to 6.07 in 2020. The exact ratio increased to 6.98 in 2021 (</w:t>
      </w:r>
      <w:proofErr w:type="spellStart"/>
      <w:r>
        <w:rPr>
          <w:color w:val="000000"/>
        </w:rPr>
        <w:t>Wsj</w:t>
      </w:r>
      <w:proofErr w:type="spellEnd"/>
      <w:r>
        <w:rPr>
          <w:color w:val="000000"/>
        </w:rPr>
        <w:t xml:space="preserve">, 2024). However, in 2020, the ratio declined to 4.72. Again, in 2023, the ratio increased to 5.80. </w:t>
      </w:r>
    </w:p>
    <w:p w14:paraId="6AAB3E00" w14:textId="77777777" w:rsidR="00F44EAE" w:rsidRDefault="00AB3F43">
      <w:pPr>
        <w:pBdr>
          <w:top w:val="nil"/>
          <w:left w:val="nil"/>
          <w:bottom w:val="nil"/>
          <w:right w:val="nil"/>
          <w:between w:val="nil"/>
        </w:pBdr>
        <w:rPr>
          <w:color w:val="000000"/>
        </w:rPr>
      </w:pPr>
      <w:r>
        <w:rPr>
          <w:color w:val="000000"/>
        </w:rPr>
        <w:t xml:space="preserve">In comparison, </w:t>
      </w:r>
      <w:r>
        <w:rPr>
          <w:b/>
          <w:i/>
          <w:color w:val="000000"/>
        </w:rPr>
        <w:t>Toyota</w:t>
      </w:r>
      <w:r>
        <w:rPr>
          <w:color w:val="000000"/>
        </w:rPr>
        <w:t xml:space="preserve"> has experienced a decline. From 9.33, the ratio became 7.24 within five years. However, in 2022, the ratio increased, but after that, significant modifications took place at Toyota. In comparison with Tesla, the ratio of Toyota is better. In this case, Toyota has a better proposition than Tesla, and Tesla needs to work on their inventory management. In </w:t>
      </w:r>
      <w:r>
        <w:rPr>
          <w:b/>
          <w:i/>
          <w:color w:val="000000"/>
        </w:rPr>
        <w:t>Volkswagen</w:t>
      </w:r>
      <w:r>
        <w:rPr>
          <w:color w:val="000000"/>
        </w:rPr>
        <w:t>, the ratio is similar to Tesla. In Volkswagen, the ratio was 4.34 in 2019, declining to 4.19 in 2020. Despite an increase in 2021, the company experienced a decline in the ratio in 2022. In 2023, the ratio stands at 4.85 (</w:t>
      </w:r>
      <w:proofErr w:type="spellStart"/>
      <w:r>
        <w:rPr>
          <w:color w:val="000000"/>
        </w:rPr>
        <w:t>Wsj</w:t>
      </w:r>
      <w:proofErr w:type="spellEnd"/>
      <w:r>
        <w:rPr>
          <w:color w:val="000000"/>
        </w:rPr>
        <w:t xml:space="preserve">, 2024). So, in comparison with Tesla, Volkswagen has a similar situation regarding its inventory management. </w:t>
      </w:r>
    </w:p>
    <w:p w14:paraId="46767113" w14:textId="77777777" w:rsidR="00F44EAE" w:rsidRDefault="00AB3F43">
      <w:pPr>
        <w:pBdr>
          <w:top w:val="nil"/>
          <w:left w:val="nil"/>
          <w:bottom w:val="nil"/>
          <w:right w:val="nil"/>
          <w:between w:val="nil"/>
        </w:pBdr>
        <w:rPr>
          <w:color w:val="000000"/>
        </w:rPr>
      </w:pPr>
      <w:r>
        <w:rPr>
          <w:color w:val="000000"/>
        </w:rPr>
        <w:t xml:space="preserve">So, the efficiency ratio analysis concludes that both Toyota and Volkswagen are competitors of Tesla in the automotive industry. However, according to the ratios, Tesla is still leading these two companies. </w:t>
      </w:r>
    </w:p>
    <w:p w14:paraId="48DCAF08" w14:textId="77777777" w:rsidR="00F44EAE" w:rsidRDefault="00AB3F43">
      <w:pPr>
        <w:pBdr>
          <w:top w:val="nil"/>
          <w:left w:val="nil"/>
          <w:bottom w:val="nil"/>
          <w:right w:val="nil"/>
          <w:between w:val="nil"/>
        </w:pBdr>
        <w:rPr>
          <w:b/>
          <w:i/>
          <w:color w:val="000000"/>
        </w:rPr>
      </w:pPr>
      <w:r>
        <w:rPr>
          <w:b/>
          <w:i/>
          <w:color w:val="000000"/>
        </w:rPr>
        <w:lastRenderedPageBreak/>
        <w:t xml:space="preserve">Gearing Ratios   </w:t>
      </w:r>
    </w:p>
    <w:p w14:paraId="5533AA89"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“Debt to Equity Ratio”</w:t>
      </w:r>
      <w:r>
        <w:rPr>
          <w:color w:val="000000"/>
        </w:rPr>
        <w:t xml:space="preserve"> compares the performance of the three automotive companies in the last five years. In 2019, </w:t>
      </w:r>
      <w:r>
        <w:rPr>
          <w:b/>
          <w:i/>
          <w:color w:val="000000"/>
        </w:rPr>
        <w:t>Tesla's</w:t>
      </w:r>
      <w:r>
        <w:rPr>
          <w:color w:val="000000"/>
        </w:rPr>
        <w:t xml:space="preserve"> ratio was 3.23, which heavily declined to 1.20 in 2020 (</w:t>
      </w:r>
      <w:proofErr w:type="spellStart"/>
      <w:r>
        <w:rPr>
          <w:color w:val="000000"/>
        </w:rPr>
        <w:t>Wsj</w:t>
      </w:r>
      <w:proofErr w:type="spellEnd"/>
      <w:r>
        <w:rPr>
          <w:color w:val="000000"/>
        </w:rPr>
        <w:t xml:space="preserve">, 2024). Again, the decline was maintained in the previous three years, 2021, 2022, and 2023. Presently, the ratio stands at 0.67, compared with 3.23 in 2019. </w:t>
      </w:r>
    </w:p>
    <w:p w14:paraId="3A222170" w14:textId="77777777" w:rsidR="00F44EAE" w:rsidRDefault="00AB3F43">
      <w:pPr>
        <w:pBdr>
          <w:top w:val="nil"/>
          <w:left w:val="nil"/>
          <w:bottom w:val="nil"/>
          <w:right w:val="nil"/>
          <w:between w:val="nil"/>
        </w:pBdr>
        <w:rPr>
          <w:color w:val="000000"/>
        </w:rPr>
      </w:pPr>
      <w:r>
        <w:rPr>
          <w:color w:val="000000"/>
        </w:rPr>
        <w:t xml:space="preserve">In contrast, </w:t>
      </w:r>
      <w:r>
        <w:rPr>
          <w:b/>
          <w:i/>
          <w:color w:val="000000"/>
        </w:rPr>
        <w:t>Toyota's</w:t>
      </w:r>
      <w:r>
        <w:rPr>
          <w:color w:val="000000"/>
        </w:rPr>
        <w:t xml:space="preserve"> ratio represents a flight increase from 1.52 to 1.53 from 2019 to 2020. Despite a slight dip in 2022, the ratio needs to improve. Finally, compared with </w:t>
      </w:r>
      <w:r>
        <w:rPr>
          <w:b/>
          <w:i/>
          <w:color w:val="000000"/>
        </w:rPr>
        <w:t>Volkswagen</w:t>
      </w:r>
      <w:r>
        <w:rPr>
          <w:color w:val="000000"/>
        </w:rPr>
        <w:t>, the ratio is higher than Toyota and Tesla's (</w:t>
      </w:r>
      <w:proofErr w:type="spellStart"/>
      <w:r>
        <w:rPr>
          <w:color w:val="000000"/>
        </w:rPr>
        <w:t>Wsj</w:t>
      </w:r>
      <w:proofErr w:type="spellEnd"/>
      <w:r>
        <w:rPr>
          <w:color w:val="000000"/>
        </w:rPr>
        <w:t xml:space="preserve">, 2024). In Volkswagen, the ratio was 3.66 in 29, slightly increasing to 3.67 in 2020. However, the ratio started to decline after 2020, and it became 2.60 in 2023. Volkswagen is present in a tough competition between the two companies. </w:t>
      </w:r>
    </w:p>
    <w:p w14:paraId="4A698D18" w14:textId="77777777" w:rsidR="00F44EAE" w:rsidRDefault="00AB3F43">
      <w:pPr>
        <w:pBdr>
          <w:top w:val="nil"/>
          <w:left w:val="nil"/>
          <w:bottom w:val="nil"/>
          <w:right w:val="nil"/>
          <w:between w:val="nil"/>
        </w:pBdr>
        <w:jc w:val="center"/>
        <w:rPr>
          <w:color w:val="000000"/>
        </w:rPr>
      </w:pPr>
      <w:r>
        <w:rPr>
          <w:noProof/>
          <w:color w:val="000000"/>
        </w:rPr>
        <w:drawing>
          <wp:inline distT="114300" distB="114300" distL="114300" distR="114300" wp14:anchorId="141DF2AD" wp14:editId="5BF38BBF">
            <wp:extent cx="4985984" cy="2996385"/>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985984" cy="2996385"/>
                    </a:xfrm>
                    <a:prstGeom prst="rect">
                      <a:avLst/>
                    </a:prstGeom>
                    <a:ln/>
                  </pic:spPr>
                </pic:pic>
              </a:graphicData>
            </a:graphic>
          </wp:inline>
        </w:drawing>
      </w:r>
    </w:p>
    <w:p w14:paraId="4E56AF87" w14:textId="77777777" w:rsidR="00F44EAE" w:rsidRDefault="00AB3F43">
      <w:pPr>
        <w:pBdr>
          <w:top w:val="nil"/>
          <w:left w:val="nil"/>
          <w:bottom w:val="nil"/>
          <w:right w:val="nil"/>
          <w:between w:val="nil"/>
        </w:pBdr>
        <w:jc w:val="center"/>
        <w:rPr>
          <w:b/>
          <w:color w:val="000000"/>
        </w:rPr>
      </w:pPr>
      <w:r>
        <w:rPr>
          <w:b/>
          <w:color w:val="000000"/>
        </w:rPr>
        <w:t xml:space="preserve">Figure </w:t>
      </w:r>
      <w:r>
        <w:rPr>
          <w:b/>
        </w:rPr>
        <w:t>10</w:t>
      </w:r>
      <w:r>
        <w:rPr>
          <w:b/>
          <w:color w:val="000000"/>
        </w:rPr>
        <w:t>: Asset to Liability Ratio of Tesla, Toyota and Volkswagen</w:t>
      </w:r>
    </w:p>
    <w:p w14:paraId="6E98B7C4" w14:textId="77777777" w:rsidR="00F44EAE" w:rsidRDefault="00AB3F43">
      <w:pPr>
        <w:pBdr>
          <w:top w:val="nil"/>
          <w:left w:val="nil"/>
          <w:bottom w:val="nil"/>
          <w:right w:val="nil"/>
          <w:between w:val="nil"/>
        </w:pBdr>
        <w:jc w:val="center"/>
        <w:rPr>
          <w:color w:val="000000"/>
        </w:rPr>
      </w:pPr>
      <w:r>
        <w:rPr>
          <w:color w:val="000000"/>
        </w:rPr>
        <w:t>(Source: Self-Developed)</w:t>
      </w:r>
    </w:p>
    <w:p w14:paraId="73CEBF5A" w14:textId="77777777" w:rsidR="00F44EAE" w:rsidRDefault="00AB3F43">
      <w:pPr>
        <w:pBdr>
          <w:top w:val="nil"/>
          <w:left w:val="nil"/>
          <w:bottom w:val="nil"/>
          <w:right w:val="nil"/>
          <w:between w:val="nil"/>
        </w:pBdr>
        <w:rPr>
          <w:color w:val="000000"/>
        </w:rPr>
      </w:pPr>
      <w:r>
        <w:rPr>
          <w:color w:val="000000"/>
        </w:rPr>
        <w:t xml:space="preserve">The </w:t>
      </w:r>
      <w:r>
        <w:rPr>
          <w:b/>
          <w:i/>
          <w:color w:val="000000"/>
        </w:rPr>
        <w:t>“Asset to Liability Ratio”</w:t>
      </w:r>
      <w:r>
        <w:rPr>
          <w:color w:val="000000"/>
        </w:rPr>
        <w:t xml:space="preserve"> represents the competitiveness between the three companies in the automotive sector. In 2019, </w:t>
      </w:r>
      <w:r>
        <w:rPr>
          <w:b/>
          <w:i/>
          <w:color w:val="000000"/>
        </w:rPr>
        <w:t>Tesla</w:t>
      </w:r>
      <w:r>
        <w:rPr>
          <w:color w:val="000000"/>
        </w:rPr>
        <w:t xml:space="preserve"> witnessed an increase of 0.76, which declined to 20.54 and 0.49 in 2020 and 2021. In the two consecutive years, 2022 and 2023, the decline remained, represented </w:t>
      </w:r>
      <w:r>
        <w:rPr>
          <w:color w:val="000000"/>
        </w:rPr>
        <w:lastRenderedPageBreak/>
        <w:t>by the figures 0.44 and 0.40 (</w:t>
      </w:r>
      <w:proofErr w:type="spellStart"/>
      <w:r>
        <w:rPr>
          <w:color w:val="000000"/>
        </w:rPr>
        <w:t>Wsj</w:t>
      </w:r>
      <w:proofErr w:type="spellEnd"/>
      <w:r>
        <w:rPr>
          <w:color w:val="000000"/>
        </w:rPr>
        <w:t xml:space="preserve">, 2024). So, over the last five years, Tesla has experienced a declining ratio, demonstrating a negative aspect. </w:t>
      </w:r>
    </w:p>
    <w:p w14:paraId="5D8FE84A" w14:textId="77777777" w:rsidR="00F44EAE" w:rsidRDefault="00AB3F43">
      <w:pPr>
        <w:pBdr>
          <w:top w:val="nil"/>
          <w:left w:val="nil"/>
          <w:bottom w:val="nil"/>
          <w:right w:val="nil"/>
          <w:between w:val="nil"/>
        </w:pBdr>
        <w:rPr>
          <w:color w:val="000000"/>
        </w:rPr>
      </w:pPr>
      <w:r>
        <w:rPr>
          <w:color w:val="000000"/>
        </w:rPr>
        <w:t xml:space="preserve">In comparison, </w:t>
      </w:r>
      <w:r>
        <w:rPr>
          <w:b/>
          <w:i/>
          <w:color w:val="000000"/>
        </w:rPr>
        <w:t>Toyota's</w:t>
      </w:r>
      <w:r>
        <w:rPr>
          <w:color w:val="000000"/>
        </w:rPr>
        <w:t xml:space="preserve"> ratio has remained similar over the last five years. The changes in the ratio have not impacted the organisation, and it should focus on improving the ratio not only to maintain the competitive landscape in the automotive industry but also to remain a profitable and efficient business. Lastly, </w:t>
      </w:r>
      <w:r>
        <w:rPr>
          <w:b/>
          <w:i/>
          <w:color w:val="000000"/>
        </w:rPr>
        <w:t>Volkswagen's</w:t>
      </w:r>
      <w:r>
        <w:rPr>
          <w:color w:val="000000"/>
        </w:rPr>
        <w:t xml:space="preserve"> ratio declined from 0.78 to 0.72 (</w:t>
      </w:r>
      <w:proofErr w:type="spellStart"/>
      <w:r>
        <w:rPr>
          <w:color w:val="000000"/>
        </w:rPr>
        <w:t>Wsj</w:t>
      </w:r>
      <w:proofErr w:type="spellEnd"/>
      <w:r>
        <w:rPr>
          <w:color w:val="000000"/>
        </w:rPr>
        <w:t xml:space="preserve">, 2024). Within the last five years, a decline has been witnessed in Volkswagen. </w:t>
      </w:r>
    </w:p>
    <w:p w14:paraId="74CF3DD0" w14:textId="77777777" w:rsidR="00F44EAE" w:rsidRDefault="00AB3F43">
      <w:pPr>
        <w:pBdr>
          <w:top w:val="nil"/>
          <w:left w:val="nil"/>
          <w:bottom w:val="nil"/>
          <w:right w:val="nil"/>
          <w:between w:val="nil"/>
        </w:pBdr>
        <w:rPr>
          <w:color w:val="000000"/>
        </w:rPr>
      </w:pPr>
      <w:r>
        <w:rPr>
          <w:color w:val="000000"/>
        </w:rPr>
        <w:t xml:space="preserve">The three companies are in a competitive landscape based on the gearing ratio. However, Toyota still lags in this competitive landscape. </w:t>
      </w:r>
    </w:p>
    <w:p w14:paraId="4D835A16" w14:textId="77777777" w:rsidR="00F44EAE" w:rsidRDefault="00AB3F43">
      <w:pPr>
        <w:pStyle w:val="Heading2"/>
      </w:pPr>
      <w:bookmarkStart w:id="17" w:name="_Toc171616548"/>
      <w:r>
        <w:t>Recommendations to improve financial management</w:t>
      </w:r>
      <w:bookmarkEnd w:id="17"/>
      <w:r>
        <w:t xml:space="preserve"> </w:t>
      </w:r>
    </w:p>
    <w:p w14:paraId="4323CBD8" w14:textId="77777777" w:rsidR="00F44EAE" w:rsidRDefault="00AB3F43">
      <w:r>
        <w:t>Improving financial Management for the organisation is directly associated with addressing fundamental issues highlighted in the ratio analysis and the company balance sheet. Here in the following section, possible recommendations on how it could enhance its financial management have been presented. </w:t>
      </w:r>
    </w:p>
    <w:p w14:paraId="4F4FECBE" w14:textId="77777777" w:rsidR="00F44EAE" w:rsidRDefault="00AB3F43">
      <w:pPr>
        <w:pBdr>
          <w:top w:val="nil"/>
          <w:left w:val="nil"/>
          <w:bottom w:val="nil"/>
          <w:right w:val="nil"/>
          <w:between w:val="nil"/>
        </w:pBdr>
        <w:spacing w:before="0" w:after="0" w:line="240" w:lineRule="auto"/>
        <w:rPr>
          <w:color w:val="000000"/>
        </w:rPr>
      </w:pPr>
      <w:r>
        <w:rPr>
          <w:b/>
          <w:color w:val="000000"/>
        </w:rPr>
        <w:t>Enhancing profitability </w:t>
      </w:r>
    </w:p>
    <w:p w14:paraId="483A159B" w14:textId="77777777" w:rsidR="00F44EAE" w:rsidRDefault="00AB3F43">
      <w:r>
        <w:rPr>
          <w:b/>
        </w:rPr>
        <w:t>Increase gross profit margin:</w:t>
      </w:r>
      <w:r>
        <w:t xml:space="preserve"> The organisation should focus on reducing its cost of goods sold relative to its revenue. This process could be achieved through better supply chain management optimisation and maintaining structural negotiation between different suppliers for profound manufacturing process optimisation.</w:t>
      </w:r>
    </w:p>
    <w:p w14:paraId="775BBA51" w14:textId="77777777" w:rsidR="00F44EAE" w:rsidRDefault="00AB3F43">
      <w:r>
        <w:rPr>
          <w:b/>
        </w:rPr>
        <w:t xml:space="preserve">Boosting return on capital employed: </w:t>
      </w:r>
      <w:r>
        <w:t>Despite having a profound margin of return on capital employed, it has been indicated that over recent years, it needs improvement and sustainability towards efficient asset utilisation (</w:t>
      </w:r>
      <w:r>
        <w:rPr>
          <w:color w:val="222222"/>
          <w:highlight w:val="white"/>
        </w:rPr>
        <w:t>Kim, Fallov and Groom, 2020)</w:t>
      </w:r>
      <w:r>
        <w:t>. To do so, the company should acknowledge continuous investment into high-return projects by closely monitoring the overall capital allocation to maximise the margin of business profitability. </w:t>
      </w:r>
    </w:p>
    <w:p w14:paraId="15079B8E" w14:textId="77777777" w:rsidR="00F44EAE" w:rsidRDefault="00AB3F43">
      <w:pPr>
        <w:pBdr>
          <w:top w:val="nil"/>
          <w:left w:val="nil"/>
          <w:bottom w:val="nil"/>
          <w:right w:val="nil"/>
          <w:between w:val="nil"/>
        </w:pBdr>
        <w:spacing w:before="0" w:after="0" w:line="240" w:lineRule="auto"/>
        <w:rPr>
          <w:color w:val="000000"/>
        </w:rPr>
      </w:pPr>
      <w:r>
        <w:rPr>
          <w:b/>
          <w:color w:val="000000"/>
        </w:rPr>
        <w:t>Improving liquidity: </w:t>
      </w:r>
    </w:p>
    <w:p w14:paraId="5FE7603D" w14:textId="77777777" w:rsidR="00F44EAE" w:rsidRDefault="00AB3F43">
      <w:r>
        <w:rPr>
          <w:b/>
        </w:rPr>
        <w:t>Modifying current and quick ratio</w:t>
      </w:r>
      <w:r>
        <w:t xml:space="preserve">: It has been acknowledged that it should acknowledge a liquidity ratio with reasonable short-term solvency so that greater management of the higher ratio </w:t>
      </w:r>
      <w:r>
        <w:lastRenderedPageBreak/>
        <w:t>can be enhanced for flexible financial conditions. This should be achieved by maintaining a business capital structure and working capital to maintain sufficient cash reserves.</w:t>
      </w:r>
    </w:p>
    <w:p w14:paraId="4A63F334" w14:textId="77777777" w:rsidR="00F44EAE" w:rsidRDefault="00AB3F43">
      <w:pPr>
        <w:pBdr>
          <w:top w:val="nil"/>
          <w:left w:val="nil"/>
          <w:bottom w:val="nil"/>
          <w:right w:val="nil"/>
          <w:between w:val="nil"/>
        </w:pBdr>
        <w:spacing w:before="0" w:after="0" w:line="240" w:lineRule="auto"/>
        <w:rPr>
          <w:color w:val="000000"/>
        </w:rPr>
      </w:pPr>
      <w:r>
        <w:rPr>
          <w:b/>
          <w:color w:val="000000"/>
        </w:rPr>
        <w:t>Enhancing Efficiency:</w:t>
      </w:r>
      <w:r>
        <w:rPr>
          <w:color w:val="000000"/>
        </w:rPr>
        <w:t> </w:t>
      </w:r>
    </w:p>
    <w:p w14:paraId="7775F312" w14:textId="77777777" w:rsidR="00F44EAE" w:rsidRDefault="00AB3F43">
      <w:r>
        <w:rPr>
          <w:b/>
        </w:rPr>
        <w:t xml:space="preserve">Increase Asset Turnover: </w:t>
      </w:r>
      <w:r>
        <w:t>Considering the calculated ratio analysis, it has been found that the asset turnover ratio has experienced profound fluctuation after completion. To improve it, it is essential to optimise the organisation's inventory turnover acceleration and efficiency in the production process. This is considered necessary for reducing idle inventory and focusing on cash flow improvements.</w:t>
      </w:r>
    </w:p>
    <w:p w14:paraId="02FAE9F0" w14:textId="2C810902" w:rsidR="00F44EAE" w:rsidRDefault="00AB3F43">
      <w:r>
        <w:rPr>
          <w:b/>
        </w:rPr>
        <w:t>Optimise Inventory Management:</w:t>
      </w:r>
      <w:r>
        <w:t xml:space="preserve"> Despite having a reasonable margin of inventory turnover </w:t>
      </w:r>
      <w:r w:rsidR="00D057AD">
        <w:t>ratio, should</w:t>
      </w:r>
      <w:r>
        <w:t xml:space="preserve"> acknowledge streamlining the inventory level to reduce the holding cost and enhance the company's liquidity.</w:t>
      </w:r>
    </w:p>
    <w:p w14:paraId="6EED3AFB" w14:textId="77777777" w:rsidR="00F44EAE" w:rsidRDefault="00AB3F43">
      <w:pPr>
        <w:pBdr>
          <w:top w:val="nil"/>
          <w:left w:val="nil"/>
          <w:bottom w:val="nil"/>
          <w:right w:val="nil"/>
          <w:between w:val="nil"/>
        </w:pBdr>
        <w:spacing w:before="0" w:after="0" w:line="240" w:lineRule="auto"/>
        <w:rPr>
          <w:color w:val="000000"/>
        </w:rPr>
      </w:pPr>
      <w:r>
        <w:rPr>
          <w:b/>
          <w:color w:val="000000"/>
        </w:rPr>
        <w:t>Managing Gearing and Financial Structure:</w:t>
      </w:r>
    </w:p>
    <w:p w14:paraId="1DFCA221" w14:textId="77777777" w:rsidR="00F44EAE" w:rsidRDefault="00AB3F43">
      <w:r>
        <w:rPr>
          <w:b/>
        </w:rPr>
        <w:t>Reduce Debt to Equity Ratio:</w:t>
      </w:r>
      <w:r>
        <w:t xml:space="preserve">   should focus on reducing its business Reliance on debt financing. This process directly integrates with refinancing high-cost debt, increasing equity throughout profitable business operations to issue equity capital.</w:t>
      </w:r>
    </w:p>
    <w:p w14:paraId="7FE4889A" w14:textId="77777777" w:rsidR="00F44EAE" w:rsidRDefault="00AB3F43">
      <w:r>
        <w:rPr>
          <w:b/>
        </w:rPr>
        <w:t xml:space="preserve">Maintain Optimal Debt Levels: </w:t>
      </w:r>
      <w:r>
        <w:t>Debt can benefit business growth, but needs to ensure that the organisation's debt-to-asset ratio becomes manageable to mitigate radical financial risk.</w:t>
      </w:r>
    </w:p>
    <w:p w14:paraId="7D597A1F" w14:textId="77777777" w:rsidR="00F44EAE" w:rsidRDefault="00AB3F43">
      <w:pPr>
        <w:pBdr>
          <w:top w:val="nil"/>
          <w:left w:val="nil"/>
          <w:bottom w:val="nil"/>
          <w:right w:val="nil"/>
          <w:between w:val="nil"/>
        </w:pBdr>
        <w:spacing w:before="0" w:after="0" w:line="240" w:lineRule="auto"/>
        <w:rPr>
          <w:color w:val="000000"/>
        </w:rPr>
      </w:pPr>
      <w:r>
        <w:rPr>
          <w:b/>
          <w:color w:val="000000"/>
        </w:rPr>
        <w:t>Strategic Recommendations:</w:t>
      </w:r>
    </w:p>
    <w:p w14:paraId="6CAEF2F7" w14:textId="77777777" w:rsidR="00F44EAE" w:rsidRDefault="00AB3F43">
      <w:r>
        <w:t>It has been recommended that the organisation prioritise growth measures with a long-term vision in alignment with market demand so that business expansion into new product offerings and foreign markets can be acknowledged with the help of leveraged innovative technology and Research and Development (</w:t>
      </w:r>
      <w:r>
        <w:rPr>
          <w:color w:val="222222"/>
          <w:highlight w:val="white"/>
        </w:rPr>
        <w:t>Nukala and Prasada Rao, 2021)</w:t>
      </w:r>
      <w:r>
        <w:t>. </w:t>
      </w:r>
    </w:p>
    <w:p w14:paraId="0EABE9BD" w14:textId="77777777" w:rsidR="00F44EAE" w:rsidRDefault="00AB3F43">
      <w:pPr>
        <w:numPr>
          <w:ilvl w:val="0"/>
          <w:numId w:val="1"/>
        </w:numPr>
        <w:pBdr>
          <w:top w:val="nil"/>
          <w:left w:val="nil"/>
          <w:bottom w:val="nil"/>
          <w:right w:val="nil"/>
          <w:between w:val="nil"/>
        </w:pBdr>
        <w:spacing w:after="0"/>
      </w:pPr>
      <w:r>
        <w:rPr>
          <w:color w:val="000000"/>
        </w:rPr>
        <w:t>Financial transparency and reporting should be enhanced so that investor confidence can be improved by attracting additional capital. The brand needs to acknowledge clear communication about financial risk performance and operation strategies to attract capital to invest in risk management effectively. </w:t>
      </w:r>
    </w:p>
    <w:p w14:paraId="7432C2CF" w14:textId="51E3618E" w:rsidR="00F44EAE" w:rsidRDefault="00AB3F43">
      <w:pPr>
        <w:numPr>
          <w:ilvl w:val="0"/>
          <w:numId w:val="1"/>
        </w:numPr>
        <w:pBdr>
          <w:top w:val="nil"/>
          <w:left w:val="nil"/>
          <w:bottom w:val="nil"/>
          <w:right w:val="nil"/>
          <w:between w:val="nil"/>
        </w:pBdr>
        <w:spacing w:before="0" w:after="0"/>
      </w:pPr>
      <w:r>
        <w:rPr>
          <w:color w:val="000000"/>
        </w:rPr>
        <w:lastRenderedPageBreak/>
        <w:t xml:space="preserve">Considering the prospect of market </w:t>
      </w:r>
      <w:r w:rsidR="00D057AD">
        <w:rPr>
          <w:color w:val="000000"/>
        </w:rPr>
        <w:t>volatility, it</w:t>
      </w:r>
      <w:r>
        <w:rPr>
          <w:color w:val="000000"/>
        </w:rPr>
        <w:t xml:space="preserve"> should be acknowledged with a management framework incorporating commodity price risk, hedging, and currency fluctuation risk exposure associated with geopolitical uncertainties. </w:t>
      </w:r>
    </w:p>
    <w:p w14:paraId="5A688685" w14:textId="77777777" w:rsidR="00F44EAE" w:rsidRDefault="00AB3F43">
      <w:pPr>
        <w:numPr>
          <w:ilvl w:val="0"/>
          <w:numId w:val="1"/>
        </w:numPr>
        <w:pBdr>
          <w:top w:val="nil"/>
          <w:left w:val="nil"/>
          <w:bottom w:val="nil"/>
          <w:right w:val="nil"/>
          <w:between w:val="nil"/>
        </w:pBdr>
        <w:spacing w:before="0"/>
      </w:pPr>
      <w:r>
        <w:rPr>
          <w:color w:val="000000"/>
        </w:rPr>
        <w:t>In addition, robust corporate governance practices must be contained within the company, followed by ethical conduct, accountability and effective oversight. In this context, we should continue improving the governance framework to acknowledge regulatory requirements appropriately.</w:t>
      </w:r>
    </w:p>
    <w:p w14:paraId="76FD77F3" w14:textId="77777777" w:rsidR="00F44EAE" w:rsidRDefault="00AB3F43">
      <w:pPr>
        <w:pStyle w:val="Heading1"/>
      </w:pPr>
      <w:bookmarkStart w:id="18" w:name="_Toc171616549"/>
      <w:r>
        <w:t>Part C). Investment appraisal</w:t>
      </w:r>
      <w:bookmarkEnd w:id="18"/>
    </w:p>
    <w:p w14:paraId="74EFAB19" w14:textId="77777777" w:rsidR="00F44EAE" w:rsidRDefault="00AB3F43">
      <w:pPr>
        <w:pStyle w:val="Heading2"/>
      </w:pPr>
      <w:bookmarkStart w:id="19" w:name="_Toc171616550"/>
      <w:r>
        <w:t>Project A</w:t>
      </w:r>
      <w:bookmarkEnd w:id="19"/>
    </w:p>
    <w:p w14:paraId="2983C7CF" w14:textId="77777777" w:rsidR="00F44EAE" w:rsidRDefault="00AB3F43">
      <w:pPr>
        <w:pStyle w:val="Heading3"/>
      </w:pPr>
      <w:bookmarkStart w:id="20" w:name="_Toc171616551"/>
      <w:r>
        <w:t>Payback period (PBP)</w:t>
      </w:r>
      <w:bookmarkEnd w:id="20"/>
    </w:p>
    <w:p w14:paraId="3F950F10" w14:textId="5C74A14B" w:rsidR="00F44EAE" w:rsidRDefault="00AB3F43">
      <w:r>
        <w:t xml:space="preserve">The payback period is a financial metric that should be utilised for timely evaluation to distinguish how long it will take for complete investment recovery based on the initial cost. In the case of </w:t>
      </w:r>
      <w:r w:rsidR="00D057AD">
        <w:t>project,</w:t>
      </w:r>
      <w:r>
        <w:t xml:space="preserve"> </w:t>
      </w:r>
      <w:r w:rsidR="00D057AD">
        <w:t>A,</w:t>
      </w:r>
      <w:r>
        <w:t xml:space="preserve"> the margin of payback period is considered to be calculated as 2.18 years (</w:t>
      </w:r>
      <w:r>
        <w:rPr>
          <w:color w:val="222222"/>
          <w:highlight w:val="white"/>
        </w:rPr>
        <w:t>Locatelli, Mancini and Lotti, 2020)</w:t>
      </w:r>
      <w:r>
        <w:t xml:space="preserve">. The complete calculation involves dividing the overall initial investment of the project, which is 80 </w:t>
      </w:r>
      <w:r w:rsidR="00B66B2C">
        <w:t xml:space="preserve">pounds </w:t>
      </w:r>
      <w:r>
        <w:t>million, by the annual cash flow until the valuation of cumulative cash flow turns positive. (</w:t>
      </w:r>
      <w:r w:rsidR="00D057AD">
        <w:t>Refer</w:t>
      </w:r>
      <w:r>
        <w:t xml:space="preserve"> to appendix) </w:t>
      </w:r>
    </w:p>
    <w:p w14:paraId="546FC1DC" w14:textId="77777777" w:rsidR="00F44EAE" w:rsidRDefault="00AB3F43">
      <w:r>
        <w:t>The shorter payback period is considered to emphasise that project A directly indicates a Quicker margin of recovery in terms of investment and a lower margin of risk associated with this project's cash flow. It is recommended that the organisation obtain the means to get rapid liquidity alongside a reduced margin of uncertainty exposure over a short time.</w:t>
      </w:r>
    </w:p>
    <w:p w14:paraId="5E6D0816" w14:textId="77777777" w:rsidR="00F44EAE" w:rsidRDefault="00AB3F43">
      <w:pPr>
        <w:pStyle w:val="Heading3"/>
      </w:pPr>
      <w:bookmarkStart w:id="21" w:name="_Toc171616552"/>
      <w:r>
        <w:t>Accounting Rate of Return (ARR)</w:t>
      </w:r>
      <w:bookmarkEnd w:id="21"/>
    </w:p>
    <w:p w14:paraId="17DC14CD" w14:textId="646DFCA6" w:rsidR="00F44EAE" w:rsidRDefault="00AB3F43">
      <w:r>
        <w:t xml:space="preserve">The accounting rate of return directly measures the level of average annual profit that can be generated by the company's investment as a percentage of the initial investment. It can be calculated by dividing the average annual profit by the average investment associated with 100% multiplication (Magni and Marchioni, 2020). Considering </w:t>
      </w:r>
      <w:r w:rsidR="00D057AD">
        <w:t>Project,</w:t>
      </w:r>
      <w:r>
        <w:t xml:space="preserve"> A, the value of the ARR has been estimated at 14.06%. (</w:t>
      </w:r>
      <w:r w:rsidR="00D057AD">
        <w:t>Refer</w:t>
      </w:r>
      <w:r>
        <w:t xml:space="preserve"> to appendix)  </w:t>
      </w:r>
    </w:p>
    <w:p w14:paraId="7116CA05" w14:textId="77777777" w:rsidR="00F44EAE" w:rsidRDefault="00AB3F43">
      <w:r>
        <w:lastRenderedPageBreak/>
        <w:t>The estimation indicates that considering Project A's lifespan, it can potentially expect to earn an annual average return of around 14.06% on the initial investment of 80 million. The accounting rate of return is deemed beneficial as it helps assess the profitability of the project investment in relation to the cost to acknowledge financial liability based on different project potential returns.</w:t>
      </w:r>
    </w:p>
    <w:p w14:paraId="125121F2" w14:textId="77777777" w:rsidR="00F44EAE" w:rsidRDefault="00AB3F43">
      <w:pPr>
        <w:pStyle w:val="Heading3"/>
      </w:pPr>
      <w:bookmarkStart w:id="22" w:name="_Toc171616553"/>
      <w:r>
        <w:t>Net Present Value</w:t>
      </w:r>
      <w:bookmarkEnd w:id="22"/>
      <w:r>
        <w:t> </w:t>
      </w:r>
    </w:p>
    <w:p w14:paraId="4D900BC4" w14:textId="77777777" w:rsidR="00F44EAE" w:rsidRDefault="00AB3F43">
      <w:r>
        <w:t>The investment appraisal technique of net present value directly calculates the future cash inflow present value, considering the generation from investment and discounting it at a specific rate, which is acknowledged from the cost of capital or sometimes the required rate of return (</w:t>
      </w:r>
      <w:proofErr w:type="spellStart"/>
      <w:r>
        <w:rPr>
          <w:color w:val="222222"/>
          <w:highlight w:val="white"/>
        </w:rPr>
        <w:t>Alkaraan</w:t>
      </w:r>
      <w:proofErr w:type="spellEnd"/>
      <w:r>
        <w:rPr>
          <w:color w:val="222222"/>
          <w:highlight w:val="white"/>
        </w:rPr>
        <w:t>, 2020)</w:t>
      </w:r>
      <w:r>
        <w:t>. Net present value is considered to be essential to determine whether the chosen investment will add value to the organisation or not. (refer to appendix) </w:t>
      </w:r>
    </w:p>
    <w:p w14:paraId="2A2049A7" w14:textId="050FDBF7" w:rsidR="00F44EAE" w:rsidRDefault="00AB3F43">
      <w:r>
        <w:t xml:space="preserve">Considering </w:t>
      </w:r>
      <w:r w:rsidR="00D057AD">
        <w:t>project,</w:t>
      </w:r>
      <w:r>
        <w:t xml:space="preserve"> A, it has been identified that with a discount rate of 10%, the NPV estimation is 16.57 million. The positive net present value directly suggests that the chosen project proposal has high expectations to generate a high margin of return in terms of the discount rate. Hence, it is evident that this project will be of value to the organisation, considering the time value for money, providing a clear indication that the investment in this project will be worthwhile.</w:t>
      </w:r>
    </w:p>
    <w:p w14:paraId="33B65147" w14:textId="77777777" w:rsidR="00F44EAE" w:rsidRDefault="00AB3F43">
      <w:pPr>
        <w:pStyle w:val="Heading2"/>
      </w:pPr>
      <w:bookmarkStart w:id="23" w:name="_Toc171616554"/>
      <w:r>
        <w:t>Project B</w:t>
      </w:r>
      <w:bookmarkEnd w:id="23"/>
    </w:p>
    <w:p w14:paraId="7458E0D0" w14:textId="77777777" w:rsidR="00F44EAE" w:rsidRDefault="00AB3F43">
      <w:pPr>
        <w:pStyle w:val="Heading3"/>
      </w:pPr>
      <w:bookmarkStart w:id="24" w:name="_Toc171616555"/>
      <w:r>
        <w:t>Payback period (PBP)</w:t>
      </w:r>
      <w:bookmarkEnd w:id="24"/>
    </w:p>
    <w:p w14:paraId="10B58B78" w14:textId="27BC35B0" w:rsidR="00F44EAE" w:rsidRDefault="00AB3F43">
      <w:r>
        <w:t xml:space="preserve">Considering project B, the payback period is calculated to be three years. Considering the calculation of the project's initial investment division with the annual cash flow that is 75 million </w:t>
      </w:r>
      <w:r w:rsidR="001B3533">
        <w:t xml:space="preserve">pounds </w:t>
      </w:r>
      <w:r>
        <w:t>and till the valuation of cumulative cash flow becomes positive, it has been identified that the project has an extended margin of payback period. The long period of 3 years directly suggests that there will be a slower recovery of the interior initial investment of 75 million</w:t>
      </w:r>
      <w:r w:rsidR="001B3533">
        <w:t xml:space="preserve"> pounds</w:t>
      </w:r>
      <w:r>
        <w:t xml:space="preserve"> which causes a high rest associated with the project cash flow. Considering the possible implications of tying up business capital with long-term projects is essential before getting any positive return. </w:t>
      </w:r>
    </w:p>
    <w:p w14:paraId="1FB43078" w14:textId="77777777" w:rsidR="00F44EAE" w:rsidRDefault="00AB3F43">
      <w:pPr>
        <w:pStyle w:val="Heading3"/>
      </w:pPr>
      <w:bookmarkStart w:id="25" w:name="_Toc171616556"/>
      <w:r>
        <w:lastRenderedPageBreak/>
        <w:t>Accounting Rate of Return (ARR)</w:t>
      </w:r>
      <w:bookmarkEnd w:id="25"/>
    </w:p>
    <w:p w14:paraId="5EB43612" w14:textId="782F1F59" w:rsidR="00F44EAE" w:rsidRDefault="00AB3F43">
      <w:r>
        <w:t>For Project B, the ARR is 11.67%, calculated from the initial investment as a percentage associated with average annual profit but generated with a suitable accounting rate of return (</w:t>
      </w:r>
      <w:proofErr w:type="spellStart"/>
      <w:r>
        <w:rPr>
          <w:color w:val="222222"/>
          <w:highlight w:val="white"/>
        </w:rPr>
        <w:t>Grzeszczyk</w:t>
      </w:r>
      <w:proofErr w:type="spellEnd"/>
      <w:r>
        <w:rPr>
          <w:color w:val="222222"/>
          <w:highlight w:val="white"/>
        </w:rPr>
        <w:t xml:space="preserve"> and Waszkiewicz, 2020)</w:t>
      </w:r>
      <w:r>
        <w:t xml:space="preserve">. The calculation indicates that the organisation can expect an average yearly return of 11.67%, considering the initial investment done on the project is around 75 million </w:t>
      </w:r>
      <w:r w:rsidR="001B3533">
        <w:t xml:space="preserve">pounds </w:t>
      </w:r>
      <w:r>
        <w:t>over the project lifespan. This estimation is beneficial as it is helpful for company profitability decision-making in terms of investment and the cost to stay aware of the potential returns.</w:t>
      </w:r>
    </w:p>
    <w:p w14:paraId="428B3F82" w14:textId="77777777" w:rsidR="00F44EAE" w:rsidRDefault="00AB3F43">
      <w:pPr>
        <w:pStyle w:val="Heading3"/>
      </w:pPr>
      <w:bookmarkStart w:id="26" w:name="_Toc171616557"/>
      <w:r>
        <w:t>Net Present Value</w:t>
      </w:r>
      <w:bookmarkEnd w:id="26"/>
    </w:p>
    <w:p w14:paraId="73103870" w14:textId="71A519BC" w:rsidR="00F44EAE" w:rsidRDefault="00AB3F43">
      <w:r>
        <w:t>For Project B, with a discount rate of 10%, the NPV is 16.08 million</w:t>
      </w:r>
      <w:r w:rsidR="001B3533">
        <w:t xml:space="preserve"> pounds</w:t>
      </w:r>
      <w:r>
        <w:t>. Focusing on the calculator present of positive net present value, it has been suggested that the project also has the potential to generate a return higher than the overall discount rate. It outlines what brand can add value to the project by investing in Project B and Project A, considering the prospect of the time value of money to determine whether the investment is worth it.</w:t>
      </w:r>
    </w:p>
    <w:p w14:paraId="50521533" w14:textId="77777777" w:rsidR="00F44EAE" w:rsidRDefault="00AB3F43">
      <w:pPr>
        <w:pStyle w:val="Heading2"/>
      </w:pPr>
      <w:bookmarkStart w:id="27" w:name="_Toc171616558"/>
      <w:r>
        <w:t>Selection with appropriate reasons</w:t>
      </w:r>
      <w:bookmarkEnd w:id="27"/>
      <w:r>
        <w:t> </w:t>
      </w:r>
    </w:p>
    <w:p w14:paraId="780430BF" w14:textId="77777777" w:rsidR="00F44EAE" w:rsidRDefault="00AB3F43">
      <w:r>
        <w:t>Project A represents a compelling financial matrix as a matter of representing the preferred choice for the company. With a shorter payback period of 2.18 years, going with a higher recovery initial investment of 18 million is much quicker than project B, which is considered to have a long-term payback period of 3 years (</w:t>
      </w:r>
      <w:r>
        <w:rPr>
          <w:color w:val="222222"/>
          <w:highlight w:val="white"/>
        </w:rPr>
        <w:t>Shahriar, 2021)</w:t>
      </w:r>
      <w:r>
        <w:t>. Due to the short time frame for project A and the chance of getting higher liquidity associated with reducing the risk associated with a prolonged margin of organisation capital commitment, project A is considered much more suitable.</w:t>
      </w:r>
    </w:p>
    <w:p w14:paraId="53CF0CD1" w14:textId="6D8D7229" w:rsidR="00F44EAE" w:rsidRDefault="00AB3F43">
      <w:r>
        <w:t>Considering the accounting rate of return, project A's ARR value is 14.06%, which outlines a substantial profitability margin and Organisational annual return on the initial investment. The estimated figure directly surpassed the ARR value of Project B, which emphasises that Project A has more significant potential in terms of generating higher average annual profit. (</w:t>
      </w:r>
      <w:r w:rsidR="00D057AD">
        <w:t>Refer</w:t>
      </w:r>
      <w:r>
        <w:t xml:space="preserve"> to appendix) </w:t>
      </w:r>
    </w:p>
    <w:p w14:paraId="492B8A76" w14:textId="77777777" w:rsidR="00F44EAE" w:rsidRDefault="00AB3F43">
      <w:r>
        <w:lastRenderedPageBreak/>
        <w:t>In addition, the net present value for project A is considered to be 16.57 million, which indicates a discount rate of 10% to confirm that project A has the potential to provide substantial value to the brand by generating a return that directly exceeds the cost of capital. The positive value of net present value directly represents the viability and enhancement of shareholder wealth.</w:t>
      </w:r>
    </w:p>
    <w:p w14:paraId="266BB739" w14:textId="77777777" w:rsidR="00F44EAE" w:rsidRDefault="00AB3F43">
      <w:pPr>
        <w:pStyle w:val="Heading2"/>
      </w:pPr>
      <w:bookmarkStart w:id="28" w:name="_Toc171616559"/>
      <w:r>
        <w:t>Critical discussion on the advantages and shortcomings of the PBP, ARR and NPV techniques</w:t>
      </w:r>
      <w:bookmarkEnd w:id="28"/>
    </w:p>
    <w:p w14:paraId="0D60BDD5" w14:textId="77777777" w:rsidR="00F44EAE" w:rsidRDefault="00AB3F43">
      <w:r>
        <w:t>Capital budgeting techniques are identified as valuable for business organisations in terms of evaluating and appropriate selection of investment projects. Each investment-applicable technique has unique exposure as being advantageous. On the other hand, shortcomings relating to financial liability and project potential are associated with considering non-financial factors.</w:t>
      </w:r>
    </w:p>
    <w:p w14:paraId="535F49BA" w14:textId="77777777" w:rsidR="00F44EAE" w:rsidRDefault="00AB3F43">
      <w:pPr>
        <w:pStyle w:val="Heading3"/>
      </w:pPr>
      <w:bookmarkStart w:id="29" w:name="_Toc171616560"/>
      <w:r>
        <w:t>Payback Period (PBP)</w:t>
      </w:r>
      <w:bookmarkEnd w:id="29"/>
    </w:p>
    <w:p w14:paraId="099C4B00" w14:textId="77777777" w:rsidR="00F44EAE" w:rsidRDefault="00AB3F43">
      <w:r>
        <w:rPr>
          <w:b/>
        </w:rPr>
        <w:t xml:space="preserve">Advantages: </w:t>
      </w:r>
      <w:r>
        <w:t>The payback Period (PBP) is a transparent and easy-to-understand process of capital budgeting as it provides a clear indication about the initial investment recovery time period. The tool is highly appealing to the business organisation due to its concern for organisation liquidity and risk (</w:t>
      </w:r>
      <w:r>
        <w:rPr>
          <w:color w:val="222222"/>
          <w:highlight w:val="white"/>
        </w:rPr>
        <w:t>Chrysalis and Papadopoulos, 2020)</w:t>
      </w:r>
      <w:r>
        <w:t>. The payback period is beneficial because it favours the project in terms of quick investment return so that the company can give priority to short-term investment, focusing on reducing the liquidity risk exposure.</w:t>
      </w:r>
    </w:p>
    <w:p w14:paraId="4BF5FE17" w14:textId="77777777" w:rsidR="00F44EAE" w:rsidRDefault="00AB3F43">
      <w:r>
        <w:rPr>
          <w:b/>
        </w:rPr>
        <w:t xml:space="preserve">Shortcomings: </w:t>
      </w:r>
      <w:r>
        <w:t>One of the most essential shortcomings of the payback period tool is that it does not consider the time value of money and outlines resistance to evaluating cash flow beyond the payback period. These are significant limitations that could be improved for the organisation's Outlook towards investment profitability beyond the initial investment to the recovery period. The main reason is that considering the payback period, there is a chance to get negative cash flow after the payback lifespan, which could cause long-term profitability issues for the brand.</w:t>
      </w:r>
    </w:p>
    <w:p w14:paraId="37218FF3" w14:textId="77777777" w:rsidR="00F44EAE" w:rsidRDefault="00AB3F43">
      <w:pPr>
        <w:pStyle w:val="Heading3"/>
      </w:pPr>
      <w:bookmarkStart w:id="30" w:name="_Toc171616561"/>
      <w:r>
        <w:t>Accounting Rate of Return (ARR)</w:t>
      </w:r>
      <w:bookmarkEnd w:id="30"/>
    </w:p>
    <w:p w14:paraId="1D9C1DB8" w14:textId="77777777" w:rsidR="00F44EAE" w:rsidRDefault="00AB3F43">
      <w:r>
        <w:rPr>
          <w:b/>
        </w:rPr>
        <w:t xml:space="preserve">Advantages: </w:t>
      </w:r>
      <w:r>
        <w:t xml:space="preserve">Computing the accounting rate of return is extremely easy when computing the percentage return based on the average investment made. It emphasises organisation profitability </w:t>
      </w:r>
      <w:r>
        <w:lastRenderedPageBreak/>
        <w:t>by outlying the project on earnings (</w:t>
      </w:r>
      <w:r>
        <w:rPr>
          <w:color w:val="222222"/>
          <w:highlight w:val="white"/>
        </w:rPr>
        <w:t>Lai and Locatelli, 2021)</w:t>
      </w:r>
      <w:r>
        <w:t>. The accounting rate of return directly complements the financial metric by highlighting performance evaluation.</w:t>
      </w:r>
    </w:p>
    <w:p w14:paraId="092CD76A" w14:textId="77777777" w:rsidR="00F44EAE" w:rsidRDefault="00AB3F43">
      <w:r>
        <w:rPr>
          <w:b/>
        </w:rPr>
        <w:t>Shortcomings:</w:t>
      </w:r>
      <w:r>
        <w:t xml:space="preserve"> The accounting rate of return directly overlooks cash flow timing along with the time value of money, which is beneficial for the project to estimate a shorter duration for long-term profitability. However, the estimation of the accounting rate of return could be misleading for the project and cause cash flow disparities.</w:t>
      </w:r>
    </w:p>
    <w:p w14:paraId="1850C07F" w14:textId="77777777" w:rsidR="00F44EAE" w:rsidRDefault="00AB3F43">
      <w:pPr>
        <w:pStyle w:val="Heading3"/>
      </w:pPr>
      <w:bookmarkStart w:id="31" w:name="_Toc171616562"/>
      <w:r>
        <w:t>Net Present Value (NPV)</w:t>
      </w:r>
      <w:bookmarkEnd w:id="31"/>
    </w:p>
    <w:p w14:paraId="6CF58A72" w14:textId="77777777" w:rsidR="00F44EAE" w:rsidRDefault="00AB3F43">
      <w:r>
        <w:rPr>
          <w:b/>
        </w:rPr>
        <w:t xml:space="preserve">Advantages: </w:t>
      </w:r>
      <w:r>
        <w:t>One of the most essential advantages of net present value is its strategic consideration of the time value of money preference, discounting future cash flow. Measuring the organisation's project profitability is beneficial by successfully comparing outflow and inflow (</w:t>
      </w:r>
      <w:r>
        <w:rPr>
          <w:color w:val="222222"/>
          <w:highlight w:val="white"/>
        </w:rPr>
        <w:t>Siziba and Hall, 2021)</w:t>
      </w:r>
      <w:r>
        <w:t>. Facilitating an optimal decision-making process generates a clear indication of business value creation.</w:t>
      </w:r>
    </w:p>
    <w:p w14:paraId="22CD2E1A" w14:textId="77777777" w:rsidR="00F44EAE" w:rsidRDefault="00AB3F43">
      <w:r>
        <w:rPr>
          <w:b/>
        </w:rPr>
        <w:t xml:space="preserve">Shortcomings: </w:t>
      </w:r>
      <w:r>
        <w:t>Net present value directly depends upon the discount rate assumption, which can impact project evaluation. The high margin of sensitivity towards discount wait can impact misleading investment decision-making. Another potential shortcoming is that net present value requires an accurate margin of cash flow projection as it is often susceptible towards forecasting error.</w:t>
      </w:r>
    </w:p>
    <w:p w14:paraId="346E6A7F" w14:textId="77777777" w:rsidR="00F44EAE" w:rsidRDefault="00AB3F43">
      <w:pPr>
        <w:pStyle w:val="Heading3"/>
      </w:pPr>
      <w:bookmarkStart w:id="32" w:name="_Toc171616563"/>
      <w:r>
        <w:t>Consideration of Non-Financial Factors</w:t>
      </w:r>
      <w:bookmarkEnd w:id="32"/>
    </w:p>
    <w:p w14:paraId="0AF855D1" w14:textId="77777777" w:rsidR="00F44EAE" w:rsidRDefault="00AB3F43">
      <w:r>
        <w:t>Decisions regarding capital budgeting are heavily influenced by non-financial factors, which impact project viability, strategic alignment, and stakeholder interests. Financial metrics should be evaluated alongside environmental impact, regulatory compliance, technological advancement, and organisational capabilities (</w:t>
      </w:r>
      <w:r>
        <w:rPr>
          <w:color w:val="222222"/>
          <w:highlight w:val="white"/>
        </w:rPr>
        <w:t>Baum, Crosby and Devaney, 2021)</w:t>
      </w:r>
      <w:r>
        <w:t>. A project's long-term viability and stakeholder relations may be harmed by regulatory obstacles or a lack of alignment with corporate sustainability goals despite having positive financial metrics.</w:t>
      </w:r>
    </w:p>
    <w:p w14:paraId="7400F7EF" w14:textId="77777777" w:rsidR="00F44EAE" w:rsidRDefault="00AB3F43">
      <w:pPr>
        <w:pStyle w:val="Heading1"/>
      </w:pPr>
      <w:bookmarkStart w:id="33" w:name="_Toc171616564"/>
      <w:r>
        <w:lastRenderedPageBreak/>
        <w:t>Conclusion</w:t>
      </w:r>
      <w:bookmarkEnd w:id="33"/>
      <w:r>
        <w:t> </w:t>
      </w:r>
    </w:p>
    <w:p w14:paraId="643470D3" w14:textId="77777777" w:rsidR="00F44EAE" w:rsidRDefault="00AB3F43">
      <w:r>
        <w:t xml:space="preserve">It is concluded that the investment appraisal technique of net present value directly calculates the future cash inflow present value, considering the generation from investment and discounting it at a specific rate, which is acknowledged from the cost of capital or sometimes the required rate of return. Net present value is considered to be essential to determine whether the chosen investment is going to add value to the organisation or not. </w:t>
      </w:r>
    </w:p>
    <w:p w14:paraId="4AD94929" w14:textId="77777777" w:rsidR="00F44EAE" w:rsidRDefault="00AB3F43">
      <w:pPr>
        <w:pStyle w:val="Heading1"/>
      </w:pPr>
      <w:r>
        <w:br w:type="page"/>
      </w:r>
    </w:p>
    <w:p w14:paraId="0CD88310" w14:textId="77777777" w:rsidR="00F44EAE" w:rsidRDefault="00AB3F43">
      <w:pPr>
        <w:pStyle w:val="Heading1"/>
      </w:pPr>
      <w:bookmarkStart w:id="34" w:name="_Toc171616565"/>
      <w:r>
        <w:lastRenderedPageBreak/>
        <w:t>Reference list</w:t>
      </w:r>
      <w:bookmarkEnd w:id="34"/>
      <w:r>
        <w:t xml:space="preserve"> </w:t>
      </w:r>
    </w:p>
    <w:p w14:paraId="31EDD968" w14:textId="77777777" w:rsidR="00D057AD" w:rsidRPr="00D057AD" w:rsidRDefault="00D057AD">
      <w:proofErr w:type="spellStart"/>
      <w:r w:rsidRPr="00D057AD">
        <w:rPr>
          <w:color w:val="222222"/>
          <w:highlight w:val="white"/>
        </w:rPr>
        <w:t>Alkaraan</w:t>
      </w:r>
      <w:proofErr w:type="spellEnd"/>
      <w:r w:rsidRPr="00D057AD">
        <w:rPr>
          <w:color w:val="222222"/>
          <w:highlight w:val="white"/>
        </w:rPr>
        <w:t xml:space="preserve">, F. (2020). Strategic investment decision-making practices in large manufacturing companies: a role for emergent analysis </w:t>
      </w:r>
      <w:proofErr w:type="gramStart"/>
      <w:r w:rsidRPr="00D057AD">
        <w:rPr>
          <w:color w:val="222222"/>
          <w:highlight w:val="white"/>
        </w:rPr>
        <w:t>techniques?.</w:t>
      </w:r>
      <w:proofErr w:type="gramEnd"/>
      <w:r w:rsidRPr="00D057AD">
        <w:rPr>
          <w:color w:val="222222"/>
          <w:highlight w:val="white"/>
        </w:rPr>
        <w:t xml:space="preserve"> </w:t>
      </w:r>
      <w:proofErr w:type="spellStart"/>
      <w:r w:rsidRPr="00D057AD">
        <w:rPr>
          <w:i/>
          <w:color w:val="222222"/>
          <w:highlight w:val="white"/>
        </w:rPr>
        <w:t>Meditari</w:t>
      </w:r>
      <w:proofErr w:type="spellEnd"/>
      <w:r w:rsidRPr="00D057AD">
        <w:rPr>
          <w:i/>
          <w:color w:val="222222"/>
          <w:highlight w:val="white"/>
        </w:rPr>
        <w:t xml:space="preserve"> Accountancy Research</w:t>
      </w:r>
      <w:r w:rsidRPr="00D057AD">
        <w:rPr>
          <w:color w:val="222222"/>
          <w:highlight w:val="white"/>
        </w:rPr>
        <w:t xml:space="preserve">, </w:t>
      </w:r>
      <w:r w:rsidRPr="00D057AD">
        <w:rPr>
          <w:i/>
          <w:color w:val="222222"/>
          <w:highlight w:val="white"/>
        </w:rPr>
        <w:t>28</w:t>
      </w:r>
      <w:r w:rsidRPr="00D057AD">
        <w:rPr>
          <w:color w:val="222222"/>
          <w:highlight w:val="white"/>
        </w:rPr>
        <w:t>(4), 633-653.</w:t>
      </w:r>
      <w:hyperlink r:id="rId18">
        <w:r w:rsidRPr="00D057AD">
          <w:rPr>
            <w:color w:val="1155CC"/>
            <w:highlight w:val="white"/>
            <w:u w:val="single"/>
          </w:rPr>
          <w:t>https://repository.lincoln.ac.uk/articles/journal_contribution/Strategic_investment_decision-making_practices_in_large_UK_manufacturing_companies_a_role_for_emergent_analysis_techniques/24383224/2/files/42954946.pdf</w:t>
        </w:r>
      </w:hyperlink>
    </w:p>
    <w:p w14:paraId="0CBA4705" w14:textId="77777777" w:rsidR="00D057AD" w:rsidRPr="00D057AD" w:rsidRDefault="00D057AD">
      <w:pPr>
        <w:rPr>
          <w:rFonts w:eastAsia="Arial"/>
          <w:color w:val="222222"/>
          <w:highlight w:val="white"/>
        </w:rPr>
      </w:pPr>
      <w:r w:rsidRPr="00D057AD">
        <w:rPr>
          <w:rFonts w:eastAsia="Arial"/>
          <w:color w:val="222222"/>
          <w:highlight w:val="white"/>
        </w:rPr>
        <w:t xml:space="preserve">Anderson, E.G., Bhargava, H.K., Boehm, J. and Parker, G., 2022. Electric vehicles are a platform business: What firms need to know. </w:t>
      </w:r>
      <w:r w:rsidRPr="00D057AD">
        <w:rPr>
          <w:rFonts w:eastAsia="Arial"/>
          <w:i/>
          <w:color w:val="222222"/>
          <w:highlight w:val="white"/>
        </w:rPr>
        <w:t>California Management Review</w:t>
      </w:r>
      <w:r w:rsidRPr="00D057AD">
        <w:rPr>
          <w:rFonts w:eastAsia="Arial"/>
          <w:color w:val="222222"/>
          <w:highlight w:val="white"/>
        </w:rPr>
        <w:t xml:space="preserve">, </w:t>
      </w:r>
      <w:r w:rsidRPr="00D057AD">
        <w:rPr>
          <w:rFonts w:eastAsia="Arial"/>
          <w:i/>
          <w:color w:val="222222"/>
          <w:highlight w:val="white"/>
        </w:rPr>
        <w:t>64</w:t>
      </w:r>
      <w:r w:rsidRPr="00D057AD">
        <w:rPr>
          <w:rFonts w:eastAsia="Arial"/>
          <w:color w:val="222222"/>
          <w:highlight w:val="white"/>
        </w:rPr>
        <w:t xml:space="preserve">(4), pp.135-154. </w:t>
      </w:r>
      <w:hyperlink r:id="rId19">
        <w:r w:rsidRPr="00D057AD">
          <w:rPr>
            <w:rFonts w:eastAsia="Arial"/>
            <w:color w:val="1155CC"/>
            <w:highlight w:val="white"/>
            <w:u w:val="single"/>
          </w:rPr>
          <w:t>https://journals.sagepub.com/doi/pdf/10.1177/00081256221107420</w:t>
        </w:r>
      </w:hyperlink>
      <w:r w:rsidRPr="00D057AD">
        <w:rPr>
          <w:rFonts w:eastAsia="Arial"/>
          <w:color w:val="222222"/>
          <w:highlight w:val="white"/>
        </w:rPr>
        <w:t xml:space="preserve"> </w:t>
      </w:r>
    </w:p>
    <w:p w14:paraId="6143554B" w14:textId="77777777" w:rsidR="00D057AD" w:rsidRPr="00D057AD" w:rsidRDefault="00D057AD">
      <w:proofErr w:type="spellStart"/>
      <w:r w:rsidRPr="00D057AD">
        <w:rPr>
          <w:highlight w:val="white"/>
        </w:rPr>
        <w:t>AvaTrade</w:t>
      </w:r>
      <w:proofErr w:type="spellEnd"/>
      <w:r w:rsidRPr="00D057AD">
        <w:rPr>
          <w:highlight w:val="white"/>
        </w:rPr>
        <w:t xml:space="preserve">. (2022). </w:t>
      </w:r>
      <w:r w:rsidRPr="00D057AD">
        <w:rPr>
          <w:i/>
          <w:highlight w:val="white"/>
        </w:rPr>
        <w:t xml:space="preserve">Gearing Ratio Explained | </w:t>
      </w:r>
      <w:proofErr w:type="spellStart"/>
      <w:r w:rsidRPr="00D057AD">
        <w:rPr>
          <w:i/>
          <w:highlight w:val="white"/>
        </w:rPr>
        <w:t>AvaTrade</w:t>
      </w:r>
      <w:proofErr w:type="spellEnd"/>
      <w:r w:rsidRPr="00D057AD">
        <w:rPr>
          <w:highlight w:val="white"/>
        </w:rPr>
        <w:t xml:space="preserve">. [online] Available at: </w:t>
      </w:r>
      <w:hyperlink r:id="rId20">
        <w:r w:rsidRPr="00D057AD">
          <w:rPr>
            <w:color w:val="1155CC"/>
            <w:highlight w:val="white"/>
            <w:u w:val="single"/>
          </w:rPr>
          <w:t>https://www.avatrade.com/education/market-terms/gearing-ratio</w:t>
        </w:r>
      </w:hyperlink>
      <w:r w:rsidRPr="00D057AD">
        <w:rPr>
          <w:highlight w:val="white"/>
        </w:rPr>
        <w:t>  [Accessed 11 July. 2024].</w:t>
      </w:r>
    </w:p>
    <w:p w14:paraId="6F2C0D36" w14:textId="77777777" w:rsidR="00D057AD" w:rsidRPr="00D057AD" w:rsidRDefault="00D057AD">
      <w:r w:rsidRPr="00D057AD">
        <w:rPr>
          <w:color w:val="222222"/>
          <w:highlight w:val="white"/>
        </w:rPr>
        <w:t>Baum, A. E., Crosby, N.</w:t>
      </w:r>
      <w:proofErr w:type="gramStart"/>
      <w:r w:rsidRPr="00D057AD">
        <w:rPr>
          <w:color w:val="222222"/>
          <w:highlight w:val="white"/>
        </w:rPr>
        <w:t>,  and</w:t>
      </w:r>
      <w:proofErr w:type="gramEnd"/>
      <w:r w:rsidRPr="00D057AD">
        <w:rPr>
          <w:color w:val="222222"/>
          <w:highlight w:val="white"/>
        </w:rPr>
        <w:t xml:space="preserve"> Devaney, S. (2021). </w:t>
      </w:r>
      <w:r w:rsidRPr="00D057AD">
        <w:rPr>
          <w:i/>
          <w:color w:val="222222"/>
          <w:highlight w:val="white"/>
        </w:rPr>
        <w:t>Property investment appraisal</w:t>
      </w:r>
      <w:r w:rsidRPr="00D057AD">
        <w:rPr>
          <w:color w:val="222222"/>
          <w:highlight w:val="white"/>
        </w:rPr>
        <w:t>. John Wiley  and Sons.</w:t>
      </w:r>
      <w:hyperlink r:id="rId21">
        <w:r w:rsidRPr="00D057AD">
          <w:rPr>
            <w:color w:val="1155CC"/>
            <w:highlight w:val="white"/>
            <w:u w:val="single"/>
          </w:rPr>
          <w:t>https://books.google.com/books?hl=en&amp;lr=&amp;id=4-ASEAAAQBAJ&amp;oi=fnd&amp;pg=PP1&amp;dq=investment+appraisal+techniques&amp;ots=GMTt_snXjL&amp;sig=XDWFPBY5_tGkq9ne-zfxjAzkRzU</w:t>
        </w:r>
      </w:hyperlink>
    </w:p>
    <w:p w14:paraId="0803D133" w14:textId="77777777" w:rsidR="00D057AD" w:rsidRPr="00D057AD" w:rsidRDefault="00D057AD">
      <w:pPr>
        <w:rPr>
          <w:rFonts w:eastAsia="Arial"/>
          <w:color w:val="222222"/>
          <w:highlight w:val="white"/>
        </w:rPr>
      </w:pPr>
      <w:r w:rsidRPr="00D057AD">
        <w:rPr>
          <w:rFonts w:eastAsia="Arial"/>
          <w:color w:val="222222"/>
          <w:highlight w:val="white"/>
        </w:rPr>
        <w:t xml:space="preserve">Bhardwaj, S., Pandey, R., Sharma, S., Sejal, S., Iyer, G., Sharma, S., Ranjith, P.V. and Kulkarni, S., 2020. Problems faced by automobile industries: Case study on Tesla. </w:t>
      </w:r>
      <w:r w:rsidRPr="00D057AD">
        <w:rPr>
          <w:rFonts w:eastAsia="Arial"/>
          <w:i/>
          <w:color w:val="222222"/>
          <w:highlight w:val="white"/>
        </w:rPr>
        <w:t xml:space="preserve">International journal of Tourism and hospitality in Asia </w:t>
      </w:r>
      <w:proofErr w:type="spellStart"/>
      <w:r w:rsidRPr="00D057AD">
        <w:rPr>
          <w:rFonts w:eastAsia="Arial"/>
          <w:i/>
          <w:color w:val="222222"/>
          <w:highlight w:val="white"/>
        </w:rPr>
        <w:t>Pasific</w:t>
      </w:r>
      <w:proofErr w:type="spellEnd"/>
      <w:r w:rsidRPr="00D057AD">
        <w:rPr>
          <w:rFonts w:eastAsia="Arial"/>
          <w:i/>
          <w:color w:val="222222"/>
          <w:highlight w:val="white"/>
        </w:rPr>
        <w:t xml:space="preserve"> (IJTHAP)</w:t>
      </w:r>
      <w:r w:rsidRPr="00D057AD">
        <w:rPr>
          <w:rFonts w:eastAsia="Arial"/>
          <w:color w:val="222222"/>
          <w:highlight w:val="white"/>
        </w:rPr>
        <w:t xml:space="preserve">, </w:t>
      </w:r>
      <w:r w:rsidRPr="00D057AD">
        <w:rPr>
          <w:rFonts w:eastAsia="Arial"/>
          <w:i/>
          <w:color w:val="222222"/>
          <w:highlight w:val="white"/>
        </w:rPr>
        <w:t>3</w:t>
      </w:r>
      <w:r w:rsidRPr="00D057AD">
        <w:rPr>
          <w:rFonts w:eastAsia="Arial"/>
          <w:color w:val="222222"/>
          <w:highlight w:val="white"/>
        </w:rPr>
        <w:t xml:space="preserve">(2), pp.78-88. </w:t>
      </w:r>
      <w:hyperlink r:id="rId22">
        <w:r w:rsidRPr="00D057AD">
          <w:rPr>
            <w:rFonts w:eastAsia="Arial"/>
            <w:color w:val="1155CC"/>
            <w:highlight w:val="white"/>
            <w:u w:val="single"/>
          </w:rPr>
          <w:t>https://www.ejournal.aibpmjournals.com/index.php/IJTHAP/article/viewFile/825/787</w:t>
        </w:r>
      </w:hyperlink>
      <w:r w:rsidRPr="00D057AD">
        <w:rPr>
          <w:rFonts w:eastAsia="Arial"/>
          <w:color w:val="222222"/>
          <w:highlight w:val="white"/>
        </w:rPr>
        <w:t xml:space="preserve"> </w:t>
      </w:r>
    </w:p>
    <w:p w14:paraId="157D3951" w14:textId="77777777" w:rsidR="00D057AD" w:rsidRPr="00D057AD" w:rsidRDefault="00D057AD">
      <w:proofErr w:type="spellStart"/>
      <w:r w:rsidRPr="00D057AD">
        <w:rPr>
          <w:color w:val="222222"/>
          <w:highlight w:val="white"/>
        </w:rPr>
        <w:t>Chrysafis</w:t>
      </w:r>
      <w:proofErr w:type="spellEnd"/>
      <w:r w:rsidRPr="00D057AD">
        <w:rPr>
          <w:color w:val="222222"/>
          <w:highlight w:val="white"/>
        </w:rPr>
        <w:t>, K. A.</w:t>
      </w:r>
      <w:proofErr w:type="gramStart"/>
      <w:r w:rsidRPr="00D057AD">
        <w:rPr>
          <w:color w:val="222222"/>
          <w:highlight w:val="white"/>
        </w:rPr>
        <w:t>,  and</w:t>
      </w:r>
      <w:proofErr w:type="gramEnd"/>
      <w:r w:rsidRPr="00D057AD">
        <w:rPr>
          <w:color w:val="222222"/>
          <w:highlight w:val="white"/>
        </w:rPr>
        <w:t xml:space="preserve"> Papadopoulos, B. K. (2020). Decision making for project appraisal in uncertain environments: A fuzzy-possibilistic approach of the expanded NPV method. </w:t>
      </w:r>
      <w:r w:rsidRPr="00D057AD">
        <w:rPr>
          <w:i/>
          <w:color w:val="222222"/>
          <w:highlight w:val="white"/>
        </w:rPr>
        <w:t>Symmetry</w:t>
      </w:r>
      <w:r w:rsidRPr="00D057AD">
        <w:rPr>
          <w:color w:val="222222"/>
          <w:highlight w:val="white"/>
        </w:rPr>
        <w:t xml:space="preserve">, </w:t>
      </w:r>
      <w:r w:rsidRPr="00D057AD">
        <w:rPr>
          <w:i/>
          <w:color w:val="222222"/>
          <w:highlight w:val="white"/>
        </w:rPr>
        <w:t>13</w:t>
      </w:r>
      <w:r w:rsidRPr="00D057AD">
        <w:rPr>
          <w:color w:val="222222"/>
          <w:highlight w:val="white"/>
        </w:rPr>
        <w:t>(1), 27.</w:t>
      </w:r>
      <w:hyperlink r:id="rId23">
        <w:r w:rsidRPr="00D057AD">
          <w:rPr>
            <w:color w:val="1155CC"/>
            <w:highlight w:val="white"/>
            <w:u w:val="single"/>
          </w:rPr>
          <w:t>https://www.mdpi.com/2073-8994/13/1/27/pdf</w:t>
        </w:r>
      </w:hyperlink>
    </w:p>
    <w:p w14:paraId="000C9D37" w14:textId="77777777" w:rsidR="00D057AD" w:rsidRPr="00D057AD" w:rsidRDefault="00D057AD">
      <w:r w:rsidRPr="00D057AD">
        <w:rPr>
          <w:highlight w:val="white"/>
        </w:rPr>
        <w:t xml:space="preserve">Desmon, A. R. W. A., and </w:t>
      </w:r>
      <w:proofErr w:type="spellStart"/>
      <w:r w:rsidRPr="00D057AD">
        <w:rPr>
          <w:highlight w:val="white"/>
        </w:rPr>
        <w:t>Meirinaldi</w:t>
      </w:r>
      <w:proofErr w:type="spellEnd"/>
      <w:r w:rsidRPr="00D057AD">
        <w:rPr>
          <w:highlight w:val="white"/>
        </w:rPr>
        <w:t xml:space="preserve">, Y. C. (2022, January). The Effect of Return on Asset, Return on Equity and Debt to Equity Ratio on the Value of the Manufacturing Firm Listed on Stock Exchange 2015-2019. In </w:t>
      </w:r>
      <w:r w:rsidRPr="00D057AD">
        <w:rPr>
          <w:i/>
          <w:highlight w:val="white"/>
        </w:rPr>
        <w:t>MIC 2021: Proceedings of the First Multidiscipline International Conference, MIC 2021, October 30 2021, Jakarta, Indonesia</w:t>
      </w:r>
      <w:r w:rsidRPr="00D057AD">
        <w:rPr>
          <w:highlight w:val="white"/>
        </w:rPr>
        <w:t xml:space="preserve"> (Vol. 196). European Alliance for </w:t>
      </w:r>
      <w:proofErr w:type="spellStart"/>
      <w:r w:rsidRPr="00D057AD">
        <w:rPr>
          <w:highlight w:val="white"/>
        </w:rPr>
        <w:t>Innovation.</w:t>
      </w:r>
      <w:hyperlink r:id="rId24">
        <w:r w:rsidRPr="00D057AD">
          <w:rPr>
            <w:color w:val="1155CC"/>
            <w:highlight w:val="white"/>
            <w:u w:val="single"/>
          </w:rPr>
          <w:t>https</w:t>
        </w:r>
        <w:proofErr w:type="spellEnd"/>
        <w:r w:rsidRPr="00D057AD">
          <w:rPr>
            <w:color w:val="1155CC"/>
            <w:highlight w:val="white"/>
            <w:u w:val="single"/>
          </w:rPr>
          <w:t>://eudl.eu/pdf/10.4108/eai.30-10-2021.2315839</w:t>
        </w:r>
      </w:hyperlink>
    </w:p>
    <w:p w14:paraId="7EF7F0B6" w14:textId="77777777" w:rsidR="00D057AD" w:rsidRPr="00D057AD" w:rsidRDefault="00D057AD">
      <w:proofErr w:type="spellStart"/>
      <w:r w:rsidRPr="00D057AD">
        <w:rPr>
          <w:color w:val="222222"/>
          <w:highlight w:val="white"/>
        </w:rPr>
        <w:lastRenderedPageBreak/>
        <w:t>Grzeszczyk</w:t>
      </w:r>
      <w:proofErr w:type="spellEnd"/>
      <w:r w:rsidRPr="00D057AD">
        <w:rPr>
          <w:color w:val="222222"/>
          <w:highlight w:val="white"/>
        </w:rPr>
        <w:t>, T. A.</w:t>
      </w:r>
      <w:proofErr w:type="gramStart"/>
      <w:r w:rsidRPr="00D057AD">
        <w:rPr>
          <w:color w:val="222222"/>
          <w:highlight w:val="white"/>
        </w:rPr>
        <w:t>,  and</w:t>
      </w:r>
      <w:proofErr w:type="gramEnd"/>
      <w:r w:rsidRPr="00D057AD">
        <w:rPr>
          <w:color w:val="222222"/>
          <w:highlight w:val="white"/>
        </w:rPr>
        <w:t xml:space="preserve"> Waszkiewicz, M. (2020). Sustainable investment project evaluation. </w:t>
      </w:r>
      <w:r w:rsidRPr="00D057AD">
        <w:rPr>
          <w:i/>
          <w:color w:val="222222"/>
          <w:highlight w:val="white"/>
        </w:rPr>
        <w:t>Entrepreneurship and sustainability issues</w:t>
      </w:r>
      <w:r w:rsidRPr="00D057AD">
        <w:rPr>
          <w:color w:val="222222"/>
          <w:highlight w:val="white"/>
        </w:rPr>
        <w:t xml:space="preserve">, </w:t>
      </w:r>
      <w:r w:rsidRPr="00D057AD">
        <w:rPr>
          <w:i/>
          <w:color w:val="222222"/>
          <w:highlight w:val="white"/>
        </w:rPr>
        <w:t>7</w:t>
      </w:r>
      <w:r w:rsidRPr="00D057AD">
        <w:rPr>
          <w:color w:val="222222"/>
          <w:highlight w:val="white"/>
        </w:rPr>
        <w:t>(3).</w:t>
      </w:r>
      <w:hyperlink r:id="rId25">
        <w:r w:rsidRPr="00D057AD">
          <w:rPr>
            <w:color w:val="1155CC"/>
            <w:highlight w:val="white"/>
            <w:u w:val="single"/>
          </w:rPr>
          <w:t>https://repo.pw.edu.pl/docstore/download/WUTc8977461e7804c31a12d9d9deb114c30/Sustainable_Investment_Project_Evaluation.pdf</w:t>
        </w:r>
      </w:hyperlink>
    </w:p>
    <w:p w14:paraId="08DA7CFE" w14:textId="77777777" w:rsidR="00D057AD" w:rsidRPr="00D057AD" w:rsidRDefault="00D057AD">
      <w:proofErr w:type="spellStart"/>
      <w:r w:rsidRPr="00D057AD">
        <w:rPr>
          <w:highlight w:val="white"/>
        </w:rPr>
        <w:t>Herison</w:t>
      </w:r>
      <w:proofErr w:type="spellEnd"/>
      <w:r w:rsidRPr="00D057AD">
        <w:rPr>
          <w:highlight w:val="white"/>
        </w:rPr>
        <w:t xml:space="preserve">, R., Sahabuddin, R., Azis, M., and Azis, F. (2022). The effect of working capital turnover, accounts receivable turnover and inventory turnover on profitability levels on the Indonesia Stock Exchange 2015-2019. </w:t>
      </w:r>
      <w:r w:rsidRPr="00D057AD">
        <w:rPr>
          <w:i/>
          <w:highlight w:val="white"/>
        </w:rPr>
        <w:t>Psychology And Education</w:t>
      </w:r>
      <w:r w:rsidRPr="00D057AD">
        <w:rPr>
          <w:highlight w:val="white"/>
        </w:rPr>
        <w:t xml:space="preserve">, </w:t>
      </w:r>
      <w:r w:rsidRPr="00D057AD">
        <w:rPr>
          <w:i/>
          <w:highlight w:val="white"/>
        </w:rPr>
        <w:t>59</w:t>
      </w:r>
      <w:r w:rsidRPr="00D057AD">
        <w:rPr>
          <w:highlight w:val="white"/>
        </w:rPr>
        <w:t>(1).</w:t>
      </w:r>
      <w:hyperlink r:id="rId26">
        <w:r w:rsidRPr="00D057AD">
          <w:rPr>
            <w:color w:val="1155CC"/>
            <w:highlight w:val="white"/>
            <w:u w:val="single"/>
          </w:rPr>
          <w:t>https://eprints.unm.ac.id/30153/1/The_Effect_of_Working_Capital_Turnover_A.pdf</w:t>
        </w:r>
      </w:hyperlink>
    </w:p>
    <w:p w14:paraId="40F9DBBD" w14:textId="77777777" w:rsidR="00D057AD" w:rsidRPr="00D057AD" w:rsidRDefault="00D057AD">
      <w:r w:rsidRPr="00D057AD">
        <w:rPr>
          <w:highlight w:val="white"/>
        </w:rPr>
        <w:t xml:space="preserve">Husain, T., and </w:t>
      </w:r>
      <w:proofErr w:type="spellStart"/>
      <w:r w:rsidRPr="00D057AD">
        <w:rPr>
          <w:highlight w:val="white"/>
        </w:rPr>
        <w:t>Sunardi</w:t>
      </w:r>
      <w:proofErr w:type="spellEnd"/>
      <w:r w:rsidRPr="00D057AD">
        <w:rPr>
          <w:highlight w:val="white"/>
        </w:rPr>
        <w:t xml:space="preserve">, N. (2020). Firm's Value Prediction Based on Profitability Ratios and Dividend Policy. </w:t>
      </w:r>
      <w:r w:rsidRPr="00D057AD">
        <w:rPr>
          <w:i/>
          <w:highlight w:val="white"/>
        </w:rPr>
        <w:t>Finance and Economics Review</w:t>
      </w:r>
      <w:r w:rsidRPr="00D057AD">
        <w:rPr>
          <w:highlight w:val="white"/>
        </w:rPr>
        <w:t xml:space="preserve">, </w:t>
      </w:r>
      <w:r w:rsidRPr="00D057AD">
        <w:rPr>
          <w:i/>
          <w:highlight w:val="white"/>
        </w:rPr>
        <w:t>2</w:t>
      </w:r>
      <w:r w:rsidRPr="00D057AD">
        <w:rPr>
          <w:highlight w:val="white"/>
        </w:rPr>
        <w:t>(2), 13-26.</w:t>
      </w:r>
      <w:hyperlink r:id="rId27">
        <w:r w:rsidRPr="00D057AD">
          <w:rPr>
            <w:color w:val="1155CC"/>
            <w:highlight w:val="white"/>
            <w:u w:val="single"/>
          </w:rPr>
          <w:t>http://www.riiopenjournals.com/index.php/finance-economics-review/article/download/102/53</w:t>
        </w:r>
      </w:hyperlink>
    </w:p>
    <w:p w14:paraId="4C6FB5BB" w14:textId="77777777" w:rsidR="00D057AD" w:rsidRPr="00D057AD" w:rsidRDefault="00D057AD">
      <w:r w:rsidRPr="00D057AD">
        <w:rPr>
          <w:highlight w:val="white"/>
        </w:rPr>
        <w:t xml:space="preserve">Iqbal, M., and Anwar, S. (2022). </w:t>
      </w:r>
      <w:proofErr w:type="spellStart"/>
      <w:r w:rsidRPr="00D057AD">
        <w:rPr>
          <w:highlight w:val="white"/>
        </w:rPr>
        <w:t>Pengaruh</w:t>
      </w:r>
      <w:proofErr w:type="spellEnd"/>
      <w:r w:rsidRPr="00D057AD">
        <w:rPr>
          <w:highlight w:val="white"/>
        </w:rPr>
        <w:t xml:space="preserve"> Capital Adequacy Ratio, </w:t>
      </w:r>
      <w:proofErr w:type="gramStart"/>
      <w:r w:rsidRPr="00D057AD">
        <w:rPr>
          <w:highlight w:val="white"/>
        </w:rPr>
        <w:t>Non Performing</w:t>
      </w:r>
      <w:proofErr w:type="gramEnd"/>
      <w:r w:rsidRPr="00D057AD">
        <w:rPr>
          <w:highlight w:val="white"/>
        </w:rPr>
        <w:t xml:space="preserve"> Financing, Financing to Deposit Ratio, Operational Efficiency Ratio, dan Profit Sharing Ratio </w:t>
      </w:r>
      <w:proofErr w:type="spellStart"/>
      <w:r w:rsidRPr="00D057AD">
        <w:rPr>
          <w:highlight w:val="white"/>
        </w:rPr>
        <w:t>Terhadap</w:t>
      </w:r>
      <w:proofErr w:type="spellEnd"/>
      <w:r w:rsidRPr="00D057AD">
        <w:rPr>
          <w:highlight w:val="white"/>
        </w:rPr>
        <w:t xml:space="preserve"> Kinerja </w:t>
      </w:r>
      <w:proofErr w:type="spellStart"/>
      <w:r w:rsidRPr="00D057AD">
        <w:rPr>
          <w:highlight w:val="white"/>
        </w:rPr>
        <w:t>Keuangan</w:t>
      </w:r>
      <w:proofErr w:type="spellEnd"/>
      <w:r w:rsidRPr="00D057AD">
        <w:rPr>
          <w:highlight w:val="white"/>
        </w:rPr>
        <w:t xml:space="preserve"> Bank Umum Syariah. </w:t>
      </w:r>
      <w:proofErr w:type="spellStart"/>
      <w:r w:rsidRPr="00D057AD">
        <w:rPr>
          <w:i/>
          <w:highlight w:val="white"/>
        </w:rPr>
        <w:t>Jurnal</w:t>
      </w:r>
      <w:proofErr w:type="spellEnd"/>
      <w:r w:rsidRPr="00D057AD">
        <w:rPr>
          <w:i/>
          <w:highlight w:val="white"/>
        </w:rPr>
        <w:t xml:space="preserve"> Revenue: </w:t>
      </w:r>
      <w:proofErr w:type="spellStart"/>
      <w:r w:rsidRPr="00D057AD">
        <w:rPr>
          <w:i/>
          <w:highlight w:val="white"/>
        </w:rPr>
        <w:t>Jurnal</w:t>
      </w:r>
      <w:proofErr w:type="spellEnd"/>
      <w:r w:rsidRPr="00D057AD">
        <w:rPr>
          <w:i/>
          <w:highlight w:val="white"/>
        </w:rPr>
        <w:t xml:space="preserve"> </w:t>
      </w:r>
      <w:proofErr w:type="spellStart"/>
      <w:r w:rsidRPr="00D057AD">
        <w:rPr>
          <w:i/>
          <w:highlight w:val="white"/>
        </w:rPr>
        <w:t>Ilmiah</w:t>
      </w:r>
      <w:proofErr w:type="spellEnd"/>
      <w:r w:rsidRPr="00D057AD">
        <w:rPr>
          <w:i/>
          <w:highlight w:val="white"/>
        </w:rPr>
        <w:t xml:space="preserve"> </w:t>
      </w:r>
      <w:proofErr w:type="spellStart"/>
      <w:r w:rsidRPr="00D057AD">
        <w:rPr>
          <w:i/>
          <w:highlight w:val="white"/>
        </w:rPr>
        <w:t>Akuntansi</w:t>
      </w:r>
      <w:proofErr w:type="spellEnd"/>
      <w:r w:rsidRPr="00D057AD">
        <w:rPr>
          <w:highlight w:val="white"/>
        </w:rPr>
        <w:t xml:space="preserve">, </w:t>
      </w:r>
      <w:r w:rsidRPr="00D057AD">
        <w:rPr>
          <w:i/>
          <w:highlight w:val="white"/>
        </w:rPr>
        <w:t>2</w:t>
      </w:r>
      <w:r w:rsidRPr="00D057AD">
        <w:rPr>
          <w:highlight w:val="white"/>
        </w:rPr>
        <w:t>(2), 259-270.</w:t>
      </w:r>
      <w:hyperlink r:id="rId28">
        <w:r w:rsidRPr="00D057AD">
          <w:rPr>
            <w:color w:val="1155CC"/>
            <w:highlight w:val="white"/>
            <w:u w:val="single"/>
          </w:rPr>
          <w:t>https://revenue.lppmbinabangsa.id/index.php/home/article/download/69/169</w:t>
        </w:r>
      </w:hyperlink>
    </w:p>
    <w:p w14:paraId="749B9921" w14:textId="77777777" w:rsidR="00D057AD" w:rsidRPr="00D057AD" w:rsidRDefault="00D057AD">
      <w:r w:rsidRPr="00D057AD">
        <w:rPr>
          <w:color w:val="222222"/>
          <w:highlight w:val="white"/>
        </w:rPr>
        <w:t>Kim, J. H., Fallov, J. A.</w:t>
      </w:r>
      <w:proofErr w:type="gramStart"/>
      <w:r w:rsidRPr="00D057AD">
        <w:rPr>
          <w:color w:val="222222"/>
          <w:highlight w:val="white"/>
        </w:rPr>
        <w:t>,  and</w:t>
      </w:r>
      <w:proofErr w:type="gramEnd"/>
      <w:r w:rsidRPr="00D057AD">
        <w:rPr>
          <w:color w:val="222222"/>
          <w:highlight w:val="white"/>
        </w:rPr>
        <w:t xml:space="preserve"> Groom, S. (2020). </w:t>
      </w:r>
      <w:r w:rsidRPr="00D057AD">
        <w:rPr>
          <w:i/>
          <w:color w:val="222222"/>
          <w:highlight w:val="white"/>
        </w:rPr>
        <w:t>Public investment management reference guide</w:t>
      </w:r>
      <w:r w:rsidRPr="00D057AD">
        <w:rPr>
          <w:color w:val="222222"/>
          <w:highlight w:val="white"/>
        </w:rPr>
        <w:t>. World Bank Publications.</w:t>
      </w:r>
      <w:hyperlink r:id="rId29">
        <w:r w:rsidRPr="00D057AD">
          <w:rPr>
            <w:color w:val="1155CC"/>
            <w:highlight w:val="white"/>
            <w:u w:val="single"/>
          </w:rPr>
          <w:t>https://books.google.com/books?hl=en&amp;lr=&amp;id=Jg7UDwAAQBAJ&amp;oi=fnd&amp;pg=PP1&amp;dq=investment+appraisal+techniques&amp;ots=o5Cc4vo25x&amp;sig=oimKiuJDvE7OC56z7othyGFo85c</w:t>
        </w:r>
      </w:hyperlink>
    </w:p>
    <w:p w14:paraId="104E6ACC" w14:textId="77777777" w:rsidR="00D057AD" w:rsidRPr="00D057AD" w:rsidRDefault="00D057AD">
      <w:r w:rsidRPr="00D057AD">
        <w:rPr>
          <w:color w:val="222222"/>
          <w:highlight w:val="white"/>
        </w:rPr>
        <w:t>Lai, C. S.</w:t>
      </w:r>
      <w:proofErr w:type="gramStart"/>
      <w:r w:rsidRPr="00D057AD">
        <w:rPr>
          <w:color w:val="222222"/>
          <w:highlight w:val="white"/>
        </w:rPr>
        <w:t>,  and</w:t>
      </w:r>
      <w:proofErr w:type="gramEnd"/>
      <w:r w:rsidRPr="00D057AD">
        <w:rPr>
          <w:color w:val="222222"/>
          <w:highlight w:val="white"/>
        </w:rPr>
        <w:t xml:space="preserve"> Locatelli, G. (2021). Economic and financial appraisal of novel large-scale energy storage technologies. </w:t>
      </w:r>
      <w:r w:rsidRPr="00D057AD">
        <w:rPr>
          <w:i/>
          <w:color w:val="222222"/>
          <w:highlight w:val="white"/>
        </w:rPr>
        <w:t>Energy</w:t>
      </w:r>
      <w:r w:rsidRPr="00D057AD">
        <w:rPr>
          <w:color w:val="222222"/>
          <w:highlight w:val="white"/>
        </w:rPr>
        <w:t xml:space="preserve">, </w:t>
      </w:r>
      <w:r w:rsidRPr="00D057AD">
        <w:rPr>
          <w:i/>
          <w:color w:val="222222"/>
          <w:highlight w:val="white"/>
        </w:rPr>
        <w:t>214</w:t>
      </w:r>
      <w:r w:rsidRPr="00D057AD">
        <w:rPr>
          <w:color w:val="222222"/>
          <w:highlight w:val="white"/>
        </w:rPr>
        <w:t>, 118954.</w:t>
      </w:r>
      <w:hyperlink r:id="rId30">
        <w:r w:rsidRPr="00D057AD">
          <w:rPr>
            <w:color w:val="1155CC"/>
            <w:highlight w:val="white"/>
            <w:u w:val="single"/>
          </w:rPr>
          <w:t>https://www.sciencedirect.com/science/article/pii/S0360544220320612</w:t>
        </w:r>
      </w:hyperlink>
    </w:p>
    <w:p w14:paraId="2B63C57D" w14:textId="77777777" w:rsidR="00D057AD" w:rsidRPr="00D057AD" w:rsidRDefault="00D057AD">
      <w:r w:rsidRPr="00D057AD">
        <w:rPr>
          <w:color w:val="222222"/>
          <w:highlight w:val="white"/>
        </w:rPr>
        <w:t>Locatelli, G., Mancini, M.</w:t>
      </w:r>
      <w:proofErr w:type="gramStart"/>
      <w:r w:rsidRPr="00D057AD">
        <w:rPr>
          <w:color w:val="222222"/>
          <w:highlight w:val="white"/>
        </w:rPr>
        <w:t>,  and</w:t>
      </w:r>
      <w:proofErr w:type="gramEnd"/>
      <w:r w:rsidRPr="00D057AD">
        <w:rPr>
          <w:color w:val="222222"/>
          <w:highlight w:val="white"/>
        </w:rPr>
        <w:t xml:space="preserve"> Lotti, G. (2020). A simple-to-implement real options method for the energy sector. </w:t>
      </w:r>
      <w:r w:rsidRPr="00D057AD">
        <w:rPr>
          <w:i/>
          <w:color w:val="222222"/>
          <w:highlight w:val="white"/>
        </w:rPr>
        <w:t>Energy</w:t>
      </w:r>
      <w:r w:rsidRPr="00D057AD">
        <w:rPr>
          <w:color w:val="222222"/>
          <w:highlight w:val="white"/>
        </w:rPr>
        <w:t xml:space="preserve">, </w:t>
      </w:r>
      <w:r w:rsidRPr="00D057AD">
        <w:rPr>
          <w:i/>
          <w:color w:val="222222"/>
          <w:highlight w:val="white"/>
        </w:rPr>
        <w:t>197</w:t>
      </w:r>
      <w:r w:rsidRPr="00D057AD">
        <w:rPr>
          <w:color w:val="222222"/>
          <w:highlight w:val="white"/>
        </w:rPr>
        <w:t>, 117226.</w:t>
      </w:r>
      <w:hyperlink r:id="rId31">
        <w:r w:rsidRPr="00D057AD">
          <w:rPr>
            <w:color w:val="1155CC"/>
            <w:highlight w:val="white"/>
            <w:u w:val="single"/>
          </w:rPr>
          <w:t>https://eprints.whiterose.ac.uk/157998/1/</w:t>
        </w:r>
      </w:hyperlink>
    </w:p>
    <w:p w14:paraId="2D9C1AC9" w14:textId="77777777" w:rsidR="00D057AD" w:rsidRPr="00D057AD" w:rsidRDefault="00D057AD">
      <w:proofErr w:type="spellStart"/>
      <w:r w:rsidRPr="00D057AD">
        <w:rPr>
          <w:highlight w:val="white"/>
        </w:rPr>
        <w:lastRenderedPageBreak/>
        <w:t>Maeenuddina</w:t>
      </w:r>
      <w:proofErr w:type="spellEnd"/>
      <w:r w:rsidRPr="00D057AD">
        <w:rPr>
          <w:highlight w:val="white"/>
        </w:rPr>
        <w:t xml:space="preserve">, R. B., Hussain, A., Hafeez, M., Khan, M., and Wahi, N. (2020). Economic </w:t>
      </w:r>
      <w:proofErr w:type="gramStart"/>
      <w:r w:rsidRPr="00D057AD">
        <w:rPr>
          <w:highlight w:val="white"/>
        </w:rPr>
        <w:t>value added</w:t>
      </w:r>
      <w:proofErr w:type="gramEnd"/>
      <w:r w:rsidRPr="00D057AD">
        <w:rPr>
          <w:highlight w:val="white"/>
        </w:rPr>
        <w:t xml:space="preserve"> momentum and traditional profitability measures (ROA, ROE and ROCE): A comparative study. </w:t>
      </w:r>
      <w:r w:rsidRPr="00D057AD">
        <w:rPr>
          <w:i/>
          <w:highlight w:val="white"/>
        </w:rPr>
        <w:t>Test Engineering and Management</w:t>
      </w:r>
      <w:r w:rsidRPr="00D057AD">
        <w:rPr>
          <w:highlight w:val="white"/>
        </w:rPr>
        <w:t xml:space="preserve">, </w:t>
      </w:r>
      <w:r w:rsidRPr="00D057AD">
        <w:rPr>
          <w:i/>
          <w:highlight w:val="white"/>
        </w:rPr>
        <w:t>83</w:t>
      </w:r>
      <w:r w:rsidRPr="00D057AD">
        <w:rPr>
          <w:highlight w:val="white"/>
        </w:rPr>
        <w:t>(April), 13762-13774.</w:t>
      </w:r>
      <w:hyperlink r:id="rId32">
        <w:r w:rsidRPr="00D057AD">
          <w:rPr>
            <w:color w:val="1155CC"/>
            <w:highlight w:val="white"/>
            <w:u w:val="single"/>
          </w:rPr>
          <w:t>https://www.researchgate.net/profile/Maeenuddin-Dr/publication/340793341_Economic_Value_Added_Momentum_Traditional_profitability_measures/links/5e9df62692851c2f52b60c3d/Economic-Value-Added-Momentum-Traditional-profitability-measures.pdf</w:t>
        </w:r>
      </w:hyperlink>
    </w:p>
    <w:p w14:paraId="58BC6AB5" w14:textId="77777777" w:rsidR="00D057AD" w:rsidRPr="00D057AD" w:rsidRDefault="00D057AD">
      <w:r w:rsidRPr="00D057AD">
        <w:rPr>
          <w:color w:val="222222"/>
          <w:highlight w:val="white"/>
        </w:rPr>
        <w:t>Magni, C. A.</w:t>
      </w:r>
      <w:proofErr w:type="gramStart"/>
      <w:r w:rsidRPr="00D057AD">
        <w:rPr>
          <w:color w:val="222222"/>
          <w:highlight w:val="white"/>
        </w:rPr>
        <w:t>,  and</w:t>
      </w:r>
      <w:proofErr w:type="gramEnd"/>
      <w:r w:rsidRPr="00D057AD">
        <w:rPr>
          <w:color w:val="222222"/>
          <w:highlight w:val="white"/>
        </w:rPr>
        <w:t xml:space="preserve"> Marchioni, A. (2020). Average rates of return, working capital, and NPV-consistency in project appraisal: A sensitivity analysis approach. </w:t>
      </w:r>
      <w:r w:rsidRPr="00D057AD">
        <w:rPr>
          <w:i/>
          <w:color w:val="222222"/>
          <w:highlight w:val="white"/>
        </w:rPr>
        <w:t>International Journal of Production Economics</w:t>
      </w:r>
      <w:r w:rsidRPr="00D057AD">
        <w:rPr>
          <w:color w:val="222222"/>
          <w:highlight w:val="white"/>
        </w:rPr>
        <w:t xml:space="preserve">, </w:t>
      </w:r>
      <w:r w:rsidRPr="00D057AD">
        <w:rPr>
          <w:i/>
          <w:color w:val="222222"/>
          <w:highlight w:val="white"/>
        </w:rPr>
        <w:t>229</w:t>
      </w:r>
      <w:r w:rsidRPr="00D057AD">
        <w:rPr>
          <w:color w:val="222222"/>
          <w:highlight w:val="white"/>
        </w:rPr>
        <w:t>, 107769.</w:t>
      </w:r>
      <w:hyperlink r:id="rId33">
        <w:r w:rsidRPr="00D057AD">
          <w:rPr>
            <w:color w:val="1155CC"/>
            <w:highlight w:val="white"/>
            <w:u w:val="single"/>
          </w:rPr>
          <w:t>https://mpra.ub.uni-muenchen.de/99922/1/MPRA_paper_99922.pdf</w:t>
        </w:r>
      </w:hyperlink>
    </w:p>
    <w:p w14:paraId="4F568BDA" w14:textId="77777777" w:rsidR="00D057AD" w:rsidRPr="00D057AD" w:rsidRDefault="00D057AD">
      <w:pPr>
        <w:rPr>
          <w:color w:val="222222"/>
          <w:highlight w:val="white"/>
        </w:rPr>
      </w:pPr>
      <w:proofErr w:type="spellStart"/>
      <w:r w:rsidRPr="00D057AD">
        <w:rPr>
          <w:color w:val="222222"/>
          <w:highlight w:val="white"/>
        </w:rPr>
        <w:t>Maradin</w:t>
      </w:r>
      <w:proofErr w:type="spellEnd"/>
      <w:r w:rsidRPr="00D057AD">
        <w:rPr>
          <w:color w:val="222222"/>
          <w:highlight w:val="white"/>
        </w:rPr>
        <w:t xml:space="preserve">, D., Malnar, A. and </w:t>
      </w:r>
      <w:proofErr w:type="spellStart"/>
      <w:r w:rsidRPr="00D057AD">
        <w:rPr>
          <w:color w:val="222222"/>
          <w:highlight w:val="white"/>
        </w:rPr>
        <w:t>Kaštelan</w:t>
      </w:r>
      <w:proofErr w:type="spellEnd"/>
      <w:r w:rsidRPr="00D057AD">
        <w:rPr>
          <w:color w:val="222222"/>
          <w:highlight w:val="white"/>
        </w:rPr>
        <w:t xml:space="preserve">, A., 2022. Sustainable and clean energy: the case of tesla company. </w:t>
      </w:r>
      <w:r w:rsidRPr="00D057AD">
        <w:rPr>
          <w:i/>
          <w:color w:val="222222"/>
          <w:highlight w:val="white"/>
        </w:rPr>
        <w:t>Journal of economics, finance and management studies</w:t>
      </w:r>
      <w:r w:rsidRPr="00D057AD">
        <w:rPr>
          <w:color w:val="222222"/>
          <w:highlight w:val="white"/>
        </w:rPr>
        <w:t xml:space="preserve">, </w:t>
      </w:r>
      <w:r w:rsidRPr="00D057AD">
        <w:rPr>
          <w:i/>
          <w:color w:val="222222"/>
          <w:highlight w:val="white"/>
        </w:rPr>
        <w:t>5</w:t>
      </w:r>
      <w:r w:rsidRPr="00D057AD">
        <w:rPr>
          <w:color w:val="222222"/>
          <w:highlight w:val="white"/>
        </w:rPr>
        <w:t xml:space="preserve">(12), pp.3531-3542. </w:t>
      </w:r>
      <w:hyperlink r:id="rId34">
        <w:r w:rsidRPr="00D057AD">
          <w:rPr>
            <w:color w:val="1155CC"/>
            <w:highlight w:val="white"/>
            <w:u w:val="single"/>
          </w:rPr>
          <w:t>https://www.bib.irb.hr:8443/1235912/download/1235912.Sustainable_and_Clean_Energy_The_Case_of_Tesla_Company.pdf</w:t>
        </w:r>
      </w:hyperlink>
      <w:r w:rsidRPr="00D057AD">
        <w:rPr>
          <w:color w:val="222222"/>
          <w:highlight w:val="white"/>
        </w:rPr>
        <w:t xml:space="preserve"> </w:t>
      </w:r>
    </w:p>
    <w:p w14:paraId="46400BD4" w14:textId="77777777" w:rsidR="00D057AD" w:rsidRPr="00D057AD" w:rsidRDefault="00D057AD">
      <w:proofErr w:type="spellStart"/>
      <w:r w:rsidRPr="00D057AD">
        <w:rPr>
          <w:highlight w:val="white"/>
        </w:rPr>
        <w:t>Markonah</w:t>
      </w:r>
      <w:proofErr w:type="spellEnd"/>
      <w:r w:rsidRPr="00D057AD">
        <w:rPr>
          <w:highlight w:val="white"/>
        </w:rPr>
        <w:t xml:space="preserve">, M., Salim, A., and Franciska, J. (2020). Effect of profitability, leverage, and liquidity to the firm value. </w:t>
      </w:r>
      <w:r w:rsidRPr="00D057AD">
        <w:rPr>
          <w:i/>
          <w:highlight w:val="white"/>
        </w:rPr>
        <w:t>Dinasti International Journal of Economics, Finance and Accounting</w:t>
      </w:r>
      <w:r w:rsidRPr="00D057AD">
        <w:rPr>
          <w:highlight w:val="white"/>
        </w:rPr>
        <w:t xml:space="preserve">, </w:t>
      </w:r>
      <w:r w:rsidRPr="00D057AD">
        <w:rPr>
          <w:i/>
          <w:highlight w:val="white"/>
        </w:rPr>
        <w:t>1</w:t>
      </w:r>
      <w:r w:rsidRPr="00D057AD">
        <w:rPr>
          <w:highlight w:val="white"/>
        </w:rPr>
        <w:t>(1), 83-94.</w:t>
      </w:r>
      <w:hyperlink r:id="rId35">
        <w:r w:rsidRPr="00D057AD">
          <w:rPr>
            <w:color w:val="1155CC"/>
            <w:highlight w:val="white"/>
            <w:u w:val="single"/>
          </w:rPr>
          <w:t>https://dinastipub.org/DIJEFA/article/download/225/164</w:t>
        </w:r>
      </w:hyperlink>
    </w:p>
    <w:p w14:paraId="2212917E" w14:textId="77777777" w:rsidR="00D057AD" w:rsidRPr="00D057AD" w:rsidRDefault="00D057AD">
      <w:r w:rsidRPr="00D057AD">
        <w:rPr>
          <w:highlight w:val="white"/>
        </w:rPr>
        <w:t xml:space="preserve">Mulyadi, D., and Sinaga, O. (2020). Analysis of Current Ratio, Net Profit Margin, and Good Corporate Governance against Company Value. </w:t>
      </w:r>
      <w:r w:rsidRPr="00D057AD">
        <w:rPr>
          <w:i/>
          <w:highlight w:val="white"/>
        </w:rPr>
        <w:t>Systematic Reviews in Pharmacy</w:t>
      </w:r>
      <w:r w:rsidRPr="00D057AD">
        <w:rPr>
          <w:highlight w:val="white"/>
        </w:rPr>
        <w:t xml:space="preserve">, </w:t>
      </w:r>
      <w:r w:rsidRPr="00D057AD">
        <w:rPr>
          <w:i/>
          <w:highlight w:val="white"/>
        </w:rPr>
        <w:t>11</w:t>
      </w:r>
      <w:r w:rsidRPr="00D057AD">
        <w:rPr>
          <w:highlight w:val="white"/>
        </w:rPr>
        <w:t>(1).</w:t>
      </w:r>
      <w:hyperlink r:id="rId36">
        <w:r w:rsidRPr="00D057AD">
          <w:rPr>
            <w:color w:val="1155CC"/>
            <w:highlight w:val="white"/>
            <w:u w:val="single"/>
          </w:rPr>
          <w:t>https://turcomat.org/index.php/turkbilmat/article/download/3237/2785</w:t>
        </w:r>
      </w:hyperlink>
    </w:p>
    <w:p w14:paraId="3D646192" w14:textId="77777777" w:rsidR="00D057AD" w:rsidRPr="00D057AD" w:rsidRDefault="00D057AD">
      <w:proofErr w:type="spellStart"/>
      <w:r w:rsidRPr="00D057AD">
        <w:rPr>
          <w:highlight w:val="white"/>
        </w:rPr>
        <w:t>Nariswari</w:t>
      </w:r>
      <w:proofErr w:type="spellEnd"/>
      <w:r w:rsidRPr="00D057AD">
        <w:rPr>
          <w:highlight w:val="white"/>
        </w:rPr>
        <w:t xml:space="preserve">, T. N., and Nugraha, N. M. (2020). Profit growth: impact of net profit margin, gross profit margin and total </w:t>
      </w:r>
      <w:proofErr w:type="spellStart"/>
      <w:r w:rsidRPr="00D057AD">
        <w:rPr>
          <w:highlight w:val="white"/>
        </w:rPr>
        <w:t>assests</w:t>
      </w:r>
      <w:proofErr w:type="spellEnd"/>
      <w:r w:rsidRPr="00D057AD">
        <w:rPr>
          <w:highlight w:val="white"/>
        </w:rPr>
        <w:t xml:space="preserve"> turnover. </w:t>
      </w:r>
      <w:r w:rsidRPr="00D057AD">
        <w:rPr>
          <w:i/>
          <w:highlight w:val="white"/>
        </w:rPr>
        <w:t>International Journal of Finance and Banking Studies (2147-4486)</w:t>
      </w:r>
      <w:r w:rsidRPr="00D057AD">
        <w:rPr>
          <w:highlight w:val="white"/>
        </w:rPr>
        <w:t xml:space="preserve">, </w:t>
      </w:r>
      <w:r w:rsidRPr="00D057AD">
        <w:rPr>
          <w:i/>
          <w:highlight w:val="white"/>
        </w:rPr>
        <w:t>9</w:t>
      </w:r>
      <w:r w:rsidRPr="00D057AD">
        <w:rPr>
          <w:highlight w:val="white"/>
        </w:rPr>
        <w:t>(4), 87-96.</w:t>
      </w:r>
      <w:hyperlink r:id="rId37">
        <w:r w:rsidRPr="00D057AD">
          <w:rPr>
            <w:color w:val="1155CC"/>
            <w:highlight w:val="white"/>
            <w:u w:val="single"/>
          </w:rPr>
          <w:t>https://www.ssbfnet.com/ojs/index.php/ijfbs/article/download/937/712</w:t>
        </w:r>
      </w:hyperlink>
    </w:p>
    <w:p w14:paraId="4EFFECDD" w14:textId="77777777" w:rsidR="00D057AD" w:rsidRPr="00D057AD" w:rsidRDefault="00D057AD">
      <w:r w:rsidRPr="00D057AD">
        <w:rPr>
          <w:color w:val="222222"/>
          <w:highlight w:val="white"/>
        </w:rPr>
        <w:t>Nukala, V. B.</w:t>
      </w:r>
      <w:proofErr w:type="gramStart"/>
      <w:r w:rsidRPr="00D057AD">
        <w:rPr>
          <w:color w:val="222222"/>
          <w:highlight w:val="white"/>
        </w:rPr>
        <w:t>,  and</w:t>
      </w:r>
      <w:proofErr w:type="gramEnd"/>
      <w:r w:rsidRPr="00D057AD">
        <w:rPr>
          <w:color w:val="222222"/>
          <w:highlight w:val="white"/>
        </w:rPr>
        <w:t xml:space="preserve"> Prasada Rao, S. S. (2021). Role of debt-to-equity ratio in project investment valuation, assessing risk and return in capital markets. </w:t>
      </w:r>
      <w:r w:rsidRPr="00D057AD">
        <w:rPr>
          <w:i/>
          <w:color w:val="222222"/>
          <w:highlight w:val="white"/>
        </w:rPr>
        <w:t>Future Business Journal</w:t>
      </w:r>
      <w:r w:rsidRPr="00D057AD">
        <w:rPr>
          <w:color w:val="222222"/>
          <w:highlight w:val="white"/>
        </w:rPr>
        <w:t xml:space="preserve">, </w:t>
      </w:r>
      <w:r w:rsidRPr="00D057AD">
        <w:rPr>
          <w:i/>
          <w:color w:val="222222"/>
          <w:highlight w:val="white"/>
        </w:rPr>
        <w:t>7</w:t>
      </w:r>
      <w:r w:rsidRPr="00D057AD">
        <w:rPr>
          <w:color w:val="222222"/>
          <w:highlight w:val="white"/>
        </w:rPr>
        <w:t>(1), 13.</w:t>
      </w:r>
      <w:hyperlink r:id="rId38">
        <w:r w:rsidRPr="00D057AD">
          <w:rPr>
            <w:color w:val="1155CC"/>
            <w:highlight w:val="white"/>
            <w:u w:val="single"/>
          </w:rPr>
          <w:t>https://link.springer.com/content/pdf/10.1186/s43093-021-00058-9.pdf</w:t>
        </w:r>
      </w:hyperlink>
    </w:p>
    <w:p w14:paraId="4B2EB76C" w14:textId="77777777" w:rsidR="00D057AD" w:rsidRPr="00D057AD" w:rsidRDefault="00D057AD">
      <w:r w:rsidRPr="00D057AD">
        <w:rPr>
          <w:highlight w:val="white"/>
        </w:rPr>
        <w:lastRenderedPageBreak/>
        <w:t xml:space="preserve">Patin, J. C., Rahman, M., and Mustafa, M. (2020). Impact of total asset turnover ratios on equity returns: Dynamic panel data analyses. </w:t>
      </w:r>
      <w:r w:rsidRPr="00D057AD">
        <w:rPr>
          <w:i/>
          <w:highlight w:val="white"/>
        </w:rPr>
        <w:t>Journal of Accounting, Business and Management (JABM)</w:t>
      </w:r>
      <w:r w:rsidRPr="00D057AD">
        <w:rPr>
          <w:highlight w:val="white"/>
        </w:rPr>
        <w:t xml:space="preserve">, </w:t>
      </w:r>
      <w:r w:rsidRPr="00D057AD">
        <w:rPr>
          <w:i/>
          <w:highlight w:val="white"/>
        </w:rPr>
        <w:t>27</w:t>
      </w:r>
      <w:r w:rsidRPr="00D057AD">
        <w:rPr>
          <w:highlight w:val="white"/>
        </w:rPr>
        <w:t>(1), 19-29.</w:t>
      </w:r>
      <w:hyperlink r:id="rId39">
        <w:r w:rsidRPr="00D057AD">
          <w:rPr>
            <w:color w:val="1155CC"/>
            <w:highlight w:val="white"/>
            <w:u w:val="single"/>
          </w:rPr>
          <w:t>https://journal.stie-mce.ac.id/index.php/jabminternational/article/download/559/268</w:t>
        </w:r>
      </w:hyperlink>
    </w:p>
    <w:p w14:paraId="5A3F7B9B" w14:textId="77777777" w:rsidR="00D057AD" w:rsidRPr="00D057AD" w:rsidRDefault="00D057AD">
      <w:r w:rsidRPr="00D057AD">
        <w:rPr>
          <w:color w:val="222222"/>
          <w:highlight w:val="white"/>
        </w:rPr>
        <w:t>Shahriar, M. S., Hasan, K. B. M. R., Hossain, T., Beg, T. H., Islam, K. A.</w:t>
      </w:r>
      <w:proofErr w:type="gramStart"/>
      <w:r w:rsidRPr="00D057AD">
        <w:rPr>
          <w:color w:val="222222"/>
          <w:highlight w:val="white"/>
        </w:rPr>
        <w:t>,  and</w:t>
      </w:r>
      <w:proofErr w:type="gramEnd"/>
      <w:r w:rsidRPr="00D057AD">
        <w:rPr>
          <w:color w:val="222222"/>
          <w:highlight w:val="white"/>
        </w:rPr>
        <w:t xml:space="preserve"> Zayed, N. M. (2021). Financial decision making and forecasting techniques on project evaluation: a planning, development and entrepreneurial perspective. </w:t>
      </w:r>
      <w:r w:rsidRPr="00D057AD">
        <w:rPr>
          <w:i/>
          <w:color w:val="222222"/>
          <w:highlight w:val="white"/>
        </w:rPr>
        <w:t>Academy of Entrepreneurship Journal</w:t>
      </w:r>
      <w:r w:rsidRPr="00D057AD">
        <w:rPr>
          <w:color w:val="222222"/>
          <w:highlight w:val="white"/>
        </w:rPr>
        <w:t xml:space="preserve">, </w:t>
      </w:r>
      <w:r w:rsidRPr="00D057AD">
        <w:rPr>
          <w:i/>
          <w:color w:val="222222"/>
          <w:highlight w:val="white"/>
        </w:rPr>
        <w:t>27</w:t>
      </w:r>
      <w:r w:rsidRPr="00D057AD">
        <w:rPr>
          <w:color w:val="222222"/>
          <w:highlight w:val="white"/>
        </w:rPr>
        <w:t>(4), 1-7.</w:t>
      </w:r>
      <w:hyperlink r:id="rId40">
        <w:r w:rsidRPr="00D057AD">
          <w:rPr>
            <w:color w:val="1155CC"/>
            <w:highlight w:val="white"/>
            <w:u w:val="single"/>
          </w:rPr>
          <w:t>https://www.academia.edu/download/91261672/Financial-decision-making-and-forecasting-techniques-on-project-evaluation-a-planning-development-1528-2686-27-4-553.pdf</w:t>
        </w:r>
      </w:hyperlink>
    </w:p>
    <w:p w14:paraId="5075CD30" w14:textId="77777777" w:rsidR="00D057AD" w:rsidRPr="00D057AD" w:rsidRDefault="00D057AD">
      <w:r w:rsidRPr="00D057AD">
        <w:rPr>
          <w:color w:val="222222"/>
          <w:highlight w:val="white"/>
        </w:rPr>
        <w:t>Siziba, S.</w:t>
      </w:r>
      <w:proofErr w:type="gramStart"/>
      <w:r w:rsidRPr="00D057AD">
        <w:rPr>
          <w:color w:val="222222"/>
          <w:highlight w:val="white"/>
        </w:rPr>
        <w:t>,  and</w:t>
      </w:r>
      <w:proofErr w:type="gramEnd"/>
      <w:r w:rsidRPr="00D057AD">
        <w:rPr>
          <w:color w:val="222222"/>
          <w:highlight w:val="white"/>
        </w:rPr>
        <w:t xml:space="preserve"> Hall, J. H. (2021). The evolution of the application of capital budgeting techniques in enterprises. </w:t>
      </w:r>
      <w:r w:rsidRPr="00D057AD">
        <w:rPr>
          <w:i/>
          <w:color w:val="222222"/>
          <w:highlight w:val="white"/>
        </w:rPr>
        <w:t>Global finance journal</w:t>
      </w:r>
      <w:r w:rsidRPr="00D057AD">
        <w:rPr>
          <w:color w:val="222222"/>
          <w:highlight w:val="white"/>
        </w:rPr>
        <w:t xml:space="preserve">, </w:t>
      </w:r>
      <w:r w:rsidRPr="00D057AD">
        <w:rPr>
          <w:i/>
          <w:color w:val="222222"/>
          <w:highlight w:val="white"/>
        </w:rPr>
        <w:t>47</w:t>
      </w:r>
      <w:r w:rsidRPr="00D057AD">
        <w:rPr>
          <w:color w:val="222222"/>
          <w:highlight w:val="white"/>
        </w:rPr>
        <w:t>, 100504.</w:t>
      </w:r>
      <w:hyperlink r:id="rId41">
        <w:r w:rsidRPr="00D057AD">
          <w:rPr>
            <w:color w:val="1155CC"/>
            <w:highlight w:val="white"/>
            <w:u w:val="single"/>
          </w:rPr>
          <w:t>https://repository.up.ac.za/bitstream/handle/2263/74586/Siziba_Evolution_2020.pdf?sequence=1</w:t>
        </w:r>
      </w:hyperlink>
    </w:p>
    <w:p w14:paraId="524D8925" w14:textId="77777777" w:rsidR="00D057AD" w:rsidRPr="00D057AD" w:rsidRDefault="00D057AD">
      <w:pPr>
        <w:rPr>
          <w:rFonts w:eastAsia="Arial"/>
          <w:color w:val="222222"/>
          <w:highlight w:val="white"/>
        </w:rPr>
      </w:pPr>
      <w:r w:rsidRPr="00D057AD">
        <w:rPr>
          <w:rFonts w:eastAsia="Arial"/>
          <w:color w:val="222222"/>
          <w:highlight w:val="white"/>
        </w:rPr>
        <w:t xml:space="preserve">Statista (2024). </w:t>
      </w:r>
      <w:r w:rsidRPr="00D057AD">
        <w:rPr>
          <w:rFonts w:eastAsia="Arial"/>
          <w:i/>
          <w:color w:val="222222"/>
          <w:highlight w:val="white"/>
        </w:rPr>
        <w:t>Tesla’s Revenue 2008-2022 | Statistic</w:t>
      </w:r>
      <w:r w:rsidRPr="00D057AD">
        <w:rPr>
          <w:rFonts w:eastAsia="Arial"/>
          <w:color w:val="222222"/>
          <w:highlight w:val="white"/>
        </w:rPr>
        <w:t xml:space="preserve">. [online] Statista. Available at: </w:t>
      </w:r>
      <w:hyperlink r:id="rId42">
        <w:r w:rsidRPr="00D057AD">
          <w:rPr>
            <w:rFonts w:eastAsia="Arial"/>
            <w:color w:val="1155CC"/>
            <w:highlight w:val="white"/>
            <w:u w:val="single"/>
          </w:rPr>
          <w:t>https://www.statista.com/statistics/272120/revenue-of-tesla/</w:t>
        </w:r>
      </w:hyperlink>
      <w:r w:rsidRPr="00D057AD">
        <w:rPr>
          <w:rFonts w:eastAsia="Arial"/>
          <w:color w:val="222222"/>
          <w:highlight w:val="white"/>
        </w:rPr>
        <w:t xml:space="preserve">. </w:t>
      </w:r>
    </w:p>
    <w:p w14:paraId="03934110" w14:textId="77777777" w:rsidR="00D057AD" w:rsidRPr="00D057AD" w:rsidRDefault="00D057AD">
      <w:r w:rsidRPr="00D057AD">
        <w:rPr>
          <w:rFonts w:eastAsia="Arial"/>
          <w:color w:val="222222"/>
          <w:highlight w:val="white"/>
        </w:rPr>
        <w:t xml:space="preserve">Tesla (2019). </w:t>
      </w:r>
      <w:r w:rsidRPr="00D057AD">
        <w:rPr>
          <w:rFonts w:eastAsia="Arial"/>
          <w:i/>
          <w:color w:val="222222"/>
          <w:highlight w:val="white"/>
        </w:rPr>
        <w:t>News | Tesla</w:t>
      </w:r>
      <w:r w:rsidRPr="00D057AD">
        <w:rPr>
          <w:rFonts w:eastAsia="Arial"/>
          <w:color w:val="222222"/>
          <w:highlight w:val="white"/>
        </w:rPr>
        <w:t xml:space="preserve">. [online] Tesla.com. Available at: </w:t>
      </w:r>
      <w:hyperlink r:id="rId43">
        <w:r w:rsidRPr="00D057AD">
          <w:rPr>
            <w:rFonts w:eastAsia="Arial"/>
            <w:color w:val="1155CC"/>
            <w:highlight w:val="white"/>
            <w:u w:val="single"/>
          </w:rPr>
          <w:t>https://www.tesla.com/blog</w:t>
        </w:r>
      </w:hyperlink>
      <w:r w:rsidRPr="00D057AD">
        <w:rPr>
          <w:rFonts w:eastAsia="Arial"/>
          <w:color w:val="222222"/>
          <w:highlight w:val="white"/>
        </w:rPr>
        <w:t xml:space="preserve">. </w:t>
      </w:r>
    </w:p>
    <w:p w14:paraId="4333B683" w14:textId="77777777" w:rsidR="00D057AD" w:rsidRPr="00D057AD" w:rsidRDefault="00D057AD">
      <w:r w:rsidRPr="00D057AD">
        <w:t xml:space="preserve">Toyota-industries.com. (2023). </w:t>
      </w:r>
      <w:r w:rsidRPr="00D057AD">
        <w:rPr>
          <w:i/>
        </w:rPr>
        <w:t>Toyota Industries Report 2023 | Toyota Industries Corporation</w:t>
      </w:r>
      <w:r w:rsidRPr="00D057AD">
        <w:t xml:space="preserve">. [online] Available at: </w:t>
      </w:r>
      <w:hyperlink r:id="rId44">
        <w:r w:rsidRPr="00D057AD">
          <w:rPr>
            <w:color w:val="1155CC"/>
            <w:u w:val="single"/>
          </w:rPr>
          <w:t>https://www.toyota-industries.com/investors/library/annual_reports/2023/index.html</w:t>
        </w:r>
      </w:hyperlink>
      <w:r w:rsidRPr="00D057AD">
        <w:t xml:space="preserve">  [Accessed 11 Jul. 2024].</w:t>
      </w:r>
    </w:p>
    <w:p w14:paraId="31EDA62B" w14:textId="77777777" w:rsidR="00D057AD" w:rsidRPr="00D057AD" w:rsidRDefault="00D057AD">
      <w:r w:rsidRPr="00D057AD">
        <w:t xml:space="preserve">Volkswagen Group. (2024). </w:t>
      </w:r>
      <w:r w:rsidRPr="00D057AD">
        <w:rPr>
          <w:i/>
        </w:rPr>
        <w:t>Annual Report &amp; Full Year Results 2023</w:t>
      </w:r>
      <w:r w:rsidRPr="00D057AD">
        <w:t xml:space="preserve">. [online] Available at: </w:t>
      </w:r>
      <w:hyperlink r:id="rId45">
        <w:r w:rsidRPr="00D057AD">
          <w:rPr>
            <w:color w:val="1155CC"/>
            <w:u w:val="single"/>
          </w:rPr>
          <w:t>https://www.volkswagen-group.com/en/annual-report-and-full-year-results-2023-18144</w:t>
        </w:r>
      </w:hyperlink>
      <w:r w:rsidRPr="00D057AD">
        <w:t xml:space="preserve">  [Accessed 11 Jul. 2024].</w:t>
      </w:r>
    </w:p>
    <w:p w14:paraId="050C8CA7" w14:textId="77777777" w:rsidR="00D057AD" w:rsidRPr="00D057AD" w:rsidRDefault="00D057AD">
      <w:r w:rsidRPr="00D057AD">
        <w:t xml:space="preserve">Wsj.com. (2024). </w:t>
      </w:r>
      <w:r w:rsidRPr="00D057AD">
        <w:rPr>
          <w:i/>
        </w:rPr>
        <w:t>TM | Toyota Motor Corp. ADR Annual Balance Sheet - WSJ</w:t>
      </w:r>
      <w:r w:rsidRPr="00D057AD">
        <w:t xml:space="preserve">. [online] Available at: </w:t>
      </w:r>
      <w:hyperlink r:id="rId46">
        <w:r w:rsidRPr="00D057AD">
          <w:rPr>
            <w:color w:val="1155CC"/>
            <w:u w:val="single"/>
          </w:rPr>
          <w:t>https://www.wsj.com/market-data/quotes/TM/financials/annual/balance-sheet</w:t>
        </w:r>
      </w:hyperlink>
      <w:r w:rsidRPr="00D057AD">
        <w:t xml:space="preserve">   [Accessed 11 Jul. 2024].</w:t>
      </w:r>
    </w:p>
    <w:p w14:paraId="4D7C8BA7" w14:textId="77777777" w:rsidR="00D057AD" w:rsidRPr="00D057AD" w:rsidRDefault="00D057AD">
      <w:r w:rsidRPr="00D057AD">
        <w:t xml:space="preserve">Wsj.com. (2024). </w:t>
      </w:r>
      <w:r w:rsidRPr="00D057AD">
        <w:rPr>
          <w:i/>
        </w:rPr>
        <w:t>TM | Toyota Motor Corp. ADR Annual Cash Flow - WSJ</w:t>
      </w:r>
      <w:r w:rsidRPr="00D057AD">
        <w:t xml:space="preserve">. [online] Available at: </w:t>
      </w:r>
      <w:hyperlink r:id="rId47">
        <w:r w:rsidRPr="00D057AD">
          <w:rPr>
            <w:color w:val="1155CC"/>
            <w:u w:val="single"/>
          </w:rPr>
          <w:t>https://www.wsj.com/market-data/quotes/TM/financials/annual/cash-flow</w:t>
        </w:r>
      </w:hyperlink>
      <w:r w:rsidRPr="00D057AD">
        <w:t xml:space="preserve">  [Accessed 11 Jul. 2024].</w:t>
      </w:r>
    </w:p>
    <w:p w14:paraId="3E066D38" w14:textId="77777777" w:rsidR="00D057AD" w:rsidRPr="00D057AD" w:rsidRDefault="00D057AD">
      <w:r w:rsidRPr="00D057AD">
        <w:lastRenderedPageBreak/>
        <w:t xml:space="preserve">Wsj.com. (2024). </w:t>
      </w:r>
      <w:r w:rsidRPr="00D057AD">
        <w:rPr>
          <w:i/>
        </w:rPr>
        <w:t>TM | Toyota Motor Corp. ADR Annual Income Statement - WSJ</w:t>
      </w:r>
      <w:r w:rsidRPr="00D057AD">
        <w:t xml:space="preserve">. [online] Available at: </w:t>
      </w:r>
      <w:hyperlink r:id="rId48">
        <w:r w:rsidRPr="00D057AD">
          <w:rPr>
            <w:color w:val="1155CC"/>
            <w:u w:val="single"/>
          </w:rPr>
          <w:t>https://www.wsj.com/market-data/quotes/TM/financials/annual/income-statement</w:t>
        </w:r>
      </w:hyperlink>
      <w:r w:rsidRPr="00D057AD">
        <w:t xml:space="preserve">  [Accessed 11 Jul. 2024].</w:t>
      </w:r>
    </w:p>
    <w:p w14:paraId="1798D83C" w14:textId="77777777" w:rsidR="00D057AD" w:rsidRPr="00D057AD" w:rsidRDefault="00D057AD">
      <w:r w:rsidRPr="00D057AD">
        <w:t xml:space="preserve">Wsj.com. (2024). </w:t>
      </w:r>
      <w:r w:rsidRPr="00D057AD">
        <w:rPr>
          <w:i/>
        </w:rPr>
        <w:t>TSLA | Tesla Inc. Annual Balance Sheet - WSJ</w:t>
      </w:r>
      <w:r w:rsidRPr="00D057AD">
        <w:t xml:space="preserve">. [online] Available at: </w:t>
      </w:r>
      <w:hyperlink r:id="rId49">
        <w:r w:rsidRPr="00D057AD">
          <w:rPr>
            <w:color w:val="1155CC"/>
            <w:u w:val="single"/>
          </w:rPr>
          <w:t>https://www.wsj.com/market-data/quotes/TSLA/financials/annual/balance-sheet</w:t>
        </w:r>
      </w:hyperlink>
      <w:r w:rsidRPr="00D057AD">
        <w:t xml:space="preserve">  [Accessed 11 Jul. 2024].</w:t>
      </w:r>
    </w:p>
    <w:p w14:paraId="5DAC35EF" w14:textId="77777777" w:rsidR="00D057AD" w:rsidRPr="00D057AD" w:rsidRDefault="00D057AD">
      <w:r w:rsidRPr="00D057AD">
        <w:t xml:space="preserve">Wsj.com. (2024). </w:t>
      </w:r>
      <w:r w:rsidRPr="00D057AD">
        <w:rPr>
          <w:i/>
        </w:rPr>
        <w:t>TSLA | Tesla Inc. Annual Cash Flow - WSJ</w:t>
      </w:r>
      <w:r w:rsidRPr="00D057AD">
        <w:t xml:space="preserve">. [online] Available at: </w:t>
      </w:r>
      <w:hyperlink r:id="rId50">
        <w:r w:rsidRPr="00D057AD">
          <w:rPr>
            <w:color w:val="1155CC"/>
            <w:u w:val="single"/>
          </w:rPr>
          <w:t>https://www.wsj.com/market-data/quotes/TSLA/financials/annual/cash-flow</w:t>
        </w:r>
      </w:hyperlink>
      <w:r w:rsidRPr="00D057AD">
        <w:t xml:space="preserve">  [Accessed 11 Jul. 2024].</w:t>
      </w:r>
    </w:p>
    <w:p w14:paraId="329DFE3F" w14:textId="77777777" w:rsidR="00D057AD" w:rsidRPr="00D057AD" w:rsidRDefault="00D057AD">
      <w:r w:rsidRPr="00D057AD">
        <w:t xml:space="preserve">Wsj.com. (2024). </w:t>
      </w:r>
      <w:r w:rsidRPr="00D057AD">
        <w:rPr>
          <w:i/>
        </w:rPr>
        <w:t>TSLA | Tesla Inc. Annual Income Statement - WSJ</w:t>
      </w:r>
      <w:r w:rsidRPr="00D057AD">
        <w:t xml:space="preserve">. [online] Available at: </w:t>
      </w:r>
      <w:hyperlink r:id="rId51">
        <w:r w:rsidRPr="00D057AD">
          <w:rPr>
            <w:color w:val="1155CC"/>
            <w:u w:val="single"/>
          </w:rPr>
          <w:t>https://www.wsj.com/market-data/quotes/TSLA/financials/annual/income-statement</w:t>
        </w:r>
      </w:hyperlink>
      <w:r w:rsidRPr="00D057AD">
        <w:t xml:space="preserve">  [Accessed 11 Jul. 2024].</w:t>
      </w:r>
    </w:p>
    <w:p w14:paraId="722F8A5B" w14:textId="77777777" w:rsidR="00D057AD" w:rsidRPr="00D057AD" w:rsidRDefault="00D057AD">
      <w:r w:rsidRPr="00D057AD">
        <w:t xml:space="preserve">Wsj.com. (2024). </w:t>
      </w:r>
      <w:r w:rsidRPr="00D057AD">
        <w:rPr>
          <w:i/>
        </w:rPr>
        <w:t>VOW.XE | Volkswagen AG Annual Balance Sheet - WSJ</w:t>
      </w:r>
      <w:r w:rsidRPr="00D057AD">
        <w:t xml:space="preserve">. [online] Available at: </w:t>
      </w:r>
      <w:hyperlink r:id="rId52">
        <w:r w:rsidRPr="00D057AD">
          <w:rPr>
            <w:color w:val="1155CC"/>
            <w:u w:val="single"/>
          </w:rPr>
          <w:t>https://www.wsj.com/market-data/quotes/XE/XETR/VOW/financials/annual/balance-sheet</w:t>
        </w:r>
      </w:hyperlink>
      <w:r w:rsidRPr="00D057AD">
        <w:t xml:space="preserve">  [Accessed 11 Jul. 2024].</w:t>
      </w:r>
    </w:p>
    <w:p w14:paraId="24DBAC3D" w14:textId="77777777" w:rsidR="00D057AD" w:rsidRPr="00D057AD" w:rsidRDefault="00D057AD">
      <w:r w:rsidRPr="00D057AD">
        <w:t xml:space="preserve">Wsj.com. (2024). </w:t>
      </w:r>
      <w:r w:rsidRPr="00D057AD">
        <w:rPr>
          <w:i/>
        </w:rPr>
        <w:t>VOW.XE | Volkswagen AG Annual Cash Flow - WSJ</w:t>
      </w:r>
      <w:r w:rsidRPr="00D057AD">
        <w:t xml:space="preserve">. [online] Available at: </w:t>
      </w:r>
      <w:hyperlink r:id="rId53">
        <w:r w:rsidRPr="00D057AD">
          <w:rPr>
            <w:color w:val="1155CC"/>
            <w:u w:val="single"/>
          </w:rPr>
          <w:t>https://www.wsj.com/market-data/quotes/XE/XETR/VOW/financials/annual/cash-flow</w:t>
        </w:r>
      </w:hyperlink>
      <w:r w:rsidRPr="00D057AD">
        <w:t xml:space="preserve">  [Accessed 11 Jul. 2024].</w:t>
      </w:r>
    </w:p>
    <w:p w14:paraId="1A6B5849" w14:textId="77777777" w:rsidR="00D057AD" w:rsidRPr="00D057AD" w:rsidRDefault="00D057AD">
      <w:r w:rsidRPr="00D057AD">
        <w:t xml:space="preserve">Wsj.com. (2024). </w:t>
      </w:r>
      <w:r w:rsidRPr="00D057AD">
        <w:rPr>
          <w:i/>
        </w:rPr>
        <w:t>VOW.XE | Volkswagen AG Annual Income Statement - WSJ</w:t>
      </w:r>
      <w:r w:rsidRPr="00D057AD">
        <w:t xml:space="preserve">. [online] Available at: </w:t>
      </w:r>
      <w:hyperlink r:id="rId54">
        <w:r w:rsidRPr="00D057AD">
          <w:rPr>
            <w:color w:val="1155CC"/>
            <w:u w:val="single"/>
          </w:rPr>
          <w:t>https://www.wsj.com/market-data/quotes/XE/XETR/VOW/financials/annual/income-statement</w:t>
        </w:r>
      </w:hyperlink>
      <w:r w:rsidRPr="00D057AD">
        <w:t xml:space="preserve">  [Accessed 11 Jul. 2024].</w:t>
      </w:r>
    </w:p>
    <w:p w14:paraId="2FC3FFA9" w14:textId="77777777" w:rsidR="00F44EAE" w:rsidRDefault="00F44EAE"/>
    <w:p w14:paraId="0D33CFB6" w14:textId="77777777" w:rsidR="00F44EAE" w:rsidRDefault="00AB3F43">
      <w:r>
        <w:br w:type="page"/>
      </w:r>
    </w:p>
    <w:p w14:paraId="17B44060" w14:textId="77777777" w:rsidR="00F44EAE" w:rsidRDefault="00AB3F43">
      <w:pPr>
        <w:pStyle w:val="Heading1"/>
      </w:pPr>
      <w:bookmarkStart w:id="35" w:name="_Toc171616566"/>
      <w:r>
        <w:lastRenderedPageBreak/>
        <w:t>Appendix</w:t>
      </w:r>
      <w:bookmarkEnd w:id="35"/>
      <w:r>
        <w:t xml:space="preserve"> </w:t>
      </w:r>
    </w:p>
    <w:p w14:paraId="791672BF" w14:textId="77777777" w:rsidR="00F44EAE" w:rsidRDefault="00AB3F43">
      <w:pPr>
        <w:pStyle w:val="Heading2"/>
      </w:pPr>
      <w:bookmarkStart w:id="36" w:name="_Toc171616567"/>
      <w:r>
        <w:t>Ratio Analysis</w:t>
      </w:r>
      <w:bookmarkEnd w:id="36"/>
    </w:p>
    <w:tbl>
      <w:tblPr>
        <w:tblStyle w:val="a"/>
        <w:tblW w:w="9350" w:type="dxa"/>
        <w:tblLayout w:type="fixed"/>
        <w:tblLook w:val="0400" w:firstRow="0" w:lastRow="0" w:firstColumn="0" w:lastColumn="0" w:noHBand="0" w:noVBand="1"/>
      </w:tblPr>
      <w:tblGrid>
        <w:gridCol w:w="671"/>
        <w:gridCol w:w="216"/>
        <w:gridCol w:w="1103"/>
        <w:gridCol w:w="818"/>
        <w:gridCol w:w="1493"/>
        <w:gridCol w:w="1135"/>
        <w:gridCol w:w="405"/>
        <w:gridCol w:w="405"/>
        <w:gridCol w:w="407"/>
        <w:gridCol w:w="404"/>
        <w:gridCol w:w="406"/>
        <w:gridCol w:w="405"/>
        <w:gridCol w:w="405"/>
        <w:gridCol w:w="405"/>
        <w:gridCol w:w="405"/>
        <w:gridCol w:w="267"/>
      </w:tblGrid>
      <w:tr w:rsidR="00F44EAE" w14:paraId="0A97C5F7" w14:textId="77777777">
        <w:trPr>
          <w:trHeight w:val="315"/>
        </w:trPr>
        <w:tc>
          <w:tcPr>
            <w:tcW w:w="88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D3CFB5A" w14:textId="77777777" w:rsidR="00F44EAE" w:rsidRDefault="00AB3F43">
            <w:pPr>
              <w:spacing w:before="0" w:after="0" w:line="240" w:lineRule="auto"/>
              <w:jc w:val="center"/>
              <w:rPr>
                <w:b/>
                <w:color w:val="000000"/>
              </w:rPr>
            </w:pPr>
            <w:r>
              <w:rPr>
                <w:b/>
                <w:color w:val="000000"/>
              </w:rPr>
              <w:t>Profitability</w:t>
            </w:r>
          </w:p>
        </w:tc>
        <w:tc>
          <w:tcPr>
            <w:tcW w:w="1921" w:type="dxa"/>
            <w:gridSpan w:val="2"/>
            <w:tcBorders>
              <w:top w:val="single" w:sz="4" w:space="0" w:color="000000"/>
              <w:left w:val="nil"/>
              <w:bottom w:val="single" w:sz="4" w:space="0" w:color="000000"/>
              <w:right w:val="single" w:sz="4" w:space="0" w:color="000000"/>
            </w:tcBorders>
            <w:shd w:val="clear" w:color="auto" w:fill="auto"/>
            <w:vAlign w:val="bottom"/>
          </w:tcPr>
          <w:p w14:paraId="5783902C" w14:textId="77777777" w:rsidR="00F44EAE" w:rsidRDefault="00AB3F43">
            <w:pPr>
              <w:spacing w:before="0" w:after="0" w:line="240" w:lineRule="auto"/>
              <w:jc w:val="left"/>
              <w:rPr>
                <w:b/>
                <w:color w:val="000000"/>
              </w:rPr>
            </w:pPr>
            <w:r>
              <w:rPr>
                <w:b/>
                <w:color w:val="000000"/>
              </w:rPr>
              <w:t> </w:t>
            </w:r>
          </w:p>
        </w:tc>
        <w:tc>
          <w:tcPr>
            <w:tcW w:w="2628" w:type="dxa"/>
            <w:gridSpan w:val="2"/>
            <w:tcBorders>
              <w:top w:val="single" w:sz="4" w:space="0" w:color="000000"/>
              <w:left w:val="nil"/>
              <w:bottom w:val="single" w:sz="4" w:space="0" w:color="000000"/>
              <w:right w:val="single" w:sz="4" w:space="0" w:color="000000"/>
            </w:tcBorders>
            <w:shd w:val="clear" w:color="auto" w:fill="auto"/>
            <w:vAlign w:val="bottom"/>
          </w:tcPr>
          <w:p w14:paraId="6D3ED826" w14:textId="77777777" w:rsidR="00F44EAE" w:rsidRDefault="00AB3F43">
            <w:pPr>
              <w:spacing w:before="0" w:after="0" w:line="240" w:lineRule="auto"/>
              <w:jc w:val="left"/>
              <w:rPr>
                <w:b/>
                <w:color w:val="000000"/>
              </w:rPr>
            </w:pPr>
            <w:r>
              <w:rPr>
                <w:b/>
                <w:color w:val="000000"/>
              </w:rPr>
              <w:t> </w:t>
            </w:r>
          </w:p>
        </w:tc>
        <w:tc>
          <w:tcPr>
            <w:tcW w:w="3914" w:type="dxa"/>
            <w:gridSpan w:val="10"/>
            <w:tcBorders>
              <w:top w:val="single" w:sz="4" w:space="0" w:color="000000"/>
              <w:left w:val="nil"/>
              <w:bottom w:val="single" w:sz="4" w:space="0" w:color="000000"/>
              <w:right w:val="single" w:sz="4" w:space="0" w:color="000000"/>
            </w:tcBorders>
            <w:shd w:val="clear" w:color="auto" w:fill="auto"/>
            <w:vAlign w:val="bottom"/>
          </w:tcPr>
          <w:p w14:paraId="1EF726CA" w14:textId="77777777" w:rsidR="00F44EAE" w:rsidRDefault="00AB3F43">
            <w:pPr>
              <w:spacing w:before="0" w:after="0" w:line="240" w:lineRule="auto"/>
              <w:jc w:val="center"/>
              <w:rPr>
                <w:b/>
                <w:color w:val="000000"/>
              </w:rPr>
            </w:pPr>
            <w:r>
              <w:rPr>
                <w:b/>
                <w:color w:val="000000"/>
              </w:rPr>
              <w:t>Tesla</w:t>
            </w:r>
          </w:p>
        </w:tc>
      </w:tr>
      <w:tr w:rsidR="00F44EAE" w14:paraId="74D488BF" w14:textId="77777777">
        <w:trPr>
          <w:trHeight w:val="315"/>
        </w:trPr>
        <w:tc>
          <w:tcPr>
            <w:tcW w:w="887" w:type="dxa"/>
            <w:gridSpan w:val="2"/>
            <w:vMerge/>
            <w:tcBorders>
              <w:top w:val="single" w:sz="4" w:space="0" w:color="000000"/>
              <w:left w:val="single" w:sz="4" w:space="0" w:color="000000"/>
              <w:bottom w:val="single" w:sz="4" w:space="0" w:color="000000"/>
              <w:right w:val="single" w:sz="4" w:space="0" w:color="000000"/>
            </w:tcBorders>
            <w:shd w:val="clear" w:color="auto" w:fill="auto"/>
            <w:vAlign w:val="bottom"/>
          </w:tcPr>
          <w:p w14:paraId="7B923924" w14:textId="77777777" w:rsidR="00F44EAE" w:rsidRDefault="00F44EAE">
            <w:pPr>
              <w:widowControl w:val="0"/>
              <w:pBdr>
                <w:top w:val="nil"/>
                <w:left w:val="nil"/>
                <w:bottom w:val="nil"/>
                <w:right w:val="nil"/>
                <w:between w:val="nil"/>
              </w:pBdr>
              <w:spacing w:before="0" w:after="0" w:line="276" w:lineRule="auto"/>
              <w:jc w:val="left"/>
              <w:rPr>
                <w:b/>
                <w:color w:val="000000"/>
              </w:rPr>
            </w:pPr>
          </w:p>
        </w:tc>
        <w:tc>
          <w:tcPr>
            <w:tcW w:w="1921" w:type="dxa"/>
            <w:gridSpan w:val="2"/>
            <w:tcBorders>
              <w:top w:val="nil"/>
              <w:left w:val="nil"/>
              <w:bottom w:val="single" w:sz="4" w:space="0" w:color="000000"/>
              <w:right w:val="single" w:sz="4" w:space="0" w:color="000000"/>
            </w:tcBorders>
            <w:shd w:val="clear" w:color="auto" w:fill="auto"/>
            <w:vAlign w:val="bottom"/>
          </w:tcPr>
          <w:p w14:paraId="33A724EC" w14:textId="77777777" w:rsidR="00F44EAE" w:rsidRDefault="00AB3F43">
            <w:pPr>
              <w:spacing w:before="0" w:after="0" w:line="240" w:lineRule="auto"/>
              <w:jc w:val="left"/>
              <w:rPr>
                <w:color w:val="000000"/>
              </w:rPr>
            </w:pPr>
            <w:r>
              <w:rPr>
                <w:color w:val="000000"/>
              </w:rPr>
              <w:t>Net Profit Margin</w:t>
            </w:r>
          </w:p>
        </w:tc>
        <w:tc>
          <w:tcPr>
            <w:tcW w:w="2628" w:type="dxa"/>
            <w:gridSpan w:val="2"/>
            <w:tcBorders>
              <w:top w:val="nil"/>
              <w:left w:val="nil"/>
              <w:bottom w:val="single" w:sz="4" w:space="0" w:color="000000"/>
              <w:right w:val="single" w:sz="4" w:space="0" w:color="000000"/>
            </w:tcBorders>
            <w:shd w:val="clear" w:color="auto" w:fill="auto"/>
            <w:vAlign w:val="bottom"/>
          </w:tcPr>
          <w:p w14:paraId="2E403B8A" w14:textId="77777777" w:rsidR="00F44EAE" w:rsidRDefault="00AB3F43">
            <w:pPr>
              <w:spacing w:before="0" w:after="0" w:line="240" w:lineRule="auto"/>
              <w:jc w:val="left"/>
              <w:rPr>
                <w:color w:val="000000"/>
              </w:rPr>
            </w:pPr>
            <w:r>
              <w:rPr>
                <w:color w:val="000000"/>
              </w:rPr>
              <w:t>Net income/Sales revenue</w:t>
            </w:r>
          </w:p>
        </w:tc>
        <w:tc>
          <w:tcPr>
            <w:tcW w:w="810" w:type="dxa"/>
            <w:gridSpan w:val="2"/>
            <w:tcBorders>
              <w:top w:val="nil"/>
              <w:left w:val="nil"/>
              <w:bottom w:val="single" w:sz="4" w:space="0" w:color="000000"/>
              <w:right w:val="single" w:sz="4" w:space="0" w:color="000000"/>
            </w:tcBorders>
            <w:shd w:val="clear" w:color="auto" w:fill="auto"/>
            <w:vAlign w:val="bottom"/>
          </w:tcPr>
          <w:p w14:paraId="7138F3BF" w14:textId="77777777" w:rsidR="00F44EAE" w:rsidRDefault="00AB3F43">
            <w:pPr>
              <w:spacing w:before="0" w:after="0" w:line="240" w:lineRule="auto"/>
              <w:jc w:val="right"/>
              <w:rPr>
                <w:color w:val="000000"/>
              </w:rPr>
            </w:pPr>
            <w:r>
              <w:rPr>
                <w:color w:val="000000"/>
              </w:rPr>
              <w:t>15.47%</w:t>
            </w:r>
          </w:p>
        </w:tc>
        <w:tc>
          <w:tcPr>
            <w:tcW w:w="811" w:type="dxa"/>
            <w:gridSpan w:val="2"/>
            <w:tcBorders>
              <w:top w:val="nil"/>
              <w:left w:val="nil"/>
              <w:bottom w:val="single" w:sz="4" w:space="0" w:color="000000"/>
              <w:right w:val="single" w:sz="4" w:space="0" w:color="000000"/>
            </w:tcBorders>
            <w:shd w:val="clear" w:color="auto" w:fill="auto"/>
            <w:vAlign w:val="bottom"/>
          </w:tcPr>
          <w:p w14:paraId="30EBE5B1" w14:textId="77777777" w:rsidR="00F44EAE" w:rsidRDefault="00AB3F43">
            <w:pPr>
              <w:spacing w:before="0" w:after="0" w:line="240" w:lineRule="auto"/>
              <w:jc w:val="right"/>
              <w:rPr>
                <w:color w:val="000000"/>
              </w:rPr>
            </w:pPr>
            <w:r>
              <w:rPr>
                <w:color w:val="000000"/>
              </w:rPr>
              <w:t>15.45%</w:t>
            </w:r>
          </w:p>
        </w:tc>
        <w:tc>
          <w:tcPr>
            <w:tcW w:w="811" w:type="dxa"/>
            <w:gridSpan w:val="2"/>
            <w:tcBorders>
              <w:top w:val="nil"/>
              <w:left w:val="nil"/>
              <w:bottom w:val="single" w:sz="4" w:space="0" w:color="000000"/>
              <w:right w:val="single" w:sz="4" w:space="0" w:color="000000"/>
            </w:tcBorders>
            <w:shd w:val="clear" w:color="auto" w:fill="auto"/>
            <w:vAlign w:val="bottom"/>
          </w:tcPr>
          <w:p w14:paraId="64D78227" w14:textId="77777777" w:rsidR="00F44EAE" w:rsidRDefault="00AB3F43">
            <w:pPr>
              <w:spacing w:before="0" w:after="0" w:line="240" w:lineRule="auto"/>
              <w:jc w:val="right"/>
              <w:rPr>
                <w:color w:val="000000"/>
              </w:rPr>
            </w:pPr>
            <w:r>
              <w:rPr>
                <w:color w:val="000000"/>
              </w:rPr>
              <w:t>10.26%</w:t>
            </w:r>
          </w:p>
        </w:tc>
        <w:tc>
          <w:tcPr>
            <w:tcW w:w="810" w:type="dxa"/>
            <w:gridSpan w:val="2"/>
            <w:tcBorders>
              <w:top w:val="nil"/>
              <w:left w:val="nil"/>
              <w:bottom w:val="single" w:sz="4" w:space="0" w:color="000000"/>
              <w:right w:val="single" w:sz="4" w:space="0" w:color="000000"/>
            </w:tcBorders>
            <w:shd w:val="clear" w:color="auto" w:fill="auto"/>
            <w:vAlign w:val="bottom"/>
          </w:tcPr>
          <w:p w14:paraId="3AA8FD9E" w14:textId="77777777" w:rsidR="00F44EAE" w:rsidRDefault="00AB3F43">
            <w:pPr>
              <w:spacing w:before="0" w:after="0" w:line="240" w:lineRule="auto"/>
              <w:jc w:val="right"/>
              <w:rPr>
                <w:color w:val="000000"/>
              </w:rPr>
            </w:pPr>
            <w:r>
              <w:rPr>
                <w:color w:val="000000"/>
              </w:rPr>
              <w:t>2.19%</w:t>
            </w:r>
          </w:p>
        </w:tc>
        <w:tc>
          <w:tcPr>
            <w:tcW w:w="672" w:type="dxa"/>
            <w:gridSpan w:val="2"/>
            <w:tcBorders>
              <w:top w:val="nil"/>
              <w:left w:val="nil"/>
              <w:bottom w:val="single" w:sz="4" w:space="0" w:color="000000"/>
              <w:right w:val="single" w:sz="4" w:space="0" w:color="000000"/>
            </w:tcBorders>
            <w:shd w:val="clear" w:color="auto" w:fill="auto"/>
            <w:vAlign w:val="bottom"/>
          </w:tcPr>
          <w:p w14:paraId="00165C03" w14:textId="77777777" w:rsidR="00F44EAE" w:rsidRDefault="00AB3F43">
            <w:pPr>
              <w:spacing w:before="0" w:after="0" w:line="240" w:lineRule="auto"/>
              <w:jc w:val="right"/>
              <w:rPr>
                <w:color w:val="000000"/>
              </w:rPr>
            </w:pPr>
            <w:r>
              <w:rPr>
                <w:color w:val="000000"/>
              </w:rPr>
              <w:t>-3.54%</w:t>
            </w:r>
          </w:p>
        </w:tc>
      </w:tr>
      <w:tr w:rsidR="00F44EAE" w14:paraId="41A5F820" w14:textId="77777777">
        <w:trPr>
          <w:trHeight w:val="315"/>
        </w:trPr>
        <w:tc>
          <w:tcPr>
            <w:tcW w:w="887" w:type="dxa"/>
            <w:gridSpan w:val="2"/>
            <w:vMerge/>
            <w:tcBorders>
              <w:top w:val="single" w:sz="4" w:space="0" w:color="000000"/>
              <w:left w:val="single" w:sz="4" w:space="0" w:color="000000"/>
              <w:bottom w:val="single" w:sz="4" w:space="0" w:color="000000"/>
              <w:right w:val="single" w:sz="4" w:space="0" w:color="000000"/>
            </w:tcBorders>
            <w:shd w:val="clear" w:color="auto" w:fill="auto"/>
            <w:vAlign w:val="bottom"/>
          </w:tcPr>
          <w:p w14:paraId="188F074B"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921" w:type="dxa"/>
            <w:gridSpan w:val="2"/>
            <w:tcBorders>
              <w:top w:val="nil"/>
              <w:left w:val="nil"/>
              <w:bottom w:val="single" w:sz="4" w:space="0" w:color="000000"/>
              <w:right w:val="single" w:sz="4" w:space="0" w:color="000000"/>
            </w:tcBorders>
            <w:shd w:val="clear" w:color="auto" w:fill="auto"/>
            <w:vAlign w:val="bottom"/>
          </w:tcPr>
          <w:p w14:paraId="42178BC2" w14:textId="77777777" w:rsidR="00F44EAE" w:rsidRDefault="00AB3F43">
            <w:pPr>
              <w:spacing w:before="0" w:after="0" w:line="240" w:lineRule="auto"/>
              <w:jc w:val="left"/>
              <w:rPr>
                <w:color w:val="000000"/>
              </w:rPr>
            </w:pPr>
            <w:r>
              <w:rPr>
                <w:color w:val="000000"/>
              </w:rPr>
              <w:t>Return on capital employed</w:t>
            </w:r>
          </w:p>
        </w:tc>
        <w:tc>
          <w:tcPr>
            <w:tcW w:w="2628" w:type="dxa"/>
            <w:gridSpan w:val="2"/>
            <w:tcBorders>
              <w:top w:val="nil"/>
              <w:left w:val="nil"/>
              <w:bottom w:val="single" w:sz="4" w:space="0" w:color="000000"/>
              <w:right w:val="single" w:sz="4" w:space="0" w:color="000000"/>
            </w:tcBorders>
            <w:shd w:val="clear" w:color="auto" w:fill="auto"/>
            <w:vAlign w:val="bottom"/>
          </w:tcPr>
          <w:p w14:paraId="1C595E35" w14:textId="77777777" w:rsidR="00F44EAE" w:rsidRDefault="00AB3F43">
            <w:pPr>
              <w:spacing w:before="0" w:after="0" w:line="240" w:lineRule="auto"/>
              <w:jc w:val="left"/>
              <w:rPr>
                <w:color w:val="000000"/>
              </w:rPr>
            </w:pPr>
            <w:r>
              <w:rPr>
                <w:color w:val="000000"/>
              </w:rPr>
              <w:t>EBIT/ Total asset- Total current liabilities</w:t>
            </w:r>
          </w:p>
        </w:tc>
        <w:tc>
          <w:tcPr>
            <w:tcW w:w="810" w:type="dxa"/>
            <w:gridSpan w:val="2"/>
            <w:tcBorders>
              <w:top w:val="nil"/>
              <w:left w:val="nil"/>
              <w:bottom w:val="single" w:sz="4" w:space="0" w:color="000000"/>
              <w:right w:val="single" w:sz="4" w:space="0" w:color="000000"/>
            </w:tcBorders>
            <w:shd w:val="clear" w:color="auto" w:fill="auto"/>
            <w:vAlign w:val="bottom"/>
          </w:tcPr>
          <w:p w14:paraId="2B7FCABB" w14:textId="77777777" w:rsidR="00F44EAE" w:rsidRDefault="00AB3F43">
            <w:pPr>
              <w:spacing w:before="0" w:after="0" w:line="240" w:lineRule="auto"/>
              <w:jc w:val="right"/>
              <w:rPr>
                <w:color w:val="000000"/>
              </w:rPr>
            </w:pPr>
            <w:r>
              <w:rPr>
                <w:color w:val="000000"/>
              </w:rPr>
              <w:t>11.42%</w:t>
            </w:r>
          </w:p>
        </w:tc>
        <w:tc>
          <w:tcPr>
            <w:tcW w:w="811" w:type="dxa"/>
            <w:gridSpan w:val="2"/>
            <w:tcBorders>
              <w:top w:val="nil"/>
              <w:left w:val="nil"/>
              <w:bottom w:val="single" w:sz="4" w:space="0" w:color="000000"/>
              <w:right w:val="single" w:sz="4" w:space="0" w:color="000000"/>
            </w:tcBorders>
            <w:shd w:val="clear" w:color="auto" w:fill="auto"/>
            <w:vAlign w:val="bottom"/>
          </w:tcPr>
          <w:p w14:paraId="6091399B" w14:textId="77777777" w:rsidR="00F44EAE" w:rsidRDefault="00AB3F43">
            <w:pPr>
              <w:spacing w:before="0" w:after="0" w:line="240" w:lineRule="auto"/>
              <w:jc w:val="right"/>
              <w:rPr>
                <w:color w:val="000000"/>
              </w:rPr>
            </w:pPr>
            <w:r>
              <w:rPr>
                <w:color w:val="000000"/>
              </w:rPr>
              <w:t>24.86%</w:t>
            </w:r>
          </w:p>
        </w:tc>
        <w:tc>
          <w:tcPr>
            <w:tcW w:w="811" w:type="dxa"/>
            <w:gridSpan w:val="2"/>
            <w:tcBorders>
              <w:top w:val="nil"/>
              <w:left w:val="nil"/>
              <w:bottom w:val="single" w:sz="4" w:space="0" w:color="000000"/>
              <w:right w:val="single" w:sz="4" w:space="0" w:color="000000"/>
            </w:tcBorders>
            <w:shd w:val="clear" w:color="auto" w:fill="auto"/>
            <w:vAlign w:val="bottom"/>
          </w:tcPr>
          <w:p w14:paraId="3E5BC8B3" w14:textId="77777777" w:rsidR="00F44EAE" w:rsidRDefault="00AB3F43">
            <w:pPr>
              <w:spacing w:before="0" w:after="0" w:line="240" w:lineRule="auto"/>
              <w:jc w:val="right"/>
              <w:rPr>
                <w:color w:val="000000"/>
              </w:rPr>
            </w:pPr>
            <w:r>
              <w:rPr>
                <w:color w:val="000000"/>
              </w:rPr>
              <w:t>15.31%</w:t>
            </w:r>
          </w:p>
        </w:tc>
        <w:tc>
          <w:tcPr>
            <w:tcW w:w="810" w:type="dxa"/>
            <w:gridSpan w:val="2"/>
            <w:tcBorders>
              <w:top w:val="nil"/>
              <w:left w:val="nil"/>
              <w:bottom w:val="single" w:sz="4" w:space="0" w:color="000000"/>
              <w:right w:val="single" w:sz="4" w:space="0" w:color="000000"/>
            </w:tcBorders>
            <w:shd w:val="clear" w:color="auto" w:fill="auto"/>
            <w:vAlign w:val="bottom"/>
          </w:tcPr>
          <w:p w14:paraId="622F4940" w14:textId="77777777" w:rsidR="00F44EAE" w:rsidRDefault="00AB3F43">
            <w:pPr>
              <w:spacing w:before="0" w:after="0" w:line="240" w:lineRule="auto"/>
              <w:jc w:val="right"/>
              <w:rPr>
                <w:color w:val="000000"/>
              </w:rPr>
            </w:pPr>
            <w:r>
              <w:rPr>
                <w:color w:val="000000"/>
              </w:rPr>
              <w:t>5.26%</w:t>
            </w:r>
          </w:p>
        </w:tc>
        <w:tc>
          <w:tcPr>
            <w:tcW w:w="672" w:type="dxa"/>
            <w:gridSpan w:val="2"/>
            <w:tcBorders>
              <w:top w:val="nil"/>
              <w:left w:val="nil"/>
              <w:bottom w:val="single" w:sz="4" w:space="0" w:color="000000"/>
              <w:right w:val="single" w:sz="4" w:space="0" w:color="000000"/>
            </w:tcBorders>
            <w:shd w:val="clear" w:color="auto" w:fill="auto"/>
            <w:vAlign w:val="bottom"/>
          </w:tcPr>
          <w:p w14:paraId="4B1A0E5E" w14:textId="77777777" w:rsidR="00F44EAE" w:rsidRDefault="00AB3F43">
            <w:pPr>
              <w:spacing w:before="0" w:after="0" w:line="240" w:lineRule="auto"/>
              <w:jc w:val="right"/>
              <w:rPr>
                <w:color w:val="000000"/>
              </w:rPr>
            </w:pPr>
            <w:r>
              <w:rPr>
                <w:color w:val="000000"/>
              </w:rPr>
              <w:t>0.00%</w:t>
            </w:r>
          </w:p>
        </w:tc>
      </w:tr>
      <w:tr w:rsidR="00F44EAE" w14:paraId="7A85B542" w14:textId="77777777">
        <w:trPr>
          <w:trHeight w:val="315"/>
        </w:trPr>
        <w:tc>
          <w:tcPr>
            <w:tcW w:w="887" w:type="dxa"/>
            <w:gridSpan w:val="2"/>
            <w:tcBorders>
              <w:top w:val="nil"/>
              <w:left w:val="nil"/>
              <w:bottom w:val="nil"/>
              <w:right w:val="nil"/>
            </w:tcBorders>
            <w:shd w:val="clear" w:color="auto" w:fill="auto"/>
            <w:vAlign w:val="bottom"/>
          </w:tcPr>
          <w:p w14:paraId="172CC483" w14:textId="77777777" w:rsidR="00F44EAE" w:rsidRDefault="00F44EAE">
            <w:pPr>
              <w:spacing w:before="0" w:after="0" w:line="240" w:lineRule="auto"/>
              <w:jc w:val="right"/>
              <w:rPr>
                <w:color w:val="000000"/>
              </w:rPr>
            </w:pPr>
          </w:p>
        </w:tc>
        <w:tc>
          <w:tcPr>
            <w:tcW w:w="1921" w:type="dxa"/>
            <w:gridSpan w:val="2"/>
            <w:tcBorders>
              <w:top w:val="nil"/>
              <w:left w:val="nil"/>
              <w:bottom w:val="nil"/>
              <w:right w:val="nil"/>
            </w:tcBorders>
            <w:shd w:val="clear" w:color="auto" w:fill="auto"/>
            <w:vAlign w:val="bottom"/>
          </w:tcPr>
          <w:p w14:paraId="2B7B83BF" w14:textId="77777777" w:rsidR="00F44EAE" w:rsidRDefault="00AB3F43">
            <w:pPr>
              <w:spacing w:before="0" w:after="0" w:line="240" w:lineRule="auto"/>
              <w:jc w:val="left"/>
              <w:rPr>
                <w:color w:val="000000"/>
              </w:rPr>
            </w:pPr>
            <w:r>
              <w:rPr>
                <w:color w:val="000000"/>
              </w:rPr>
              <w:t xml:space="preserve"> </w:t>
            </w:r>
          </w:p>
        </w:tc>
        <w:tc>
          <w:tcPr>
            <w:tcW w:w="2628" w:type="dxa"/>
            <w:gridSpan w:val="2"/>
            <w:tcBorders>
              <w:top w:val="nil"/>
              <w:left w:val="nil"/>
              <w:bottom w:val="nil"/>
              <w:right w:val="nil"/>
            </w:tcBorders>
            <w:shd w:val="clear" w:color="auto" w:fill="auto"/>
            <w:vAlign w:val="bottom"/>
          </w:tcPr>
          <w:p w14:paraId="3C7A0C08" w14:textId="77777777" w:rsidR="00F44EAE" w:rsidRDefault="00F44EAE">
            <w:pPr>
              <w:spacing w:before="0" w:after="0" w:line="240" w:lineRule="auto"/>
              <w:jc w:val="left"/>
              <w:rPr>
                <w:color w:val="000000"/>
              </w:rPr>
            </w:pPr>
          </w:p>
        </w:tc>
        <w:tc>
          <w:tcPr>
            <w:tcW w:w="810" w:type="dxa"/>
            <w:gridSpan w:val="2"/>
            <w:tcBorders>
              <w:top w:val="nil"/>
              <w:left w:val="nil"/>
              <w:bottom w:val="nil"/>
              <w:right w:val="nil"/>
            </w:tcBorders>
            <w:shd w:val="clear" w:color="auto" w:fill="auto"/>
            <w:vAlign w:val="bottom"/>
          </w:tcPr>
          <w:p w14:paraId="312C59FC"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0D84F28A"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4059516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3D93C763"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6954EFF0" w14:textId="77777777" w:rsidR="00F44EAE" w:rsidRDefault="00F44EAE">
            <w:pPr>
              <w:spacing w:before="0" w:after="0" w:line="240" w:lineRule="auto"/>
              <w:jc w:val="left"/>
              <w:rPr>
                <w:sz w:val="20"/>
                <w:szCs w:val="20"/>
              </w:rPr>
            </w:pPr>
          </w:p>
        </w:tc>
      </w:tr>
      <w:tr w:rsidR="00F44EAE" w14:paraId="2DDF0998" w14:textId="77777777">
        <w:trPr>
          <w:trHeight w:val="315"/>
        </w:trPr>
        <w:tc>
          <w:tcPr>
            <w:tcW w:w="887" w:type="dxa"/>
            <w:gridSpan w:val="2"/>
            <w:tcBorders>
              <w:top w:val="nil"/>
              <w:left w:val="nil"/>
              <w:bottom w:val="nil"/>
              <w:right w:val="nil"/>
            </w:tcBorders>
            <w:shd w:val="clear" w:color="auto" w:fill="auto"/>
            <w:vAlign w:val="bottom"/>
          </w:tcPr>
          <w:p w14:paraId="76879478" w14:textId="77777777" w:rsidR="00F44EAE" w:rsidRDefault="00F44EAE">
            <w:pPr>
              <w:spacing w:before="0" w:after="0" w:line="240" w:lineRule="auto"/>
              <w:jc w:val="left"/>
              <w:rPr>
                <w:sz w:val="20"/>
                <w:szCs w:val="20"/>
              </w:rPr>
            </w:pPr>
          </w:p>
        </w:tc>
        <w:tc>
          <w:tcPr>
            <w:tcW w:w="1921" w:type="dxa"/>
            <w:gridSpan w:val="2"/>
            <w:tcBorders>
              <w:top w:val="nil"/>
              <w:left w:val="nil"/>
              <w:bottom w:val="nil"/>
              <w:right w:val="nil"/>
            </w:tcBorders>
            <w:shd w:val="clear" w:color="auto" w:fill="auto"/>
            <w:vAlign w:val="bottom"/>
          </w:tcPr>
          <w:p w14:paraId="4A57A439" w14:textId="77777777" w:rsidR="00F44EAE" w:rsidRDefault="00F44EAE">
            <w:pPr>
              <w:spacing w:before="0" w:after="0" w:line="240" w:lineRule="auto"/>
              <w:jc w:val="left"/>
              <w:rPr>
                <w:sz w:val="20"/>
                <w:szCs w:val="20"/>
              </w:rPr>
            </w:pPr>
          </w:p>
        </w:tc>
        <w:tc>
          <w:tcPr>
            <w:tcW w:w="2628" w:type="dxa"/>
            <w:gridSpan w:val="2"/>
            <w:tcBorders>
              <w:top w:val="nil"/>
              <w:left w:val="nil"/>
              <w:bottom w:val="nil"/>
              <w:right w:val="nil"/>
            </w:tcBorders>
            <w:shd w:val="clear" w:color="auto" w:fill="auto"/>
            <w:vAlign w:val="bottom"/>
          </w:tcPr>
          <w:p w14:paraId="1F43F673"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0D526828"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2D7279DC"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1BB9B0A9"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3DBAFEAA"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49C88D3C" w14:textId="77777777" w:rsidR="00F44EAE" w:rsidRDefault="00F44EAE">
            <w:pPr>
              <w:spacing w:before="0" w:after="0" w:line="240" w:lineRule="auto"/>
              <w:jc w:val="left"/>
              <w:rPr>
                <w:sz w:val="20"/>
                <w:szCs w:val="20"/>
              </w:rPr>
            </w:pPr>
          </w:p>
        </w:tc>
      </w:tr>
      <w:tr w:rsidR="00F44EAE" w14:paraId="57762793" w14:textId="77777777">
        <w:trPr>
          <w:trHeight w:val="315"/>
        </w:trPr>
        <w:tc>
          <w:tcPr>
            <w:tcW w:w="88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07FDB0B" w14:textId="77777777" w:rsidR="00F44EAE" w:rsidRDefault="00AB3F43">
            <w:pPr>
              <w:spacing w:before="0" w:after="0" w:line="240" w:lineRule="auto"/>
              <w:jc w:val="center"/>
              <w:rPr>
                <w:b/>
                <w:color w:val="000000"/>
              </w:rPr>
            </w:pPr>
            <w:r>
              <w:rPr>
                <w:b/>
                <w:color w:val="000000"/>
              </w:rPr>
              <w:t>Liquidity</w:t>
            </w:r>
          </w:p>
        </w:tc>
        <w:tc>
          <w:tcPr>
            <w:tcW w:w="1921" w:type="dxa"/>
            <w:gridSpan w:val="2"/>
            <w:tcBorders>
              <w:top w:val="single" w:sz="4" w:space="0" w:color="000000"/>
              <w:left w:val="nil"/>
              <w:bottom w:val="single" w:sz="4" w:space="0" w:color="000000"/>
              <w:right w:val="single" w:sz="4" w:space="0" w:color="000000"/>
            </w:tcBorders>
            <w:shd w:val="clear" w:color="auto" w:fill="auto"/>
            <w:vAlign w:val="bottom"/>
          </w:tcPr>
          <w:p w14:paraId="24031222" w14:textId="77777777" w:rsidR="00F44EAE" w:rsidRDefault="00AB3F43">
            <w:pPr>
              <w:spacing w:before="0" w:after="0" w:line="240" w:lineRule="auto"/>
              <w:jc w:val="left"/>
              <w:rPr>
                <w:color w:val="000000"/>
              </w:rPr>
            </w:pPr>
            <w:r>
              <w:rPr>
                <w:color w:val="000000"/>
              </w:rPr>
              <w:t>Current Ratio</w:t>
            </w:r>
          </w:p>
        </w:tc>
        <w:tc>
          <w:tcPr>
            <w:tcW w:w="2628" w:type="dxa"/>
            <w:gridSpan w:val="2"/>
            <w:tcBorders>
              <w:top w:val="single" w:sz="4" w:space="0" w:color="000000"/>
              <w:left w:val="nil"/>
              <w:bottom w:val="single" w:sz="4" w:space="0" w:color="000000"/>
              <w:right w:val="single" w:sz="4" w:space="0" w:color="000000"/>
            </w:tcBorders>
            <w:shd w:val="clear" w:color="auto" w:fill="auto"/>
            <w:vAlign w:val="bottom"/>
          </w:tcPr>
          <w:p w14:paraId="24DB73BA" w14:textId="77777777" w:rsidR="00F44EAE" w:rsidRDefault="00AB3F43">
            <w:pPr>
              <w:spacing w:before="0" w:after="0" w:line="240" w:lineRule="auto"/>
              <w:jc w:val="left"/>
              <w:rPr>
                <w:color w:val="000000"/>
              </w:rPr>
            </w:pPr>
            <w:r>
              <w:rPr>
                <w:color w:val="000000"/>
              </w:rPr>
              <w:t>Current assets/Current liabilities</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11F36417" w14:textId="77777777" w:rsidR="00F44EAE" w:rsidRDefault="00AB3F43">
            <w:pPr>
              <w:spacing w:before="0" w:after="0" w:line="240" w:lineRule="auto"/>
              <w:jc w:val="right"/>
              <w:rPr>
                <w:color w:val="000000"/>
              </w:rPr>
            </w:pPr>
            <w:r>
              <w:rPr>
                <w:color w:val="000000"/>
              </w:rPr>
              <w:t>1.725893975</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41537EB4" w14:textId="77777777" w:rsidR="00F44EAE" w:rsidRDefault="00AB3F43">
            <w:pPr>
              <w:spacing w:before="0" w:after="0" w:line="240" w:lineRule="auto"/>
              <w:jc w:val="right"/>
              <w:rPr>
                <w:color w:val="000000"/>
              </w:rPr>
            </w:pPr>
            <w:r>
              <w:rPr>
                <w:color w:val="000000"/>
              </w:rPr>
              <w:t>1.531955521</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3B3089A5" w14:textId="77777777" w:rsidR="00F44EAE" w:rsidRDefault="00AB3F43">
            <w:pPr>
              <w:spacing w:before="0" w:after="0" w:line="240" w:lineRule="auto"/>
              <w:jc w:val="right"/>
              <w:rPr>
                <w:color w:val="000000"/>
              </w:rPr>
            </w:pPr>
            <w:r>
              <w:rPr>
                <w:color w:val="000000"/>
              </w:rPr>
              <w:t>1.375285461</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501D5901" w14:textId="77777777" w:rsidR="00F44EAE" w:rsidRDefault="00AB3F43">
            <w:pPr>
              <w:spacing w:before="0" w:after="0" w:line="240" w:lineRule="auto"/>
              <w:jc w:val="right"/>
              <w:rPr>
                <w:color w:val="000000"/>
              </w:rPr>
            </w:pPr>
            <w:r>
              <w:rPr>
                <w:color w:val="000000"/>
              </w:rPr>
              <w:t>1.875140371</w:t>
            </w:r>
          </w:p>
        </w:tc>
        <w:tc>
          <w:tcPr>
            <w:tcW w:w="672" w:type="dxa"/>
            <w:gridSpan w:val="2"/>
            <w:tcBorders>
              <w:top w:val="single" w:sz="4" w:space="0" w:color="000000"/>
              <w:left w:val="nil"/>
              <w:bottom w:val="single" w:sz="4" w:space="0" w:color="000000"/>
              <w:right w:val="single" w:sz="4" w:space="0" w:color="000000"/>
            </w:tcBorders>
            <w:shd w:val="clear" w:color="auto" w:fill="auto"/>
            <w:vAlign w:val="bottom"/>
          </w:tcPr>
          <w:p w14:paraId="10EC61F1" w14:textId="77777777" w:rsidR="00F44EAE" w:rsidRDefault="00AB3F43">
            <w:pPr>
              <w:spacing w:before="0" w:after="0" w:line="240" w:lineRule="auto"/>
              <w:jc w:val="right"/>
              <w:rPr>
                <w:color w:val="000000"/>
              </w:rPr>
            </w:pPr>
            <w:r>
              <w:rPr>
                <w:color w:val="000000"/>
              </w:rPr>
              <w:t>1.134620793</w:t>
            </w:r>
          </w:p>
        </w:tc>
      </w:tr>
      <w:tr w:rsidR="00F44EAE" w14:paraId="63981463" w14:textId="77777777">
        <w:trPr>
          <w:trHeight w:val="315"/>
        </w:trPr>
        <w:tc>
          <w:tcPr>
            <w:tcW w:w="887" w:type="dxa"/>
            <w:gridSpan w:val="2"/>
            <w:vMerge/>
            <w:tcBorders>
              <w:top w:val="single" w:sz="4" w:space="0" w:color="000000"/>
              <w:left w:val="single" w:sz="4" w:space="0" w:color="000000"/>
              <w:bottom w:val="single" w:sz="4" w:space="0" w:color="000000"/>
              <w:right w:val="single" w:sz="4" w:space="0" w:color="000000"/>
            </w:tcBorders>
            <w:shd w:val="clear" w:color="auto" w:fill="auto"/>
            <w:vAlign w:val="bottom"/>
          </w:tcPr>
          <w:p w14:paraId="6AD9281D"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921" w:type="dxa"/>
            <w:gridSpan w:val="2"/>
            <w:tcBorders>
              <w:top w:val="nil"/>
              <w:left w:val="nil"/>
              <w:bottom w:val="single" w:sz="4" w:space="0" w:color="000000"/>
              <w:right w:val="single" w:sz="4" w:space="0" w:color="000000"/>
            </w:tcBorders>
            <w:shd w:val="clear" w:color="auto" w:fill="auto"/>
            <w:vAlign w:val="bottom"/>
          </w:tcPr>
          <w:p w14:paraId="27E4C816" w14:textId="77777777" w:rsidR="00F44EAE" w:rsidRDefault="00AB3F43">
            <w:pPr>
              <w:spacing w:before="0" w:after="0" w:line="240" w:lineRule="auto"/>
              <w:jc w:val="left"/>
              <w:rPr>
                <w:color w:val="000000"/>
              </w:rPr>
            </w:pPr>
            <w:r>
              <w:rPr>
                <w:color w:val="000000"/>
              </w:rPr>
              <w:t>Quick Ratio</w:t>
            </w:r>
          </w:p>
        </w:tc>
        <w:tc>
          <w:tcPr>
            <w:tcW w:w="2628" w:type="dxa"/>
            <w:gridSpan w:val="2"/>
            <w:tcBorders>
              <w:top w:val="nil"/>
              <w:left w:val="nil"/>
              <w:bottom w:val="single" w:sz="4" w:space="0" w:color="000000"/>
              <w:right w:val="single" w:sz="4" w:space="0" w:color="000000"/>
            </w:tcBorders>
            <w:shd w:val="clear" w:color="auto" w:fill="auto"/>
            <w:vAlign w:val="bottom"/>
          </w:tcPr>
          <w:p w14:paraId="0EDCCF09" w14:textId="77777777" w:rsidR="00F44EAE" w:rsidRDefault="00AB3F43">
            <w:pPr>
              <w:spacing w:before="0" w:after="0" w:line="240" w:lineRule="auto"/>
              <w:jc w:val="left"/>
              <w:rPr>
                <w:color w:val="000000"/>
              </w:rPr>
            </w:pPr>
            <w:r>
              <w:rPr>
                <w:color w:val="000000"/>
              </w:rPr>
              <w:t>Current assets (excluding inventories)/Current liabilities</w:t>
            </w:r>
          </w:p>
        </w:tc>
        <w:tc>
          <w:tcPr>
            <w:tcW w:w="810" w:type="dxa"/>
            <w:gridSpan w:val="2"/>
            <w:tcBorders>
              <w:top w:val="nil"/>
              <w:left w:val="nil"/>
              <w:bottom w:val="single" w:sz="4" w:space="0" w:color="000000"/>
              <w:right w:val="single" w:sz="4" w:space="0" w:color="000000"/>
            </w:tcBorders>
            <w:shd w:val="clear" w:color="auto" w:fill="auto"/>
            <w:vAlign w:val="bottom"/>
          </w:tcPr>
          <w:p w14:paraId="47FF33FB" w14:textId="77777777" w:rsidR="00F44EAE" w:rsidRDefault="00AB3F43">
            <w:pPr>
              <w:spacing w:before="0" w:after="0" w:line="240" w:lineRule="auto"/>
              <w:jc w:val="right"/>
              <w:rPr>
                <w:color w:val="000000"/>
              </w:rPr>
            </w:pPr>
            <w:r>
              <w:rPr>
                <w:color w:val="000000"/>
              </w:rPr>
              <w:t>1.251913177</w:t>
            </w:r>
          </w:p>
        </w:tc>
        <w:tc>
          <w:tcPr>
            <w:tcW w:w="811" w:type="dxa"/>
            <w:gridSpan w:val="2"/>
            <w:tcBorders>
              <w:top w:val="nil"/>
              <w:left w:val="nil"/>
              <w:bottom w:val="single" w:sz="4" w:space="0" w:color="000000"/>
              <w:right w:val="single" w:sz="4" w:space="0" w:color="000000"/>
            </w:tcBorders>
            <w:shd w:val="clear" w:color="auto" w:fill="auto"/>
            <w:vAlign w:val="bottom"/>
          </w:tcPr>
          <w:p w14:paraId="247A085D" w14:textId="77777777" w:rsidR="00F44EAE" w:rsidRDefault="00AB3F43">
            <w:pPr>
              <w:spacing w:before="0" w:after="0" w:line="240" w:lineRule="auto"/>
              <w:jc w:val="right"/>
              <w:rPr>
                <w:color w:val="000000"/>
              </w:rPr>
            </w:pPr>
            <w:r>
              <w:rPr>
                <w:color w:val="000000"/>
              </w:rPr>
              <w:t>1.051256131</w:t>
            </w:r>
          </w:p>
        </w:tc>
        <w:tc>
          <w:tcPr>
            <w:tcW w:w="811" w:type="dxa"/>
            <w:gridSpan w:val="2"/>
            <w:tcBorders>
              <w:top w:val="nil"/>
              <w:left w:val="nil"/>
              <w:bottom w:val="single" w:sz="4" w:space="0" w:color="000000"/>
              <w:right w:val="single" w:sz="4" w:space="0" w:color="000000"/>
            </w:tcBorders>
            <w:shd w:val="clear" w:color="auto" w:fill="auto"/>
            <w:vAlign w:val="bottom"/>
          </w:tcPr>
          <w:p w14:paraId="789FAC00" w14:textId="77777777" w:rsidR="00F44EAE" w:rsidRDefault="00AB3F43">
            <w:pPr>
              <w:spacing w:before="0" w:after="0" w:line="240" w:lineRule="auto"/>
              <w:jc w:val="right"/>
              <w:rPr>
                <w:color w:val="000000"/>
              </w:rPr>
            </w:pPr>
            <w:r>
              <w:rPr>
                <w:color w:val="000000"/>
              </w:rPr>
              <w:t>1.08312611</w:t>
            </w:r>
          </w:p>
        </w:tc>
        <w:tc>
          <w:tcPr>
            <w:tcW w:w="810" w:type="dxa"/>
            <w:gridSpan w:val="2"/>
            <w:tcBorders>
              <w:top w:val="nil"/>
              <w:left w:val="nil"/>
              <w:bottom w:val="single" w:sz="4" w:space="0" w:color="000000"/>
              <w:right w:val="single" w:sz="4" w:space="0" w:color="000000"/>
            </w:tcBorders>
            <w:shd w:val="clear" w:color="auto" w:fill="auto"/>
            <w:vAlign w:val="bottom"/>
          </w:tcPr>
          <w:p w14:paraId="20968280" w14:textId="77777777" w:rsidR="00F44EAE" w:rsidRDefault="00AB3F43">
            <w:pPr>
              <w:spacing w:before="0" w:after="0" w:line="240" w:lineRule="auto"/>
              <w:jc w:val="right"/>
              <w:rPr>
                <w:color w:val="000000"/>
              </w:rPr>
            </w:pPr>
            <w:r>
              <w:rPr>
                <w:color w:val="000000"/>
              </w:rPr>
              <w:t>1.5873105</w:t>
            </w:r>
          </w:p>
        </w:tc>
        <w:tc>
          <w:tcPr>
            <w:tcW w:w="672" w:type="dxa"/>
            <w:gridSpan w:val="2"/>
            <w:tcBorders>
              <w:top w:val="nil"/>
              <w:left w:val="nil"/>
              <w:bottom w:val="single" w:sz="4" w:space="0" w:color="000000"/>
              <w:right w:val="single" w:sz="4" w:space="0" w:color="000000"/>
            </w:tcBorders>
            <w:shd w:val="clear" w:color="auto" w:fill="auto"/>
            <w:vAlign w:val="bottom"/>
          </w:tcPr>
          <w:p w14:paraId="49191DC6" w14:textId="77777777" w:rsidR="00F44EAE" w:rsidRDefault="00AB3F43">
            <w:pPr>
              <w:spacing w:before="0" w:after="0" w:line="240" w:lineRule="auto"/>
              <w:jc w:val="right"/>
              <w:rPr>
                <w:color w:val="000000"/>
              </w:rPr>
            </w:pPr>
            <w:r>
              <w:rPr>
                <w:color w:val="000000"/>
              </w:rPr>
              <w:t>0.801631199</w:t>
            </w:r>
          </w:p>
        </w:tc>
      </w:tr>
      <w:tr w:rsidR="00F44EAE" w14:paraId="7D7EC0E8" w14:textId="77777777">
        <w:trPr>
          <w:trHeight w:val="315"/>
        </w:trPr>
        <w:tc>
          <w:tcPr>
            <w:tcW w:w="887" w:type="dxa"/>
            <w:gridSpan w:val="2"/>
            <w:tcBorders>
              <w:top w:val="nil"/>
              <w:left w:val="nil"/>
              <w:bottom w:val="nil"/>
              <w:right w:val="nil"/>
            </w:tcBorders>
            <w:shd w:val="clear" w:color="auto" w:fill="auto"/>
            <w:vAlign w:val="bottom"/>
          </w:tcPr>
          <w:p w14:paraId="5C53038A" w14:textId="77777777" w:rsidR="00F44EAE" w:rsidRDefault="00F44EAE">
            <w:pPr>
              <w:spacing w:before="0" w:after="0" w:line="240" w:lineRule="auto"/>
              <w:jc w:val="right"/>
              <w:rPr>
                <w:color w:val="000000"/>
              </w:rPr>
            </w:pPr>
          </w:p>
        </w:tc>
        <w:tc>
          <w:tcPr>
            <w:tcW w:w="1921" w:type="dxa"/>
            <w:gridSpan w:val="2"/>
            <w:tcBorders>
              <w:top w:val="nil"/>
              <w:left w:val="nil"/>
              <w:bottom w:val="nil"/>
              <w:right w:val="nil"/>
            </w:tcBorders>
            <w:shd w:val="clear" w:color="auto" w:fill="auto"/>
            <w:vAlign w:val="bottom"/>
          </w:tcPr>
          <w:p w14:paraId="77BB9C59" w14:textId="77777777" w:rsidR="00F44EAE" w:rsidRDefault="00F44EAE">
            <w:pPr>
              <w:spacing w:before="0" w:after="0" w:line="240" w:lineRule="auto"/>
              <w:jc w:val="left"/>
              <w:rPr>
                <w:sz w:val="20"/>
                <w:szCs w:val="20"/>
              </w:rPr>
            </w:pPr>
          </w:p>
        </w:tc>
        <w:tc>
          <w:tcPr>
            <w:tcW w:w="2628" w:type="dxa"/>
            <w:gridSpan w:val="2"/>
            <w:tcBorders>
              <w:top w:val="nil"/>
              <w:left w:val="nil"/>
              <w:bottom w:val="nil"/>
              <w:right w:val="nil"/>
            </w:tcBorders>
            <w:shd w:val="clear" w:color="auto" w:fill="auto"/>
            <w:vAlign w:val="bottom"/>
          </w:tcPr>
          <w:p w14:paraId="7369ECA7"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41A8B948"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00D8C751"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17631ED5"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50A291E5"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07C3CC3C" w14:textId="77777777" w:rsidR="00F44EAE" w:rsidRDefault="00F44EAE">
            <w:pPr>
              <w:spacing w:before="0" w:after="0" w:line="240" w:lineRule="auto"/>
              <w:jc w:val="left"/>
              <w:rPr>
                <w:sz w:val="20"/>
                <w:szCs w:val="20"/>
              </w:rPr>
            </w:pPr>
          </w:p>
        </w:tc>
      </w:tr>
      <w:tr w:rsidR="00F44EAE" w14:paraId="64D98198" w14:textId="77777777">
        <w:trPr>
          <w:trHeight w:val="315"/>
        </w:trPr>
        <w:tc>
          <w:tcPr>
            <w:tcW w:w="887" w:type="dxa"/>
            <w:gridSpan w:val="2"/>
            <w:tcBorders>
              <w:top w:val="nil"/>
              <w:left w:val="nil"/>
              <w:bottom w:val="nil"/>
              <w:right w:val="nil"/>
            </w:tcBorders>
            <w:shd w:val="clear" w:color="auto" w:fill="auto"/>
            <w:vAlign w:val="bottom"/>
          </w:tcPr>
          <w:p w14:paraId="02BB7D72" w14:textId="77777777" w:rsidR="00F44EAE" w:rsidRDefault="00F44EAE">
            <w:pPr>
              <w:spacing w:before="0" w:after="0" w:line="240" w:lineRule="auto"/>
              <w:jc w:val="left"/>
              <w:rPr>
                <w:sz w:val="20"/>
                <w:szCs w:val="20"/>
              </w:rPr>
            </w:pPr>
          </w:p>
        </w:tc>
        <w:tc>
          <w:tcPr>
            <w:tcW w:w="1921" w:type="dxa"/>
            <w:gridSpan w:val="2"/>
            <w:tcBorders>
              <w:top w:val="nil"/>
              <w:left w:val="nil"/>
              <w:bottom w:val="nil"/>
              <w:right w:val="nil"/>
            </w:tcBorders>
            <w:shd w:val="clear" w:color="auto" w:fill="auto"/>
            <w:vAlign w:val="bottom"/>
          </w:tcPr>
          <w:p w14:paraId="6DC826F3" w14:textId="77777777" w:rsidR="00F44EAE" w:rsidRDefault="00F44EAE">
            <w:pPr>
              <w:spacing w:before="0" w:after="0" w:line="240" w:lineRule="auto"/>
              <w:jc w:val="left"/>
              <w:rPr>
                <w:sz w:val="20"/>
                <w:szCs w:val="20"/>
              </w:rPr>
            </w:pPr>
          </w:p>
        </w:tc>
        <w:tc>
          <w:tcPr>
            <w:tcW w:w="2628" w:type="dxa"/>
            <w:gridSpan w:val="2"/>
            <w:tcBorders>
              <w:top w:val="nil"/>
              <w:left w:val="nil"/>
              <w:bottom w:val="nil"/>
              <w:right w:val="nil"/>
            </w:tcBorders>
            <w:shd w:val="clear" w:color="auto" w:fill="auto"/>
            <w:vAlign w:val="bottom"/>
          </w:tcPr>
          <w:p w14:paraId="328B1C63"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1DCCBFEF"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52EBEF9E"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4054584A"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7ECBEB31"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700AAE9C" w14:textId="77777777" w:rsidR="00F44EAE" w:rsidRDefault="00F44EAE">
            <w:pPr>
              <w:spacing w:before="0" w:after="0" w:line="240" w:lineRule="auto"/>
              <w:jc w:val="left"/>
              <w:rPr>
                <w:sz w:val="20"/>
                <w:szCs w:val="20"/>
              </w:rPr>
            </w:pPr>
          </w:p>
        </w:tc>
      </w:tr>
      <w:tr w:rsidR="00F44EAE" w14:paraId="756A1EC6" w14:textId="77777777">
        <w:trPr>
          <w:trHeight w:val="315"/>
        </w:trPr>
        <w:tc>
          <w:tcPr>
            <w:tcW w:w="88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074D85DB" w14:textId="77777777" w:rsidR="00F44EAE" w:rsidRDefault="00AB3F43">
            <w:pPr>
              <w:spacing w:before="0" w:after="0" w:line="240" w:lineRule="auto"/>
              <w:jc w:val="center"/>
              <w:rPr>
                <w:b/>
                <w:color w:val="000000"/>
              </w:rPr>
            </w:pPr>
            <w:r>
              <w:rPr>
                <w:b/>
                <w:color w:val="000000"/>
              </w:rPr>
              <w:t>Efficiency</w:t>
            </w:r>
          </w:p>
        </w:tc>
        <w:tc>
          <w:tcPr>
            <w:tcW w:w="1921" w:type="dxa"/>
            <w:gridSpan w:val="2"/>
            <w:tcBorders>
              <w:top w:val="single" w:sz="4" w:space="0" w:color="000000"/>
              <w:left w:val="nil"/>
              <w:bottom w:val="single" w:sz="4" w:space="0" w:color="000000"/>
              <w:right w:val="single" w:sz="4" w:space="0" w:color="000000"/>
            </w:tcBorders>
            <w:shd w:val="clear" w:color="auto" w:fill="auto"/>
            <w:vAlign w:val="bottom"/>
          </w:tcPr>
          <w:p w14:paraId="4414C9AC" w14:textId="77777777" w:rsidR="00F44EAE" w:rsidRDefault="00AB3F43">
            <w:pPr>
              <w:spacing w:before="0" w:after="0" w:line="240" w:lineRule="auto"/>
              <w:jc w:val="left"/>
              <w:rPr>
                <w:color w:val="000000"/>
              </w:rPr>
            </w:pPr>
            <w:r>
              <w:rPr>
                <w:color w:val="000000"/>
              </w:rPr>
              <w:t>Asset Turnover</w:t>
            </w:r>
          </w:p>
        </w:tc>
        <w:tc>
          <w:tcPr>
            <w:tcW w:w="2628" w:type="dxa"/>
            <w:gridSpan w:val="2"/>
            <w:tcBorders>
              <w:top w:val="single" w:sz="4" w:space="0" w:color="000000"/>
              <w:left w:val="nil"/>
              <w:bottom w:val="single" w:sz="4" w:space="0" w:color="000000"/>
              <w:right w:val="single" w:sz="4" w:space="0" w:color="000000"/>
            </w:tcBorders>
            <w:shd w:val="clear" w:color="auto" w:fill="auto"/>
            <w:vAlign w:val="bottom"/>
          </w:tcPr>
          <w:p w14:paraId="6C899E47" w14:textId="77777777" w:rsidR="00F44EAE" w:rsidRDefault="00AB3F43">
            <w:pPr>
              <w:spacing w:before="0" w:after="0" w:line="240" w:lineRule="auto"/>
              <w:jc w:val="left"/>
              <w:rPr>
                <w:color w:val="000000"/>
              </w:rPr>
            </w:pPr>
            <w:r>
              <w:rPr>
                <w:color w:val="000000"/>
              </w:rPr>
              <w:t>Net Sales/ Average Total Assets</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7689FEFA" w14:textId="77777777" w:rsidR="00F44EAE" w:rsidRDefault="00AB3F43">
            <w:pPr>
              <w:spacing w:before="0" w:after="0" w:line="240" w:lineRule="auto"/>
              <w:jc w:val="right"/>
              <w:rPr>
                <w:color w:val="000000"/>
              </w:rPr>
            </w:pPr>
            <w:r>
              <w:rPr>
                <w:color w:val="000000"/>
              </w:rPr>
              <w:t>0.907660995</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2707C052" w14:textId="77777777" w:rsidR="00F44EAE" w:rsidRDefault="00AB3F43">
            <w:pPr>
              <w:spacing w:before="0" w:after="0" w:line="240" w:lineRule="auto"/>
              <w:jc w:val="right"/>
              <w:rPr>
                <w:color w:val="000000"/>
              </w:rPr>
            </w:pPr>
            <w:r>
              <w:rPr>
                <w:color w:val="000000"/>
              </w:rPr>
              <w:t>0.989360927</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6F69DB3C" w14:textId="77777777" w:rsidR="00F44EAE" w:rsidRDefault="00AB3F43">
            <w:pPr>
              <w:spacing w:before="0" w:after="0" w:line="240" w:lineRule="auto"/>
              <w:jc w:val="right"/>
              <w:rPr>
                <w:color w:val="000000"/>
              </w:rPr>
            </w:pPr>
            <w:r>
              <w:rPr>
                <w:color w:val="000000"/>
              </w:rPr>
              <w:t>0.866282532</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4B0C77A5" w14:textId="77777777" w:rsidR="00F44EAE" w:rsidRDefault="00AB3F43">
            <w:pPr>
              <w:spacing w:before="0" w:after="0" w:line="240" w:lineRule="auto"/>
              <w:jc w:val="right"/>
              <w:rPr>
                <w:color w:val="000000"/>
              </w:rPr>
            </w:pPr>
            <w:r>
              <w:rPr>
                <w:color w:val="000000"/>
              </w:rPr>
              <w:t>0.604740354</w:t>
            </w:r>
          </w:p>
        </w:tc>
        <w:tc>
          <w:tcPr>
            <w:tcW w:w="672" w:type="dxa"/>
            <w:gridSpan w:val="2"/>
            <w:tcBorders>
              <w:top w:val="single" w:sz="4" w:space="0" w:color="000000"/>
              <w:left w:val="nil"/>
              <w:bottom w:val="single" w:sz="4" w:space="0" w:color="000000"/>
              <w:right w:val="single" w:sz="4" w:space="0" w:color="000000"/>
            </w:tcBorders>
            <w:shd w:val="clear" w:color="auto" w:fill="auto"/>
            <w:vAlign w:val="bottom"/>
          </w:tcPr>
          <w:p w14:paraId="3856CFAE" w14:textId="77777777" w:rsidR="00F44EAE" w:rsidRDefault="00AB3F43">
            <w:pPr>
              <w:spacing w:before="0" w:after="0" w:line="240" w:lineRule="auto"/>
              <w:jc w:val="right"/>
              <w:rPr>
                <w:color w:val="000000"/>
              </w:rPr>
            </w:pPr>
            <w:r>
              <w:rPr>
                <w:color w:val="000000"/>
              </w:rPr>
              <w:t>0.716371797</w:t>
            </w:r>
          </w:p>
        </w:tc>
      </w:tr>
      <w:tr w:rsidR="00F44EAE" w14:paraId="14AC5859" w14:textId="77777777">
        <w:trPr>
          <w:trHeight w:val="315"/>
        </w:trPr>
        <w:tc>
          <w:tcPr>
            <w:tcW w:w="887" w:type="dxa"/>
            <w:gridSpan w:val="2"/>
            <w:vMerge/>
            <w:tcBorders>
              <w:top w:val="single" w:sz="4" w:space="0" w:color="000000"/>
              <w:left w:val="single" w:sz="4" w:space="0" w:color="000000"/>
              <w:bottom w:val="single" w:sz="4" w:space="0" w:color="000000"/>
              <w:right w:val="single" w:sz="4" w:space="0" w:color="000000"/>
            </w:tcBorders>
            <w:shd w:val="clear" w:color="auto" w:fill="auto"/>
            <w:vAlign w:val="bottom"/>
          </w:tcPr>
          <w:p w14:paraId="032B8699"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921" w:type="dxa"/>
            <w:gridSpan w:val="2"/>
            <w:tcBorders>
              <w:top w:val="nil"/>
              <w:left w:val="nil"/>
              <w:bottom w:val="single" w:sz="4" w:space="0" w:color="000000"/>
              <w:right w:val="single" w:sz="4" w:space="0" w:color="000000"/>
            </w:tcBorders>
            <w:shd w:val="clear" w:color="auto" w:fill="auto"/>
            <w:vAlign w:val="bottom"/>
          </w:tcPr>
          <w:p w14:paraId="37D74804" w14:textId="77777777" w:rsidR="00F44EAE" w:rsidRDefault="00AB3F43">
            <w:pPr>
              <w:spacing w:before="0" w:after="0" w:line="240" w:lineRule="auto"/>
              <w:jc w:val="left"/>
              <w:rPr>
                <w:color w:val="000000"/>
              </w:rPr>
            </w:pPr>
            <w:r>
              <w:rPr>
                <w:color w:val="000000"/>
              </w:rPr>
              <w:t>Inventory Turnover</w:t>
            </w:r>
          </w:p>
        </w:tc>
        <w:tc>
          <w:tcPr>
            <w:tcW w:w="2628" w:type="dxa"/>
            <w:gridSpan w:val="2"/>
            <w:tcBorders>
              <w:top w:val="nil"/>
              <w:left w:val="nil"/>
              <w:bottom w:val="single" w:sz="4" w:space="0" w:color="000000"/>
              <w:right w:val="single" w:sz="4" w:space="0" w:color="000000"/>
            </w:tcBorders>
            <w:shd w:val="clear" w:color="auto" w:fill="auto"/>
            <w:vAlign w:val="bottom"/>
          </w:tcPr>
          <w:p w14:paraId="58F29047" w14:textId="77777777" w:rsidR="00F44EAE" w:rsidRDefault="00AB3F43">
            <w:pPr>
              <w:spacing w:before="0" w:after="0" w:line="240" w:lineRule="auto"/>
              <w:jc w:val="left"/>
              <w:rPr>
                <w:color w:val="000000"/>
              </w:rPr>
            </w:pPr>
            <w:r>
              <w:rPr>
                <w:color w:val="000000"/>
              </w:rPr>
              <w:t>(COGS/Average inventories)</w:t>
            </w:r>
          </w:p>
        </w:tc>
        <w:tc>
          <w:tcPr>
            <w:tcW w:w="810" w:type="dxa"/>
            <w:gridSpan w:val="2"/>
            <w:tcBorders>
              <w:top w:val="nil"/>
              <w:left w:val="nil"/>
              <w:bottom w:val="single" w:sz="4" w:space="0" w:color="000000"/>
              <w:right w:val="single" w:sz="4" w:space="0" w:color="000000"/>
            </w:tcBorders>
            <w:shd w:val="clear" w:color="auto" w:fill="auto"/>
            <w:vAlign w:val="bottom"/>
          </w:tcPr>
          <w:p w14:paraId="6C95E7EE" w14:textId="77777777" w:rsidR="00F44EAE" w:rsidRDefault="00AB3F43">
            <w:pPr>
              <w:spacing w:before="0" w:after="0" w:line="240" w:lineRule="auto"/>
              <w:jc w:val="right"/>
              <w:rPr>
                <w:color w:val="000000"/>
              </w:rPr>
            </w:pPr>
            <w:r>
              <w:rPr>
                <w:color w:val="000000"/>
              </w:rPr>
              <w:t>5.806032585</w:t>
            </w:r>
          </w:p>
        </w:tc>
        <w:tc>
          <w:tcPr>
            <w:tcW w:w="811" w:type="dxa"/>
            <w:gridSpan w:val="2"/>
            <w:tcBorders>
              <w:top w:val="nil"/>
              <w:left w:val="nil"/>
              <w:bottom w:val="single" w:sz="4" w:space="0" w:color="000000"/>
              <w:right w:val="single" w:sz="4" w:space="0" w:color="000000"/>
            </w:tcBorders>
            <w:shd w:val="clear" w:color="auto" w:fill="auto"/>
            <w:vAlign w:val="bottom"/>
          </w:tcPr>
          <w:p w14:paraId="4DEF8421" w14:textId="77777777" w:rsidR="00F44EAE" w:rsidRDefault="00AB3F43">
            <w:pPr>
              <w:spacing w:before="0" w:after="0" w:line="240" w:lineRule="auto"/>
              <w:jc w:val="right"/>
              <w:rPr>
                <w:color w:val="000000"/>
              </w:rPr>
            </w:pPr>
            <w:r>
              <w:rPr>
                <w:color w:val="000000"/>
              </w:rPr>
              <w:t>4.720694758</w:t>
            </w:r>
          </w:p>
        </w:tc>
        <w:tc>
          <w:tcPr>
            <w:tcW w:w="811" w:type="dxa"/>
            <w:gridSpan w:val="2"/>
            <w:tcBorders>
              <w:top w:val="nil"/>
              <w:left w:val="nil"/>
              <w:bottom w:val="single" w:sz="4" w:space="0" w:color="000000"/>
              <w:right w:val="single" w:sz="4" w:space="0" w:color="000000"/>
            </w:tcBorders>
            <w:shd w:val="clear" w:color="auto" w:fill="auto"/>
            <w:vAlign w:val="bottom"/>
          </w:tcPr>
          <w:p w14:paraId="78ACCAC4" w14:textId="77777777" w:rsidR="00F44EAE" w:rsidRDefault="00AB3F43">
            <w:pPr>
              <w:spacing w:before="0" w:after="0" w:line="240" w:lineRule="auto"/>
              <w:jc w:val="right"/>
              <w:rPr>
                <w:color w:val="000000"/>
              </w:rPr>
            </w:pPr>
            <w:r>
              <w:rPr>
                <w:color w:val="000000"/>
              </w:rPr>
              <w:t>6.98575647</w:t>
            </w:r>
          </w:p>
        </w:tc>
        <w:tc>
          <w:tcPr>
            <w:tcW w:w="810" w:type="dxa"/>
            <w:gridSpan w:val="2"/>
            <w:tcBorders>
              <w:top w:val="nil"/>
              <w:left w:val="nil"/>
              <w:bottom w:val="single" w:sz="4" w:space="0" w:color="000000"/>
              <w:right w:val="single" w:sz="4" w:space="0" w:color="000000"/>
            </w:tcBorders>
            <w:shd w:val="clear" w:color="auto" w:fill="auto"/>
            <w:vAlign w:val="bottom"/>
          </w:tcPr>
          <w:p w14:paraId="17EBA6CF" w14:textId="77777777" w:rsidR="00F44EAE" w:rsidRDefault="00AB3F43">
            <w:pPr>
              <w:spacing w:before="0" w:after="0" w:line="240" w:lineRule="auto"/>
              <w:jc w:val="right"/>
              <w:rPr>
                <w:color w:val="000000"/>
              </w:rPr>
            </w:pPr>
            <w:r>
              <w:rPr>
                <w:color w:val="000000"/>
              </w:rPr>
              <w:t>6.07315289</w:t>
            </w:r>
          </w:p>
        </w:tc>
        <w:tc>
          <w:tcPr>
            <w:tcW w:w="672" w:type="dxa"/>
            <w:gridSpan w:val="2"/>
            <w:tcBorders>
              <w:top w:val="nil"/>
              <w:left w:val="nil"/>
              <w:bottom w:val="single" w:sz="4" w:space="0" w:color="000000"/>
              <w:right w:val="single" w:sz="4" w:space="0" w:color="000000"/>
            </w:tcBorders>
            <w:shd w:val="clear" w:color="auto" w:fill="auto"/>
            <w:vAlign w:val="bottom"/>
          </w:tcPr>
          <w:p w14:paraId="466B125D" w14:textId="77777777" w:rsidR="00F44EAE" w:rsidRDefault="00AB3F43">
            <w:pPr>
              <w:spacing w:before="0" w:after="0" w:line="240" w:lineRule="auto"/>
              <w:jc w:val="right"/>
              <w:rPr>
                <w:color w:val="000000"/>
              </w:rPr>
            </w:pPr>
            <w:r>
              <w:rPr>
                <w:color w:val="000000"/>
              </w:rPr>
              <w:t>5.77393018</w:t>
            </w:r>
          </w:p>
        </w:tc>
      </w:tr>
      <w:tr w:rsidR="00F44EAE" w14:paraId="2347BEA9" w14:textId="77777777">
        <w:trPr>
          <w:trHeight w:val="315"/>
        </w:trPr>
        <w:tc>
          <w:tcPr>
            <w:tcW w:w="887" w:type="dxa"/>
            <w:gridSpan w:val="2"/>
            <w:tcBorders>
              <w:top w:val="nil"/>
              <w:left w:val="nil"/>
              <w:bottom w:val="nil"/>
              <w:right w:val="nil"/>
            </w:tcBorders>
            <w:shd w:val="clear" w:color="auto" w:fill="auto"/>
            <w:vAlign w:val="bottom"/>
          </w:tcPr>
          <w:p w14:paraId="32C60AA7" w14:textId="77777777" w:rsidR="00F44EAE" w:rsidRDefault="00F44EAE">
            <w:pPr>
              <w:spacing w:before="0" w:after="0" w:line="240" w:lineRule="auto"/>
              <w:jc w:val="right"/>
              <w:rPr>
                <w:color w:val="000000"/>
              </w:rPr>
            </w:pPr>
          </w:p>
        </w:tc>
        <w:tc>
          <w:tcPr>
            <w:tcW w:w="1921" w:type="dxa"/>
            <w:gridSpan w:val="2"/>
            <w:tcBorders>
              <w:top w:val="nil"/>
              <w:left w:val="nil"/>
              <w:bottom w:val="nil"/>
              <w:right w:val="nil"/>
            </w:tcBorders>
            <w:shd w:val="clear" w:color="auto" w:fill="auto"/>
            <w:vAlign w:val="bottom"/>
          </w:tcPr>
          <w:p w14:paraId="7293649C" w14:textId="77777777" w:rsidR="00F44EAE" w:rsidRDefault="00F44EAE">
            <w:pPr>
              <w:spacing w:before="0" w:after="0" w:line="240" w:lineRule="auto"/>
              <w:jc w:val="left"/>
              <w:rPr>
                <w:sz w:val="20"/>
                <w:szCs w:val="20"/>
              </w:rPr>
            </w:pPr>
          </w:p>
        </w:tc>
        <w:tc>
          <w:tcPr>
            <w:tcW w:w="2628" w:type="dxa"/>
            <w:gridSpan w:val="2"/>
            <w:tcBorders>
              <w:top w:val="nil"/>
              <w:left w:val="nil"/>
              <w:bottom w:val="nil"/>
              <w:right w:val="nil"/>
            </w:tcBorders>
            <w:shd w:val="clear" w:color="auto" w:fill="auto"/>
            <w:vAlign w:val="bottom"/>
          </w:tcPr>
          <w:p w14:paraId="1B879A8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3C3EF4A5"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563C371B"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5F1AE67E"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260947E4"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4D17C0AE" w14:textId="77777777" w:rsidR="00F44EAE" w:rsidRDefault="00F44EAE">
            <w:pPr>
              <w:spacing w:before="0" w:after="0" w:line="240" w:lineRule="auto"/>
              <w:jc w:val="left"/>
              <w:rPr>
                <w:sz w:val="20"/>
                <w:szCs w:val="20"/>
              </w:rPr>
            </w:pPr>
          </w:p>
        </w:tc>
      </w:tr>
      <w:tr w:rsidR="00F44EAE" w14:paraId="7FF13FBE" w14:textId="77777777">
        <w:trPr>
          <w:trHeight w:val="315"/>
        </w:trPr>
        <w:tc>
          <w:tcPr>
            <w:tcW w:w="887" w:type="dxa"/>
            <w:gridSpan w:val="2"/>
            <w:tcBorders>
              <w:top w:val="nil"/>
              <w:left w:val="nil"/>
              <w:bottom w:val="nil"/>
              <w:right w:val="nil"/>
            </w:tcBorders>
            <w:shd w:val="clear" w:color="auto" w:fill="auto"/>
            <w:vAlign w:val="bottom"/>
          </w:tcPr>
          <w:p w14:paraId="126A1F02" w14:textId="77777777" w:rsidR="00F44EAE" w:rsidRDefault="00F44EAE">
            <w:pPr>
              <w:spacing w:before="0" w:after="0" w:line="240" w:lineRule="auto"/>
              <w:jc w:val="left"/>
              <w:rPr>
                <w:sz w:val="20"/>
                <w:szCs w:val="20"/>
              </w:rPr>
            </w:pPr>
          </w:p>
        </w:tc>
        <w:tc>
          <w:tcPr>
            <w:tcW w:w="1921" w:type="dxa"/>
            <w:gridSpan w:val="2"/>
            <w:tcBorders>
              <w:top w:val="nil"/>
              <w:left w:val="nil"/>
              <w:bottom w:val="nil"/>
              <w:right w:val="nil"/>
            </w:tcBorders>
            <w:shd w:val="clear" w:color="auto" w:fill="auto"/>
            <w:vAlign w:val="bottom"/>
          </w:tcPr>
          <w:p w14:paraId="0C343964" w14:textId="77777777" w:rsidR="00F44EAE" w:rsidRDefault="00F44EAE">
            <w:pPr>
              <w:spacing w:before="0" w:after="0" w:line="240" w:lineRule="auto"/>
              <w:jc w:val="left"/>
              <w:rPr>
                <w:sz w:val="20"/>
                <w:szCs w:val="20"/>
              </w:rPr>
            </w:pPr>
          </w:p>
        </w:tc>
        <w:tc>
          <w:tcPr>
            <w:tcW w:w="2628" w:type="dxa"/>
            <w:gridSpan w:val="2"/>
            <w:tcBorders>
              <w:top w:val="nil"/>
              <w:left w:val="nil"/>
              <w:bottom w:val="nil"/>
              <w:right w:val="nil"/>
            </w:tcBorders>
            <w:shd w:val="clear" w:color="auto" w:fill="auto"/>
            <w:vAlign w:val="bottom"/>
          </w:tcPr>
          <w:p w14:paraId="4A8A648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3A3E8507"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0B82210F" w14:textId="77777777" w:rsidR="00F44EAE" w:rsidRDefault="00F44EAE">
            <w:pPr>
              <w:spacing w:before="0" w:after="0" w:line="240" w:lineRule="auto"/>
              <w:jc w:val="left"/>
              <w:rPr>
                <w:sz w:val="20"/>
                <w:szCs w:val="20"/>
              </w:rPr>
            </w:pPr>
          </w:p>
        </w:tc>
        <w:tc>
          <w:tcPr>
            <w:tcW w:w="811" w:type="dxa"/>
            <w:gridSpan w:val="2"/>
            <w:tcBorders>
              <w:top w:val="nil"/>
              <w:left w:val="nil"/>
              <w:bottom w:val="nil"/>
              <w:right w:val="nil"/>
            </w:tcBorders>
            <w:shd w:val="clear" w:color="auto" w:fill="auto"/>
            <w:vAlign w:val="bottom"/>
          </w:tcPr>
          <w:p w14:paraId="1A3AE2D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601C1F66" w14:textId="77777777" w:rsidR="00F44EAE" w:rsidRDefault="00F44EAE">
            <w:pPr>
              <w:spacing w:before="0" w:after="0" w:line="240" w:lineRule="auto"/>
              <w:jc w:val="left"/>
              <w:rPr>
                <w:sz w:val="20"/>
                <w:szCs w:val="20"/>
              </w:rPr>
            </w:pPr>
          </w:p>
        </w:tc>
        <w:tc>
          <w:tcPr>
            <w:tcW w:w="672" w:type="dxa"/>
            <w:gridSpan w:val="2"/>
            <w:tcBorders>
              <w:top w:val="nil"/>
              <w:left w:val="nil"/>
              <w:bottom w:val="nil"/>
              <w:right w:val="nil"/>
            </w:tcBorders>
            <w:shd w:val="clear" w:color="auto" w:fill="auto"/>
            <w:vAlign w:val="bottom"/>
          </w:tcPr>
          <w:p w14:paraId="31ED8417" w14:textId="77777777" w:rsidR="00F44EAE" w:rsidRDefault="00F44EAE">
            <w:pPr>
              <w:spacing w:before="0" w:after="0" w:line="240" w:lineRule="auto"/>
              <w:jc w:val="left"/>
              <w:rPr>
                <w:sz w:val="20"/>
                <w:szCs w:val="20"/>
              </w:rPr>
            </w:pPr>
          </w:p>
        </w:tc>
      </w:tr>
      <w:tr w:rsidR="00F44EAE" w14:paraId="1E2B497B" w14:textId="77777777">
        <w:trPr>
          <w:trHeight w:val="315"/>
        </w:trPr>
        <w:tc>
          <w:tcPr>
            <w:tcW w:w="88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527509C" w14:textId="77777777" w:rsidR="00F44EAE" w:rsidRDefault="00AB3F43">
            <w:pPr>
              <w:spacing w:before="0" w:after="0" w:line="240" w:lineRule="auto"/>
              <w:jc w:val="center"/>
              <w:rPr>
                <w:b/>
                <w:color w:val="000000"/>
              </w:rPr>
            </w:pPr>
            <w:r>
              <w:rPr>
                <w:b/>
                <w:color w:val="000000"/>
              </w:rPr>
              <w:t>Gearing</w:t>
            </w:r>
          </w:p>
        </w:tc>
        <w:tc>
          <w:tcPr>
            <w:tcW w:w="1921" w:type="dxa"/>
            <w:gridSpan w:val="2"/>
            <w:tcBorders>
              <w:top w:val="single" w:sz="4" w:space="0" w:color="000000"/>
              <w:left w:val="nil"/>
              <w:bottom w:val="single" w:sz="4" w:space="0" w:color="000000"/>
              <w:right w:val="single" w:sz="4" w:space="0" w:color="000000"/>
            </w:tcBorders>
            <w:shd w:val="clear" w:color="auto" w:fill="auto"/>
            <w:vAlign w:val="bottom"/>
          </w:tcPr>
          <w:p w14:paraId="304C62CA" w14:textId="77777777" w:rsidR="00F44EAE" w:rsidRDefault="00AB3F43">
            <w:pPr>
              <w:spacing w:before="0" w:after="0" w:line="240" w:lineRule="auto"/>
              <w:jc w:val="left"/>
              <w:rPr>
                <w:color w:val="000000"/>
              </w:rPr>
            </w:pPr>
            <w:r>
              <w:rPr>
                <w:color w:val="000000"/>
              </w:rPr>
              <w:t>Debt to Equity Ratio</w:t>
            </w:r>
          </w:p>
        </w:tc>
        <w:tc>
          <w:tcPr>
            <w:tcW w:w="2628" w:type="dxa"/>
            <w:gridSpan w:val="2"/>
            <w:tcBorders>
              <w:top w:val="single" w:sz="4" w:space="0" w:color="000000"/>
              <w:left w:val="nil"/>
              <w:bottom w:val="single" w:sz="4" w:space="0" w:color="000000"/>
              <w:right w:val="single" w:sz="4" w:space="0" w:color="000000"/>
            </w:tcBorders>
            <w:shd w:val="clear" w:color="auto" w:fill="auto"/>
            <w:vAlign w:val="bottom"/>
          </w:tcPr>
          <w:p w14:paraId="7D76AB5B" w14:textId="77777777" w:rsidR="00F44EAE" w:rsidRDefault="00AB3F43">
            <w:pPr>
              <w:spacing w:before="0" w:after="0" w:line="240" w:lineRule="auto"/>
              <w:jc w:val="left"/>
              <w:rPr>
                <w:color w:val="000000"/>
              </w:rPr>
            </w:pPr>
            <w:r>
              <w:rPr>
                <w:color w:val="000000"/>
              </w:rPr>
              <w:t>Total liabilities/ Shareholder's Equity</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4C98C94E" w14:textId="77777777" w:rsidR="00F44EAE" w:rsidRDefault="00AB3F43">
            <w:pPr>
              <w:spacing w:before="0" w:after="0" w:line="240" w:lineRule="auto"/>
              <w:jc w:val="right"/>
              <w:rPr>
                <w:color w:val="000000"/>
              </w:rPr>
            </w:pPr>
            <w:r>
              <w:rPr>
                <w:color w:val="000000"/>
              </w:rPr>
              <w:t>0.676146457</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1C6F89EF" w14:textId="77777777" w:rsidR="00F44EAE" w:rsidRDefault="00AB3F43">
            <w:pPr>
              <w:spacing w:before="0" w:after="0" w:line="240" w:lineRule="auto"/>
              <w:jc w:val="right"/>
              <w:rPr>
                <w:color w:val="000000"/>
              </w:rPr>
            </w:pPr>
            <w:r>
              <w:rPr>
                <w:color w:val="000000"/>
              </w:rPr>
              <w:t>0.793934376</w:t>
            </w:r>
          </w:p>
        </w:tc>
        <w:tc>
          <w:tcPr>
            <w:tcW w:w="811" w:type="dxa"/>
            <w:gridSpan w:val="2"/>
            <w:tcBorders>
              <w:top w:val="single" w:sz="4" w:space="0" w:color="000000"/>
              <w:left w:val="nil"/>
              <w:bottom w:val="single" w:sz="4" w:space="0" w:color="000000"/>
              <w:right w:val="single" w:sz="4" w:space="0" w:color="000000"/>
            </w:tcBorders>
            <w:shd w:val="clear" w:color="auto" w:fill="auto"/>
            <w:vAlign w:val="bottom"/>
          </w:tcPr>
          <w:p w14:paraId="7E0B4C12" w14:textId="77777777" w:rsidR="00F44EAE" w:rsidRDefault="00AB3F43">
            <w:pPr>
              <w:spacing w:before="0" w:after="0" w:line="240" w:lineRule="auto"/>
              <w:jc w:val="right"/>
              <w:rPr>
                <w:color w:val="000000"/>
              </w:rPr>
            </w:pPr>
            <w:r>
              <w:rPr>
                <w:color w:val="000000"/>
              </w:rPr>
              <w:t>0.967229206</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12723BDD" w14:textId="77777777" w:rsidR="00F44EAE" w:rsidRDefault="00AB3F43">
            <w:pPr>
              <w:spacing w:before="0" w:after="0" w:line="240" w:lineRule="auto"/>
              <w:jc w:val="right"/>
              <w:rPr>
                <w:color w:val="000000"/>
              </w:rPr>
            </w:pPr>
            <w:r>
              <w:rPr>
                <w:color w:val="000000"/>
              </w:rPr>
              <w:t>1.202288948</w:t>
            </w:r>
          </w:p>
        </w:tc>
        <w:tc>
          <w:tcPr>
            <w:tcW w:w="672" w:type="dxa"/>
            <w:gridSpan w:val="2"/>
            <w:tcBorders>
              <w:top w:val="single" w:sz="4" w:space="0" w:color="000000"/>
              <w:left w:val="nil"/>
              <w:bottom w:val="single" w:sz="4" w:space="0" w:color="000000"/>
              <w:right w:val="single" w:sz="4" w:space="0" w:color="000000"/>
            </w:tcBorders>
            <w:shd w:val="clear" w:color="auto" w:fill="auto"/>
            <w:vAlign w:val="bottom"/>
          </w:tcPr>
          <w:p w14:paraId="436F415C" w14:textId="77777777" w:rsidR="00F44EAE" w:rsidRDefault="00AB3F43">
            <w:pPr>
              <w:spacing w:before="0" w:after="0" w:line="240" w:lineRule="auto"/>
              <w:jc w:val="right"/>
              <w:rPr>
                <w:color w:val="000000"/>
              </w:rPr>
            </w:pPr>
            <w:r>
              <w:rPr>
                <w:color w:val="000000"/>
              </w:rPr>
              <w:t>3.230456227</w:t>
            </w:r>
          </w:p>
        </w:tc>
      </w:tr>
      <w:tr w:rsidR="00F44EAE" w14:paraId="3220BBDE" w14:textId="77777777">
        <w:trPr>
          <w:trHeight w:val="315"/>
        </w:trPr>
        <w:tc>
          <w:tcPr>
            <w:tcW w:w="887" w:type="dxa"/>
            <w:gridSpan w:val="2"/>
            <w:vMerge/>
            <w:tcBorders>
              <w:top w:val="single" w:sz="4" w:space="0" w:color="000000"/>
              <w:left w:val="single" w:sz="4" w:space="0" w:color="000000"/>
              <w:bottom w:val="single" w:sz="4" w:space="0" w:color="000000"/>
              <w:right w:val="single" w:sz="4" w:space="0" w:color="000000"/>
            </w:tcBorders>
            <w:shd w:val="clear" w:color="auto" w:fill="auto"/>
            <w:vAlign w:val="bottom"/>
          </w:tcPr>
          <w:p w14:paraId="7DAEAC1A"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921" w:type="dxa"/>
            <w:gridSpan w:val="2"/>
            <w:tcBorders>
              <w:top w:val="nil"/>
              <w:left w:val="nil"/>
              <w:bottom w:val="single" w:sz="4" w:space="0" w:color="000000"/>
              <w:right w:val="single" w:sz="4" w:space="0" w:color="000000"/>
            </w:tcBorders>
            <w:shd w:val="clear" w:color="auto" w:fill="auto"/>
            <w:vAlign w:val="bottom"/>
          </w:tcPr>
          <w:p w14:paraId="310D5908" w14:textId="77777777" w:rsidR="00F44EAE" w:rsidRDefault="00AB3F43">
            <w:pPr>
              <w:spacing w:before="0" w:after="0" w:line="240" w:lineRule="auto"/>
              <w:jc w:val="left"/>
              <w:rPr>
                <w:color w:val="000000"/>
              </w:rPr>
            </w:pPr>
            <w:r>
              <w:rPr>
                <w:color w:val="000000"/>
              </w:rPr>
              <w:t>Asset to Liability Ratio</w:t>
            </w:r>
          </w:p>
        </w:tc>
        <w:tc>
          <w:tcPr>
            <w:tcW w:w="2628" w:type="dxa"/>
            <w:gridSpan w:val="2"/>
            <w:tcBorders>
              <w:top w:val="nil"/>
              <w:left w:val="nil"/>
              <w:bottom w:val="single" w:sz="4" w:space="0" w:color="000000"/>
              <w:right w:val="single" w:sz="4" w:space="0" w:color="000000"/>
            </w:tcBorders>
            <w:shd w:val="clear" w:color="auto" w:fill="auto"/>
            <w:vAlign w:val="bottom"/>
          </w:tcPr>
          <w:p w14:paraId="681D5DD9" w14:textId="77777777" w:rsidR="00F44EAE" w:rsidRDefault="00AB3F43">
            <w:pPr>
              <w:spacing w:before="0" w:after="0" w:line="240" w:lineRule="auto"/>
              <w:jc w:val="left"/>
              <w:rPr>
                <w:color w:val="000000"/>
              </w:rPr>
            </w:pPr>
            <w:r>
              <w:rPr>
                <w:color w:val="000000"/>
              </w:rPr>
              <w:t>(Total liabilities/ Total assets)</w:t>
            </w:r>
          </w:p>
        </w:tc>
        <w:tc>
          <w:tcPr>
            <w:tcW w:w="810" w:type="dxa"/>
            <w:gridSpan w:val="2"/>
            <w:tcBorders>
              <w:top w:val="nil"/>
              <w:left w:val="nil"/>
              <w:bottom w:val="single" w:sz="4" w:space="0" w:color="000000"/>
              <w:right w:val="single" w:sz="4" w:space="0" w:color="000000"/>
            </w:tcBorders>
            <w:shd w:val="clear" w:color="auto" w:fill="auto"/>
            <w:vAlign w:val="bottom"/>
          </w:tcPr>
          <w:p w14:paraId="49A634C9" w14:textId="77777777" w:rsidR="00F44EAE" w:rsidRDefault="00AB3F43">
            <w:pPr>
              <w:spacing w:before="0" w:after="0" w:line="240" w:lineRule="auto"/>
              <w:jc w:val="right"/>
              <w:rPr>
                <w:color w:val="000000"/>
              </w:rPr>
            </w:pPr>
            <w:r>
              <w:rPr>
                <w:color w:val="000000"/>
              </w:rPr>
              <w:t>0.403393423</w:t>
            </w:r>
          </w:p>
        </w:tc>
        <w:tc>
          <w:tcPr>
            <w:tcW w:w="811" w:type="dxa"/>
            <w:gridSpan w:val="2"/>
            <w:tcBorders>
              <w:top w:val="nil"/>
              <w:left w:val="nil"/>
              <w:bottom w:val="single" w:sz="4" w:space="0" w:color="000000"/>
              <w:right w:val="single" w:sz="4" w:space="0" w:color="000000"/>
            </w:tcBorders>
            <w:shd w:val="clear" w:color="auto" w:fill="auto"/>
            <w:vAlign w:val="bottom"/>
          </w:tcPr>
          <w:p w14:paraId="0843CC87" w14:textId="77777777" w:rsidR="00F44EAE" w:rsidRDefault="00AB3F43">
            <w:pPr>
              <w:spacing w:before="0" w:after="0" w:line="240" w:lineRule="auto"/>
              <w:jc w:val="right"/>
              <w:rPr>
                <w:color w:val="000000"/>
              </w:rPr>
            </w:pPr>
            <w:r>
              <w:rPr>
                <w:color w:val="000000"/>
              </w:rPr>
              <w:t>0.442566008</w:t>
            </w:r>
          </w:p>
        </w:tc>
        <w:tc>
          <w:tcPr>
            <w:tcW w:w="811" w:type="dxa"/>
            <w:gridSpan w:val="2"/>
            <w:tcBorders>
              <w:top w:val="nil"/>
              <w:left w:val="nil"/>
              <w:bottom w:val="single" w:sz="4" w:space="0" w:color="000000"/>
              <w:right w:val="single" w:sz="4" w:space="0" w:color="000000"/>
            </w:tcBorders>
            <w:shd w:val="clear" w:color="auto" w:fill="auto"/>
            <w:vAlign w:val="bottom"/>
          </w:tcPr>
          <w:p w14:paraId="2C0A11CA" w14:textId="77777777" w:rsidR="00F44EAE" w:rsidRDefault="00AB3F43">
            <w:pPr>
              <w:spacing w:before="0" w:after="0" w:line="240" w:lineRule="auto"/>
              <w:jc w:val="right"/>
              <w:rPr>
                <w:color w:val="000000"/>
              </w:rPr>
            </w:pPr>
            <w:r>
              <w:rPr>
                <w:color w:val="000000"/>
              </w:rPr>
              <w:t>0.491670825</w:t>
            </w:r>
          </w:p>
        </w:tc>
        <w:tc>
          <w:tcPr>
            <w:tcW w:w="810" w:type="dxa"/>
            <w:gridSpan w:val="2"/>
            <w:tcBorders>
              <w:top w:val="nil"/>
              <w:left w:val="nil"/>
              <w:bottom w:val="single" w:sz="4" w:space="0" w:color="000000"/>
              <w:right w:val="single" w:sz="4" w:space="0" w:color="000000"/>
            </w:tcBorders>
            <w:shd w:val="clear" w:color="auto" w:fill="auto"/>
            <w:vAlign w:val="bottom"/>
          </w:tcPr>
          <w:p w14:paraId="19593572" w14:textId="77777777" w:rsidR="00F44EAE" w:rsidRDefault="00AB3F43">
            <w:pPr>
              <w:spacing w:before="0" w:after="0" w:line="240" w:lineRule="auto"/>
              <w:jc w:val="right"/>
              <w:rPr>
                <w:color w:val="000000"/>
              </w:rPr>
            </w:pPr>
            <w:r>
              <w:rPr>
                <w:color w:val="000000"/>
              </w:rPr>
              <w:t>0.545926977</w:t>
            </w:r>
          </w:p>
        </w:tc>
        <w:tc>
          <w:tcPr>
            <w:tcW w:w="672" w:type="dxa"/>
            <w:gridSpan w:val="2"/>
            <w:tcBorders>
              <w:top w:val="nil"/>
              <w:left w:val="nil"/>
              <w:bottom w:val="single" w:sz="4" w:space="0" w:color="000000"/>
              <w:right w:val="single" w:sz="4" w:space="0" w:color="000000"/>
            </w:tcBorders>
            <w:shd w:val="clear" w:color="auto" w:fill="auto"/>
            <w:vAlign w:val="bottom"/>
          </w:tcPr>
          <w:p w14:paraId="0E641FB3" w14:textId="77777777" w:rsidR="00F44EAE" w:rsidRDefault="00AB3F43">
            <w:pPr>
              <w:spacing w:before="0" w:after="0" w:line="240" w:lineRule="auto"/>
              <w:jc w:val="right"/>
              <w:rPr>
                <w:color w:val="000000"/>
              </w:rPr>
            </w:pPr>
            <w:r>
              <w:rPr>
                <w:color w:val="000000"/>
              </w:rPr>
              <w:t>0.763618876</w:t>
            </w:r>
          </w:p>
        </w:tc>
      </w:tr>
      <w:tr w:rsidR="00F44EAE" w14:paraId="17ABAC76" w14:textId="77777777">
        <w:trPr>
          <w:gridAfter w:val="1"/>
          <w:wAfter w:w="267" w:type="dxa"/>
          <w:trHeight w:val="315"/>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2CD40313" w14:textId="77777777" w:rsidR="00F44EAE" w:rsidRDefault="00AB3F43">
            <w:pPr>
              <w:spacing w:before="0" w:after="0" w:line="240" w:lineRule="auto"/>
              <w:jc w:val="center"/>
              <w:rPr>
                <w:b/>
                <w:color w:val="000000"/>
              </w:rPr>
            </w:pPr>
            <w:r>
              <w:rPr>
                <w:b/>
                <w:color w:val="000000"/>
              </w:rPr>
              <w:t>Profita</w:t>
            </w:r>
            <w:r>
              <w:rPr>
                <w:b/>
                <w:color w:val="000000"/>
              </w:rPr>
              <w:lastRenderedPageBreak/>
              <w:t>bility</w:t>
            </w:r>
          </w:p>
        </w:tc>
        <w:tc>
          <w:tcPr>
            <w:tcW w:w="1319" w:type="dxa"/>
            <w:gridSpan w:val="2"/>
            <w:tcBorders>
              <w:top w:val="single" w:sz="4" w:space="0" w:color="000000"/>
              <w:left w:val="nil"/>
              <w:bottom w:val="single" w:sz="4" w:space="0" w:color="000000"/>
              <w:right w:val="single" w:sz="4" w:space="0" w:color="000000"/>
            </w:tcBorders>
            <w:shd w:val="clear" w:color="auto" w:fill="auto"/>
            <w:vAlign w:val="bottom"/>
          </w:tcPr>
          <w:p w14:paraId="5C86B80F" w14:textId="77777777" w:rsidR="00F44EAE" w:rsidRDefault="00AB3F43">
            <w:pPr>
              <w:spacing w:before="0" w:after="0" w:line="240" w:lineRule="auto"/>
              <w:jc w:val="left"/>
              <w:rPr>
                <w:b/>
                <w:color w:val="000000"/>
              </w:rPr>
            </w:pPr>
            <w:r>
              <w:rPr>
                <w:b/>
                <w:color w:val="000000"/>
              </w:rPr>
              <w:lastRenderedPageBreak/>
              <w:t> </w:t>
            </w:r>
          </w:p>
        </w:tc>
        <w:tc>
          <w:tcPr>
            <w:tcW w:w="2311" w:type="dxa"/>
            <w:gridSpan w:val="2"/>
            <w:tcBorders>
              <w:top w:val="single" w:sz="4" w:space="0" w:color="000000"/>
              <w:left w:val="nil"/>
              <w:bottom w:val="single" w:sz="4" w:space="0" w:color="000000"/>
              <w:right w:val="single" w:sz="4" w:space="0" w:color="000000"/>
            </w:tcBorders>
            <w:shd w:val="clear" w:color="auto" w:fill="auto"/>
            <w:vAlign w:val="bottom"/>
          </w:tcPr>
          <w:p w14:paraId="374FEE38" w14:textId="77777777" w:rsidR="00F44EAE" w:rsidRDefault="00AB3F43">
            <w:pPr>
              <w:spacing w:before="0" w:after="0" w:line="240" w:lineRule="auto"/>
              <w:jc w:val="left"/>
              <w:rPr>
                <w:b/>
                <w:color w:val="000000"/>
              </w:rPr>
            </w:pPr>
            <w:r>
              <w:rPr>
                <w:b/>
                <w:color w:val="000000"/>
              </w:rPr>
              <w:t> </w:t>
            </w:r>
          </w:p>
        </w:tc>
        <w:tc>
          <w:tcPr>
            <w:tcW w:w="4782" w:type="dxa"/>
            <w:gridSpan w:val="10"/>
            <w:tcBorders>
              <w:top w:val="single" w:sz="4" w:space="0" w:color="000000"/>
              <w:left w:val="nil"/>
              <w:bottom w:val="single" w:sz="4" w:space="0" w:color="000000"/>
              <w:right w:val="single" w:sz="4" w:space="0" w:color="000000"/>
            </w:tcBorders>
            <w:shd w:val="clear" w:color="auto" w:fill="auto"/>
            <w:vAlign w:val="bottom"/>
          </w:tcPr>
          <w:p w14:paraId="10729ADC" w14:textId="77777777" w:rsidR="00F44EAE" w:rsidRDefault="00AB3F43">
            <w:pPr>
              <w:spacing w:before="0" w:after="0" w:line="240" w:lineRule="auto"/>
              <w:jc w:val="center"/>
              <w:rPr>
                <w:b/>
                <w:color w:val="000000"/>
              </w:rPr>
            </w:pPr>
            <w:r>
              <w:rPr>
                <w:b/>
                <w:color w:val="000000"/>
              </w:rPr>
              <w:t>Toyota</w:t>
            </w:r>
          </w:p>
        </w:tc>
      </w:tr>
      <w:tr w:rsidR="00F44EAE" w14:paraId="4FD44B0A" w14:textId="77777777">
        <w:trPr>
          <w:gridAfter w:val="1"/>
          <w:wAfter w:w="267" w:type="dxa"/>
          <w:trHeight w:val="315"/>
        </w:trPr>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3003E9BC" w14:textId="77777777" w:rsidR="00F44EAE" w:rsidRDefault="00F44EAE">
            <w:pPr>
              <w:widowControl w:val="0"/>
              <w:pBdr>
                <w:top w:val="nil"/>
                <w:left w:val="nil"/>
                <w:bottom w:val="nil"/>
                <w:right w:val="nil"/>
                <w:between w:val="nil"/>
              </w:pBdr>
              <w:spacing w:before="0" w:after="0" w:line="276" w:lineRule="auto"/>
              <w:jc w:val="left"/>
              <w:rPr>
                <w:b/>
                <w:color w:val="000000"/>
              </w:rPr>
            </w:pPr>
          </w:p>
        </w:tc>
        <w:tc>
          <w:tcPr>
            <w:tcW w:w="1319" w:type="dxa"/>
            <w:gridSpan w:val="2"/>
            <w:tcBorders>
              <w:top w:val="nil"/>
              <w:left w:val="nil"/>
              <w:bottom w:val="single" w:sz="4" w:space="0" w:color="000000"/>
              <w:right w:val="single" w:sz="4" w:space="0" w:color="000000"/>
            </w:tcBorders>
            <w:shd w:val="clear" w:color="auto" w:fill="auto"/>
            <w:vAlign w:val="bottom"/>
          </w:tcPr>
          <w:p w14:paraId="212A93FC" w14:textId="77777777" w:rsidR="00F44EAE" w:rsidRDefault="00AB3F43">
            <w:pPr>
              <w:spacing w:before="0" w:after="0" w:line="240" w:lineRule="auto"/>
              <w:jc w:val="left"/>
              <w:rPr>
                <w:color w:val="000000"/>
              </w:rPr>
            </w:pPr>
            <w:r>
              <w:rPr>
                <w:color w:val="000000"/>
              </w:rPr>
              <w:t>Net Profit Margin</w:t>
            </w:r>
          </w:p>
        </w:tc>
        <w:tc>
          <w:tcPr>
            <w:tcW w:w="2311" w:type="dxa"/>
            <w:gridSpan w:val="2"/>
            <w:tcBorders>
              <w:top w:val="nil"/>
              <w:left w:val="nil"/>
              <w:bottom w:val="single" w:sz="4" w:space="0" w:color="000000"/>
              <w:right w:val="single" w:sz="4" w:space="0" w:color="000000"/>
            </w:tcBorders>
            <w:shd w:val="clear" w:color="auto" w:fill="auto"/>
            <w:vAlign w:val="bottom"/>
          </w:tcPr>
          <w:p w14:paraId="797BF758" w14:textId="77777777" w:rsidR="00F44EAE" w:rsidRDefault="00AB3F43">
            <w:pPr>
              <w:spacing w:before="0" w:after="0" w:line="240" w:lineRule="auto"/>
              <w:jc w:val="left"/>
              <w:rPr>
                <w:color w:val="000000"/>
              </w:rPr>
            </w:pPr>
            <w:r>
              <w:rPr>
                <w:color w:val="000000"/>
              </w:rPr>
              <w:t>Net income/Sales revenue</w:t>
            </w:r>
          </w:p>
        </w:tc>
        <w:tc>
          <w:tcPr>
            <w:tcW w:w="1540" w:type="dxa"/>
            <w:gridSpan w:val="2"/>
            <w:tcBorders>
              <w:top w:val="nil"/>
              <w:left w:val="nil"/>
              <w:bottom w:val="single" w:sz="4" w:space="0" w:color="000000"/>
              <w:right w:val="single" w:sz="4" w:space="0" w:color="000000"/>
            </w:tcBorders>
            <w:shd w:val="clear" w:color="auto" w:fill="auto"/>
            <w:vAlign w:val="bottom"/>
          </w:tcPr>
          <w:p w14:paraId="23CCF224" w14:textId="77777777" w:rsidR="00F44EAE" w:rsidRDefault="00AB3F43">
            <w:pPr>
              <w:spacing w:before="0" w:after="0" w:line="240" w:lineRule="auto"/>
              <w:jc w:val="right"/>
              <w:rPr>
                <w:color w:val="000000"/>
              </w:rPr>
            </w:pPr>
            <w:r>
              <w:rPr>
                <w:color w:val="000000"/>
              </w:rPr>
              <w:t>6.60%</w:t>
            </w:r>
          </w:p>
        </w:tc>
        <w:tc>
          <w:tcPr>
            <w:tcW w:w="812" w:type="dxa"/>
            <w:gridSpan w:val="2"/>
            <w:tcBorders>
              <w:top w:val="nil"/>
              <w:left w:val="nil"/>
              <w:bottom w:val="single" w:sz="4" w:space="0" w:color="000000"/>
              <w:right w:val="single" w:sz="4" w:space="0" w:color="000000"/>
            </w:tcBorders>
            <w:shd w:val="clear" w:color="auto" w:fill="auto"/>
            <w:vAlign w:val="bottom"/>
          </w:tcPr>
          <w:p w14:paraId="08721CA2" w14:textId="77777777" w:rsidR="00F44EAE" w:rsidRDefault="00AB3F43">
            <w:pPr>
              <w:spacing w:before="0" w:after="0" w:line="240" w:lineRule="auto"/>
              <w:jc w:val="right"/>
              <w:rPr>
                <w:color w:val="000000"/>
              </w:rPr>
            </w:pPr>
            <w:r>
              <w:rPr>
                <w:color w:val="000000"/>
              </w:rPr>
              <w:t>9.08%</w:t>
            </w:r>
          </w:p>
        </w:tc>
        <w:tc>
          <w:tcPr>
            <w:tcW w:w="810" w:type="dxa"/>
            <w:gridSpan w:val="2"/>
            <w:tcBorders>
              <w:top w:val="nil"/>
              <w:left w:val="nil"/>
              <w:bottom w:val="single" w:sz="4" w:space="0" w:color="000000"/>
              <w:right w:val="single" w:sz="4" w:space="0" w:color="000000"/>
            </w:tcBorders>
            <w:shd w:val="clear" w:color="auto" w:fill="auto"/>
            <w:vAlign w:val="bottom"/>
          </w:tcPr>
          <w:p w14:paraId="1CC12641" w14:textId="77777777" w:rsidR="00F44EAE" w:rsidRDefault="00AB3F43">
            <w:pPr>
              <w:spacing w:before="0" w:after="0" w:line="240" w:lineRule="auto"/>
              <w:jc w:val="right"/>
              <w:rPr>
                <w:color w:val="000000"/>
              </w:rPr>
            </w:pPr>
            <w:r>
              <w:rPr>
                <w:color w:val="000000"/>
              </w:rPr>
              <w:t>8.25%</w:t>
            </w:r>
          </w:p>
        </w:tc>
        <w:tc>
          <w:tcPr>
            <w:tcW w:w="810" w:type="dxa"/>
            <w:gridSpan w:val="2"/>
            <w:tcBorders>
              <w:top w:val="nil"/>
              <w:left w:val="nil"/>
              <w:bottom w:val="single" w:sz="4" w:space="0" w:color="000000"/>
              <w:right w:val="single" w:sz="4" w:space="0" w:color="000000"/>
            </w:tcBorders>
            <w:shd w:val="clear" w:color="auto" w:fill="auto"/>
            <w:vAlign w:val="bottom"/>
          </w:tcPr>
          <w:p w14:paraId="38E55651" w14:textId="77777777" w:rsidR="00F44EAE" w:rsidRDefault="00AB3F43">
            <w:pPr>
              <w:spacing w:before="0" w:after="0" w:line="240" w:lineRule="auto"/>
              <w:jc w:val="right"/>
              <w:rPr>
                <w:color w:val="000000"/>
              </w:rPr>
            </w:pPr>
            <w:r>
              <w:rPr>
                <w:color w:val="000000"/>
              </w:rPr>
              <w:t>6.82%</w:t>
            </w:r>
          </w:p>
        </w:tc>
        <w:tc>
          <w:tcPr>
            <w:tcW w:w="810" w:type="dxa"/>
            <w:gridSpan w:val="2"/>
            <w:tcBorders>
              <w:top w:val="nil"/>
              <w:left w:val="nil"/>
              <w:bottom w:val="single" w:sz="4" w:space="0" w:color="000000"/>
              <w:right w:val="single" w:sz="4" w:space="0" w:color="000000"/>
            </w:tcBorders>
            <w:shd w:val="clear" w:color="auto" w:fill="auto"/>
            <w:vAlign w:val="bottom"/>
          </w:tcPr>
          <w:p w14:paraId="512D3EF0" w14:textId="77777777" w:rsidR="00F44EAE" w:rsidRDefault="00AB3F43">
            <w:pPr>
              <w:spacing w:before="0" w:after="0" w:line="240" w:lineRule="auto"/>
              <w:jc w:val="right"/>
              <w:rPr>
                <w:color w:val="000000"/>
              </w:rPr>
            </w:pPr>
            <w:r>
              <w:rPr>
                <w:color w:val="000000"/>
              </w:rPr>
              <w:t>6.23%</w:t>
            </w:r>
          </w:p>
        </w:tc>
      </w:tr>
      <w:tr w:rsidR="00F44EAE" w14:paraId="64A62F07" w14:textId="77777777">
        <w:trPr>
          <w:gridAfter w:val="1"/>
          <w:wAfter w:w="267" w:type="dxa"/>
          <w:trHeight w:val="420"/>
        </w:trPr>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E4F8DE9"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319" w:type="dxa"/>
            <w:gridSpan w:val="2"/>
            <w:tcBorders>
              <w:top w:val="nil"/>
              <w:left w:val="nil"/>
              <w:bottom w:val="single" w:sz="4" w:space="0" w:color="000000"/>
              <w:right w:val="single" w:sz="4" w:space="0" w:color="000000"/>
            </w:tcBorders>
            <w:shd w:val="clear" w:color="auto" w:fill="auto"/>
            <w:vAlign w:val="bottom"/>
          </w:tcPr>
          <w:p w14:paraId="6D03DDDD" w14:textId="77777777" w:rsidR="00F44EAE" w:rsidRDefault="00AB3F43">
            <w:pPr>
              <w:spacing w:before="0" w:after="0" w:line="240" w:lineRule="auto"/>
              <w:jc w:val="left"/>
              <w:rPr>
                <w:color w:val="000000"/>
              </w:rPr>
            </w:pPr>
            <w:r>
              <w:rPr>
                <w:color w:val="000000"/>
              </w:rPr>
              <w:t>Return on capital employed</w:t>
            </w:r>
          </w:p>
        </w:tc>
        <w:tc>
          <w:tcPr>
            <w:tcW w:w="2311" w:type="dxa"/>
            <w:gridSpan w:val="2"/>
            <w:tcBorders>
              <w:top w:val="nil"/>
              <w:left w:val="nil"/>
              <w:bottom w:val="single" w:sz="4" w:space="0" w:color="000000"/>
              <w:right w:val="single" w:sz="4" w:space="0" w:color="000000"/>
            </w:tcBorders>
            <w:shd w:val="clear" w:color="auto" w:fill="auto"/>
            <w:vAlign w:val="bottom"/>
          </w:tcPr>
          <w:p w14:paraId="4863464B" w14:textId="77777777" w:rsidR="00F44EAE" w:rsidRDefault="00AB3F43">
            <w:pPr>
              <w:spacing w:before="0" w:after="0" w:line="240" w:lineRule="auto"/>
              <w:jc w:val="left"/>
              <w:rPr>
                <w:color w:val="000000"/>
              </w:rPr>
            </w:pPr>
            <w:r>
              <w:rPr>
                <w:color w:val="000000"/>
              </w:rPr>
              <w:t>EBIT/ Total asset- Total current liabilities</w:t>
            </w:r>
          </w:p>
        </w:tc>
        <w:tc>
          <w:tcPr>
            <w:tcW w:w="1540" w:type="dxa"/>
            <w:gridSpan w:val="2"/>
            <w:tcBorders>
              <w:top w:val="nil"/>
              <w:left w:val="nil"/>
              <w:bottom w:val="single" w:sz="4" w:space="0" w:color="000000"/>
              <w:right w:val="single" w:sz="4" w:space="0" w:color="000000"/>
            </w:tcBorders>
            <w:shd w:val="clear" w:color="auto" w:fill="auto"/>
            <w:vAlign w:val="bottom"/>
          </w:tcPr>
          <w:p w14:paraId="238C9160" w14:textId="77777777" w:rsidR="00F44EAE" w:rsidRDefault="00AB3F43">
            <w:pPr>
              <w:spacing w:before="0" w:after="0" w:line="240" w:lineRule="auto"/>
              <w:jc w:val="right"/>
              <w:rPr>
                <w:color w:val="000000"/>
              </w:rPr>
            </w:pPr>
            <w:r>
              <w:rPr>
                <w:color w:val="000000"/>
              </w:rPr>
              <w:t>5.41%</w:t>
            </w:r>
          </w:p>
        </w:tc>
        <w:tc>
          <w:tcPr>
            <w:tcW w:w="812" w:type="dxa"/>
            <w:gridSpan w:val="2"/>
            <w:tcBorders>
              <w:top w:val="nil"/>
              <w:left w:val="nil"/>
              <w:bottom w:val="single" w:sz="4" w:space="0" w:color="000000"/>
              <w:right w:val="single" w:sz="4" w:space="0" w:color="000000"/>
            </w:tcBorders>
            <w:shd w:val="clear" w:color="auto" w:fill="auto"/>
            <w:vAlign w:val="bottom"/>
          </w:tcPr>
          <w:p w14:paraId="62B1D974" w14:textId="77777777" w:rsidR="00F44EAE" w:rsidRDefault="00AB3F43">
            <w:pPr>
              <w:spacing w:before="0" w:after="0" w:line="240" w:lineRule="auto"/>
              <w:jc w:val="right"/>
              <w:rPr>
                <w:color w:val="000000"/>
              </w:rPr>
            </w:pPr>
            <w:r>
              <w:rPr>
                <w:color w:val="000000"/>
              </w:rPr>
              <w:t>6.53%</w:t>
            </w:r>
          </w:p>
        </w:tc>
        <w:tc>
          <w:tcPr>
            <w:tcW w:w="810" w:type="dxa"/>
            <w:gridSpan w:val="2"/>
            <w:tcBorders>
              <w:top w:val="nil"/>
              <w:left w:val="nil"/>
              <w:bottom w:val="single" w:sz="4" w:space="0" w:color="000000"/>
              <w:right w:val="single" w:sz="4" w:space="0" w:color="000000"/>
            </w:tcBorders>
            <w:shd w:val="clear" w:color="auto" w:fill="auto"/>
            <w:vAlign w:val="bottom"/>
          </w:tcPr>
          <w:p w14:paraId="5BF01F37" w14:textId="77777777" w:rsidR="00F44EAE" w:rsidRDefault="00AB3F43">
            <w:pPr>
              <w:spacing w:before="0" w:after="0" w:line="240" w:lineRule="auto"/>
              <w:jc w:val="right"/>
              <w:rPr>
                <w:color w:val="000000"/>
              </w:rPr>
            </w:pPr>
            <w:r>
              <w:rPr>
                <w:color w:val="000000"/>
              </w:rPr>
              <w:t>5.39%</w:t>
            </w:r>
          </w:p>
        </w:tc>
        <w:tc>
          <w:tcPr>
            <w:tcW w:w="810" w:type="dxa"/>
            <w:gridSpan w:val="2"/>
            <w:tcBorders>
              <w:top w:val="nil"/>
              <w:left w:val="nil"/>
              <w:bottom w:val="single" w:sz="4" w:space="0" w:color="000000"/>
              <w:right w:val="single" w:sz="4" w:space="0" w:color="000000"/>
            </w:tcBorders>
            <w:shd w:val="clear" w:color="auto" w:fill="auto"/>
            <w:vAlign w:val="bottom"/>
          </w:tcPr>
          <w:p w14:paraId="25EA6649" w14:textId="77777777" w:rsidR="00F44EAE" w:rsidRDefault="00AB3F43">
            <w:pPr>
              <w:spacing w:before="0" w:after="0" w:line="240" w:lineRule="auto"/>
              <w:jc w:val="right"/>
              <w:rPr>
                <w:color w:val="000000"/>
              </w:rPr>
            </w:pPr>
            <w:r>
              <w:rPr>
                <w:color w:val="000000"/>
              </w:rPr>
              <w:t>0.00%</w:t>
            </w:r>
          </w:p>
        </w:tc>
        <w:tc>
          <w:tcPr>
            <w:tcW w:w="810" w:type="dxa"/>
            <w:gridSpan w:val="2"/>
            <w:tcBorders>
              <w:top w:val="nil"/>
              <w:left w:val="nil"/>
              <w:bottom w:val="single" w:sz="4" w:space="0" w:color="000000"/>
              <w:right w:val="single" w:sz="4" w:space="0" w:color="000000"/>
            </w:tcBorders>
            <w:shd w:val="clear" w:color="auto" w:fill="auto"/>
            <w:vAlign w:val="bottom"/>
          </w:tcPr>
          <w:p w14:paraId="2C62C82D" w14:textId="77777777" w:rsidR="00F44EAE" w:rsidRDefault="00AB3F43">
            <w:pPr>
              <w:spacing w:before="0" w:after="0" w:line="240" w:lineRule="auto"/>
              <w:jc w:val="right"/>
              <w:rPr>
                <w:color w:val="000000"/>
              </w:rPr>
            </w:pPr>
            <w:r>
              <w:rPr>
                <w:color w:val="000000"/>
              </w:rPr>
              <w:t>7.27%</w:t>
            </w:r>
          </w:p>
        </w:tc>
      </w:tr>
      <w:tr w:rsidR="00F44EAE" w14:paraId="0BDA433F" w14:textId="77777777">
        <w:trPr>
          <w:gridAfter w:val="1"/>
          <w:wAfter w:w="267" w:type="dxa"/>
          <w:trHeight w:val="315"/>
        </w:trPr>
        <w:tc>
          <w:tcPr>
            <w:tcW w:w="671" w:type="dxa"/>
            <w:tcBorders>
              <w:top w:val="nil"/>
              <w:left w:val="nil"/>
              <w:bottom w:val="nil"/>
              <w:right w:val="nil"/>
            </w:tcBorders>
            <w:shd w:val="clear" w:color="auto" w:fill="auto"/>
            <w:vAlign w:val="bottom"/>
          </w:tcPr>
          <w:p w14:paraId="566700B9" w14:textId="77777777" w:rsidR="00F44EAE" w:rsidRDefault="00F44EAE">
            <w:pPr>
              <w:spacing w:before="0" w:after="0" w:line="240" w:lineRule="auto"/>
              <w:jc w:val="right"/>
              <w:rPr>
                <w:color w:val="000000"/>
              </w:rPr>
            </w:pPr>
          </w:p>
        </w:tc>
        <w:tc>
          <w:tcPr>
            <w:tcW w:w="1319" w:type="dxa"/>
            <w:gridSpan w:val="2"/>
            <w:tcBorders>
              <w:top w:val="nil"/>
              <w:left w:val="nil"/>
              <w:bottom w:val="nil"/>
              <w:right w:val="nil"/>
            </w:tcBorders>
            <w:shd w:val="clear" w:color="auto" w:fill="auto"/>
            <w:vAlign w:val="bottom"/>
          </w:tcPr>
          <w:p w14:paraId="4893A999" w14:textId="77777777" w:rsidR="00F44EAE" w:rsidRDefault="00AB3F43">
            <w:pPr>
              <w:spacing w:before="0" w:after="0" w:line="240" w:lineRule="auto"/>
              <w:jc w:val="left"/>
              <w:rPr>
                <w:color w:val="000000"/>
              </w:rPr>
            </w:pPr>
            <w:r>
              <w:rPr>
                <w:color w:val="000000"/>
              </w:rPr>
              <w:t xml:space="preserve"> </w:t>
            </w:r>
          </w:p>
        </w:tc>
        <w:tc>
          <w:tcPr>
            <w:tcW w:w="2311" w:type="dxa"/>
            <w:gridSpan w:val="2"/>
            <w:tcBorders>
              <w:top w:val="nil"/>
              <w:left w:val="nil"/>
              <w:bottom w:val="nil"/>
              <w:right w:val="nil"/>
            </w:tcBorders>
            <w:shd w:val="clear" w:color="auto" w:fill="auto"/>
            <w:vAlign w:val="bottom"/>
          </w:tcPr>
          <w:p w14:paraId="63DE3E1A" w14:textId="77777777" w:rsidR="00F44EAE" w:rsidRDefault="00F44EAE">
            <w:pPr>
              <w:spacing w:before="0" w:after="0" w:line="240" w:lineRule="auto"/>
              <w:jc w:val="left"/>
              <w:rPr>
                <w:color w:val="000000"/>
              </w:rPr>
            </w:pPr>
          </w:p>
        </w:tc>
        <w:tc>
          <w:tcPr>
            <w:tcW w:w="1540" w:type="dxa"/>
            <w:gridSpan w:val="2"/>
            <w:tcBorders>
              <w:top w:val="nil"/>
              <w:left w:val="nil"/>
              <w:bottom w:val="nil"/>
              <w:right w:val="nil"/>
            </w:tcBorders>
            <w:shd w:val="clear" w:color="auto" w:fill="auto"/>
            <w:vAlign w:val="bottom"/>
          </w:tcPr>
          <w:p w14:paraId="60015E62"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2F8EC7DE"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1396699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0C5C91F5"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565812E8" w14:textId="77777777" w:rsidR="00F44EAE" w:rsidRDefault="00F44EAE">
            <w:pPr>
              <w:spacing w:before="0" w:after="0" w:line="240" w:lineRule="auto"/>
              <w:jc w:val="left"/>
              <w:rPr>
                <w:sz w:val="20"/>
                <w:szCs w:val="20"/>
              </w:rPr>
            </w:pPr>
          </w:p>
        </w:tc>
      </w:tr>
      <w:tr w:rsidR="00F44EAE" w14:paraId="6BDA77E9" w14:textId="77777777">
        <w:trPr>
          <w:gridAfter w:val="1"/>
          <w:wAfter w:w="267" w:type="dxa"/>
          <w:trHeight w:val="315"/>
        </w:trPr>
        <w:tc>
          <w:tcPr>
            <w:tcW w:w="671" w:type="dxa"/>
            <w:tcBorders>
              <w:top w:val="nil"/>
              <w:left w:val="nil"/>
              <w:bottom w:val="nil"/>
              <w:right w:val="nil"/>
            </w:tcBorders>
            <w:shd w:val="clear" w:color="auto" w:fill="auto"/>
            <w:vAlign w:val="bottom"/>
          </w:tcPr>
          <w:p w14:paraId="4F52901E" w14:textId="77777777" w:rsidR="00F44EAE" w:rsidRDefault="00F44EAE">
            <w:pPr>
              <w:spacing w:before="0" w:after="0" w:line="240" w:lineRule="auto"/>
              <w:jc w:val="left"/>
              <w:rPr>
                <w:sz w:val="20"/>
                <w:szCs w:val="20"/>
              </w:rPr>
            </w:pPr>
          </w:p>
        </w:tc>
        <w:tc>
          <w:tcPr>
            <w:tcW w:w="1319" w:type="dxa"/>
            <w:gridSpan w:val="2"/>
            <w:tcBorders>
              <w:top w:val="nil"/>
              <w:left w:val="nil"/>
              <w:bottom w:val="nil"/>
              <w:right w:val="nil"/>
            </w:tcBorders>
            <w:shd w:val="clear" w:color="auto" w:fill="auto"/>
            <w:vAlign w:val="bottom"/>
          </w:tcPr>
          <w:p w14:paraId="2D6FACA3" w14:textId="77777777" w:rsidR="00F44EAE" w:rsidRDefault="00F44EAE">
            <w:pPr>
              <w:spacing w:before="0" w:after="0" w:line="240" w:lineRule="auto"/>
              <w:jc w:val="left"/>
              <w:rPr>
                <w:sz w:val="20"/>
                <w:szCs w:val="20"/>
              </w:rPr>
            </w:pPr>
          </w:p>
        </w:tc>
        <w:tc>
          <w:tcPr>
            <w:tcW w:w="2311" w:type="dxa"/>
            <w:gridSpan w:val="2"/>
            <w:tcBorders>
              <w:top w:val="nil"/>
              <w:left w:val="nil"/>
              <w:bottom w:val="nil"/>
              <w:right w:val="nil"/>
            </w:tcBorders>
            <w:shd w:val="clear" w:color="auto" w:fill="auto"/>
            <w:vAlign w:val="bottom"/>
          </w:tcPr>
          <w:p w14:paraId="303EA59C" w14:textId="77777777" w:rsidR="00F44EAE" w:rsidRDefault="00F44EAE">
            <w:pPr>
              <w:spacing w:before="0" w:after="0" w:line="240" w:lineRule="auto"/>
              <w:jc w:val="left"/>
              <w:rPr>
                <w:sz w:val="20"/>
                <w:szCs w:val="20"/>
              </w:rPr>
            </w:pPr>
          </w:p>
        </w:tc>
        <w:tc>
          <w:tcPr>
            <w:tcW w:w="1540" w:type="dxa"/>
            <w:gridSpan w:val="2"/>
            <w:tcBorders>
              <w:top w:val="nil"/>
              <w:left w:val="nil"/>
              <w:bottom w:val="nil"/>
              <w:right w:val="nil"/>
            </w:tcBorders>
            <w:shd w:val="clear" w:color="auto" w:fill="auto"/>
            <w:vAlign w:val="bottom"/>
          </w:tcPr>
          <w:p w14:paraId="6E641495"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107679D7"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2C2CDB30"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4FE18F1D"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1B3C1ABD" w14:textId="77777777" w:rsidR="00F44EAE" w:rsidRDefault="00F44EAE">
            <w:pPr>
              <w:spacing w:before="0" w:after="0" w:line="240" w:lineRule="auto"/>
              <w:jc w:val="left"/>
              <w:rPr>
                <w:sz w:val="20"/>
                <w:szCs w:val="20"/>
              </w:rPr>
            </w:pPr>
          </w:p>
        </w:tc>
      </w:tr>
      <w:tr w:rsidR="00F44EAE" w14:paraId="7D5D0D42" w14:textId="77777777">
        <w:trPr>
          <w:gridAfter w:val="1"/>
          <w:wAfter w:w="267" w:type="dxa"/>
          <w:trHeight w:val="315"/>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373708C7" w14:textId="77777777" w:rsidR="00F44EAE" w:rsidRDefault="00AB3F43">
            <w:pPr>
              <w:spacing w:before="0" w:after="0" w:line="240" w:lineRule="auto"/>
              <w:jc w:val="center"/>
              <w:rPr>
                <w:b/>
                <w:color w:val="000000"/>
              </w:rPr>
            </w:pPr>
            <w:r>
              <w:rPr>
                <w:b/>
                <w:color w:val="000000"/>
              </w:rPr>
              <w:t>Liquidity</w:t>
            </w:r>
          </w:p>
        </w:tc>
        <w:tc>
          <w:tcPr>
            <w:tcW w:w="1319" w:type="dxa"/>
            <w:gridSpan w:val="2"/>
            <w:tcBorders>
              <w:top w:val="single" w:sz="4" w:space="0" w:color="000000"/>
              <w:left w:val="nil"/>
              <w:bottom w:val="single" w:sz="4" w:space="0" w:color="000000"/>
              <w:right w:val="single" w:sz="4" w:space="0" w:color="000000"/>
            </w:tcBorders>
            <w:shd w:val="clear" w:color="auto" w:fill="auto"/>
            <w:vAlign w:val="bottom"/>
          </w:tcPr>
          <w:p w14:paraId="555879C2" w14:textId="77777777" w:rsidR="00F44EAE" w:rsidRDefault="00AB3F43">
            <w:pPr>
              <w:spacing w:before="0" w:after="0" w:line="240" w:lineRule="auto"/>
              <w:jc w:val="left"/>
              <w:rPr>
                <w:color w:val="000000"/>
              </w:rPr>
            </w:pPr>
            <w:r>
              <w:rPr>
                <w:color w:val="000000"/>
              </w:rPr>
              <w:t>Current Ratio</w:t>
            </w:r>
          </w:p>
        </w:tc>
        <w:tc>
          <w:tcPr>
            <w:tcW w:w="2311" w:type="dxa"/>
            <w:gridSpan w:val="2"/>
            <w:tcBorders>
              <w:top w:val="single" w:sz="4" w:space="0" w:color="000000"/>
              <w:left w:val="nil"/>
              <w:bottom w:val="single" w:sz="4" w:space="0" w:color="000000"/>
              <w:right w:val="single" w:sz="4" w:space="0" w:color="000000"/>
            </w:tcBorders>
            <w:shd w:val="clear" w:color="auto" w:fill="auto"/>
            <w:vAlign w:val="bottom"/>
          </w:tcPr>
          <w:p w14:paraId="3E43DB8C" w14:textId="77777777" w:rsidR="00F44EAE" w:rsidRDefault="00AB3F43">
            <w:pPr>
              <w:spacing w:before="0" w:after="0" w:line="240" w:lineRule="auto"/>
              <w:jc w:val="left"/>
              <w:rPr>
                <w:color w:val="000000"/>
              </w:rPr>
            </w:pPr>
            <w:r>
              <w:rPr>
                <w:color w:val="000000"/>
              </w:rPr>
              <w:t>Current assets/Current liabilities</w:t>
            </w:r>
          </w:p>
        </w:tc>
        <w:tc>
          <w:tcPr>
            <w:tcW w:w="1540" w:type="dxa"/>
            <w:gridSpan w:val="2"/>
            <w:tcBorders>
              <w:top w:val="single" w:sz="4" w:space="0" w:color="000000"/>
              <w:left w:val="nil"/>
              <w:bottom w:val="single" w:sz="4" w:space="0" w:color="000000"/>
              <w:right w:val="single" w:sz="4" w:space="0" w:color="000000"/>
            </w:tcBorders>
            <w:shd w:val="clear" w:color="auto" w:fill="auto"/>
            <w:vAlign w:val="bottom"/>
          </w:tcPr>
          <w:p w14:paraId="4C4A5C0E" w14:textId="77777777" w:rsidR="00F44EAE" w:rsidRDefault="00AB3F43">
            <w:pPr>
              <w:spacing w:before="0" w:after="0" w:line="240" w:lineRule="auto"/>
              <w:jc w:val="right"/>
              <w:rPr>
                <w:color w:val="000000"/>
              </w:rPr>
            </w:pPr>
            <w:r>
              <w:rPr>
                <w:color w:val="000000"/>
              </w:rPr>
              <w:t>1.104344563</w:t>
            </w:r>
          </w:p>
        </w:tc>
        <w:tc>
          <w:tcPr>
            <w:tcW w:w="812" w:type="dxa"/>
            <w:gridSpan w:val="2"/>
            <w:tcBorders>
              <w:top w:val="single" w:sz="4" w:space="0" w:color="000000"/>
              <w:left w:val="nil"/>
              <w:bottom w:val="single" w:sz="4" w:space="0" w:color="000000"/>
              <w:right w:val="single" w:sz="4" w:space="0" w:color="000000"/>
            </w:tcBorders>
            <w:shd w:val="clear" w:color="auto" w:fill="auto"/>
            <w:vAlign w:val="bottom"/>
          </w:tcPr>
          <w:p w14:paraId="5BBA68E4" w14:textId="77777777" w:rsidR="00F44EAE" w:rsidRDefault="00AB3F43">
            <w:pPr>
              <w:spacing w:before="0" w:after="0" w:line="240" w:lineRule="auto"/>
              <w:jc w:val="right"/>
              <w:rPr>
                <w:color w:val="000000"/>
              </w:rPr>
            </w:pPr>
            <w:r>
              <w:rPr>
                <w:color w:val="000000"/>
              </w:rPr>
              <w:t>1.086077976</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1956CA92" w14:textId="77777777" w:rsidR="00F44EAE" w:rsidRDefault="00AB3F43">
            <w:pPr>
              <w:spacing w:before="0" w:after="0" w:line="240" w:lineRule="auto"/>
              <w:jc w:val="right"/>
              <w:rPr>
                <w:color w:val="000000"/>
              </w:rPr>
            </w:pPr>
            <w:r>
              <w:rPr>
                <w:color w:val="000000"/>
              </w:rPr>
              <w:t>1.061337624</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31A6116A" w14:textId="77777777" w:rsidR="00F44EAE" w:rsidRDefault="00AB3F43">
            <w:pPr>
              <w:spacing w:before="0" w:after="0" w:line="240" w:lineRule="auto"/>
              <w:jc w:val="right"/>
              <w:rPr>
                <w:color w:val="000000"/>
              </w:rPr>
            </w:pPr>
            <w:r>
              <w:rPr>
                <w:color w:val="000000"/>
              </w:rPr>
              <w:t>1.045259703</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4AF6E932" w14:textId="77777777" w:rsidR="00F44EAE" w:rsidRDefault="00AB3F43">
            <w:pPr>
              <w:spacing w:before="0" w:after="0" w:line="240" w:lineRule="auto"/>
              <w:jc w:val="right"/>
              <w:rPr>
                <w:color w:val="000000"/>
              </w:rPr>
            </w:pPr>
            <w:r>
              <w:rPr>
                <w:color w:val="000000"/>
              </w:rPr>
              <w:t>1.035787635</w:t>
            </w:r>
          </w:p>
        </w:tc>
      </w:tr>
      <w:tr w:rsidR="00F44EAE" w14:paraId="1EFE368F" w14:textId="77777777">
        <w:trPr>
          <w:gridAfter w:val="1"/>
          <w:wAfter w:w="267" w:type="dxa"/>
          <w:trHeight w:val="315"/>
        </w:trPr>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75D2A4F8"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319" w:type="dxa"/>
            <w:gridSpan w:val="2"/>
            <w:tcBorders>
              <w:top w:val="nil"/>
              <w:left w:val="nil"/>
              <w:bottom w:val="single" w:sz="4" w:space="0" w:color="000000"/>
              <w:right w:val="single" w:sz="4" w:space="0" w:color="000000"/>
            </w:tcBorders>
            <w:shd w:val="clear" w:color="auto" w:fill="auto"/>
            <w:vAlign w:val="bottom"/>
          </w:tcPr>
          <w:p w14:paraId="2D0FB202" w14:textId="77777777" w:rsidR="00F44EAE" w:rsidRDefault="00AB3F43">
            <w:pPr>
              <w:spacing w:before="0" w:after="0" w:line="240" w:lineRule="auto"/>
              <w:jc w:val="left"/>
              <w:rPr>
                <w:color w:val="000000"/>
              </w:rPr>
            </w:pPr>
            <w:r>
              <w:rPr>
                <w:color w:val="000000"/>
              </w:rPr>
              <w:t>Quick Ratio</w:t>
            </w:r>
          </w:p>
        </w:tc>
        <w:tc>
          <w:tcPr>
            <w:tcW w:w="2311" w:type="dxa"/>
            <w:gridSpan w:val="2"/>
            <w:tcBorders>
              <w:top w:val="nil"/>
              <w:left w:val="nil"/>
              <w:bottom w:val="single" w:sz="4" w:space="0" w:color="000000"/>
              <w:right w:val="single" w:sz="4" w:space="0" w:color="000000"/>
            </w:tcBorders>
            <w:shd w:val="clear" w:color="auto" w:fill="auto"/>
            <w:vAlign w:val="bottom"/>
          </w:tcPr>
          <w:p w14:paraId="4E2CD091" w14:textId="77777777" w:rsidR="00F44EAE" w:rsidRDefault="00AB3F43">
            <w:pPr>
              <w:spacing w:before="0" w:after="0" w:line="240" w:lineRule="auto"/>
              <w:jc w:val="left"/>
              <w:rPr>
                <w:color w:val="000000"/>
              </w:rPr>
            </w:pPr>
            <w:r>
              <w:rPr>
                <w:color w:val="000000"/>
              </w:rPr>
              <w:t>Current assets (excluding inventories)/Current liabilities</w:t>
            </w:r>
          </w:p>
        </w:tc>
        <w:tc>
          <w:tcPr>
            <w:tcW w:w="1540" w:type="dxa"/>
            <w:gridSpan w:val="2"/>
            <w:tcBorders>
              <w:top w:val="nil"/>
              <w:left w:val="nil"/>
              <w:bottom w:val="single" w:sz="4" w:space="0" w:color="000000"/>
              <w:right w:val="single" w:sz="4" w:space="0" w:color="000000"/>
            </w:tcBorders>
            <w:shd w:val="clear" w:color="auto" w:fill="auto"/>
            <w:vAlign w:val="bottom"/>
          </w:tcPr>
          <w:p w14:paraId="284A1C59" w14:textId="77777777" w:rsidR="00F44EAE" w:rsidRDefault="00AB3F43">
            <w:pPr>
              <w:spacing w:before="0" w:after="0" w:line="240" w:lineRule="auto"/>
              <w:jc w:val="right"/>
              <w:rPr>
                <w:color w:val="000000"/>
              </w:rPr>
            </w:pPr>
            <w:r>
              <w:rPr>
                <w:color w:val="000000"/>
              </w:rPr>
              <w:t>0.926729179</w:t>
            </w:r>
          </w:p>
        </w:tc>
        <w:tc>
          <w:tcPr>
            <w:tcW w:w="812" w:type="dxa"/>
            <w:gridSpan w:val="2"/>
            <w:tcBorders>
              <w:top w:val="nil"/>
              <w:left w:val="nil"/>
              <w:bottom w:val="single" w:sz="4" w:space="0" w:color="000000"/>
              <w:right w:val="single" w:sz="4" w:space="0" w:color="000000"/>
            </w:tcBorders>
            <w:shd w:val="clear" w:color="auto" w:fill="auto"/>
            <w:vAlign w:val="bottom"/>
          </w:tcPr>
          <w:p w14:paraId="3E2E5BB9" w14:textId="77777777" w:rsidR="00F44EAE" w:rsidRDefault="00AB3F43">
            <w:pPr>
              <w:spacing w:before="0" w:after="0" w:line="240" w:lineRule="auto"/>
              <w:jc w:val="right"/>
              <w:rPr>
                <w:color w:val="000000"/>
              </w:rPr>
            </w:pPr>
            <w:r>
              <w:rPr>
                <w:color w:val="000000"/>
              </w:rPr>
              <w:t>0.911124774</w:t>
            </w:r>
          </w:p>
        </w:tc>
        <w:tc>
          <w:tcPr>
            <w:tcW w:w="810" w:type="dxa"/>
            <w:gridSpan w:val="2"/>
            <w:tcBorders>
              <w:top w:val="nil"/>
              <w:left w:val="nil"/>
              <w:bottom w:val="single" w:sz="4" w:space="0" w:color="000000"/>
              <w:right w:val="single" w:sz="4" w:space="0" w:color="000000"/>
            </w:tcBorders>
            <w:shd w:val="clear" w:color="auto" w:fill="auto"/>
            <w:vAlign w:val="bottom"/>
          </w:tcPr>
          <w:p w14:paraId="1381966F" w14:textId="77777777" w:rsidR="00F44EAE" w:rsidRDefault="00AB3F43">
            <w:pPr>
              <w:spacing w:before="0" w:after="0" w:line="240" w:lineRule="auto"/>
              <w:jc w:val="right"/>
              <w:rPr>
                <w:color w:val="000000"/>
              </w:rPr>
            </w:pPr>
            <w:r>
              <w:rPr>
                <w:color w:val="000000"/>
              </w:rPr>
              <w:t>0.926763287</w:t>
            </w:r>
          </w:p>
        </w:tc>
        <w:tc>
          <w:tcPr>
            <w:tcW w:w="810" w:type="dxa"/>
            <w:gridSpan w:val="2"/>
            <w:tcBorders>
              <w:top w:val="nil"/>
              <w:left w:val="nil"/>
              <w:bottom w:val="single" w:sz="4" w:space="0" w:color="000000"/>
              <w:right w:val="single" w:sz="4" w:space="0" w:color="000000"/>
            </w:tcBorders>
            <w:shd w:val="clear" w:color="auto" w:fill="auto"/>
            <w:vAlign w:val="bottom"/>
          </w:tcPr>
          <w:p w14:paraId="6D74EC13" w14:textId="77777777" w:rsidR="00F44EAE" w:rsidRDefault="00AB3F43">
            <w:pPr>
              <w:spacing w:before="0" w:after="0" w:line="240" w:lineRule="auto"/>
              <w:jc w:val="right"/>
              <w:rPr>
                <w:color w:val="000000"/>
              </w:rPr>
            </w:pPr>
            <w:r>
              <w:rPr>
                <w:color w:val="000000"/>
              </w:rPr>
              <w:t>0.905591375</w:t>
            </w:r>
          </w:p>
        </w:tc>
        <w:tc>
          <w:tcPr>
            <w:tcW w:w="810" w:type="dxa"/>
            <w:gridSpan w:val="2"/>
            <w:tcBorders>
              <w:top w:val="nil"/>
              <w:left w:val="nil"/>
              <w:bottom w:val="single" w:sz="4" w:space="0" w:color="000000"/>
              <w:right w:val="single" w:sz="4" w:space="0" w:color="000000"/>
            </w:tcBorders>
            <w:shd w:val="clear" w:color="auto" w:fill="auto"/>
            <w:vAlign w:val="bottom"/>
          </w:tcPr>
          <w:p w14:paraId="3991873E" w14:textId="77777777" w:rsidR="00F44EAE" w:rsidRDefault="00AB3F43">
            <w:pPr>
              <w:spacing w:before="0" w:after="0" w:line="240" w:lineRule="auto"/>
              <w:jc w:val="right"/>
              <w:rPr>
                <w:color w:val="000000"/>
              </w:rPr>
            </w:pPr>
            <w:r>
              <w:rPr>
                <w:color w:val="000000"/>
              </w:rPr>
              <w:t>0.890047522</w:t>
            </w:r>
          </w:p>
        </w:tc>
      </w:tr>
      <w:tr w:rsidR="00F44EAE" w14:paraId="11BED8F2" w14:textId="77777777">
        <w:trPr>
          <w:gridAfter w:val="1"/>
          <w:wAfter w:w="267" w:type="dxa"/>
          <w:trHeight w:val="315"/>
        </w:trPr>
        <w:tc>
          <w:tcPr>
            <w:tcW w:w="671" w:type="dxa"/>
            <w:tcBorders>
              <w:top w:val="nil"/>
              <w:left w:val="nil"/>
              <w:bottom w:val="nil"/>
              <w:right w:val="nil"/>
            </w:tcBorders>
            <w:shd w:val="clear" w:color="auto" w:fill="auto"/>
            <w:vAlign w:val="bottom"/>
          </w:tcPr>
          <w:p w14:paraId="197FC80B" w14:textId="77777777" w:rsidR="00F44EAE" w:rsidRDefault="00F44EAE">
            <w:pPr>
              <w:spacing w:before="0" w:after="0" w:line="240" w:lineRule="auto"/>
              <w:jc w:val="right"/>
              <w:rPr>
                <w:color w:val="000000"/>
              </w:rPr>
            </w:pPr>
          </w:p>
        </w:tc>
        <w:tc>
          <w:tcPr>
            <w:tcW w:w="1319" w:type="dxa"/>
            <w:gridSpan w:val="2"/>
            <w:tcBorders>
              <w:top w:val="nil"/>
              <w:left w:val="nil"/>
              <w:bottom w:val="nil"/>
              <w:right w:val="nil"/>
            </w:tcBorders>
            <w:shd w:val="clear" w:color="auto" w:fill="auto"/>
            <w:vAlign w:val="bottom"/>
          </w:tcPr>
          <w:p w14:paraId="562A1B65" w14:textId="77777777" w:rsidR="00F44EAE" w:rsidRDefault="00F44EAE">
            <w:pPr>
              <w:spacing w:before="0" w:after="0" w:line="240" w:lineRule="auto"/>
              <w:jc w:val="left"/>
              <w:rPr>
                <w:sz w:val="20"/>
                <w:szCs w:val="20"/>
              </w:rPr>
            </w:pPr>
          </w:p>
        </w:tc>
        <w:tc>
          <w:tcPr>
            <w:tcW w:w="2311" w:type="dxa"/>
            <w:gridSpan w:val="2"/>
            <w:tcBorders>
              <w:top w:val="nil"/>
              <w:left w:val="nil"/>
              <w:bottom w:val="nil"/>
              <w:right w:val="nil"/>
            </w:tcBorders>
            <w:shd w:val="clear" w:color="auto" w:fill="auto"/>
            <w:vAlign w:val="bottom"/>
          </w:tcPr>
          <w:p w14:paraId="2869E3E2" w14:textId="77777777" w:rsidR="00F44EAE" w:rsidRDefault="00F44EAE">
            <w:pPr>
              <w:spacing w:before="0" w:after="0" w:line="240" w:lineRule="auto"/>
              <w:jc w:val="left"/>
              <w:rPr>
                <w:sz w:val="20"/>
                <w:szCs w:val="20"/>
              </w:rPr>
            </w:pPr>
          </w:p>
        </w:tc>
        <w:tc>
          <w:tcPr>
            <w:tcW w:w="1540" w:type="dxa"/>
            <w:gridSpan w:val="2"/>
            <w:tcBorders>
              <w:top w:val="nil"/>
              <w:left w:val="nil"/>
              <w:bottom w:val="nil"/>
              <w:right w:val="nil"/>
            </w:tcBorders>
            <w:shd w:val="clear" w:color="auto" w:fill="auto"/>
            <w:vAlign w:val="bottom"/>
          </w:tcPr>
          <w:p w14:paraId="0158280D"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2E05311F"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183A4729"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0EC8A728"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42C16EA7" w14:textId="77777777" w:rsidR="00F44EAE" w:rsidRDefault="00F44EAE">
            <w:pPr>
              <w:spacing w:before="0" w:after="0" w:line="240" w:lineRule="auto"/>
              <w:jc w:val="left"/>
              <w:rPr>
                <w:sz w:val="20"/>
                <w:szCs w:val="20"/>
              </w:rPr>
            </w:pPr>
          </w:p>
        </w:tc>
      </w:tr>
      <w:tr w:rsidR="00F44EAE" w14:paraId="62428E77" w14:textId="77777777">
        <w:trPr>
          <w:gridAfter w:val="1"/>
          <w:wAfter w:w="267" w:type="dxa"/>
          <w:trHeight w:val="315"/>
        </w:trPr>
        <w:tc>
          <w:tcPr>
            <w:tcW w:w="671" w:type="dxa"/>
            <w:tcBorders>
              <w:top w:val="nil"/>
              <w:left w:val="nil"/>
              <w:bottom w:val="nil"/>
              <w:right w:val="nil"/>
            </w:tcBorders>
            <w:shd w:val="clear" w:color="auto" w:fill="auto"/>
            <w:vAlign w:val="bottom"/>
          </w:tcPr>
          <w:p w14:paraId="619576A8" w14:textId="77777777" w:rsidR="00F44EAE" w:rsidRDefault="00F44EAE">
            <w:pPr>
              <w:spacing w:before="0" w:after="0" w:line="240" w:lineRule="auto"/>
              <w:jc w:val="left"/>
              <w:rPr>
                <w:sz w:val="20"/>
                <w:szCs w:val="20"/>
              </w:rPr>
            </w:pPr>
          </w:p>
        </w:tc>
        <w:tc>
          <w:tcPr>
            <w:tcW w:w="1319" w:type="dxa"/>
            <w:gridSpan w:val="2"/>
            <w:tcBorders>
              <w:top w:val="nil"/>
              <w:left w:val="nil"/>
              <w:bottom w:val="nil"/>
              <w:right w:val="nil"/>
            </w:tcBorders>
            <w:shd w:val="clear" w:color="auto" w:fill="auto"/>
            <w:vAlign w:val="bottom"/>
          </w:tcPr>
          <w:p w14:paraId="3DF5F475" w14:textId="77777777" w:rsidR="00F44EAE" w:rsidRDefault="00F44EAE">
            <w:pPr>
              <w:spacing w:before="0" w:after="0" w:line="240" w:lineRule="auto"/>
              <w:jc w:val="left"/>
              <w:rPr>
                <w:sz w:val="20"/>
                <w:szCs w:val="20"/>
              </w:rPr>
            </w:pPr>
          </w:p>
        </w:tc>
        <w:tc>
          <w:tcPr>
            <w:tcW w:w="2311" w:type="dxa"/>
            <w:gridSpan w:val="2"/>
            <w:tcBorders>
              <w:top w:val="nil"/>
              <w:left w:val="nil"/>
              <w:bottom w:val="nil"/>
              <w:right w:val="nil"/>
            </w:tcBorders>
            <w:shd w:val="clear" w:color="auto" w:fill="auto"/>
            <w:vAlign w:val="bottom"/>
          </w:tcPr>
          <w:p w14:paraId="1FAFF5C9" w14:textId="77777777" w:rsidR="00F44EAE" w:rsidRDefault="00F44EAE">
            <w:pPr>
              <w:spacing w:before="0" w:after="0" w:line="240" w:lineRule="auto"/>
              <w:jc w:val="left"/>
              <w:rPr>
                <w:sz w:val="20"/>
                <w:szCs w:val="20"/>
              </w:rPr>
            </w:pPr>
          </w:p>
        </w:tc>
        <w:tc>
          <w:tcPr>
            <w:tcW w:w="1540" w:type="dxa"/>
            <w:gridSpan w:val="2"/>
            <w:tcBorders>
              <w:top w:val="nil"/>
              <w:left w:val="nil"/>
              <w:bottom w:val="nil"/>
              <w:right w:val="nil"/>
            </w:tcBorders>
            <w:shd w:val="clear" w:color="auto" w:fill="auto"/>
            <w:vAlign w:val="bottom"/>
          </w:tcPr>
          <w:p w14:paraId="3C74EC39"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6C97162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7B38DE8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4FBCF811"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1F859219" w14:textId="77777777" w:rsidR="00F44EAE" w:rsidRDefault="00F44EAE">
            <w:pPr>
              <w:spacing w:before="0" w:after="0" w:line="240" w:lineRule="auto"/>
              <w:jc w:val="left"/>
              <w:rPr>
                <w:sz w:val="20"/>
                <w:szCs w:val="20"/>
              </w:rPr>
            </w:pPr>
          </w:p>
        </w:tc>
      </w:tr>
      <w:tr w:rsidR="00F44EAE" w14:paraId="3922F420" w14:textId="77777777">
        <w:trPr>
          <w:gridAfter w:val="1"/>
          <w:wAfter w:w="267" w:type="dxa"/>
          <w:trHeight w:val="315"/>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2E604CB7" w14:textId="77777777" w:rsidR="00F44EAE" w:rsidRDefault="00AB3F43">
            <w:pPr>
              <w:spacing w:before="0" w:after="0" w:line="240" w:lineRule="auto"/>
              <w:jc w:val="center"/>
              <w:rPr>
                <w:b/>
                <w:color w:val="000000"/>
              </w:rPr>
            </w:pPr>
            <w:r>
              <w:rPr>
                <w:b/>
                <w:color w:val="000000"/>
              </w:rPr>
              <w:t>Efficiency</w:t>
            </w:r>
          </w:p>
        </w:tc>
        <w:tc>
          <w:tcPr>
            <w:tcW w:w="1319" w:type="dxa"/>
            <w:gridSpan w:val="2"/>
            <w:tcBorders>
              <w:top w:val="single" w:sz="4" w:space="0" w:color="000000"/>
              <w:left w:val="nil"/>
              <w:bottom w:val="single" w:sz="4" w:space="0" w:color="000000"/>
              <w:right w:val="single" w:sz="4" w:space="0" w:color="000000"/>
            </w:tcBorders>
            <w:shd w:val="clear" w:color="auto" w:fill="auto"/>
            <w:vAlign w:val="bottom"/>
          </w:tcPr>
          <w:p w14:paraId="3F6BC805" w14:textId="77777777" w:rsidR="00F44EAE" w:rsidRDefault="00AB3F43">
            <w:pPr>
              <w:spacing w:before="0" w:after="0" w:line="240" w:lineRule="auto"/>
              <w:jc w:val="left"/>
              <w:rPr>
                <w:color w:val="000000"/>
              </w:rPr>
            </w:pPr>
            <w:r>
              <w:rPr>
                <w:color w:val="000000"/>
              </w:rPr>
              <w:t>Asset Turnover</w:t>
            </w:r>
          </w:p>
        </w:tc>
        <w:tc>
          <w:tcPr>
            <w:tcW w:w="2311" w:type="dxa"/>
            <w:gridSpan w:val="2"/>
            <w:tcBorders>
              <w:top w:val="single" w:sz="4" w:space="0" w:color="000000"/>
              <w:left w:val="nil"/>
              <w:bottom w:val="single" w:sz="4" w:space="0" w:color="000000"/>
              <w:right w:val="single" w:sz="4" w:space="0" w:color="000000"/>
            </w:tcBorders>
            <w:shd w:val="clear" w:color="auto" w:fill="auto"/>
            <w:vAlign w:val="bottom"/>
          </w:tcPr>
          <w:p w14:paraId="24E542DB" w14:textId="77777777" w:rsidR="00F44EAE" w:rsidRDefault="00AB3F43">
            <w:pPr>
              <w:spacing w:before="0" w:after="0" w:line="240" w:lineRule="auto"/>
              <w:jc w:val="left"/>
              <w:rPr>
                <w:color w:val="000000"/>
              </w:rPr>
            </w:pPr>
            <w:r>
              <w:rPr>
                <w:color w:val="000000"/>
              </w:rPr>
              <w:t>Net Sales/ Average Total Assets</w:t>
            </w:r>
          </w:p>
        </w:tc>
        <w:tc>
          <w:tcPr>
            <w:tcW w:w="1540" w:type="dxa"/>
            <w:gridSpan w:val="2"/>
            <w:tcBorders>
              <w:top w:val="single" w:sz="4" w:space="0" w:color="000000"/>
              <w:left w:val="nil"/>
              <w:bottom w:val="single" w:sz="4" w:space="0" w:color="000000"/>
              <w:right w:val="single" w:sz="4" w:space="0" w:color="000000"/>
            </w:tcBorders>
            <w:shd w:val="clear" w:color="auto" w:fill="auto"/>
            <w:vAlign w:val="bottom"/>
          </w:tcPr>
          <w:p w14:paraId="0A4299A3" w14:textId="77777777" w:rsidR="00F44EAE" w:rsidRDefault="00AB3F43">
            <w:pPr>
              <w:spacing w:before="0" w:after="0" w:line="240" w:lineRule="auto"/>
              <w:jc w:val="right"/>
              <w:rPr>
                <w:color w:val="000000"/>
              </w:rPr>
            </w:pPr>
            <w:r>
              <w:rPr>
                <w:color w:val="000000"/>
              </w:rPr>
              <w:t>0.500036445</w:t>
            </w:r>
          </w:p>
        </w:tc>
        <w:tc>
          <w:tcPr>
            <w:tcW w:w="812" w:type="dxa"/>
            <w:gridSpan w:val="2"/>
            <w:tcBorders>
              <w:top w:val="single" w:sz="4" w:space="0" w:color="000000"/>
              <w:left w:val="nil"/>
              <w:bottom w:val="single" w:sz="4" w:space="0" w:color="000000"/>
              <w:right w:val="single" w:sz="4" w:space="0" w:color="000000"/>
            </w:tcBorders>
            <w:shd w:val="clear" w:color="auto" w:fill="auto"/>
            <w:vAlign w:val="bottom"/>
          </w:tcPr>
          <w:p w14:paraId="380CC008" w14:textId="77777777" w:rsidR="00F44EAE" w:rsidRDefault="00AB3F43">
            <w:pPr>
              <w:spacing w:before="0" w:after="0" w:line="240" w:lineRule="auto"/>
              <w:jc w:val="right"/>
              <w:rPr>
                <w:color w:val="000000"/>
              </w:rPr>
            </w:pPr>
            <w:r>
              <w:rPr>
                <w:color w:val="000000"/>
              </w:rPr>
              <w:t>0.46358512</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5C2FC720" w14:textId="77777777" w:rsidR="00F44EAE" w:rsidRDefault="00AB3F43">
            <w:pPr>
              <w:spacing w:before="0" w:after="0" w:line="240" w:lineRule="auto"/>
              <w:jc w:val="right"/>
              <w:rPr>
                <w:color w:val="000000"/>
              </w:rPr>
            </w:pPr>
            <w:r>
              <w:rPr>
                <w:color w:val="000000"/>
              </w:rPr>
              <w:t>0.437061892</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2FF6F6C2" w14:textId="77777777" w:rsidR="00F44EAE" w:rsidRDefault="00AB3F43">
            <w:pPr>
              <w:spacing w:before="0" w:after="0" w:line="240" w:lineRule="auto"/>
              <w:jc w:val="right"/>
              <w:rPr>
                <w:color w:val="000000"/>
              </w:rPr>
            </w:pPr>
            <w:r>
              <w:rPr>
                <w:color w:val="000000"/>
              </w:rPr>
              <w:t>0.553367415</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30654C0A" w14:textId="77777777" w:rsidR="00F44EAE" w:rsidRDefault="00AB3F43">
            <w:pPr>
              <w:spacing w:before="0" w:after="0" w:line="240" w:lineRule="auto"/>
              <w:jc w:val="right"/>
              <w:rPr>
                <w:color w:val="000000"/>
              </w:rPr>
            </w:pPr>
            <w:r>
              <w:rPr>
                <w:color w:val="000000"/>
              </w:rPr>
              <w:t>0.581944812</w:t>
            </w:r>
          </w:p>
        </w:tc>
      </w:tr>
      <w:tr w:rsidR="00F44EAE" w14:paraId="687467F1" w14:textId="77777777">
        <w:trPr>
          <w:gridAfter w:val="1"/>
          <w:wAfter w:w="267" w:type="dxa"/>
          <w:trHeight w:val="315"/>
        </w:trPr>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0CFC36F6"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319" w:type="dxa"/>
            <w:gridSpan w:val="2"/>
            <w:tcBorders>
              <w:top w:val="nil"/>
              <w:left w:val="nil"/>
              <w:bottom w:val="single" w:sz="4" w:space="0" w:color="000000"/>
              <w:right w:val="single" w:sz="4" w:space="0" w:color="000000"/>
            </w:tcBorders>
            <w:shd w:val="clear" w:color="auto" w:fill="auto"/>
            <w:vAlign w:val="bottom"/>
          </w:tcPr>
          <w:p w14:paraId="42D52BD9" w14:textId="77777777" w:rsidR="00F44EAE" w:rsidRDefault="00AB3F43">
            <w:pPr>
              <w:spacing w:before="0" w:after="0" w:line="240" w:lineRule="auto"/>
              <w:jc w:val="left"/>
              <w:rPr>
                <w:color w:val="000000"/>
              </w:rPr>
            </w:pPr>
            <w:r>
              <w:rPr>
                <w:color w:val="000000"/>
              </w:rPr>
              <w:t>Inventory Turnover</w:t>
            </w:r>
          </w:p>
        </w:tc>
        <w:tc>
          <w:tcPr>
            <w:tcW w:w="2311" w:type="dxa"/>
            <w:gridSpan w:val="2"/>
            <w:tcBorders>
              <w:top w:val="nil"/>
              <w:left w:val="nil"/>
              <w:bottom w:val="single" w:sz="4" w:space="0" w:color="000000"/>
              <w:right w:val="single" w:sz="4" w:space="0" w:color="000000"/>
            </w:tcBorders>
            <w:shd w:val="clear" w:color="auto" w:fill="auto"/>
            <w:vAlign w:val="bottom"/>
          </w:tcPr>
          <w:p w14:paraId="06FFEB51" w14:textId="77777777" w:rsidR="00F44EAE" w:rsidRDefault="00AB3F43">
            <w:pPr>
              <w:spacing w:before="0" w:after="0" w:line="240" w:lineRule="auto"/>
              <w:jc w:val="left"/>
              <w:rPr>
                <w:color w:val="000000"/>
              </w:rPr>
            </w:pPr>
            <w:r>
              <w:rPr>
                <w:color w:val="000000"/>
              </w:rPr>
              <w:t>(COGS/Average inventories)</w:t>
            </w:r>
          </w:p>
        </w:tc>
        <w:tc>
          <w:tcPr>
            <w:tcW w:w="1540" w:type="dxa"/>
            <w:gridSpan w:val="2"/>
            <w:tcBorders>
              <w:top w:val="nil"/>
              <w:left w:val="nil"/>
              <w:bottom w:val="single" w:sz="4" w:space="0" w:color="000000"/>
              <w:right w:val="single" w:sz="4" w:space="0" w:color="000000"/>
            </w:tcBorders>
            <w:shd w:val="clear" w:color="auto" w:fill="auto"/>
            <w:vAlign w:val="bottom"/>
          </w:tcPr>
          <w:p w14:paraId="22F340D8" w14:textId="77777777" w:rsidR="00F44EAE" w:rsidRDefault="00AB3F43">
            <w:pPr>
              <w:spacing w:before="0" w:after="0" w:line="240" w:lineRule="auto"/>
              <w:jc w:val="right"/>
              <w:rPr>
                <w:color w:val="000000"/>
              </w:rPr>
            </w:pPr>
            <w:r>
              <w:rPr>
                <w:color w:val="000000"/>
              </w:rPr>
              <w:t>7.247199112</w:t>
            </w:r>
          </w:p>
        </w:tc>
        <w:tc>
          <w:tcPr>
            <w:tcW w:w="812" w:type="dxa"/>
            <w:gridSpan w:val="2"/>
            <w:tcBorders>
              <w:top w:val="nil"/>
              <w:left w:val="nil"/>
              <w:bottom w:val="single" w:sz="4" w:space="0" w:color="000000"/>
              <w:right w:val="single" w:sz="4" w:space="0" w:color="000000"/>
            </w:tcBorders>
            <w:shd w:val="clear" w:color="auto" w:fill="auto"/>
            <w:vAlign w:val="bottom"/>
          </w:tcPr>
          <w:p w14:paraId="690B5DB5" w14:textId="77777777" w:rsidR="00F44EAE" w:rsidRDefault="00AB3F43">
            <w:pPr>
              <w:spacing w:before="0" w:after="0" w:line="240" w:lineRule="auto"/>
              <w:jc w:val="right"/>
              <w:rPr>
                <w:color w:val="000000"/>
              </w:rPr>
            </w:pPr>
            <w:r>
              <w:rPr>
                <w:color w:val="000000"/>
              </w:rPr>
              <w:t>6.648905258</w:t>
            </w:r>
          </w:p>
        </w:tc>
        <w:tc>
          <w:tcPr>
            <w:tcW w:w="810" w:type="dxa"/>
            <w:gridSpan w:val="2"/>
            <w:tcBorders>
              <w:top w:val="nil"/>
              <w:left w:val="nil"/>
              <w:bottom w:val="single" w:sz="4" w:space="0" w:color="000000"/>
              <w:right w:val="single" w:sz="4" w:space="0" w:color="000000"/>
            </w:tcBorders>
            <w:shd w:val="clear" w:color="auto" w:fill="auto"/>
            <w:vAlign w:val="bottom"/>
          </w:tcPr>
          <w:p w14:paraId="7416CE47" w14:textId="77777777" w:rsidR="00F44EAE" w:rsidRDefault="00AB3F43">
            <w:pPr>
              <w:spacing w:before="0" w:after="0" w:line="240" w:lineRule="auto"/>
              <w:jc w:val="right"/>
              <w:rPr>
                <w:color w:val="000000"/>
              </w:rPr>
            </w:pPr>
            <w:r>
              <w:rPr>
                <w:color w:val="000000"/>
              </w:rPr>
              <w:t>7.750001039</w:t>
            </w:r>
          </w:p>
        </w:tc>
        <w:tc>
          <w:tcPr>
            <w:tcW w:w="810" w:type="dxa"/>
            <w:gridSpan w:val="2"/>
            <w:tcBorders>
              <w:top w:val="nil"/>
              <w:left w:val="nil"/>
              <w:bottom w:val="single" w:sz="4" w:space="0" w:color="000000"/>
              <w:right w:val="single" w:sz="4" w:space="0" w:color="000000"/>
            </w:tcBorders>
            <w:shd w:val="clear" w:color="auto" w:fill="auto"/>
            <w:vAlign w:val="bottom"/>
          </w:tcPr>
          <w:p w14:paraId="29F47EB8" w14:textId="77777777" w:rsidR="00F44EAE" w:rsidRDefault="00AB3F43">
            <w:pPr>
              <w:spacing w:before="0" w:after="0" w:line="240" w:lineRule="auto"/>
              <w:jc w:val="right"/>
              <w:rPr>
                <w:color w:val="000000"/>
              </w:rPr>
            </w:pPr>
            <w:r>
              <w:rPr>
                <w:color w:val="000000"/>
              </w:rPr>
              <w:t>9.663139155</w:t>
            </w:r>
          </w:p>
        </w:tc>
        <w:tc>
          <w:tcPr>
            <w:tcW w:w="810" w:type="dxa"/>
            <w:gridSpan w:val="2"/>
            <w:tcBorders>
              <w:top w:val="nil"/>
              <w:left w:val="nil"/>
              <w:bottom w:val="single" w:sz="4" w:space="0" w:color="000000"/>
              <w:right w:val="single" w:sz="4" w:space="0" w:color="000000"/>
            </w:tcBorders>
            <w:shd w:val="clear" w:color="auto" w:fill="auto"/>
            <w:vAlign w:val="bottom"/>
          </w:tcPr>
          <w:p w14:paraId="23AE1550" w14:textId="77777777" w:rsidR="00F44EAE" w:rsidRDefault="00AB3F43">
            <w:pPr>
              <w:spacing w:before="0" w:after="0" w:line="240" w:lineRule="auto"/>
              <w:jc w:val="right"/>
              <w:rPr>
                <w:color w:val="000000"/>
              </w:rPr>
            </w:pPr>
            <w:r>
              <w:rPr>
                <w:color w:val="000000"/>
              </w:rPr>
              <w:t>9.335204917</w:t>
            </w:r>
          </w:p>
        </w:tc>
      </w:tr>
      <w:tr w:rsidR="00F44EAE" w14:paraId="06EC5F82" w14:textId="77777777">
        <w:trPr>
          <w:gridAfter w:val="1"/>
          <w:wAfter w:w="267" w:type="dxa"/>
          <w:trHeight w:val="315"/>
        </w:trPr>
        <w:tc>
          <w:tcPr>
            <w:tcW w:w="671" w:type="dxa"/>
            <w:tcBorders>
              <w:top w:val="nil"/>
              <w:left w:val="nil"/>
              <w:bottom w:val="nil"/>
              <w:right w:val="nil"/>
            </w:tcBorders>
            <w:shd w:val="clear" w:color="auto" w:fill="auto"/>
            <w:vAlign w:val="bottom"/>
          </w:tcPr>
          <w:p w14:paraId="54C46623" w14:textId="77777777" w:rsidR="00F44EAE" w:rsidRDefault="00F44EAE">
            <w:pPr>
              <w:spacing w:before="0" w:after="0" w:line="240" w:lineRule="auto"/>
              <w:jc w:val="right"/>
              <w:rPr>
                <w:color w:val="000000"/>
              </w:rPr>
            </w:pPr>
          </w:p>
        </w:tc>
        <w:tc>
          <w:tcPr>
            <w:tcW w:w="1319" w:type="dxa"/>
            <w:gridSpan w:val="2"/>
            <w:tcBorders>
              <w:top w:val="nil"/>
              <w:left w:val="nil"/>
              <w:bottom w:val="nil"/>
              <w:right w:val="nil"/>
            </w:tcBorders>
            <w:shd w:val="clear" w:color="auto" w:fill="auto"/>
            <w:vAlign w:val="bottom"/>
          </w:tcPr>
          <w:p w14:paraId="0D8F2189" w14:textId="77777777" w:rsidR="00F44EAE" w:rsidRDefault="00F44EAE">
            <w:pPr>
              <w:spacing w:before="0" w:after="0" w:line="240" w:lineRule="auto"/>
              <w:jc w:val="left"/>
              <w:rPr>
                <w:sz w:val="20"/>
                <w:szCs w:val="20"/>
              </w:rPr>
            </w:pPr>
          </w:p>
        </w:tc>
        <w:tc>
          <w:tcPr>
            <w:tcW w:w="2311" w:type="dxa"/>
            <w:gridSpan w:val="2"/>
            <w:tcBorders>
              <w:top w:val="nil"/>
              <w:left w:val="nil"/>
              <w:bottom w:val="nil"/>
              <w:right w:val="nil"/>
            </w:tcBorders>
            <w:shd w:val="clear" w:color="auto" w:fill="auto"/>
            <w:vAlign w:val="bottom"/>
          </w:tcPr>
          <w:p w14:paraId="47064FEC" w14:textId="77777777" w:rsidR="00F44EAE" w:rsidRDefault="00F44EAE">
            <w:pPr>
              <w:spacing w:before="0" w:after="0" w:line="240" w:lineRule="auto"/>
              <w:jc w:val="left"/>
              <w:rPr>
                <w:sz w:val="20"/>
                <w:szCs w:val="20"/>
              </w:rPr>
            </w:pPr>
          </w:p>
        </w:tc>
        <w:tc>
          <w:tcPr>
            <w:tcW w:w="1540" w:type="dxa"/>
            <w:gridSpan w:val="2"/>
            <w:tcBorders>
              <w:top w:val="nil"/>
              <w:left w:val="nil"/>
              <w:bottom w:val="nil"/>
              <w:right w:val="nil"/>
            </w:tcBorders>
            <w:shd w:val="clear" w:color="auto" w:fill="auto"/>
            <w:vAlign w:val="bottom"/>
          </w:tcPr>
          <w:p w14:paraId="5834F1B1"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0228EECB"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775D8CE7"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5AF36BBC"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4778F8C4" w14:textId="77777777" w:rsidR="00F44EAE" w:rsidRDefault="00F44EAE">
            <w:pPr>
              <w:spacing w:before="0" w:after="0" w:line="240" w:lineRule="auto"/>
              <w:jc w:val="left"/>
              <w:rPr>
                <w:sz w:val="20"/>
                <w:szCs w:val="20"/>
              </w:rPr>
            </w:pPr>
          </w:p>
        </w:tc>
      </w:tr>
      <w:tr w:rsidR="00F44EAE" w14:paraId="1F0E96CE" w14:textId="77777777">
        <w:trPr>
          <w:gridAfter w:val="1"/>
          <w:wAfter w:w="267" w:type="dxa"/>
          <w:trHeight w:val="315"/>
        </w:trPr>
        <w:tc>
          <w:tcPr>
            <w:tcW w:w="671" w:type="dxa"/>
            <w:tcBorders>
              <w:top w:val="nil"/>
              <w:left w:val="nil"/>
              <w:bottom w:val="nil"/>
              <w:right w:val="nil"/>
            </w:tcBorders>
            <w:shd w:val="clear" w:color="auto" w:fill="auto"/>
            <w:vAlign w:val="bottom"/>
          </w:tcPr>
          <w:p w14:paraId="3518ABB6" w14:textId="77777777" w:rsidR="00F44EAE" w:rsidRDefault="00F44EAE">
            <w:pPr>
              <w:spacing w:before="0" w:after="0" w:line="240" w:lineRule="auto"/>
              <w:jc w:val="left"/>
              <w:rPr>
                <w:sz w:val="20"/>
                <w:szCs w:val="20"/>
              </w:rPr>
            </w:pPr>
          </w:p>
        </w:tc>
        <w:tc>
          <w:tcPr>
            <w:tcW w:w="1319" w:type="dxa"/>
            <w:gridSpan w:val="2"/>
            <w:tcBorders>
              <w:top w:val="nil"/>
              <w:left w:val="nil"/>
              <w:bottom w:val="nil"/>
              <w:right w:val="nil"/>
            </w:tcBorders>
            <w:shd w:val="clear" w:color="auto" w:fill="auto"/>
            <w:vAlign w:val="bottom"/>
          </w:tcPr>
          <w:p w14:paraId="0E802269" w14:textId="77777777" w:rsidR="00F44EAE" w:rsidRDefault="00F44EAE">
            <w:pPr>
              <w:spacing w:before="0" w:after="0" w:line="240" w:lineRule="auto"/>
              <w:jc w:val="left"/>
              <w:rPr>
                <w:sz w:val="20"/>
                <w:szCs w:val="20"/>
              </w:rPr>
            </w:pPr>
          </w:p>
        </w:tc>
        <w:tc>
          <w:tcPr>
            <w:tcW w:w="2311" w:type="dxa"/>
            <w:gridSpan w:val="2"/>
            <w:tcBorders>
              <w:top w:val="nil"/>
              <w:left w:val="nil"/>
              <w:bottom w:val="nil"/>
              <w:right w:val="nil"/>
            </w:tcBorders>
            <w:shd w:val="clear" w:color="auto" w:fill="auto"/>
            <w:vAlign w:val="bottom"/>
          </w:tcPr>
          <w:p w14:paraId="64B4DFF2" w14:textId="77777777" w:rsidR="00F44EAE" w:rsidRDefault="00F44EAE">
            <w:pPr>
              <w:spacing w:before="0" w:after="0" w:line="240" w:lineRule="auto"/>
              <w:jc w:val="left"/>
              <w:rPr>
                <w:sz w:val="20"/>
                <w:szCs w:val="20"/>
              </w:rPr>
            </w:pPr>
          </w:p>
        </w:tc>
        <w:tc>
          <w:tcPr>
            <w:tcW w:w="1540" w:type="dxa"/>
            <w:gridSpan w:val="2"/>
            <w:tcBorders>
              <w:top w:val="nil"/>
              <w:left w:val="nil"/>
              <w:bottom w:val="nil"/>
              <w:right w:val="nil"/>
            </w:tcBorders>
            <w:shd w:val="clear" w:color="auto" w:fill="auto"/>
            <w:vAlign w:val="bottom"/>
          </w:tcPr>
          <w:p w14:paraId="0A0043E6" w14:textId="77777777" w:rsidR="00F44EAE" w:rsidRDefault="00F44EAE">
            <w:pPr>
              <w:spacing w:before="0" w:after="0" w:line="240" w:lineRule="auto"/>
              <w:jc w:val="left"/>
              <w:rPr>
                <w:sz w:val="20"/>
                <w:szCs w:val="20"/>
              </w:rPr>
            </w:pPr>
          </w:p>
        </w:tc>
        <w:tc>
          <w:tcPr>
            <w:tcW w:w="812" w:type="dxa"/>
            <w:gridSpan w:val="2"/>
            <w:tcBorders>
              <w:top w:val="nil"/>
              <w:left w:val="nil"/>
              <w:bottom w:val="nil"/>
              <w:right w:val="nil"/>
            </w:tcBorders>
            <w:shd w:val="clear" w:color="auto" w:fill="auto"/>
            <w:vAlign w:val="bottom"/>
          </w:tcPr>
          <w:p w14:paraId="47398122"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041BC022"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37A69678" w14:textId="77777777" w:rsidR="00F44EAE" w:rsidRDefault="00F44EAE">
            <w:pPr>
              <w:spacing w:before="0" w:after="0" w:line="240" w:lineRule="auto"/>
              <w:jc w:val="left"/>
              <w:rPr>
                <w:sz w:val="20"/>
                <w:szCs w:val="20"/>
              </w:rPr>
            </w:pPr>
          </w:p>
        </w:tc>
        <w:tc>
          <w:tcPr>
            <w:tcW w:w="810" w:type="dxa"/>
            <w:gridSpan w:val="2"/>
            <w:tcBorders>
              <w:top w:val="nil"/>
              <w:left w:val="nil"/>
              <w:bottom w:val="nil"/>
              <w:right w:val="nil"/>
            </w:tcBorders>
            <w:shd w:val="clear" w:color="auto" w:fill="auto"/>
            <w:vAlign w:val="bottom"/>
          </w:tcPr>
          <w:p w14:paraId="0CE74354" w14:textId="77777777" w:rsidR="00F44EAE" w:rsidRDefault="00F44EAE">
            <w:pPr>
              <w:spacing w:before="0" w:after="0" w:line="240" w:lineRule="auto"/>
              <w:jc w:val="left"/>
              <w:rPr>
                <w:sz w:val="20"/>
                <w:szCs w:val="20"/>
              </w:rPr>
            </w:pPr>
          </w:p>
        </w:tc>
      </w:tr>
      <w:tr w:rsidR="00F44EAE" w14:paraId="2561667A" w14:textId="77777777">
        <w:trPr>
          <w:gridAfter w:val="1"/>
          <w:wAfter w:w="267" w:type="dxa"/>
          <w:trHeight w:val="315"/>
        </w:trPr>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0DBC1389" w14:textId="77777777" w:rsidR="00F44EAE" w:rsidRDefault="00AB3F43">
            <w:pPr>
              <w:spacing w:before="0" w:after="0" w:line="240" w:lineRule="auto"/>
              <w:jc w:val="center"/>
              <w:rPr>
                <w:b/>
                <w:color w:val="000000"/>
              </w:rPr>
            </w:pPr>
            <w:r>
              <w:rPr>
                <w:b/>
                <w:color w:val="000000"/>
              </w:rPr>
              <w:t>Gearing</w:t>
            </w:r>
          </w:p>
        </w:tc>
        <w:tc>
          <w:tcPr>
            <w:tcW w:w="1319" w:type="dxa"/>
            <w:gridSpan w:val="2"/>
            <w:tcBorders>
              <w:top w:val="single" w:sz="4" w:space="0" w:color="000000"/>
              <w:left w:val="nil"/>
              <w:bottom w:val="single" w:sz="4" w:space="0" w:color="000000"/>
              <w:right w:val="single" w:sz="4" w:space="0" w:color="000000"/>
            </w:tcBorders>
            <w:shd w:val="clear" w:color="auto" w:fill="auto"/>
            <w:vAlign w:val="bottom"/>
          </w:tcPr>
          <w:p w14:paraId="0346392D" w14:textId="77777777" w:rsidR="00F44EAE" w:rsidRDefault="00AB3F43">
            <w:pPr>
              <w:spacing w:before="0" w:after="0" w:line="240" w:lineRule="auto"/>
              <w:jc w:val="left"/>
              <w:rPr>
                <w:color w:val="000000"/>
              </w:rPr>
            </w:pPr>
            <w:r>
              <w:rPr>
                <w:color w:val="000000"/>
              </w:rPr>
              <w:t>Debt to Equity Ratio</w:t>
            </w:r>
          </w:p>
        </w:tc>
        <w:tc>
          <w:tcPr>
            <w:tcW w:w="2311" w:type="dxa"/>
            <w:gridSpan w:val="2"/>
            <w:tcBorders>
              <w:top w:val="single" w:sz="4" w:space="0" w:color="000000"/>
              <w:left w:val="nil"/>
              <w:bottom w:val="single" w:sz="4" w:space="0" w:color="000000"/>
              <w:right w:val="single" w:sz="4" w:space="0" w:color="000000"/>
            </w:tcBorders>
            <w:shd w:val="clear" w:color="auto" w:fill="auto"/>
            <w:vAlign w:val="bottom"/>
          </w:tcPr>
          <w:p w14:paraId="380C34FC" w14:textId="77777777" w:rsidR="00F44EAE" w:rsidRDefault="00AB3F43">
            <w:pPr>
              <w:spacing w:before="0" w:after="0" w:line="240" w:lineRule="auto"/>
              <w:jc w:val="left"/>
              <w:rPr>
                <w:color w:val="000000"/>
              </w:rPr>
            </w:pPr>
            <w:r>
              <w:rPr>
                <w:color w:val="000000"/>
              </w:rPr>
              <w:t>Total liabilities/ Shareholder's Equity</w:t>
            </w:r>
          </w:p>
        </w:tc>
        <w:tc>
          <w:tcPr>
            <w:tcW w:w="1540" w:type="dxa"/>
            <w:gridSpan w:val="2"/>
            <w:tcBorders>
              <w:top w:val="single" w:sz="4" w:space="0" w:color="000000"/>
              <w:left w:val="nil"/>
              <w:bottom w:val="single" w:sz="4" w:space="0" w:color="000000"/>
              <w:right w:val="single" w:sz="4" w:space="0" w:color="000000"/>
            </w:tcBorders>
            <w:shd w:val="clear" w:color="auto" w:fill="auto"/>
            <w:vAlign w:val="bottom"/>
          </w:tcPr>
          <w:p w14:paraId="475985E2" w14:textId="77777777" w:rsidR="00F44EAE" w:rsidRDefault="00AB3F43">
            <w:pPr>
              <w:spacing w:before="0" w:after="0" w:line="240" w:lineRule="auto"/>
              <w:jc w:val="right"/>
              <w:rPr>
                <w:color w:val="000000"/>
              </w:rPr>
            </w:pPr>
            <w:r>
              <w:rPr>
                <w:color w:val="000000"/>
              </w:rPr>
              <w:t>1.53904583</w:t>
            </w:r>
          </w:p>
        </w:tc>
        <w:tc>
          <w:tcPr>
            <w:tcW w:w="812" w:type="dxa"/>
            <w:gridSpan w:val="2"/>
            <w:tcBorders>
              <w:top w:val="single" w:sz="4" w:space="0" w:color="000000"/>
              <w:left w:val="nil"/>
              <w:bottom w:val="single" w:sz="4" w:space="0" w:color="000000"/>
              <w:right w:val="single" w:sz="4" w:space="0" w:color="000000"/>
            </w:tcBorders>
            <w:shd w:val="clear" w:color="auto" w:fill="auto"/>
            <w:vAlign w:val="bottom"/>
          </w:tcPr>
          <w:p w14:paraId="507213E1" w14:textId="77777777" w:rsidR="00F44EAE" w:rsidRDefault="00AB3F43">
            <w:pPr>
              <w:spacing w:before="0" w:after="0" w:line="240" w:lineRule="auto"/>
              <w:jc w:val="right"/>
              <w:rPr>
                <w:color w:val="000000"/>
              </w:rPr>
            </w:pPr>
            <w:r>
              <w:rPr>
                <w:color w:val="000000"/>
              </w:rPr>
              <w:t>1.492698202</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43718457" w14:textId="77777777" w:rsidR="00F44EAE" w:rsidRDefault="00AB3F43">
            <w:pPr>
              <w:spacing w:before="0" w:after="0" w:line="240" w:lineRule="auto"/>
              <w:jc w:val="right"/>
              <w:rPr>
                <w:color w:val="000000"/>
              </w:rPr>
            </w:pPr>
            <w:r>
              <w:rPr>
                <w:color w:val="000000"/>
              </w:rPr>
              <w:t>1.563665001</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74EEE321" w14:textId="77777777" w:rsidR="00F44EAE" w:rsidRDefault="00AB3F43">
            <w:pPr>
              <w:spacing w:before="0" w:after="0" w:line="240" w:lineRule="auto"/>
              <w:jc w:val="right"/>
              <w:rPr>
                <w:color w:val="000000"/>
              </w:rPr>
            </w:pPr>
            <w:r>
              <w:rPr>
                <w:color w:val="000000"/>
              </w:rPr>
              <w:t>1.529281253</w:t>
            </w:r>
          </w:p>
        </w:tc>
        <w:tc>
          <w:tcPr>
            <w:tcW w:w="810" w:type="dxa"/>
            <w:gridSpan w:val="2"/>
            <w:tcBorders>
              <w:top w:val="single" w:sz="4" w:space="0" w:color="000000"/>
              <w:left w:val="nil"/>
              <w:bottom w:val="single" w:sz="4" w:space="0" w:color="000000"/>
              <w:right w:val="single" w:sz="4" w:space="0" w:color="000000"/>
            </w:tcBorders>
            <w:shd w:val="clear" w:color="auto" w:fill="auto"/>
            <w:vAlign w:val="bottom"/>
          </w:tcPr>
          <w:p w14:paraId="0B8C6DEA" w14:textId="77777777" w:rsidR="00F44EAE" w:rsidRDefault="00AB3F43">
            <w:pPr>
              <w:spacing w:before="0" w:after="0" w:line="240" w:lineRule="auto"/>
              <w:jc w:val="right"/>
              <w:rPr>
                <w:color w:val="000000"/>
              </w:rPr>
            </w:pPr>
            <w:r>
              <w:rPr>
                <w:color w:val="000000"/>
              </w:rPr>
              <w:t>1.525476229</w:t>
            </w:r>
          </w:p>
        </w:tc>
      </w:tr>
      <w:tr w:rsidR="00F44EAE" w14:paraId="3F658908" w14:textId="77777777">
        <w:trPr>
          <w:gridAfter w:val="1"/>
          <w:wAfter w:w="267" w:type="dxa"/>
          <w:trHeight w:val="315"/>
        </w:trPr>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24A52034"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319" w:type="dxa"/>
            <w:gridSpan w:val="2"/>
            <w:tcBorders>
              <w:top w:val="nil"/>
              <w:left w:val="nil"/>
              <w:bottom w:val="single" w:sz="4" w:space="0" w:color="000000"/>
              <w:right w:val="single" w:sz="4" w:space="0" w:color="000000"/>
            </w:tcBorders>
            <w:shd w:val="clear" w:color="auto" w:fill="auto"/>
            <w:vAlign w:val="bottom"/>
          </w:tcPr>
          <w:p w14:paraId="6DD1221C" w14:textId="77777777" w:rsidR="00F44EAE" w:rsidRDefault="00AB3F43">
            <w:pPr>
              <w:spacing w:before="0" w:after="0" w:line="240" w:lineRule="auto"/>
              <w:jc w:val="left"/>
              <w:rPr>
                <w:color w:val="000000"/>
              </w:rPr>
            </w:pPr>
            <w:r>
              <w:rPr>
                <w:color w:val="000000"/>
              </w:rPr>
              <w:t>Asset to Liability Ratio</w:t>
            </w:r>
          </w:p>
        </w:tc>
        <w:tc>
          <w:tcPr>
            <w:tcW w:w="2311" w:type="dxa"/>
            <w:gridSpan w:val="2"/>
            <w:tcBorders>
              <w:top w:val="nil"/>
              <w:left w:val="nil"/>
              <w:bottom w:val="single" w:sz="4" w:space="0" w:color="000000"/>
              <w:right w:val="single" w:sz="4" w:space="0" w:color="000000"/>
            </w:tcBorders>
            <w:shd w:val="clear" w:color="auto" w:fill="auto"/>
            <w:vAlign w:val="bottom"/>
          </w:tcPr>
          <w:p w14:paraId="0B16875C" w14:textId="77777777" w:rsidR="00F44EAE" w:rsidRDefault="00AB3F43">
            <w:pPr>
              <w:spacing w:before="0" w:after="0" w:line="240" w:lineRule="auto"/>
              <w:jc w:val="left"/>
              <w:rPr>
                <w:color w:val="000000"/>
              </w:rPr>
            </w:pPr>
            <w:r>
              <w:rPr>
                <w:color w:val="000000"/>
              </w:rPr>
              <w:t>(Total liabilities/ Total assets)</w:t>
            </w:r>
          </w:p>
        </w:tc>
        <w:tc>
          <w:tcPr>
            <w:tcW w:w="1540" w:type="dxa"/>
            <w:gridSpan w:val="2"/>
            <w:tcBorders>
              <w:top w:val="nil"/>
              <w:left w:val="nil"/>
              <w:bottom w:val="single" w:sz="4" w:space="0" w:color="000000"/>
              <w:right w:val="single" w:sz="4" w:space="0" w:color="000000"/>
            </w:tcBorders>
            <w:shd w:val="clear" w:color="auto" w:fill="auto"/>
            <w:vAlign w:val="bottom"/>
          </w:tcPr>
          <w:p w14:paraId="7A537935" w14:textId="77777777" w:rsidR="00F44EAE" w:rsidRDefault="00AB3F43">
            <w:pPr>
              <w:spacing w:before="0" w:after="0" w:line="240" w:lineRule="auto"/>
              <w:jc w:val="right"/>
              <w:rPr>
                <w:color w:val="000000"/>
              </w:rPr>
            </w:pPr>
            <w:r>
              <w:rPr>
                <w:color w:val="000000"/>
              </w:rPr>
              <w:t>0.606151244</w:t>
            </w:r>
          </w:p>
        </w:tc>
        <w:tc>
          <w:tcPr>
            <w:tcW w:w="812" w:type="dxa"/>
            <w:gridSpan w:val="2"/>
            <w:tcBorders>
              <w:top w:val="nil"/>
              <w:left w:val="nil"/>
              <w:bottom w:val="single" w:sz="4" w:space="0" w:color="000000"/>
              <w:right w:val="single" w:sz="4" w:space="0" w:color="000000"/>
            </w:tcBorders>
            <w:shd w:val="clear" w:color="auto" w:fill="auto"/>
            <w:vAlign w:val="bottom"/>
          </w:tcPr>
          <w:p w14:paraId="6F5DED92" w14:textId="77777777" w:rsidR="00F44EAE" w:rsidRDefault="00AB3F43">
            <w:pPr>
              <w:spacing w:before="0" w:after="0" w:line="240" w:lineRule="auto"/>
              <w:jc w:val="right"/>
              <w:rPr>
                <w:color w:val="000000"/>
              </w:rPr>
            </w:pPr>
            <w:r>
              <w:rPr>
                <w:color w:val="000000"/>
              </w:rPr>
              <w:t>0.59882829</w:t>
            </w:r>
          </w:p>
        </w:tc>
        <w:tc>
          <w:tcPr>
            <w:tcW w:w="810" w:type="dxa"/>
            <w:gridSpan w:val="2"/>
            <w:tcBorders>
              <w:top w:val="nil"/>
              <w:left w:val="nil"/>
              <w:bottom w:val="single" w:sz="4" w:space="0" w:color="000000"/>
              <w:right w:val="single" w:sz="4" w:space="0" w:color="000000"/>
            </w:tcBorders>
            <w:shd w:val="clear" w:color="auto" w:fill="auto"/>
            <w:vAlign w:val="bottom"/>
          </w:tcPr>
          <w:p w14:paraId="016FFC0B" w14:textId="77777777" w:rsidR="00F44EAE" w:rsidRDefault="00AB3F43">
            <w:pPr>
              <w:spacing w:before="0" w:after="0" w:line="240" w:lineRule="auto"/>
              <w:jc w:val="right"/>
              <w:rPr>
                <w:color w:val="000000"/>
              </w:rPr>
            </w:pPr>
            <w:r>
              <w:rPr>
                <w:color w:val="000000"/>
              </w:rPr>
              <w:t>0.609933426</w:t>
            </w:r>
          </w:p>
        </w:tc>
        <w:tc>
          <w:tcPr>
            <w:tcW w:w="810" w:type="dxa"/>
            <w:gridSpan w:val="2"/>
            <w:tcBorders>
              <w:top w:val="nil"/>
              <w:left w:val="nil"/>
              <w:bottom w:val="single" w:sz="4" w:space="0" w:color="000000"/>
              <w:right w:val="single" w:sz="4" w:space="0" w:color="000000"/>
            </w:tcBorders>
            <w:shd w:val="clear" w:color="auto" w:fill="auto"/>
            <w:vAlign w:val="bottom"/>
          </w:tcPr>
          <w:p w14:paraId="4024EB2B" w14:textId="77777777" w:rsidR="00F44EAE" w:rsidRDefault="00AB3F43">
            <w:pPr>
              <w:spacing w:before="0" w:after="0" w:line="240" w:lineRule="auto"/>
              <w:jc w:val="right"/>
              <w:rPr>
                <w:color w:val="000000"/>
              </w:rPr>
            </w:pPr>
            <w:r>
              <w:rPr>
                <w:color w:val="000000"/>
              </w:rPr>
              <w:t>0.604630763</w:t>
            </w:r>
          </w:p>
        </w:tc>
        <w:tc>
          <w:tcPr>
            <w:tcW w:w="810" w:type="dxa"/>
            <w:gridSpan w:val="2"/>
            <w:tcBorders>
              <w:top w:val="nil"/>
              <w:left w:val="nil"/>
              <w:bottom w:val="single" w:sz="4" w:space="0" w:color="000000"/>
              <w:right w:val="single" w:sz="4" w:space="0" w:color="000000"/>
            </w:tcBorders>
            <w:shd w:val="clear" w:color="auto" w:fill="auto"/>
            <w:vAlign w:val="bottom"/>
          </w:tcPr>
          <w:p w14:paraId="635E9ACD" w14:textId="77777777" w:rsidR="00F44EAE" w:rsidRDefault="00AB3F43">
            <w:pPr>
              <w:spacing w:before="0" w:after="0" w:line="240" w:lineRule="auto"/>
              <w:jc w:val="right"/>
              <w:rPr>
                <w:color w:val="000000"/>
              </w:rPr>
            </w:pPr>
            <w:r>
              <w:rPr>
                <w:color w:val="000000"/>
              </w:rPr>
              <w:t>0.604035077</w:t>
            </w:r>
          </w:p>
        </w:tc>
      </w:tr>
    </w:tbl>
    <w:p w14:paraId="3546DA96" w14:textId="77777777" w:rsidR="00F44EAE" w:rsidRDefault="00F44EAE">
      <w:pPr>
        <w:pBdr>
          <w:top w:val="nil"/>
          <w:left w:val="nil"/>
          <w:bottom w:val="nil"/>
          <w:right w:val="nil"/>
          <w:between w:val="nil"/>
        </w:pBdr>
        <w:rPr>
          <w:color w:val="000000"/>
        </w:rPr>
      </w:pPr>
    </w:p>
    <w:tbl>
      <w:tblPr>
        <w:tblStyle w:val="a0"/>
        <w:tblW w:w="9350" w:type="dxa"/>
        <w:tblLayout w:type="fixed"/>
        <w:tblLook w:val="0400" w:firstRow="0" w:lastRow="0" w:firstColumn="0" w:lastColumn="0" w:noHBand="0" w:noVBand="1"/>
      </w:tblPr>
      <w:tblGrid>
        <w:gridCol w:w="828"/>
        <w:gridCol w:w="1515"/>
        <w:gridCol w:w="2852"/>
        <w:gridCol w:w="831"/>
        <w:gridCol w:w="831"/>
        <w:gridCol w:w="831"/>
        <w:gridCol w:w="831"/>
        <w:gridCol w:w="831"/>
      </w:tblGrid>
      <w:tr w:rsidR="00F44EAE" w14:paraId="0E2FB60D" w14:textId="77777777">
        <w:trPr>
          <w:trHeight w:val="315"/>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7A3C8ECB" w14:textId="77777777" w:rsidR="00F44EAE" w:rsidRDefault="00AB3F43">
            <w:pPr>
              <w:spacing w:before="0" w:after="0" w:line="240" w:lineRule="auto"/>
              <w:jc w:val="center"/>
              <w:rPr>
                <w:b/>
                <w:color w:val="000000"/>
              </w:rPr>
            </w:pPr>
            <w:r>
              <w:rPr>
                <w:b/>
                <w:color w:val="000000"/>
              </w:rPr>
              <w:t>Profitability</w:t>
            </w:r>
          </w:p>
        </w:tc>
        <w:tc>
          <w:tcPr>
            <w:tcW w:w="1515" w:type="dxa"/>
            <w:tcBorders>
              <w:top w:val="single" w:sz="4" w:space="0" w:color="000000"/>
              <w:left w:val="nil"/>
              <w:bottom w:val="single" w:sz="4" w:space="0" w:color="000000"/>
              <w:right w:val="single" w:sz="4" w:space="0" w:color="000000"/>
            </w:tcBorders>
            <w:shd w:val="clear" w:color="auto" w:fill="auto"/>
            <w:vAlign w:val="bottom"/>
          </w:tcPr>
          <w:p w14:paraId="003F0DF1" w14:textId="77777777" w:rsidR="00F44EAE" w:rsidRDefault="00AB3F43">
            <w:pPr>
              <w:spacing w:before="0" w:after="0" w:line="240" w:lineRule="auto"/>
              <w:jc w:val="left"/>
              <w:rPr>
                <w:b/>
                <w:color w:val="000000"/>
              </w:rPr>
            </w:pPr>
            <w:r>
              <w:rPr>
                <w:b/>
                <w:color w:val="000000"/>
              </w:rPr>
              <w:t> </w:t>
            </w:r>
          </w:p>
        </w:tc>
        <w:tc>
          <w:tcPr>
            <w:tcW w:w="2852" w:type="dxa"/>
            <w:tcBorders>
              <w:top w:val="single" w:sz="4" w:space="0" w:color="000000"/>
              <w:left w:val="nil"/>
              <w:bottom w:val="single" w:sz="4" w:space="0" w:color="000000"/>
              <w:right w:val="single" w:sz="4" w:space="0" w:color="000000"/>
            </w:tcBorders>
            <w:shd w:val="clear" w:color="auto" w:fill="auto"/>
            <w:vAlign w:val="bottom"/>
          </w:tcPr>
          <w:p w14:paraId="0E068456" w14:textId="77777777" w:rsidR="00F44EAE" w:rsidRDefault="00AB3F43">
            <w:pPr>
              <w:spacing w:before="0" w:after="0" w:line="240" w:lineRule="auto"/>
              <w:jc w:val="left"/>
              <w:rPr>
                <w:b/>
                <w:color w:val="000000"/>
              </w:rPr>
            </w:pPr>
            <w:r>
              <w:rPr>
                <w:b/>
                <w:color w:val="000000"/>
              </w:rPr>
              <w:t> </w:t>
            </w:r>
          </w:p>
        </w:tc>
        <w:tc>
          <w:tcPr>
            <w:tcW w:w="4155" w:type="dxa"/>
            <w:gridSpan w:val="5"/>
            <w:tcBorders>
              <w:top w:val="single" w:sz="4" w:space="0" w:color="000000"/>
              <w:left w:val="nil"/>
              <w:bottom w:val="single" w:sz="4" w:space="0" w:color="000000"/>
              <w:right w:val="single" w:sz="4" w:space="0" w:color="000000"/>
            </w:tcBorders>
            <w:shd w:val="clear" w:color="auto" w:fill="auto"/>
            <w:vAlign w:val="bottom"/>
          </w:tcPr>
          <w:p w14:paraId="2B0F8A0C" w14:textId="77777777" w:rsidR="00F44EAE" w:rsidRDefault="00AB3F43">
            <w:pPr>
              <w:spacing w:before="0" w:after="0" w:line="240" w:lineRule="auto"/>
              <w:jc w:val="center"/>
              <w:rPr>
                <w:b/>
                <w:color w:val="000000"/>
              </w:rPr>
            </w:pPr>
            <w:r>
              <w:rPr>
                <w:b/>
                <w:color w:val="000000"/>
              </w:rPr>
              <w:t xml:space="preserve">Volkswagen </w:t>
            </w:r>
          </w:p>
        </w:tc>
      </w:tr>
      <w:tr w:rsidR="00F44EAE" w14:paraId="1067A911" w14:textId="77777777">
        <w:trPr>
          <w:trHeight w:val="315"/>
        </w:trPr>
        <w:tc>
          <w:tcPr>
            <w:tcW w:w="82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5767C58C" w14:textId="77777777" w:rsidR="00F44EAE" w:rsidRDefault="00F44EAE">
            <w:pPr>
              <w:widowControl w:val="0"/>
              <w:pBdr>
                <w:top w:val="nil"/>
                <w:left w:val="nil"/>
                <w:bottom w:val="nil"/>
                <w:right w:val="nil"/>
                <w:between w:val="nil"/>
              </w:pBdr>
              <w:spacing w:before="0" w:after="0" w:line="276" w:lineRule="auto"/>
              <w:jc w:val="left"/>
              <w:rPr>
                <w:b/>
                <w:color w:val="000000"/>
              </w:rPr>
            </w:pPr>
          </w:p>
        </w:tc>
        <w:tc>
          <w:tcPr>
            <w:tcW w:w="1515" w:type="dxa"/>
            <w:tcBorders>
              <w:top w:val="nil"/>
              <w:left w:val="nil"/>
              <w:bottom w:val="single" w:sz="4" w:space="0" w:color="000000"/>
              <w:right w:val="single" w:sz="4" w:space="0" w:color="000000"/>
            </w:tcBorders>
            <w:shd w:val="clear" w:color="auto" w:fill="auto"/>
            <w:vAlign w:val="bottom"/>
          </w:tcPr>
          <w:p w14:paraId="431267DF" w14:textId="77777777" w:rsidR="00F44EAE" w:rsidRDefault="00AB3F43">
            <w:pPr>
              <w:spacing w:before="0" w:after="0" w:line="240" w:lineRule="auto"/>
              <w:jc w:val="left"/>
              <w:rPr>
                <w:color w:val="000000"/>
              </w:rPr>
            </w:pPr>
            <w:r>
              <w:rPr>
                <w:color w:val="000000"/>
              </w:rPr>
              <w:t>Net Profit Margin</w:t>
            </w:r>
          </w:p>
        </w:tc>
        <w:tc>
          <w:tcPr>
            <w:tcW w:w="2852" w:type="dxa"/>
            <w:tcBorders>
              <w:top w:val="nil"/>
              <w:left w:val="nil"/>
              <w:bottom w:val="single" w:sz="4" w:space="0" w:color="000000"/>
              <w:right w:val="single" w:sz="4" w:space="0" w:color="000000"/>
            </w:tcBorders>
            <w:shd w:val="clear" w:color="auto" w:fill="auto"/>
            <w:vAlign w:val="bottom"/>
          </w:tcPr>
          <w:p w14:paraId="3427B1F3" w14:textId="77777777" w:rsidR="00F44EAE" w:rsidRDefault="00AB3F43">
            <w:pPr>
              <w:spacing w:before="0" w:after="0" w:line="240" w:lineRule="auto"/>
              <w:jc w:val="left"/>
              <w:rPr>
                <w:color w:val="000000"/>
              </w:rPr>
            </w:pPr>
            <w:r>
              <w:rPr>
                <w:color w:val="000000"/>
              </w:rPr>
              <w:t>Net income/Sales revenue</w:t>
            </w:r>
          </w:p>
        </w:tc>
        <w:tc>
          <w:tcPr>
            <w:tcW w:w="831" w:type="dxa"/>
            <w:tcBorders>
              <w:top w:val="nil"/>
              <w:left w:val="nil"/>
              <w:bottom w:val="single" w:sz="4" w:space="0" w:color="000000"/>
              <w:right w:val="single" w:sz="4" w:space="0" w:color="000000"/>
            </w:tcBorders>
            <w:shd w:val="clear" w:color="auto" w:fill="auto"/>
            <w:vAlign w:val="bottom"/>
          </w:tcPr>
          <w:p w14:paraId="71E28C3E" w14:textId="77777777" w:rsidR="00F44EAE" w:rsidRDefault="00AB3F43">
            <w:pPr>
              <w:spacing w:before="0" w:after="0" w:line="240" w:lineRule="auto"/>
              <w:jc w:val="right"/>
              <w:rPr>
                <w:color w:val="000000"/>
              </w:rPr>
            </w:pPr>
            <w:r>
              <w:rPr>
                <w:color w:val="000000"/>
              </w:rPr>
              <w:t>4.97%</w:t>
            </w:r>
          </w:p>
        </w:tc>
        <w:tc>
          <w:tcPr>
            <w:tcW w:w="831" w:type="dxa"/>
            <w:tcBorders>
              <w:top w:val="nil"/>
              <w:left w:val="nil"/>
              <w:bottom w:val="single" w:sz="4" w:space="0" w:color="000000"/>
              <w:right w:val="single" w:sz="4" w:space="0" w:color="000000"/>
            </w:tcBorders>
            <w:shd w:val="clear" w:color="auto" w:fill="auto"/>
            <w:vAlign w:val="bottom"/>
          </w:tcPr>
          <w:p w14:paraId="1B2B25FB" w14:textId="77777777" w:rsidR="00F44EAE" w:rsidRDefault="00AB3F43">
            <w:pPr>
              <w:spacing w:before="0" w:after="0" w:line="240" w:lineRule="auto"/>
              <w:jc w:val="right"/>
              <w:rPr>
                <w:color w:val="000000"/>
              </w:rPr>
            </w:pPr>
            <w:r>
              <w:rPr>
                <w:color w:val="000000"/>
              </w:rPr>
              <w:t>5.33%</w:t>
            </w:r>
          </w:p>
        </w:tc>
        <w:tc>
          <w:tcPr>
            <w:tcW w:w="831" w:type="dxa"/>
            <w:tcBorders>
              <w:top w:val="nil"/>
              <w:left w:val="nil"/>
              <w:bottom w:val="single" w:sz="4" w:space="0" w:color="000000"/>
              <w:right w:val="single" w:sz="4" w:space="0" w:color="000000"/>
            </w:tcBorders>
            <w:shd w:val="clear" w:color="auto" w:fill="auto"/>
            <w:vAlign w:val="bottom"/>
          </w:tcPr>
          <w:p w14:paraId="615CC09C" w14:textId="77777777" w:rsidR="00F44EAE" w:rsidRDefault="00AB3F43">
            <w:pPr>
              <w:spacing w:before="0" w:after="0" w:line="240" w:lineRule="auto"/>
              <w:jc w:val="right"/>
              <w:rPr>
                <w:color w:val="000000"/>
              </w:rPr>
            </w:pPr>
            <w:r>
              <w:rPr>
                <w:color w:val="000000"/>
              </w:rPr>
              <w:t>5.93%</w:t>
            </w:r>
          </w:p>
        </w:tc>
        <w:tc>
          <w:tcPr>
            <w:tcW w:w="831" w:type="dxa"/>
            <w:tcBorders>
              <w:top w:val="nil"/>
              <w:left w:val="nil"/>
              <w:bottom w:val="single" w:sz="4" w:space="0" w:color="000000"/>
              <w:right w:val="single" w:sz="4" w:space="0" w:color="000000"/>
            </w:tcBorders>
            <w:shd w:val="clear" w:color="auto" w:fill="auto"/>
            <w:vAlign w:val="bottom"/>
          </w:tcPr>
          <w:p w14:paraId="3E5603E1" w14:textId="77777777" w:rsidR="00F44EAE" w:rsidRDefault="00AB3F43">
            <w:pPr>
              <w:spacing w:before="0" w:after="0" w:line="240" w:lineRule="auto"/>
              <w:jc w:val="right"/>
              <w:rPr>
                <w:color w:val="000000"/>
              </w:rPr>
            </w:pPr>
            <w:r>
              <w:rPr>
                <w:color w:val="000000"/>
              </w:rPr>
              <w:t>3.74%</w:t>
            </w:r>
          </w:p>
        </w:tc>
        <w:tc>
          <w:tcPr>
            <w:tcW w:w="831" w:type="dxa"/>
            <w:tcBorders>
              <w:top w:val="nil"/>
              <w:left w:val="nil"/>
              <w:bottom w:val="single" w:sz="4" w:space="0" w:color="000000"/>
              <w:right w:val="single" w:sz="4" w:space="0" w:color="000000"/>
            </w:tcBorders>
            <w:shd w:val="clear" w:color="auto" w:fill="auto"/>
            <w:vAlign w:val="bottom"/>
          </w:tcPr>
          <w:p w14:paraId="04DF951A" w14:textId="77777777" w:rsidR="00F44EAE" w:rsidRDefault="00AB3F43">
            <w:pPr>
              <w:spacing w:before="0" w:after="0" w:line="240" w:lineRule="auto"/>
              <w:jc w:val="right"/>
              <w:rPr>
                <w:color w:val="000000"/>
              </w:rPr>
            </w:pPr>
            <w:r>
              <w:rPr>
                <w:color w:val="000000"/>
              </w:rPr>
              <w:t>5.28%</w:t>
            </w:r>
          </w:p>
        </w:tc>
      </w:tr>
      <w:tr w:rsidR="00F44EAE" w14:paraId="3D1D8618" w14:textId="77777777">
        <w:trPr>
          <w:trHeight w:val="450"/>
        </w:trPr>
        <w:tc>
          <w:tcPr>
            <w:tcW w:w="82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73CDA180"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515" w:type="dxa"/>
            <w:tcBorders>
              <w:top w:val="nil"/>
              <w:left w:val="nil"/>
              <w:bottom w:val="single" w:sz="4" w:space="0" w:color="000000"/>
              <w:right w:val="single" w:sz="4" w:space="0" w:color="000000"/>
            </w:tcBorders>
            <w:shd w:val="clear" w:color="auto" w:fill="auto"/>
            <w:vAlign w:val="bottom"/>
          </w:tcPr>
          <w:p w14:paraId="32B9B1C6" w14:textId="77777777" w:rsidR="00F44EAE" w:rsidRDefault="00AB3F43">
            <w:pPr>
              <w:spacing w:before="0" w:after="0" w:line="240" w:lineRule="auto"/>
              <w:jc w:val="left"/>
              <w:rPr>
                <w:color w:val="000000"/>
              </w:rPr>
            </w:pPr>
            <w:r>
              <w:rPr>
                <w:color w:val="000000"/>
              </w:rPr>
              <w:t>Return on capital employed</w:t>
            </w:r>
          </w:p>
        </w:tc>
        <w:tc>
          <w:tcPr>
            <w:tcW w:w="2852" w:type="dxa"/>
            <w:tcBorders>
              <w:top w:val="nil"/>
              <w:left w:val="nil"/>
              <w:bottom w:val="single" w:sz="4" w:space="0" w:color="000000"/>
              <w:right w:val="single" w:sz="4" w:space="0" w:color="000000"/>
            </w:tcBorders>
            <w:shd w:val="clear" w:color="auto" w:fill="auto"/>
            <w:vAlign w:val="bottom"/>
          </w:tcPr>
          <w:p w14:paraId="18E5BF97" w14:textId="77777777" w:rsidR="00F44EAE" w:rsidRDefault="00AB3F43">
            <w:pPr>
              <w:spacing w:before="0" w:after="0" w:line="240" w:lineRule="auto"/>
              <w:jc w:val="left"/>
              <w:rPr>
                <w:color w:val="000000"/>
              </w:rPr>
            </w:pPr>
            <w:r>
              <w:rPr>
                <w:color w:val="000000"/>
              </w:rPr>
              <w:t>EBIT/ Total asset- Total current liabilities</w:t>
            </w:r>
          </w:p>
        </w:tc>
        <w:tc>
          <w:tcPr>
            <w:tcW w:w="831" w:type="dxa"/>
            <w:tcBorders>
              <w:top w:val="nil"/>
              <w:left w:val="nil"/>
              <w:bottom w:val="single" w:sz="4" w:space="0" w:color="000000"/>
              <w:right w:val="single" w:sz="4" w:space="0" w:color="000000"/>
            </w:tcBorders>
            <w:shd w:val="clear" w:color="auto" w:fill="auto"/>
            <w:vAlign w:val="bottom"/>
          </w:tcPr>
          <w:p w14:paraId="40F3C259" w14:textId="77777777" w:rsidR="00F44EAE" w:rsidRDefault="00AB3F43">
            <w:pPr>
              <w:spacing w:before="0" w:after="0" w:line="240" w:lineRule="auto"/>
              <w:jc w:val="right"/>
              <w:rPr>
                <w:color w:val="000000"/>
              </w:rPr>
            </w:pPr>
            <w:r>
              <w:rPr>
                <w:color w:val="000000"/>
              </w:rPr>
              <w:t>5.09%</w:t>
            </w:r>
          </w:p>
        </w:tc>
        <w:tc>
          <w:tcPr>
            <w:tcW w:w="831" w:type="dxa"/>
            <w:tcBorders>
              <w:top w:val="nil"/>
              <w:left w:val="nil"/>
              <w:bottom w:val="single" w:sz="4" w:space="0" w:color="000000"/>
              <w:right w:val="single" w:sz="4" w:space="0" w:color="000000"/>
            </w:tcBorders>
            <w:shd w:val="clear" w:color="auto" w:fill="auto"/>
            <w:vAlign w:val="bottom"/>
          </w:tcPr>
          <w:p w14:paraId="6273968A" w14:textId="77777777" w:rsidR="00F44EAE" w:rsidRDefault="00AB3F43">
            <w:pPr>
              <w:spacing w:before="0" w:after="0" w:line="240" w:lineRule="auto"/>
              <w:jc w:val="right"/>
              <w:rPr>
                <w:color w:val="000000"/>
              </w:rPr>
            </w:pPr>
            <w:r>
              <w:rPr>
                <w:color w:val="000000"/>
              </w:rPr>
              <w:t>0.00%</w:t>
            </w:r>
          </w:p>
        </w:tc>
        <w:tc>
          <w:tcPr>
            <w:tcW w:w="831" w:type="dxa"/>
            <w:tcBorders>
              <w:top w:val="nil"/>
              <w:left w:val="nil"/>
              <w:bottom w:val="single" w:sz="4" w:space="0" w:color="000000"/>
              <w:right w:val="single" w:sz="4" w:space="0" w:color="000000"/>
            </w:tcBorders>
            <w:shd w:val="clear" w:color="auto" w:fill="auto"/>
            <w:vAlign w:val="bottom"/>
          </w:tcPr>
          <w:p w14:paraId="07630D8B" w14:textId="77777777" w:rsidR="00F44EAE" w:rsidRDefault="00AB3F43">
            <w:pPr>
              <w:spacing w:before="0" w:after="0" w:line="240" w:lineRule="auto"/>
              <w:jc w:val="right"/>
              <w:rPr>
                <w:color w:val="000000"/>
              </w:rPr>
            </w:pPr>
            <w:r>
              <w:rPr>
                <w:color w:val="000000"/>
              </w:rPr>
              <w:t>4.59%</w:t>
            </w:r>
          </w:p>
        </w:tc>
        <w:tc>
          <w:tcPr>
            <w:tcW w:w="831" w:type="dxa"/>
            <w:tcBorders>
              <w:top w:val="nil"/>
              <w:left w:val="nil"/>
              <w:bottom w:val="single" w:sz="4" w:space="0" w:color="000000"/>
              <w:right w:val="single" w:sz="4" w:space="0" w:color="000000"/>
            </w:tcBorders>
            <w:shd w:val="clear" w:color="auto" w:fill="auto"/>
            <w:vAlign w:val="bottom"/>
          </w:tcPr>
          <w:p w14:paraId="7E0B4610" w14:textId="77777777" w:rsidR="00F44EAE" w:rsidRDefault="00AB3F43">
            <w:pPr>
              <w:spacing w:before="0" w:after="0" w:line="240" w:lineRule="auto"/>
              <w:jc w:val="right"/>
              <w:rPr>
                <w:color w:val="000000"/>
              </w:rPr>
            </w:pPr>
            <w:r>
              <w:rPr>
                <w:color w:val="000000"/>
              </w:rPr>
              <w:t>2.86%</w:t>
            </w:r>
          </w:p>
        </w:tc>
        <w:tc>
          <w:tcPr>
            <w:tcW w:w="831" w:type="dxa"/>
            <w:tcBorders>
              <w:top w:val="nil"/>
              <w:left w:val="nil"/>
              <w:bottom w:val="single" w:sz="4" w:space="0" w:color="000000"/>
              <w:right w:val="single" w:sz="4" w:space="0" w:color="000000"/>
            </w:tcBorders>
            <w:shd w:val="clear" w:color="auto" w:fill="auto"/>
            <w:vAlign w:val="bottom"/>
          </w:tcPr>
          <w:p w14:paraId="118BD956" w14:textId="77777777" w:rsidR="00F44EAE" w:rsidRDefault="00AB3F43">
            <w:pPr>
              <w:spacing w:before="0" w:after="0" w:line="240" w:lineRule="auto"/>
              <w:jc w:val="right"/>
              <w:rPr>
                <w:color w:val="000000"/>
              </w:rPr>
            </w:pPr>
            <w:r>
              <w:rPr>
                <w:color w:val="000000"/>
              </w:rPr>
              <w:t>5.25%</w:t>
            </w:r>
          </w:p>
        </w:tc>
      </w:tr>
      <w:tr w:rsidR="00F44EAE" w14:paraId="35332C3C" w14:textId="77777777">
        <w:trPr>
          <w:trHeight w:val="315"/>
        </w:trPr>
        <w:tc>
          <w:tcPr>
            <w:tcW w:w="828" w:type="dxa"/>
            <w:tcBorders>
              <w:top w:val="nil"/>
              <w:left w:val="nil"/>
              <w:bottom w:val="nil"/>
              <w:right w:val="nil"/>
            </w:tcBorders>
            <w:shd w:val="clear" w:color="auto" w:fill="auto"/>
            <w:vAlign w:val="bottom"/>
          </w:tcPr>
          <w:p w14:paraId="30AE15FF" w14:textId="77777777" w:rsidR="00F44EAE" w:rsidRDefault="00F44EAE">
            <w:pPr>
              <w:spacing w:before="0" w:after="0" w:line="240" w:lineRule="auto"/>
              <w:jc w:val="right"/>
              <w:rPr>
                <w:color w:val="000000"/>
              </w:rPr>
            </w:pPr>
          </w:p>
        </w:tc>
        <w:tc>
          <w:tcPr>
            <w:tcW w:w="1515" w:type="dxa"/>
            <w:tcBorders>
              <w:top w:val="nil"/>
              <w:left w:val="nil"/>
              <w:bottom w:val="nil"/>
              <w:right w:val="nil"/>
            </w:tcBorders>
            <w:shd w:val="clear" w:color="auto" w:fill="auto"/>
            <w:vAlign w:val="bottom"/>
          </w:tcPr>
          <w:p w14:paraId="218E91DC" w14:textId="77777777" w:rsidR="00F44EAE" w:rsidRDefault="00AB3F43">
            <w:pPr>
              <w:spacing w:before="0" w:after="0" w:line="240" w:lineRule="auto"/>
              <w:jc w:val="left"/>
              <w:rPr>
                <w:color w:val="000000"/>
              </w:rPr>
            </w:pPr>
            <w:r>
              <w:rPr>
                <w:color w:val="000000"/>
              </w:rPr>
              <w:t xml:space="preserve"> </w:t>
            </w:r>
          </w:p>
        </w:tc>
        <w:tc>
          <w:tcPr>
            <w:tcW w:w="2852" w:type="dxa"/>
            <w:tcBorders>
              <w:top w:val="nil"/>
              <w:left w:val="nil"/>
              <w:bottom w:val="nil"/>
              <w:right w:val="nil"/>
            </w:tcBorders>
            <w:shd w:val="clear" w:color="auto" w:fill="auto"/>
            <w:vAlign w:val="bottom"/>
          </w:tcPr>
          <w:p w14:paraId="757E5D91" w14:textId="77777777" w:rsidR="00F44EAE" w:rsidRDefault="00F44EAE">
            <w:pPr>
              <w:spacing w:before="0" w:after="0" w:line="240" w:lineRule="auto"/>
              <w:jc w:val="left"/>
              <w:rPr>
                <w:color w:val="000000"/>
              </w:rPr>
            </w:pPr>
          </w:p>
        </w:tc>
        <w:tc>
          <w:tcPr>
            <w:tcW w:w="831" w:type="dxa"/>
            <w:tcBorders>
              <w:top w:val="nil"/>
              <w:left w:val="nil"/>
              <w:bottom w:val="nil"/>
              <w:right w:val="nil"/>
            </w:tcBorders>
            <w:shd w:val="clear" w:color="auto" w:fill="auto"/>
            <w:vAlign w:val="bottom"/>
          </w:tcPr>
          <w:p w14:paraId="0BD869CE"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085FCD7F"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5E5B2374"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96BFA52"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E6F0C2E" w14:textId="77777777" w:rsidR="00F44EAE" w:rsidRDefault="00F44EAE">
            <w:pPr>
              <w:spacing w:before="0" w:after="0" w:line="240" w:lineRule="auto"/>
              <w:jc w:val="left"/>
              <w:rPr>
                <w:sz w:val="20"/>
                <w:szCs w:val="20"/>
              </w:rPr>
            </w:pPr>
          </w:p>
        </w:tc>
      </w:tr>
      <w:tr w:rsidR="00F44EAE" w14:paraId="19A26985" w14:textId="77777777">
        <w:trPr>
          <w:trHeight w:val="315"/>
        </w:trPr>
        <w:tc>
          <w:tcPr>
            <w:tcW w:w="828" w:type="dxa"/>
            <w:tcBorders>
              <w:top w:val="nil"/>
              <w:left w:val="nil"/>
              <w:bottom w:val="nil"/>
              <w:right w:val="nil"/>
            </w:tcBorders>
            <w:shd w:val="clear" w:color="auto" w:fill="auto"/>
            <w:vAlign w:val="bottom"/>
          </w:tcPr>
          <w:p w14:paraId="0734C674" w14:textId="77777777" w:rsidR="00F44EAE" w:rsidRDefault="00F44EAE">
            <w:pPr>
              <w:spacing w:before="0" w:after="0" w:line="240" w:lineRule="auto"/>
              <w:jc w:val="left"/>
              <w:rPr>
                <w:sz w:val="20"/>
                <w:szCs w:val="20"/>
              </w:rPr>
            </w:pPr>
          </w:p>
        </w:tc>
        <w:tc>
          <w:tcPr>
            <w:tcW w:w="1515" w:type="dxa"/>
            <w:tcBorders>
              <w:top w:val="nil"/>
              <w:left w:val="nil"/>
              <w:bottom w:val="nil"/>
              <w:right w:val="nil"/>
            </w:tcBorders>
            <w:shd w:val="clear" w:color="auto" w:fill="auto"/>
            <w:vAlign w:val="bottom"/>
          </w:tcPr>
          <w:p w14:paraId="0EADFCA7" w14:textId="77777777" w:rsidR="00F44EAE" w:rsidRDefault="00F44EAE">
            <w:pPr>
              <w:spacing w:before="0" w:after="0" w:line="240" w:lineRule="auto"/>
              <w:jc w:val="left"/>
              <w:rPr>
                <w:sz w:val="20"/>
                <w:szCs w:val="20"/>
              </w:rPr>
            </w:pPr>
          </w:p>
        </w:tc>
        <w:tc>
          <w:tcPr>
            <w:tcW w:w="2852" w:type="dxa"/>
            <w:tcBorders>
              <w:top w:val="nil"/>
              <w:left w:val="nil"/>
              <w:bottom w:val="nil"/>
              <w:right w:val="nil"/>
            </w:tcBorders>
            <w:shd w:val="clear" w:color="auto" w:fill="auto"/>
            <w:vAlign w:val="bottom"/>
          </w:tcPr>
          <w:p w14:paraId="43C24219"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0E6E921A"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42E79AD4"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4A2B9760"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055B07FC"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104DF450" w14:textId="77777777" w:rsidR="00F44EAE" w:rsidRDefault="00F44EAE">
            <w:pPr>
              <w:spacing w:before="0" w:after="0" w:line="240" w:lineRule="auto"/>
              <w:jc w:val="left"/>
              <w:rPr>
                <w:sz w:val="20"/>
                <w:szCs w:val="20"/>
              </w:rPr>
            </w:pPr>
          </w:p>
        </w:tc>
      </w:tr>
      <w:tr w:rsidR="00F44EAE" w14:paraId="7EAF9B10" w14:textId="77777777">
        <w:trPr>
          <w:trHeight w:val="315"/>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06B6DF99" w14:textId="77777777" w:rsidR="00F44EAE" w:rsidRDefault="00AB3F43">
            <w:pPr>
              <w:spacing w:before="0" w:after="0" w:line="240" w:lineRule="auto"/>
              <w:jc w:val="center"/>
              <w:rPr>
                <w:b/>
                <w:color w:val="000000"/>
              </w:rPr>
            </w:pPr>
            <w:r>
              <w:rPr>
                <w:b/>
                <w:color w:val="000000"/>
              </w:rPr>
              <w:t>Liquidity</w:t>
            </w:r>
          </w:p>
        </w:tc>
        <w:tc>
          <w:tcPr>
            <w:tcW w:w="1515" w:type="dxa"/>
            <w:tcBorders>
              <w:top w:val="single" w:sz="4" w:space="0" w:color="000000"/>
              <w:left w:val="nil"/>
              <w:bottom w:val="single" w:sz="4" w:space="0" w:color="000000"/>
              <w:right w:val="single" w:sz="4" w:space="0" w:color="000000"/>
            </w:tcBorders>
            <w:shd w:val="clear" w:color="auto" w:fill="auto"/>
            <w:vAlign w:val="bottom"/>
          </w:tcPr>
          <w:p w14:paraId="30ACA09D" w14:textId="77777777" w:rsidR="00F44EAE" w:rsidRDefault="00AB3F43">
            <w:pPr>
              <w:spacing w:before="0" w:after="0" w:line="240" w:lineRule="auto"/>
              <w:jc w:val="left"/>
              <w:rPr>
                <w:color w:val="000000"/>
              </w:rPr>
            </w:pPr>
            <w:r>
              <w:rPr>
                <w:color w:val="000000"/>
              </w:rPr>
              <w:t>Current Ratio</w:t>
            </w:r>
          </w:p>
        </w:tc>
        <w:tc>
          <w:tcPr>
            <w:tcW w:w="2852" w:type="dxa"/>
            <w:tcBorders>
              <w:top w:val="single" w:sz="4" w:space="0" w:color="000000"/>
              <w:left w:val="nil"/>
              <w:bottom w:val="single" w:sz="4" w:space="0" w:color="000000"/>
              <w:right w:val="single" w:sz="4" w:space="0" w:color="000000"/>
            </w:tcBorders>
            <w:shd w:val="clear" w:color="auto" w:fill="auto"/>
            <w:vAlign w:val="bottom"/>
          </w:tcPr>
          <w:p w14:paraId="699A6B11" w14:textId="77777777" w:rsidR="00F44EAE" w:rsidRDefault="00AB3F43">
            <w:pPr>
              <w:spacing w:before="0" w:after="0" w:line="240" w:lineRule="auto"/>
              <w:jc w:val="left"/>
              <w:rPr>
                <w:color w:val="000000"/>
              </w:rPr>
            </w:pPr>
            <w:r>
              <w:rPr>
                <w:color w:val="000000"/>
              </w:rPr>
              <w:t>Current assets/Current liabilities</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640A68AE" w14:textId="77777777" w:rsidR="00F44EAE" w:rsidRDefault="00AB3F43">
            <w:pPr>
              <w:spacing w:before="0" w:after="0" w:line="240" w:lineRule="auto"/>
              <w:jc w:val="right"/>
              <w:rPr>
                <w:color w:val="000000"/>
              </w:rPr>
            </w:pPr>
            <w:r>
              <w:rPr>
                <w:color w:val="000000"/>
              </w:rPr>
              <w:t>1.19807252</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7E5EBE90" w14:textId="77777777" w:rsidR="00F44EAE" w:rsidRDefault="00AB3F43">
            <w:pPr>
              <w:spacing w:before="0" w:after="0" w:line="240" w:lineRule="auto"/>
              <w:jc w:val="right"/>
              <w:rPr>
                <w:color w:val="000000"/>
              </w:rPr>
            </w:pPr>
            <w:r>
              <w:rPr>
                <w:color w:val="000000"/>
              </w:rPr>
              <w:t>1.259788668</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13C194F9" w14:textId="77777777" w:rsidR="00F44EAE" w:rsidRDefault="00AB3F43">
            <w:pPr>
              <w:spacing w:before="0" w:after="0" w:line="240" w:lineRule="auto"/>
              <w:jc w:val="right"/>
              <w:rPr>
                <w:color w:val="000000"/>
              </w:rPr>
            </w:pPr>
            <w:r>
              <w:rPr>
                <w:color w:val="000000"/>
              </w:rPr>
              <w:t>1.260309528</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047CD546" w14:textId="77777777" w:rsidR="00F44EAE" w:rsidRDefault="00AB3F43">
            <w:pPr>
              <w:spacing w:before="0" w:after="0" w:line="240" w:lineRule="auto"/>
              <w:jc w:val="right"/>
              <w:rPr>
                <w:color w:val="000000"/>
              </w:rPr>
            </w:pPr>
            <w:r>
              <w:rPr>
                <w:color w:val="000000"/>
              </w:rPr>
              <w:t>1.219616423</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440E967A" w14:textId="77777777" w:rsidR="00F44EAE" w:rsidRDefault="00AB3F43">
            <w:pPr>
              <w:spacing w:before="0" w:after="0" w:line="240" w:lineRule="auto"/>
              <w:jc w:val="right"/>
              <w:rPr>
                <w:color w:val="000000"/>
              </w:rPr>
            </w:pPr>
            <w:r>
              <w:rPr>
                <w:color w:val="000000"/>
              </w:rPr>
              <w:t>1.158290308</w:t>
            </w:r>
          </w:p>
        </w:tc>
      </w:tr>
      <w:tr w:rsidR="00F44EAE" w14:paraId="13047008" w14:textId="77777777">
        <w:trPr>
          <w:trHeight w:val="315"/>
        </w:trPr>
        <w:tc>
          <w:tcPr>
            <w:tcW w:w="82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31DC9F5D"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515" w:type="dxa"/>
            <w:tcBorders>
              <w:top w:val="nil"/>
              <w:left w:val="nil"/>
              <w:bottom w:val="single" w:sz="4" w:space="0" w:color="000000"/>
              <w:right w:val="single" w:sz="4" w:space="0" w:color="000000"/>
            </w:tcBorders>
            <w:shd w:val="clear" w:color="auto" w:fill="auto"/>
            <w:vAlign w:val="bottom"/>
          </w:tcPr>
          <w:p w14:paraId="77DA71A6" w14:textId="77777777" w:rsidR="00F44EAE" w:rsidRDefault="00AB3F43">
            <w:pPr>
              <w:spacing w:before="0" w:after="0" w:line="240" w:lineRule="auto"/>
              <w:jc w:val="left"/>
              <w:rPr>
                <w:color w:val="000000"/>
              </w:rPr>
            </w:pPr>
            <w:r>
              <w:rPr>
                <w:color w:val="000000"/>
              </w:rPr>
              <w:t>Quick Ratio</w:t>
            </w:r>
          </w:p>
        </w:tc>
        <w:tc>
          <w:tcPr>
            <w:tcW w:w="2852" w:type="dxa"/>
            <w:tcBorders>
              <w:top w:val="nil"/>
              <w:left w:val="nil"/>
              <w:bottom w:val="single" w:sz="4" w:space="0" w:color="000000"/>
              <w:right w:val="single" w:sz="4" w:space="0" w:color="000000"/>
            </w:tcBorders>
            <w:shd w:val="clear" w:color="auto" w:fill="auto"/>
            <w:vAlign w:val="bottom"/>
          </w:tcPr>
          <w:p w14:paraId="1246D65B" w14:textId="77777777" w:rsidR="00F44EAE" w:rsidRDefault="00AB3F43">
            <w:pPr>
              <w:spacing w:before="0" w:after="0" w:line="240" w:lineRule="auto"/>
              <w:jc w:val="left"/>
              <w:rPr>
                <w:color w:val="000000"/>
              </w:rPr>
            </w:pPr>
            <w:r>
              <w:rPr>
                <w:color w:val="000000"/>
              </w:rPr>
              <w:t>Current assets (excluding inventories)/Current liabilities</w:t>
            </w:r>
          </w:p>
        </w:tc>
        <w:tc>
          <w:tcPr>
            <w:tcW w:w="831" w:type="dxa"/>
            <w:tcBorders>
              <w:top w:val="nil"/>
              <w:left w:val="nil"/>
              <w:bottom w:val="single" w:sz="4" w:space="0" w:color="000000"/>
              <w:right w:val="single" w:sz="4" w:space="0" w:color="000000"/>
            </w:tcBorders>
            <w:shd w:val="clear" w:color="auto" w:fill="auto"/>
            <w:vAlign w:val="bottom"/>
          </w:tcPr>
          <w:p w14:paraId="429A2E03" w14:textId="77777777" w:rsidR="00F44EAE" w:rsidRDefault="00AB3F43">
            <w:pPr>
              <w:spacing w:before="0" w:after="0" w:line="240" w:lineRule="auto"/>
              <w:jc w:val="right"/>
              <w:rPr>
                <w:color w:val="000000"/>
              </w:rPr>
            </w:pPr>
            <w:r>
              <w:rPr>
                <w:color w:val="000000"/>
              </w:rPr>
              <w:t>0.938617849</w:t>
            </w:r>
          </w:p>
        </w:tc>
        <w:tc>
          <w:tcPr>
            <w:tcW w:w="831" w:type="dxa"/>
            <w:tcBorders>
              <w:top w:val="nil"/>
              <w:left w:val="nil"/>
              <w:bottom w:val="single" w:sz="4" w:space="0" w:color="000000"/>
              <w:right w:val="single" w:sz="4" w:space="0" w:color="000000"/>
            </w:tcBorders>
            <w:shd w:val="clear" w:color="auto" w:fill="auto"/>
            <w:vAlign w:val="bottom"/>
          </w:tcPr>
          <w:p w14:paraId="2FE3F179" w14:textId="77777777" w:rsidR="00F44EAE" w:rsidRDefault="00AB3F43">
            <w:pPr>
              <w:spacing w:before="0" w:after="0" w:line="240" w:lineRule="auto"/>
              <w:jc w:val="right"/>
              <w:rPr>
                <w:color w:val="000000"/>
              </w:rPr>
            </w:pPr>
            <w:r>
              <w:rPr>
                <w:color w:val="000000"/>
              </w:rPr>
              <w:t>0.974921391</w:t>
            </w:r>
          </w:p>
        </w:tc>
        <w:tc>
          <w:tcPr>
            <w:tcW w:w="831" w:type="dxa"/>
            <w:tcBorders>
              <w:top w:val="nil"/>
              <w:left w:val="nil"/>
              <w:bottom w:val="single" w:sz="4" w:space="0" w:color="000000"/>
              <w:right w:val="single" w:sz="4" w:space="0" w:color="000000"/>
            </w:tcBorders>
            <w:shd w:val="clear" w:color="auto" w:fill="auto"/>
            <w:vAlign w:val="bottom"/>
          </w:tcPr>
          <w:p w14:paraId="56B37444" w14:textId="77777777" w:rsidR="00F44EAE" w:rsidRDefault="00AB3F43">
            <w:pPr>
              <w:spacing w:before="0" w:after="0" w:line="240" w:lineRule="auto"/>
              <w:jc w:val="right"/>
              <w:rPr>
                <w:color w:val="000000"/>
              </w:rPr>
            </w:pPr>
            <w:r>
              <w:rPr>
                <w:color w:val="000000"/>
              </w:rPr>
              <w:t>0.995142393</w:t>
            </w:r>
          </w:p>
        </w:tc>
        <w:tc>
          <w:tcPr>
            <w:tcW w:w="831" w:type="dxa"/>
            <w:tcBorders>
              <w:top w:val="nil"/>
              <w:left w:val="nil"/>
              <w:bottom w:val="single" w:sz="4" w:space="0" w:color="000000"/>
              <w:right w:val="single" w:sz="4" w:space="0" w:color="000000"/>
            </w:tcBorders>
            <w:shd w:val="clear" w:color="auto" w:fill="auto"/>
            <w:vAlign w:val="bottom"/>
          </w:tcPr>
          <w:p w14:paraId="3D802F38" w14:textId="77777777" w:rsidR="00F44EAE" w:rsidRDefault="00AB3F43">
            <w:pPr>
              <w:spacing w:before="0" w:after="0" w:line="240" w:lineRule="auto"/>
              <w:jc w:val="right"/>
              <w:rPr>
                <w:color w:val="000000"/>
              </w:rPr>
            </w:pPr>
            <w:r>
              <w:rPr>
                <w:color w:val="000000"/>
              </w:rPr>
              <w:t>0.955482424</w:t>
            </w:r>
          </w:p>
        </w:tc>
        <w:tc>
          <w:tcPr>
            <w:tcW w:w="831" w:type="dxa"/>
            <w:tcBorders>
              <w:top w:val="nil"/>
              <w:left w:val="nil"/>
              <w:bottom w:val="single" w:sz="4" w:space="0" w:color="000000"/>
              <w:right w:val="single" w:sz="4" w:space="0" w:color="000000"/>
            </w:tcBorders>
            <w:shd w:val="clear" w:color="auto" w:fill="auto"/>
            <w:vAlign w:val="bottom"/>
          </w:tcPr>
          <w:p w14:paraId="79A03B00" w14:textId="77777777" w:rsidR="00F44EAE" w:rsidRDefault="00AB3F43">
            <w:pPr>
              <w:spacing w:before="0" w:after="0" w:line="240" w:lineRule="auto"/>
              <w:jc w:val="right"/>
              <w:rPr>
                <w:color w:val="000000"/>
              </w:rPr>
            </w:pPr>
            <w:r>
              <w:rPr>
                <w:color w:val="000000"/>
              </w:rPr>
              <w:t>0.880578215</w:t>
            </w:r>
          </w:p>
        </w:tc>
      </w:tr>
      <w:tr w:rsidR="00F44EAE" w14:paraId="16B715E5" w14:textId="77777777">
        <w:trPr>
          <w:trHeight w:val="315"/>
        </w:trPr>
        <w:tc>
          <w:tcPr>
            <w:tcW w:w="828" w:type="dxa"/>
            <w:tcBorders>
              <w:top w:val="nil"/>
              <w:left w:val="nil"/>
              <w:bottom w:val="nil"/>
              <w:right w:val="nil"/>
            </w:tcBorders>
            <w:shd w:val="clear" w:color="auto" w:fill="auto"/>
            <w:vAlign w:val="bottom"/>
          </w:tcPr>
          <w:p w14:paraId="2C4A8E4B" w14:textId="77777777" w:rsidR="00F44EAE" w:rsidRDefault="00F44EAE">
            <w:pPr>
              <w:spacing w:before="0" w:after="0" w:line="240" w:lineRule="auto"/>
              <w:jc w:val="right"/>
              <w:rPr>
                <w:color w:val="000000"/>
              </w:rPr>
            </w:pPr>
          </w:p>
        </w:tc>
        <w:tc>
          <w:tcPr>
            <w:tcW w:w="1515" w:type="dxa"/>
            <w:tcBorders>
              <w:top w:val="nil"/>
              <w:left w:val="nil"/>
              <w:bottom w:val="nil"/>
              <w:right w:val="nil"/>
            </w:tcBorders>
            <w:shd w:val="clear" w:color="auto" w:fill="auto"/>
            <w:vAlign w:val="bottom"/>
          </w:tcPr>
          <w:p w14:paraId="43418D3E" w14:textId="77777777" w:rsidR="00F44EAE" w:rsidRDefault="00F44EAE">
            <w:pPr>
              <w:spacing w:before="0" w:after="0" w:line="240" w:lineRule="auto"/>
              <w:jc w:val="left"/>
              <w:rPr>
                <w:sz w:val="20"/>
                <w:szCs w:val="20"/>
              </w:rPr>
            </w:pPr>
          </w:p>
        </w:tc>
        <w:tc>
          <w:tcPr>
            <w:tcW w:w="2852" w:type="dxa"/>
            <w:tcBorders>
              <w:top w:val="nil"/>
              <w:left w:val="nil"/>
              <w:bottom w:val="nil"/>
              <w:right w:val="nil"/>
            </w:tcBorders>
            <w:shd w:val="clear" w:color="auto" w:fill="auto"/>
            <w:vAlign w:val="bottom"/>
          </w:tcPr>
          <w:p w14:paraId="44D44DA1"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1FB2E59E"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2D1FA6DB"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3250EBD6"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5744722"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38D9CDC0" w14:textId="77777777" w:rsidR="00F44EAE" w:rsidRDefault="00F44EAE">
            <w:pPr>
              <w:spacing w:before="0" w:after="0" w:line="240" w:lineRule="auto"/>
              <w:jc w:val="left"/>
              <w:rPr>
                <w:sz w:val="20"/>
                <w:szCs w:val="20"/>
              </w:rPr>
            </w:pPr>
          </w:p>
        </w:tc>
      </w:tr>
      <w:tr w:rsidR="00F44EAE" w14:paraId="16919D71" w14:textId="77777777">
        <w:trPr>
          <w:trHeight w:val="315"/>
        </w:trPr>
        <w:tc>
          <w:tcPr>
            <w:tcW w:w="828" w:type="dxa"/>
            <w:tcBorders>
              <w:top w:val="nil"/>
              <w:left w:val="nil"/>
              <w:bottom w:val="nil"/>
              <w:right w:val="nil"/>
            </w:tcBorders>
            <w:shd w:val="clear" w:color="auto" w:fill="auto"/>
            <w:vAlign w:val="bottom"/>
          </w:tcPr>
          <w:p w14:paraId="08CFAF30" w14:textId="77777777" w:rsidR="00F44EAE" w:rsidRDefault="00F44EAE">
            <w:pPr>
              <w:spacing w:before="0" w:after="0" w:line="240" w:lineRule="auto"/>
              <w:jc w:val="left"/>
              <w:rPr>
                <w:sz w:val="20"/>
                <w:szCs w:val="20"/>
              </w:rPr>
            </w:pPr>
          </w:p>
        </w:tc>
        <w:tc>
          <w:tcPr>
            <w:tcW w:w="1515" w:type="dxa"/>
            <w:tcBorders>
              <w:top w:val="nil"/>
              <w:left w:val="nil"/>
              <w:bottom w:val="nil"/>
              <w:right w:val="nil"/>
            </w:tcBorders>
            <w:shd w:val="clear" w:color="auto" w:fill="auto"/>
            <w:vAlign w:val="bottom"/>
          </w:tcPr>
          <w:p w14:paraId="2280725F" w14:textId="77777777" w:rsidR="00F44EAE" w:rsidRDefault="00F44EAE">
            <w:pPr>
              <w:spacing w:before="0" w:after="0" w:line="240" w:lineRule="auto"/>
              <w:jc w:val="left"/>
              <w:rPr>
                <w:sz w:val="20"/>
                <w:szCs w:val="20"/>
              </w:rPr>
            </w:pPr>
          </w:p>
        </w:tc>
        <w:tc>
          <w:tcPr>
            <w:tcW w:w="2852" w:type="dxa"/>
            <w:tcBorders>
              <w:top w:val="nil"/>
              <w:left w:val="nil"/>
              <w:bottom w:val="nil"/>
              <w:right w:val="nil"/>
            </w:tcBorders>
            <w:shd w:val="clear" w:color="auto" w:fill="auto"/>
            <w:vAlign w:val="bottom"/>
          </w:tcPr>
          <w:p w14:paraId="34B06740"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E75D9B0"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3A2D342B"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73371994"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23DD394E"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78EC2698" w14:textId="77777777" w:rsidR="00F44EAE" w:rsidRDefault="00F44EAE">
            <w:pPr>
              <w:spacing w:before="0" w:after="0" w:line="240" w:lineRule="auto"/>
              <w:jc w:val="left"/>
              <w:rPr>
                <w:sz w:val="20"/>
                <w:szCs w:val="20"/>
              </w:rPr>
            </w:pPr>
          </w:p>
        </w:tc>
      </w:tr>
      <w:tr w:rsidR="00F44EAE" w14:paraId="60E02C1F" w14:textId="77777777">
        <w:trPr>
          <w:trHeight w:val="315"/>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B51B437" w14:textId="77777777" w:rsidR="00F44EAE" w:rsidRDefault="00AB3F43">
            <w:pPr>
              <w:spacing w:before="0" w:after="0" w:line="240" w:lineRule="auto"/>
              <w:jc w:val="center"/>
              <w:rPr>
                <w:b/>
                <w:color w:val="000000"/>
              </w:rPr>
            </w:pPr>
            <w:r>
              <w:rPr>
                <w:b/>
                <w:color w:val="000000"/>
              </w:rPr>
              <w:t>Efficiency</w:t>
            </w:r>
          </w:p>
        </w:tc>
        <w:tc>
          <w:tcPr>
            <w:tcW w:w="1515" w:type="dxa"/>
            <w:tcBorders>
              <w:top w:val="single" w:sz="4" w:space="0" w:color="000000"/>
              <w:left w:val="nil"/>
              <w:bottom w:val="single" w:sz="4" w:space="0" w:color="000000"/>
              <w:right w:val="single" w:sz="4" w:space="0" w:color="000000"/>
            </w:tcBorders>
            <w:shd w:val="clear" w:color="auto" w:fill="auto"/>
            <w:vAlign w:val="bottom"/>
          </w:tcPr>
          <w:p w14:paraId="387B9CB7" w14:textId="77777777" w:rsidR="00F44EAE" w:rsidRDefault="00AB3F43">
            <w:pPr>
              <w:spacing w:before="0" w:after="0" w:line="240" w:lineRule="auto"/>
              <w:jc w:val="left"/>
              <w:rPr>
                <w:color w:val="000000"/>
              </w:rPr>
            </w:pPr>
            <w:r>
              <w:rPr>
                <w:color w:val="000000"/>
              </w:rPr>
              <w:t>Asset Turnover</w:t>
            </w:r>
          </w:p>
        </w:tc>
        <w:tc>
          <w:tcPr>
            <w:tcW w:w="2852" w:type="dxa"/>
            <w:tcBorders>
              <w:top w:val="single" w:sz="4" w:space="0" w:color="000000"/>
              <w:left w:val="nil"/>
              <w:bottom w:val="single" w:sz="4" w:space="0" w:color="000000"/>
              <w:right w:val="single" w:sz="4" w:space="0" w:color="000000"/>
            </w:tcBorders>
            <w:shd w:val="clear" w:color="auto" w:fill="auto"/>
            <w:vAlign w:val="bottom"/>
          </w:tcPr>
          <w:p w14:paraId="7937E055" w14:textId="77777777" w:rsidR="00F44EAE" w:rsidRDefault="00AB3F43">
            <w:pPr>
              <w:spacing w:before="0" w:after="0" w:line="240" w:lineRule="auto"/>
              <w:jc w:val="left"/>
              <w:rPr>
                <w:color w:val="000000"/>
              </w:rPr>
            </w:pPr>
            <w:r>
              <w:rPr>
                <w:color w:val="000000"/>
              </w:rPr>
              <w:t>Net Sales/ Average Total Assets</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6FA6247F" w14:textId="77777777" w:rsidR="00F44EAE" w:rsidRDefault="00AB3F43">
            <w:pPr>
              <w:spacing w:before="0" w:after="0" w:line="240" w:lineRule="auto"/>
              <w:jc w:val="right"/>
              <w:rPr>
                <w:color w:val="000000"/>
              </w:rPr>
            </w:pPr>
            <w:r>
              <w:rPr>
                <w:color w:val="000000"/>
              </w:rPr>
              <w:t>0.510892068</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53D313A5" w14:textId="77777777" w:rsidR="00F44EAE" w:rsidRDefault="00AB3F43">
            <w:pPr>
              <w:spacing w:before="0" w:after="0" w:line="240" w:lineRule="auto"/>
              <w:jc w:val="right"/>
              <w:rPr>
                <w:color w:val="000000"/>
              </w:rPr>
            </w:pPr>
            <w:r>
              <w:rPr>
                <w:color w:val="000000"/>
              </w:rPr>
              <w:t>0.470442457</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63A5965A" w14:textId="77777777" w:rsidR="00F44EAE" w:rsidRDefault="00AB3F43">
            <w:pPr>
              <w:spacing w:before="0" w:after="0" w:line="240" w:lineRule="auto"/>
              <w:jc w:val="right"/>
              <w:rPr>
                <w:color w:val="000000"/>
              </w:rPr>
            </w:pPr>
            <w:r>
              <w:rPr>
                <w:color w:val="000000"/>
              </w:rPr>
              <w:t>0.445784292</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6285ECBC" w14:textId="77777777" w:rsidR="00F44EAE" w:rsidRDefault="00AB3F43">
            <w:pPr>
              <w:spacing w:before="0" w:after="0" w:line="240" w:lineRule="auto"/>
              <w:jc w:val="right"/>
              <w:rPr>
                <w:color w:val="000000"/>
              </w:rPr>
            </w:pPr>
            <w:r>
              <w:rPr>
                <w:color w:val="000000"/>
              </w:rPr>
              <w:t>0.421900259</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46D7D3AB" w14:textId="77777777" w:rsidR="00F44EAE" w:rsidRDefault="00AB3F43">
            <w:pPr>
              <w:spacing w:before="0" w:after="0" w:line="240" w:lineRule="auto"/>
              <w:jc w:val="right"/>
              <w:rPr>
                <w:color w:val="000000"/>
              </w:rPr>
            </w:pPr>
            <w:r>
              <w:rPr>
                <w:color w:val="000000"/>
              </w:rPr>
              <w:t>0.487991068</w:t>
            </w:r>
          </w:p>
        </w:tc>
      </w:tr>
      <w:tr w:rsidR="00F44EAE" w14:paraId="262A79DA" w14:textId="77777777">
        <w:trPr>
          <w:trHeight w:val="315"/>
        </w:trPr>
        <w:tc>
          <w:tcPr>
            <w:tcW w:w="82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3099BC6"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515" w:type="dxa"/>
            <w:tcBorders>
              <w:top w:val="nil"/>
              <w:left w:val="nil"/>
              <w:bottom w:val="single" w:sz="4" w:space="0" w:color="000000"/>
              <w:right w:val="single" w:sz="4" w:space="0" w:color="000000"/>
            </w:tcBorders>
            <w:shd w:val="clear" w:color="auto" w:fill="auto"/>
            <w:vAlign w:val="bottom"/>
          </w:tcPr>
          <w:p w14:paraId="72A9ADBA" w14:textId="77777777" w:rsidR="00F44EAE" w:rsidRDefault="00AB3F43">
            <w:pPr>
              <w:spacing w:before="0" w:after="0" w:line="240" w:lineRule="auto"/>
              <w:jc w:val="left"/>
              <w:rPr>
                <w:color w:val="000000"/>
              </w:rPr>
            </w:pPr>
            <w:r>
              <w:rPr>
                <w:color w:val="000000"/>
              </w:rPr>
              <w:t>Inventory Turnover</w:t>
            </w:r>
          </w:p>
        </w:tc>
        <w:tc>
          <w:tcPr>
            <w:tcW w:w="2852" w:type="dxa"/>
            <w:tcBorders>
              <w:top w:val="nil"/>
              <w:left w:val="nil"/>
              <w:bottom w:val="single" w:sz="4" w:space="0" w:color="000000"/>
              <w:right w:val="single" w:sz="4" w:space="0" w:color="000000"/>
            </w:tcBorders>
            <w:shd w:val="clear" w:color="auto" w:fill="auto"/>
            <w:vAlign w:val="bottom"/>
          </w:tcPr>
          <w:p w14:paraId="727ABE9D" w14:textId="77777777" w:rsidR="00F44EAE" w:rsidRDefault="00AB3F43">
            <w:pPr>
              <w:spacing w:before="0" w:after="0" w:line="240" w:lineRule="auto"/>
              <w:jc w:val="left"/>
              <w:rPr>
                <w:color w:val="000000"/>
              </w:rPr>
            </w:pPr>
            <w:r>
              <w:rPr>
                <w:color w:val="000000"/>
              </w:rPr>
              <w:t>(COGS/Average inventories)</w:t>
            </w:r>
          </w:p>
        </w:tc>
        <w:tc>
          <w:tcPr>
            <w:tcW w:w="831" w:type="dxa"/>
            <w:tcBorders>
              <w:top w:val="nil"/>
              <w:left w:val="nil"/>
              <w:bottom w:val="single" w:sz="4" w:space="0" w:color="000000"/>
              <w:right w:val="single" w:sz="4" w:space="0" w:color="000000"/>
            </w:tcBorders>
            <w:shd w:val="clear" w:color="auto" w:fill="auto"/>
            <w:vAlign w:val="bottom"/>
          </w:tcPr>
          <w:p w14:paraId="69EF8B96" w14:textId="77777777" w:rsidR="00F44EAE" w:rsidRDefault="00AB3F43">
            <w:pPr>
              <w:spacing w:before="0" w:after="0" w:line="240" w:lineRule="auto"/>
              <w:jc w:val="right"/>
              <w:rPr>
                <w:color w:val="000000"/>
              </w:rPr>
            </w:pPr>
            <w:r>
              <w:rPr>
                <w:color w:val="000000"/>
              </w:rPr>
              <w:t>4.854741516</w:t>
            </w:r>
          </w:p>
        </w:tc>
        <w:tc>
          <w:tcPr>
            <w:tcW w:w="831" w:type="dxa"/>
            <w:tcBorders>
              <w:top w:val="nil"/>
              <w:left w:val="nil"/>
              <w:bottom w:val="single" w:sz="4" w:space="0" w:color="000000"/>
              <w:right w:val="single" w:sz="4" w:space="0" w:color="000000"/>
            </w:tcBorders>
            <w:shd w:val="clear" w:color="auto" w:fill="auto"/>
            <w:vAlign w:val="bottom"/>
          </w:tcPr>
          <w:p w14:paraId="25CAF1C1" w14:textId="77777777" w:rsidR="00F44EAE" w:rsidRDefault="00AB3F43">
            <w:pPr>
              <w:spacing w:before="0" w:after="0" w:line="240" w:lineRule="auto"/>
              <w:jc w:val="right"/>
              <w:rPr>
                <w:color w:val="000000"/>
              </w:rPr>
            </w:pPr>
            <w:r>
              <w:rPr>
                <w:color w:val="000000"/>
              </w:rPr>
              <w:t>4.332555381</w:t>
            </w:r>
          </w:p>
        </w:tc>
        <w:tc>
          <w:tcPr>
            <w:tcW w:w="831" w:type="dxa"/>
            <w:tcBorders>
              <w:top w:val="nil"/>
              <w:left w:val="nil"/>
              <w:bottom w:val="single" w:sz="4" w:space="0" w:color="000000"/>
              <w:right w:val="single" w:sz="4" w:space="0" w:color="000000"/>
            </w:tcBorders>
            <w:shd w:val="clear" w:color="auto" w:fill="auto"/>
            <w:vAlign w:val="bottom"/>
          </w:tcPr>
          <w:p w14:paraId="75A9410B" w14:textId="77777777" w:rsidR="00F44EAE" w:rsidRDefault="00AB3F43">
            <w:pPr>
              <w:spacing w:before="0" w:after="0" w:line="240" w:lineRule="auto"/>
              <w:jc w:val="right"/>
              <w:rPr>
                <w:color w:val="000000"/>
              </w:rPr>
            </w:pPr>
            <w:r>
              <w:rPr>
                <w:color w:val="000000"/>
              </w:rPr>
              <w:t>4.645831904</w:t>
            </w:r>
          </w:p>
        </w:tc>
        <w:tc>
          <w:tcPr>
            <w:tcW w:w="831" w:type="dxa"/>
            <w:tcBorders>
              <w:top w:val="nil"/>
              <w:left w:val="nil"/>
              <w:bottom w:val="single" w:sz="4" w:space="0" w:color="000000"/>
              <w:right w:val="single" w:sz="4" w:space="0" w:color="000000"/>
            </w:tcBorders>
            <w:shd w:val="clear" w:color="auto" w:fill="auto"/>
            <w:vAlign w:val="bottom"/>
          </w:tcPr>
          <w:p w14:paraId="79312B38" w14:textId="77777777" w:rsidR="00F44EAE" w:rsidRDefault="00AB3F43">
            <w:pPr>
              <w:spacing w:before="0" w:after="0" w:line="240" w:lineRule="auto"/>
              <w:jc w:val="right"/>
              <w:rPr>
                <w:color w:val="000000"/>
              </w:rPr>
            </w:pPr>
            <w:r>
              <w:rPr>
                <w:color w:val="000000"/>
              </w:rPr>
              <w:t>4.193186226</w:t>
            </w:r>
          </w:p>
        </w:tc>
        <w:tc>
          <w:tcPr>
            <w:tcW w:w="831" w:type="dxa"/>
            <w:tcBorders>
              <w:top w:val="nil"/>
              <w:left w:val="nil"/>
              <w:bottom w:val="single" w:sz="4" w:space="0" w:color="000000"/>
              <w:right w:val="single" w:sz="4" w:space="0" w:color="000000"/>
            </w:tcBorders>
            <w:shd w:val="clear" w:color="auto" w:fill="auto"/>
            <w:vAlign w:val="bottom"/>
          </w:tcPr>
          <w:p w14:paraId="6E53F6A8" w14:textId="77777777" w:rsidR="00F44EAE" w:rsidRDefault="00AB3F43">
            <w:pPr>
              <w:spacing w:before="0" w:after="0" w:line="240" w:lineRule="auto"/>
              <w:jc w:val="right"/>
              <w:rPr>
                <w:color w:val="000000"/>
              </w:rPr>
            </w:pPr>
            <w:r>
              <w:rPr>
                <w:color w:val="000000"/>
              </w:rPr>
              <w:t>4.349771084</w:t>
            </w:r>
          </w:p>
        </w:tc>
      </w:tr>
      <w:tr w:rsidR="00F44EAE" w14:paraId="714F8879" w14:textId="77777777">
        <w:trPr>
          <w:trHeight w:val="315"/>
        </w:trPr>
        <w:tc>
          <w:tcPr>
            <w:tcW w:w="828" w:type="dxa"/>
            <w:tcBorders>
              <w:top w:val="nil"/>
              <w:left w:val="nil"/>
              <w:bottom w:val="nil"/>
              <w:right w:val="nil"/>
            </w:tcBorders>
            <w:shd w:val="clear" w:color="auto" w:fill="auto"/>
            <w:vAlign w:val="bottom"/>
          </w:tcPr>
          <w:p w14:paraId="46916C8C" w14:textId="77777777" w:rsidR="00F44EAE" w:rsidRDefault="00F44EAE">
            <w:pPr>
              <w:spacing w:before="0" w:after="0" w:line="240" w:lineRule="auto"/>
              <w:jc w:val="right"/>
              <w:rPr>
                <w:color w:val="000000"/>
              </w:rPr>
            </w:pPr>
          </w:p>
        </w:tc>
        <w:tc>
          <w:tcPr>
            <w:tcW w:w="1515" w:type="dxa"/>
            <w:tcBorders>
              <w:top w:val="nil"/>
              <w:left w:val="nil"/>
              <w:bottom w:val="nil"/>
              <w:right w:val="nil"/>
            </w:tcBorders>
            <w:shd w:val="clear" w:color="auto" w:fill="auto"/>
            <w:vAlign w:val="bottom"/>
          </w:tcPr>
          <w:p w14:paraId="53FE1438" w14:textId="77777777" w:rsidR="00F44EAE" w:rsidRDefault="00F44EAE">
            <w:pPr>
              <w:spacing w:before="0" w:after="0" w:line="240" w:lineRule="auto"/>
              <w:jc w:val="left"/>
              <w:rPr>
                <w:sz w:val="20"/>
                <w:szCs w:val="20"/>
              </w:rPr>
            </w:pPr>
          </w:p>
        </w:tc>
        <w:tc>
          <w:tcPr>
            <w:tcW w:w="2852" w:type="dxa"/>
            <w:tcBorders>
              <w:top w:val="nil"/>
              <w:left w:val="nil"/>
              <w:bottom w:val="nil"/>
              <w:right w:val="nil"/>
            </w:tcBorders>
            <w:shd w:val="clear" w:color="auto" w:fill="auto"/>
            <w:vAlign w:val="bottom"/>
          </w:tcPr>
          <w:p w14:paraId="555A8E9F"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0E1E4148"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39BB20A1"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5ADF802D"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4B452752"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370260FD" w14:textId="77777777" w:rsidR="00F44EAE" w:rsidRDefault="00F44EAE">
            <w:pPr>
              <w:spacing w:before="0" w:after="0" w:line="240" w:lineRule="auto"/>
              <w:jc w:val="left"/>
              <w:rPr>
                <w:sz w:val="20"/>
                <w:szCs w:val="20"/>
              </w:rPr>
            </w:pPr>
          </w:p>
        </w:tc>
      </w:tr>
      <w:tr w:rsidR="00F44EAE" w14:paraId="7E13E638" w14:textId="77777777">
        <w:trPr>
          <w:trHeight w:val="315"/>
        </w:trPr>
        <w:tc>
          <w:tcPr>
            <w:tcW w:w="828" w:type="dxa"/>
            <w:tcBorders>
              <w:top w:val="nil"/>
              <w:left w:val="nil"/>
              <w:bottom w:val="nil"/>
              <w:right w:val="nil"/>
            </w:tcBorders>
            <w:shd w:val="clear" w:color="auto" w:fill="auto"/>
            <w:vAlign w:val="bottom"/>
          </w:tcPr>
          <w:p w14:paraId="13337D80" w14:textId="77777777" w:rsidR="00F44EAE" w:rsidRDefault="00F44EAE">
            <w:pPr>
              <w:spacing w:before="0" w:after="0" w:line="240" w:lineRule="auto"/>
              <w:jc w:val="left"/>
              <w:rPr>
                <w:sz w:val="20"/>
                <w:szCs w:val="20"/>
              </w:rPr>
            </w:pPr>
          </w:p>
        </w:tc>
        <w:tc>
          <w:tcPr>
            <w:tcW w:w="1515" w:type="dxa"/>
            <w:tcBorders>
              <w:top w:val="nil"/>
              <w:left w:val="nil"/>
              <w:bottom w:val="nil"/>
              <w:right w:val="nil"/>
            </w:tcBorders>
            <w:shd w:val="clear" w:color="auto" w:fill="auto"/>
            <w:vAlign w:val="bottom"/>
          </w:tcPr>
          <w:p w14:paraId="39624E93" w14:textId="77777777" w:rsidR="00F44EAE" w:rsidRDefault="00F44EAE">
            <w:pPr>
              <w:spacing w:before="0" w:after="0" w:line="240" w:lineRule="auto"/>
              <w:jc w:val="left"/>
              <w:rPr>
                <w:sz w:val="20"/>
                <w:szCs w:val="20"/>
              </w:rPr>
            </w:pPr>
          </w:p>
        </w:tc>
        <w:tc>
          <w:tcPr>
            <w:tcW w:w="2852" w:type="dxa"/>
            <w:tcBorders>
              <w:top w:val="nil"/>
              <w:left w:val="nil"/>
              <w:bottom w:val="nil"/>
              <w:right w:val="nil"/>
            </w:tcBorders>
            <w:shd w:val="clear" w:color="auto" w:fill="auto"/>
            <w:vAlign w:val="bottom"/>
          </w:tcPr>
          <w:p w14:paraId="0B6D244A"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7515D7E9"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2090C37"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10267C84"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2F8381F6" w14:textId="77777777" w:rsidR="00F44EAE" w:rsidRDefault="00F44EAE">
            <w:pPr>
              <w:spacing w:before="0" w:after="0" w:line="240" w:lineRule="auto"/>
              <w:jc w:val="left"/>
              <w:rPr>
                <w:sz w:val="20"/>
                <w:szCs w:val="20"/>
              </w:rPr>
            </w:pPr>
          </w:p>
        </w:tc>
        <w:tc>
          <w:tcPr>
            <w:tcW w:w="831" w:type="dxa"/>
            <w:tcBorders>
              <w:top w:val="nil"/>
              <w:left w:val="nil"/>
              <w:bottom w:val="nil"/>
              <w:right w:val="nil"/>
            </w:tcBorders>
            <w:shd w:val="clear" w:color="auto" w:fill="auto"/>
            <w:vAlign w:val="bottom"/>
          </w:tcPr>
          <w:p w14:paraId="631D8212" w14:textId="77777777" w:rsidR="00F44EAE" w:rsidRDefault="00F44EAE">
            <w:pPr>
              <w:spacing w:before="0" w:after="0" w:line="240" w:lineRule="auto"/>
              <w:jc w:val="left"/>
              <w:rPr>
                <w:sz w:val="20"/>
                <w:szCs w:val="20"/>
              </w:rPr>
            </w:pPr>
          </w:p>
        </w:tc>
      </w:tr>
      <w:tr w:rsidR="00F44EAE" w14:paraId="3670ED03" w14:textId="77777777">
        <w:trPr>
          <w:trHeight w:val="315"/>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5C73F1F2" w14:textId="77777777" w:rsidR="00F44EAE" w:rsidRDefault="00AB3F43">
            <w:pPr>
              <w:spacing w:before="0" w:after="0" w:line="240" w:lineRule="auto"/>
              <w:jc w:val="center"/>
              <w:rPr>
                <w:b/>
                <w:color w:val="000000"/>
              </w:rPr>
            </w:pPr>
            <w:r>
              <w:rPr>
                <w:b/>
                <w:color w:val="000000"/>
              </w:rPr>
              <w:t>Gearing</w:t>
            </w:r>
          </w:p>
        </w:tc>
        <w:tc>
          <w:tcPr>
            <w:tcW w:w="1515" w:type="dxa"/>
            <w:tcBorders>
              <w:top w:val="single" w:sz="4" w:space="0" w:color="000000"/>
              <w:left w:val="nil"/>
              <w:bottom w:val="single" w:sz="4" w:space="0" w:color="000000"/>
              <w:right w:val="single" w:sz="4" w:space="0" w:color="000000"/>
            </w:tcBorders>
            <w:shd w:val="clear" w:color="auto" w:fill="auto"/>
            <w:vAlign w:val="bottom"/>
          </w:tcPr>
          <w:p w14:paraId="6715B7A4" w14:textId="77777777" w:rsidR="00F44EAE" w:rsidRDefault="00AB3F43">
            <w:pPr>
              <w:spacing w:before="0" w:after="0" w:line="240" w:lineRule="auto"/>
              <w:jc w:val="left"/>
              <w:rPr>
                <w:color w:val="000000"/>
              </w:rPr>
            </w:pPr>
            <w:r>
              <w:rPr>
                <w:color w:val="000000"/>
              </w:rPr>
              <w:t>Debt to Equity Ratio</w:t>
            </w:r>
          </w:p>
        </w:tc>
        <w:tc>
          <w:tcPr>
            <w:tcW w:w="2852" w:type="dxa"/>
            <w:tcBorders>
              <w:top w:val="single" w:sz="4" w:space="0" w:color="000000"/>
              <w:left w:val="nil"/>
              <w:bottom w:val="single" w:sz="4" w:space="0" w:color="000000"/>
              <w:right w:val="single" w:sz="4" w:space="0" w:color="000000"/>
            </w:tcBorders>
            <w:shd w:val="clear" w:color="auto" w:fill="auto"/>
            <w:vAlign w:val="bottom"/>
          </w:tcPr>
          <w:p w14:paraId="4732E98A" w14:textId="77777777" w:rsidR="00F44EAE" w:rsidRDefault="00AB3F43">
            <w:pPr>
              <w:spacing w:before="0" w:after="0" w:line="240" w:lineRule="auto"/>
              <w:jc w:val="left"/>
              <w:rPr>
                <w:color w:val="000000"/>
              </w:rPr>
            </w:pPr>
            <w:r>
              <w:rPr>
                <w:color w:val="000000"/>
              </w:rPr>
              <w:t>Total liabilities/ Shareholder's Equity</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0736409B" w14:textId="77777777" w:rsidR="00F44EAE" w:rsidRDefault="00AB3F43">
            <w:pPr>
              <w:spacing w:before="0" w:after="0" w:line="240" w:lineRule="auto"/>
              <w:jc w:val="right"/>
              <w:rPr>
                <w:color w:val="000000"/>
              </w:rPr>
            </w:pPr>
            <w:r>
              <w:rPr>
                <w:color w:val="000000"/>
              </w:rPr>
              <w:t>2.609732371</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47593C3F" w14:textId="77777777" w:rsidR="00F44EAE" w:rsidRDefault="00AB3F43">
            <w:pPr>
              <w:spacing w:before="0" w:after="0" w:line="240" w:lineRule="auto"/>
              <w:jc w:val="right"/>
              <w:rPr>
                <w:color w:val="000000"/>
              </w:rPr>
            </w:pPr>
            <w:r>
              <w:rPr>
                <w:color w:val="000000"/>
              </w:rPr>
              <w:t>2.612300328</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456910BB" w14:textId="77777777" w:rsidR="00F44EAE" w:rsidRDefault="00AB3F43">
            <w:pPr>
              <w:spacing w:before="0" w:after="0" w:line="240" w:lineRule="auto"/>
              <w:jc w:val="right"/>
              <w:rPr>
                <w:color w:val="000000"/>
              </w:rPr>
            </w:pPr>
            <w:r>
              <w:rPr>
                <w:color w:val="000000"/>
              </w:rPr>
              <w:t>3.261154766</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6AB3B996" w14:textId="77777777" w:rsidR="00F44EAE" w:rsidRDefault="00AB3F43">
            <w:pPr>
              <w:spacing w:before="0" w:after="0" w:line="240" w:lineRule="auto"/>
              <w:jc w:val="right"/>
              <w:rPr>
                <w:color w:val="000000"/>
              </w:rPr>
            </w:pPr>
            <w:r>
              <w:rPr>
                <w:color w:val="000000"/>
              </w:rPr>
              <w:t>3.67220306</w:t>
            </w:r>
          </w:p>
        </w:tc>
        <w:tc>
          <w:tcPr>
            <w:tcW w:w="831" w:type="dxa"/>
            <w:tcBorders>
              <w:top w:val="single" w:sz="4" w:space="0" w:color="000000"/>
              <w:left w:val="nil"/>
              <w:bottom w:val="single" w:sz="4" w:space="0" w:color="000000"/>
              <w:right w:val="single" w:sz="4" w:space="0" w:color="000000"/>
            </w:tcBorders>
            <w:shd w:val="clear" w:color="auto" w:fill="auto"/>
            <w:vAlign w:val="bottom"/>
          </w:tcPr>
          <w:p w14:paraId="0BE39FAA" w14:textId="77777777" w:rsidR="00F44EAE" w:rsidRDefault="00AB3F43">
            <w:pPr>
              <w:spacing w:before="0" w:after="0" w:line="240" w:lineRule="auto"/>
              <w:jc w:val="right"/>
              <w:rPr>
                <w:color w:val="000000"/>
              </w:rPr>
            </w:pPr>
            <w:r>
              <w:rPr>
                <w:color w:val="000000"/>
              </w:rPr>
              <w:t>3.664450211</w:t>
            </w:r>
          </w:p>
        </w:tc>
      </w:tr>
      <w:tr w:rsidR="00F44EAE" w14:paraId="278FE988" w14:textId="77777777">
        <w:trPr>
          <w:trHeight w:val="315"/>
        </w:trPr>
        <w:tc>
          <w:tcPr>
            <w:tcW w:w="82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25416508" w14:textId="77777777" w:rsidR="00F44EAE" w:rsidRDefault="00F44EAE">
            <w:pPr>
              <w:widowControl w:val="0"/>
              <w:pBdr>
                <w:top w:val="nil"/>
                <w:left w:val="nil"/>
                <w:bottom w:val="nil"/>
                <w:right w:val="nil"/>
                <w:between w:val="nil"/>
              </w:pBdr>
              <w:spacing w:before="0" w:after="0" w:line="276" w:lineRule="auto"/>
              <w:jc w:val="left"/>
              <w:rPr>
                <w:color w:val="000000"/>
              </w:rPr>
            </w:pPr>
          </w:p>
        </w:tc>
        <w:tc>
          <w:tcPr>
            <w:tcW w:w="1515" w:type="dxa"/>
            <w:tcBorders>
              <w:top w:val="nil"/>
              <w:left w:val="nil"/>
              <w:bottom w:val="single" w:sz="4" w:space="0" w:color="000000"/>
              <w:right w:val="single" w:sz="4" w:space="0" w:color="000000"/>
            </w:tcBorders>
            <w:shd w:val="clear" w:color="auto" w:fill="auto"/>
            <w:vAlign w:val="bottom"/>
          </w:tcPr>
          <w:p w14:paraId="58CDAEAF" w14:textId="77777777" w:rsidR="00F44EAE" w:rsidRDefault="00AB3F43">
            <w:pPr>
              <w:spacing w:before="0" w:after="0" w:line="240" w:lineRule="auto"/>
              <w:jc w:val="left"/>
              <w:rPr>
                <w:color w:val="000000"/>
              </w:rPr>
            </w:pPr>
            <w:r>
              <w:rPr>
                <w:color w:val="000000"/>
              </w:rPr>
              <w:t>Asset to Liability Ratio</w:t>
            </w:r>
          </w:p>
        </w:tc>
        <w:tc>
          <w:tcPr>
            <w:tcW w:w="2852" w:type="dxa"/>
            <w:tcBorders>
              <w:top w:val="nil"/>
              <w:left w:val="nil"/>
              <w:bottom w:val="single" w:sz="4" w:space="0" w:color="000000"/>
              <w:right w:val="single" w:sz="4" w:space="0" w:color="000000"/>
            </w:tcBorders>
            <w:shd w:val="clear" w:color="auto" w:fill="auto"/>
            <w:vAlign w:val="bottom"/>
          </w:tcPr>
          <w:p w14:paraId="65B3540D" w14:textId="77777777" w:rsidR="00F44EAE" w:rsidRDefault="00AB3F43">
            <w:pPr>
              <w:spacing w:before="0" w:after="0" w:line="240" w:lineRule="auto"/>
              <w:jc w:val="left"/>
              <w:rPr>
                <w:color w:val="000000"/>
              </w:rPr>
            </w:pPr>
            <w:r>
              <w:rPr>
                <w:color w:val="000000"/>
              </w:rPr>
              <w:t>(Total liabilities/ Total assets)</w:t>
            </w:r>
          </w:p>
        </w:tc>
        <w:tc>
          <w:tcPr>
            <w:tcW w:w="831" w:type="dxa"/>
            <w:tcBorders>
              <w:top w:val="nil"/>
              <w:left w:val="nil"/>
              <w:bottom w:val="single" w:sz="4" w:space="0" w:color="000000"/>
              <w:right w:val="single" w:sz="4" w:space="0" w:color="000000"/>
            </w:tcBorders>
            <w:shd w:val="clear" w:color="auto" w:fill="auto"/>
            <w:vAlign w:val="bottom"/>
          </w:tcPr>
          <w:p w14:paraId="2BAC66D1" w14:textId="77777777" w:rsidR="00F44EAE" w:rsidRDefault="00AB3F43">
            <w:pPr>
              <w:spacing w:before="0" w:after="0" w:line="240" w:lineRule="auto"/>
              <w:jc w:val="right"/>
              <w:rPr>
                <w:color w:val="000000"/>
              </w:rPr>
            </w:pPr>
            <w:r>
              <w:rPr>
                <w:color w:val="000000"/>
              </w:rPr>
              <w:t>0.722971152</w:t>
            </w:r>
          </w:p>
        </w:tc>
        <w:tc>
          <w:tcPr>
            <w:tcW w:w="831" w:type="dxa"/>
            <w:tcBorders>
              <w:top w:val="nil"/>
              <w:left w:val="nil"/>
              <w:bottom w:val="single" w:sz="4" w:space="0" w:color="000000"/>
              <w:right w:val="single" w:sz="4" w:space="0" w:color="000000"/>
            </w:tcBorders>
            <w:shd w:val="clear" w:color="auto" w:fill="auto"/>
            <w:vAlign w:val="bottom"/>
          </w:tcPr>
          <w:p w14:paraId="0FF12F94" w14:textId="77777777" w:rsidR="00F44EAE" w:rsidRDefault="00AB3F43">
            <w:pPr>
              <w:spacing w:before="0" w:after="0" w:line="240" w:lineRule="auto"/>
              <w:jc w:val="right"/>
              <w:rPr>
                <w:color w:val="000000"/>
              </w:rPr>
            </w:pPr>
            <w:r>
              <w:rPr>
                <w:color w:val="000000"/>
              </w:rPr>
              <w:t>0.72316809</w:t>
            </w:r>
          </w:p>
        </w:tc>
        <w:tc>
          <w:tcPr>
            <w:tcW w:w="831" w:type="dxa"/>
            <w:tcBorders>
              <w:top w:val="nil"/>
              <w:left w:val="nil"/>
              <w:bottom w:val="single" w:sz="4" w:space="0" w:color="000000"/>
              <w:right w:val="single" w:sz="4" w:space="0" w:color="000000"/>
            </w:tcBorders>
            <w:shd w:val="clear" w:color="auto" w:fill="auto"/>
            <w:vAlign w:val="bottom"/>
          </w:tcPr>
          <w:p w14:paraId="32BAF777" w14:textId="77777777" w:rsidR="00F44EAE" w:rsidRDefault="00AB3F43">
            <w:pPr>
              <w:spacing w:before="0" w:after="0" w:line="240" w:lineRule="auto"/>
              <w:jc w:val="right"/>
              <w:rPr>
                <w:color w:val="000000"/>
              </w:rPr>
            </w:pPr>
            <w:r>
              <w:rPr>
                <w:color w:val="000000"/>
              </w:rPr>
              <w:t>0.765321831</w:t>
            </w:r>
          </w:p>
        </w:tc>
        <w:tc>
          <w:tcPr>
            <w:tcW w:w="831" w:type="dxa"/>
            <w:tcBorders>
              <w:top w:val="nil"/>
              <w:left w:val="nil"/>
              <w:bottom w:val="single" w:sz="4" w:space="0" w:color="000000"/>
              <w:right w:val="single" w:sz="4" w:space="0" w:color="000000"/>
            </w:tcBorders>
            <w:shd w:val="clear" w:color="auto" w:fill="auto"/>
            <w:vAlign w:val="bottom"/>
          </w:tcPr>
          <w:p w14:paraId="49B45AA2" w14:textId="77777777" w:rsidR="00F44EAE" w:rsidRDefault="00AB3F43">
            <w:pPr>
              <w:spacing w:before="0" w:after="0" w:line="240" w:lineRule="auto"/>
              <w:jc w:val="right"/>
              <w:rPr>
                <w:color w:val="000000"/>
              </w:rPr>
            </w:pPr>
            <w:r>
              <w:rPr>
                <w:color w:val="000000"/>
              </w:rPr>
              <w:t>0.785968207</w:t>
            </w:r>
          </w:p>
        </w:tc>
        <w:tc>
          <w:tcPr>
            <w:tcW w:w="831" w:type="dxa"/>
            <w:tcBorders>
              <w:top w:val="nil"/>
              <w:left w:val="nil"/>
              <w:bottom w:val="single" w:sz="4" w:space="0" w:color="000000"/>
              <w:right w:val="single" w:sz="4" w:space="0" w:color="000000"/>
            </w:tcBorders>
            <w:shd w:val="clear" w:color="auto" w:fill="auto"/>
            <w:vAlign w:val="bottom"/>
          </w:tcPr>
          <w:p w14:paraId="2705E0DB" w14:textId="77777777" w:rsidR="00F44EAE" w:rsidRDefault="00AB3F43">
            <w:pPr>
              <w:spacing w:before="0" w:after="0" w:line="240" w:lineRule="auto"/>
              <w:jc w:val="right"/>
              <w:rPr>
                <w:color w:val="000000"/>
              </w:rPr>
            </w:pPr>
            <w:r>
              <w:rPr>
                <w:color w:val="000000"/>
              </w:rPr>
              <w:t>0.785612461</w:t>
            </w:r>
          </w:p>
        </w:tc>
      </w:tr>
    </w:tbl>
    <w:p w14:paraId="56FED42E" w14:textId="77777777" w:rsidR="00F44EAE" w:rsidRDefault="00F44EAE">
      <w:pPr>
        <w:pBdr>
          <w:top w:val="nil"/>
          <w:left w:val="nil"/>
          <w:bottom w:val="nil"/>
          <w:right w:val="nil"/>
          <w:between w:val="nil"/>
        </w:pBdr>
        <w:rPr>
          <w:color w:val="000000"/>
        </w:rPr>
      </w:pPr>
    </w:p>
    <w:p w14:paraId="091ED762" w14:textId="77777777" w:rsidR="00F44EAE" w:rsidRDefault="00AB3F43">
      <w:pPr>
        <w:pStyle w:val="Heading2"/>
      </w:pPr>
      <w:bookmarkStart w:id="37" w:name="_Toc171616568"/>
      <w:r>
        <w:t>‌Investment Proposal</w:t>
      </w:r>
      <w:bookmarkEnd w:id="37"/>
    </w:p>
    <w:tbl>
      <w:tblPr>
        <w:tblStyle w:val="TableGrid"/>
        <w:tblW w:w="0" w:type="auto"/>
        <w:tblLook w:val="04A0" w:firstRow="1" w:lastRow="0" w:firstColumn="1" w:lastColumn="0" w:noHBand="0" w:noVBand="1"/>
      </w:tblPr>
      <w:tblGrid>
        <w:gridCol w:w="1144"/>
        <w:gridCol w:w="1234"/>
        <w:gridCol w:w="808"/>
        <w:gridCol w:w="1035"/>
        <w:gridCol w:w="1143"/>
        <w:gridCol w:w="1033"/>
        <w:gridCol w:w="1308"/>
        <w:gridCol w:w="1035"/>
        <w:gridCol w:w="610"/>
      </w:tblGrid>
      <w:tr w:rsidR="00B523DA" w:rsidRPr="00B523DA" w14:paraId="435E51D7" w14:textId="77777777" w:rsidTr="00B523DA">
        <w:trPr>
          <w:trHeight w:val="300"/>
        </w:trPr>
        <w:tc>
          <w:tcPr>
            <w:tcW w:w="1969" w:type="dxa"/>
            <w:noWrap/>
            <w:hideMark/>
          </w:tcPr>
          <w:p w14:paraId="1D6DEDC7" w14:textId="77777777" w:rsidR="00B523DA" w:rsidRPr="00B523DA" w:rsidRDefault="00B523DA" w:rsidP="00B523DA">
            <w:pPr>
              <w:pBdr>
                <w:top w:val="nil"/>
                <w:left w:val="nil"/>
                <w:bottom w:val="nil"/>
                <w:right w:val="nil"/>
                <w:between w:val="nil"/>
              </w:pBdr>
              <w:rPr>
                <w:color w:val="000000"/>
              </w:rPr>
            </w:pPr>
            <w:r w:rsidRPr="00B523DA">
              <w:rPr>
                <w:color w:val="000000"/>
              </w:rPr>
              <w:t>Year</w:t>
            </w:r>
          </w:p>
        </w:tc>
        <w:tc>
          <w:tcPr>
            <w:tcW w:w="2140" w:type="dxa"/>
            <w:noWrap/>
            <w:hideMark/>
          </w:tcPr>
          <w:p w14:paraId="1D47AF41" w14:textId="77777777" w:rsidR="00B523DA" w:rsidRPr="00B523DA" w:rsidRDefault="00B523DA" w:rsidP="00B523DA">
            <w:pPr>
              <w:pBdr>
                <w:top w:val="nil"/>
                <w:left w:val="nil"/>
                <w:bottom w:val="nil"/>
                <w:right w:val="nil"/>
                <w:between w:val="nil"/>
              </w:pBdr>
              <w:rPr>
                <w:color w:val="000000"/>
              </w:rPr>
            </w:pPr>
            <w:r w:rsidRPr="00B523DA">
              <w:rPr>
                <w:color w:val="000000"/>
              </w:rPr>
              <w:t>Projected cash(£m)</w:t>
            </w:r>
          </w:p>
        </w:tc>
        <w:tc>
          <w:tcPr>
            <w:tcW w:w="1300" w:type="dxa"/>
            <w:noWrap/>
            <w:hideMark/>
          </w:tcPr>
          <w:p w14:paraId="621B20C9" w14:textId="77777777" w:rsidR="00B523DA" w:rsidRPr="00B523DA" w:rsidRDefault="00B523DA" w:rsidP="00B523DA">
            <w:pPr>
              <w:pBdr>
                <w:top w:val="nil"/>
                <w:left w:val="nil"/>
                <w:bottom w:val="nil"/>
                <w:right w:val="nil"/>
                <w:between w:val="nil"/>
              </w:pBdr>
              <w:rPr>
                <w:color w:val="000000"/>
              </w:rPr>
            </w:pPr>
            <w:r w:rsidRPr="00B523DA">
              <w:rPr>
                <w:color w:val="000000"/>
              </w:rPr>
              <w:t xml:space="preserve">Cumulative </w:t>
            </w:r>
            <w:proofErr w:type="gramStart"/>
            <w:r w:rsidRPr="00B523DA">
              <w:rPr>
                <w:color w:val="000000"/>
              </w:rPr>
              <w:t>cash  (</w:t>
            </w:r>
            <w:proofErr w:type="gramEnd"/>
            <w:r w:rsidRPr="00B523DA">
              <w:rPr>
                <w:color w:val="000000"/>
              </w:rPr>
              <w:t>£m)</w:t>
            </w:r>
          </w:p>
        </w:tc>
        <w:tc>
          <w:tcPr>
            <w:tcW w:w="1765" w:type="dxa"/>
            <w:noWrap/>
            <w:hideMark/>
          </w:tcPr>
          <w:p w14:paraId="45C5A67F"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4A912A0E" w14:textId="77777777" w:rsidR="00B523DA" w:rsidRPr="00B523DA" w:rsidRDefault="00B523DA" w:rsidP="00B523DA">
            <w:pPr>
              <w:pBdr>
                <w:top w:val="nil"/>
                <w:left w:val="nil"/>
                <w:bottom w:val="nil"/>
                <w:right w:val="nil"/>
                <w:between w:val="nil"/>
              </w:pBdr>
              <w:rPr>
                <w:color w:val="000000"/>
              </w:rPr>
            </w:pPr>
            <w:r w:rsidRPr="00B523DA">
              <w:rPr>
                <w:color w:val="000000"/>
              </w:rPr>
              <w:t>Year</w:t>
            </w:r>
          </w:p>
        </w:tc>
        <w:tc>
          <w:tcPr>
            <w:tcW w:w="1761" w:type="dxa"/>
            <w:noWrap/>
            <w:hideMark/>
          </w:tcPr>
          <w:p w14:paraId="3E0745B6" w14:textId="77777777" w:rsidR="00B523DA" w:rsidRPr="00B523DA" w:rsidRDefault="00B523DA" w:rsidP="00B523DA">
            <w:pPr>
              <w:pBdr>
                <w:top w:val="nil"/>
                <w:left w:val="nil"/>
                <w:bottom w:val="nil"/>
                <w:right w:val="nil"/>
                <w:between w:val="nil"/>
              </w:pBdr>
              <w:rPr>
                <w:color w:val="000000"/>
              </w:rPr>
            </w:pPr>
            <w:r w:rsidRPr="00B523DA">
              <w:rPr>
                <w:color w:val="000000"/>
              </w:rPr>
              <w:t>Projected cash(£m)</w:t>
            </w:r>
          </w:p>
        </w:tc>
        <w:tc>
          <w:tcPr>
            <w:tcW w:w="2280" w:type="dxa"/>
            <w:noWrap/>
            <w:hideMark/>
          </w:tcPr>
          <w:p w14:paraId="380A1CCD" w14:textId="77777777" w:rsidR="00B523DA" w:rsidRPr="00B523DA" w:rsidRDefault="00B523DA" w:rsidP="00B523DA">
            <w:pPr>
              <w:pBdr>
                <w:top w:val="nil"/>
                <w:left w:val="nil"/>
                <w:bottom w:val="nil"/>
                <w:right w:val="nil"/>
                <w:between w:val="nil"/>
              </w:pBdr>
              <w:rPr>
                <w:color w:val="000000"/>
              </w:rPr>
            </w:pPr>
            <w:r w:rsidRPr="00B523DA">
              <w:rPr>
                <w:color w:val="000000"/>
              </w:rPr>
              <w:t xml:space="preserve">Cumulative </w:t>
            </w:r>
            <w:proofErr w:type="gramStart"/>
            <w:r w:rsidRPr="00B523DA">
              <w:rPr>
                <w:color w:val="000000"/>
              </w:rPr>
              <w:t>cash  (</w:t>
            </w:r>
            <w:proofErr w:type="gramEnd"/>
            <w:r w:rsidRPr="00B523DA">
              <w:rPr>
                <w:color w:val="000000"/>
              </w:rPr>
              <w:t>£m)</w:t>
            </w:r>
          </w:p>
        </w:tc>
        <w:tc>
          <w:tcPr>
            <w:tcW w:w="1765" w:type="dxa"/>
            <w:noWrap/>
            <w:hideMark/>
          </w:tcPr>
          <w:p w14:paraId="76FFBB76"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4BC799A6" w14:textId="77777777" w:rsidR="00B523DA" w:rsidRPr="00B523DA" w:rsidRDefault="00B523DA" w:rsidP="00B523DA">
            <w:pPr>
              <w:pBdr>
                <w:top w:val="nil"/>
                <w:left w:val="nil"/>
                <w:bottom w:val="nil"/>
                <w:right w:val="nil"/>
                <w:between w:val="nil"/>
              </w:pBdr>
              <w:rPr>
                <w:color w:val="000000"/>
              </w:rPr>
            </w:pPr>
          </w:p>
        </w:tc>
      </w:tr>
      <w:tr w:rsidR="00B523DA" w:rsidRPr="00B523DA" w14:paraId="04E412FA" w14:textId="77777777" w:rsidTr="00B523DA">
        <w:trPr>
          <w:trHeight w:val="300"/>
        </w:trPr>
        <w:tc>
          <w:tcPr>
            <w:tcW w:w="1969" w:type="dxa"/>
            <w:noWrap/>
            <w:hideMark/>
          </w:tcPr>
          <w:p w14:paraId="14768B76" w14:textId="77777777" w:rsidR="00B523DA" w:rsidRPr="00B523DA" w:rsidRDefault="00B523DA" w:rsidP="00B523DA">
            <w:pPr>
              <w:pBdr>
                <w:top w:val="nil"/>
                <w:left w:val="nil"/>
                <w:bottom w:val="nil"/>
                <w:right w:val="nil"/>
                <w:between w:val="nil"/>
              </w:pBdr>
              <w:rPr>
                <w:color w:val="000000"/>
              </w:rPr>
            </w:pPr>
            <w:r w:rsidRPr="00B523DA">
              <w:rPr>
                <w:color w:val="000000"/>
              </w:rPr>
              <w:t>0</w:t>
            </w:r>
          </w:p>
        </w:tc>
        <w:tc>
          <w:tcPr>
            <w:tcW w:w="2140" w:type="dxa"/>
            <w:noWrap/>
            <w:hideMark/>
          </w:tcPr>
          <w:p w14:paraId="22D0E5FE" w14:textId="77777777" w:rsidR="00B523DA" w:rsidRPr="00B523DA" w:rsidRDefault="00B523DA" w:rsidP="00B523DA">
            <w:pPr>
              <w:pBdr>
                <w:top w:val="nil"/>
                <w:left w:val="nil"/>
                <w:bottom w:val="nil"/>
                <w:right w:val="nil"/>
                <w:between w:val="nil"/>
              </w:pBdr>
              <w:rPr>
                <w:color w:val="000000"/>
              </w:rPr>
            </w:pPr>
            <w:r w:rsidRPr="00B523DA">
              <w:rPr>
                <w:color w:val="000000"/>
              </w:rPr>
              <w:t>-80</w:t>
            </w:r>
          </w:p>
        </w:tc>
        <w:tc>
          <w:tcPr>
            <w:tcW w:w="1300" w:type="dxa"/>
            <w:noWrap/>
            <w:hideMark/>
          </w:tcPr>
          <w:p w14:paraId="4313F69F" w14:textId="77777777" w:rsidR="00B523DA" w:rsidRPr="00B523DA" w:rsidRDefault="00B523DA" w:rsidP="00B523DA">
            <w:pPr>
              <w:pBdr>
                <w:top w:val="nil"/>
                <w:left w:val="nil"/>
                <w:bottom w:val="nil"/>
                <w:right w:val="nil"/>
                <w:between w:val="nil"/>
              </w:pBdr>
              <w:rPr>
                <w:color w:val="000000"/>
              </w:rPr>
            </w:pPr>
            <w:r w:rsidRPr="00B523DA">
              <w:rPr>
                <w:color w:val="000000"/>
              </w:rPr>
              <w:t>-80</w:t>
            </w:r>
          </w:p>
        </w:tc>
        <w:tc>
          <w:tcPr>
            <w:tcW w:w="1765" w:type="dxa"/>
            <w:noWrap/>
            <w:hideMark/>
          </w:tcPr>
          <w:p w14:paraId="6FE91830"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5C51CEE4" w14:textId="77777777" w:rsidR="00B523DA" w:rsidRPr="00B523DA" w:rsidRDefault="00B523DA" w:rsidP="00B523DA">
            <w:pPr>
              <w:pBdr>
                <w:top w:val="nil"/>
                <w:left w:val="nil"/>
                <w:bottom w:val="nil"/>
                <w:right w:val="nil"/>
                <w:between w:val="nil"/>
              </w:pBdr>
              <w:rPr>
                <w:color w:val="000000"/>
              </w:rPr>
            </w:pPr>
            <w:r w:rsidRPr="00B523DA">
              <w:rPr>
                <w:color w:val="000000"/>
              </w:rPr>
              <w:t>0</w:t>
            </w:r>
          </w:p>
        </w:tc>
        <w:tc>
          <w:tcPr>
            <w:tcW w:w="1761" w:type="dxa"/>
            <w:noWrap/>
            <w:hideMark/>
          </w:tcPr>
          <w:p w14:paraId="497AD892" w14:textId="77777777" w:rsidR="00B523DA" w:rsidRPr="00B523DA" w:rsidRDefault="00B523DA" w:rsidP="00B523DA">
            <w:pPr>
              <w:pBdr>
                <w:top w:val="nil"/>
                <w:left w:val="nil"/>
                <w:bottom w:val="nil"/>
                <w:right w:val="nil"/>
                <w:between w:val="nil"/>
              </w:pBdr>
              <w:rPr>
                <w:color w:val="000000"/>
              </w:rPr>
            </w:pPr>
            <w:r w:rsidRPr="00B523DA">
              <w:rPr>
                <w:color w:val="000000"/>
              </w:rPr>
              <w:t>-75</w:t>
            </w:r>
          </w:p>
        </w:tc>
        <w:tc>
          <w:tcPr>
            <w:tcW w:w="2280" w:type="dxa"/>
            <w:noWrap/>
            <w:hideMark/>
          </w:tcPr>
          <w:p w14:paraId="08D3276B" w14:textId="77777777" w:rsidR="00B523DA" w:rsidRPr="00B523DA" w:rsidRDefault="00B523DA" w:rsidP="00B523DA">
            <w:pPr>
              <w:pBdr>
                <w:top w:val="nil"/>
                <w:left w:val="nil"/>
                <w:bottom w:val="nil"/>
                <w:right w:val="nil"/>
                <w:between w:val="nil"/>
              </w:pBdr>
              <w:rPr>
                <w:color w:val="000000"/>
              </w:rPr>
            </w:pPr>
            <w:r w:rsidRPr="00B523DA">
              <w:rPr>
                <w:color w:val="000000"/>
              </w:rPr>
              <w:t>-75</w:t>
            </w:r>
          </w:p>
        </w:tc>
        <w:tc>
          <w:tcPr>
            <w:tcW w:w="1765" w:type="dxa"/>
            <w:noWrap/>
            <w:hideMark/>
          </w:tcPr>
          <w:p w14:paraId="279BE733"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23015344" w14:textId="77777777" w:rsidR="00B523DA" w:rsidRPr="00B523DA" w:rsidRDefault="00B523DA" w:rsidP="00B523DA">
            <w:pPr>
              <w:pBdr>
                <w:top w:val="nil"/>
                <w:left w:val="nil"/>
                <w:bottom w:val="nil"/>
                <w:right w:val="nil"/>
                <w:between w:val="nil"/>
              </w:pBdr>
              <w:rPr>
                <w:color w:val="000000"/>
              </w:rPr>
            </w:pPr>
          </w:p>
        </w:tc>
      </w:tr>
      <w:tr w:rsidR="00B523DA" w:rsidRPr="00B523DA" w14:paraId="46F4B358" w14:textId="77777777" w:rsidTr="00B523DA">
        <w:trPr>
          <w:trHeight w:val="300"/>
        </w:trPr>
        <w:tc>
          <w:tcPr>
            <w:tcW w:w="1969" w:type="dxa"/>
            <w:noWrap/>
            <w:hideMark/>
          </w:tcPr>
          <w:p w14:paraId="3CB8A7EF"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2140" w:type="dxa"/>
            <w:noWrap/>
            <w:hideMark/>
          </w:tcPr>
          <w:p w14:paraId="130F4EA0" w14:textId="77777777" w:rsidR="00B523DA" w:rsidRPr="00B523DA" w:rsidRDefault="00B523DA" w:rsidP="00B523DA">
            <w:pPr>
              <w:pBdr>
                <w:top w:val="nil"/>
                <w:left w:val="nil"/>
                <w:bottom w:val="nil"/>
                <w:right w:val="nil"/>
                <w:between w:val="nil"/>
              </w:pBdr>
              <w:rPr>
                <w:color w:val="000000"/>
              </w:rPr>
            </w:pPr>
            <w:r w:rsidRPr="00B523DA">
              <w:rPr>
                <w:color w:val="000000"/>
              </w:rPr>
              <w:t>25</w:t>
            </w:r>
          </w:p>
        </w:tc>
        <w:tc>
          <w:tcPr>
            <w:tcW w:w="1300" w:type="dxa"/>
            <w:noWrap/>
            <w:hideMark/>
          </w:tcPr>
          <w:p w14:paraId="4D47F896" w14:textId="77777777" w:rsidR="00B523DA" w:rsidRPr="00B523DA" w:rsidRDefault="00B523DA" w:rsidP="00B523DA">
            <w:pPr>
              <w:pBdr>
                <w:top w:val="nil"/>
                <w:left w:val="nil"/>
                <w:bottom w:val="nil"/>
                <w:right w:val="nil"/>
                <w:between w:val="nil"/>
              </w:pBdr>
              <w:rPr>
                <w:color w:val="000000"/>
              </w:rPr>
            </w:pPr>
            <w:r w:rsidRPr="00B523DA">
              <w:rPr>
                <w:color w:val="000000"/>
              </w:rPr>
              <w:t>-55</w:t>
            </w:r>
          </w:p>
        </w:tc>
        <w:tc>
          <w:tcPr>
            <w:tcW w:w="1765" w:type="dxa"/>
            <w:noWrap/>
            <w:hideMark/>
          </w:tcPr>
          <w:p w14:paraId="5D186FA0"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0D7F44DD"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1761" w:type="dxa"/>
            <w:noWrap/>
            <w:hideMark/>
          </w:tcPr>
          <w:p w14:paraId="66818FCD" w14:textId="77777777" w:rsidR="00B523DA" w:rsidRPr="00B523DA" w:rsidRDefault="00B523DA" w:rsidP="00B523DA">
            <w:pPr>
              <w:pBdr>
                <w:top w:val="nil"/>
                <w:left w:val="nil"/>
                <w:bottom w:val="nil"/>
                <w:right w:val="nil"/>
                <w:between w:val="nil"/>
              </w:pBdr>
              <w:rPr>
                <w:color w:val="000000"/>
              </w:rPr>
            </w:pPr>
            <w:r w:rsidRPr="00B523DA">
              <w:rPr>
                <w:color w:val="000000"/>
              </w:rPr>
              <w:t>50</w:t>
            </w:r>
          </w:p>
        </w:tc>
        <w:tc>
          <w:tcPr>
            <w:tcW w:w="2280" w:type="dxa"/>
            <w:noWrap/>
            <w:hideMark/>
          </w:tcPr>
          <w:p w14:paraId="13768A2F" w14:textId="77777777" w:rsidR="00B523DA" w:rsidRPr="00B523DA" w:rsidRDefault="00B523DA" w:rsidP="00B523DA">
            <w:pPr>
              <w:pBdr>
                <w:top w:val="nil"/>
                <w:left w:val="nil"/>
                <w:bottom w:val="nil"/>
                <w:right w:val="nil"/>
                <w:between w:val="nil"/>
              </w:pBdr>
              <w:rPr>
                <w:color w:val="000000"/>
              </w:rPr>
            </w:pPr>
            <w:r w:rsidRPr="00B523DA">
              <w:rPr>
                <w:color w:val="000000"/>
              </w:rPr>
              <w:t>-25</w:t>
            </w:r>
          </w:p>
        </w:tc>
        <w:tc>
          <w:tcPr>
            <w:tcW w:w="1765" w:type="dxa"/>
            <w:noWrap/>
            <w:hideMark/>
          </w:tcPr>
          <w:p w14:paraId="459FF754"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24E02B95" w14:textId="77777777" w:rsidR="00B523DA" w:rsidRPr="00B523DA" w:rsidRDefault="00B523DA" w:rsidP="00B523DA">
            <w:pPr>
              <w:pBdr>
                <w:top w:val="nil"/>
                <w:left w:val="nil"/>
                <w:bottom w:val="nil"/>
                <w:right w:val="nil"/>
                <w:between w:val="nil"/>
              </w:pBdr>
              <w:rPr>
                <w:color w:val="000000"/>
              </w:rPr>
            </w:pPr>
          </w:p>
        </w:tc>
      </w:tr>
      <w:tr w:rsidR="00B523DA" w:rsidRPr="00B523DA" w14:paraId="7241DC74" w14:textId="77777777" w:rsidTr="00B523DA">
        <w:trPr>
          <w:trHeight w:val="300"/>
        </w:trPr>
        <w:tc>
          <w:tcPr>
            <w:tcW w:w="1969" w:type="dxa"/>
            <w:noWrap/>
            <w:hideMark/>
          </w:tcPr>
          <w:p w14:paraId="349103FF" w14:textId="77777777" w:rsidR="00B523DA" w:rsidRPr="00B523DA" w:rsidRDefault="00B523DA" w:rsidP="00B523DA">
            <w:pPr>
              <w:pBdr>
                <w:top w:val="nil"/>
                <w:left w:val="nil"/>
                <w:bottom w:val="nil"/>
                <w:right w:val="nil"/>
                <w:between w:val="nil"/>
              </w:pBdr>
              <w:rPr>
                <w:color w:val="000000"/>
              </w:rPr>
            </w:pPr>
            <w:r w:rsidRPr="00B523DA">
              <w:rPr>
                <w:color w:val="000000"/>
              </w:rPr>
              <w:t>2</w:t>
            </w:r>
          </w:p>
        </w:tc>
        <w:tc>
          <w:tcPr>
            <w:tcW w:w="2140" w:type="dxa"/>
            <w:noWrap/>
            <w:hideMark/>
          </w:tcPr>
          <w:p w14:paraId="3A531CFD" w14:textId="77777777" w:rsidR="00B523DA" w:rsidRPr="00B523DA" w:rsidRDefault="00B523DA" w:rsidP="00B523DA">
            <w:pPr>
              <w:pBdr>
                <w:top w:val="nil"/>
                <w:left w:val="nil"/>
                <w:bottom w:val="nil"/>
                <w:right w:val="nil"/>
                <w:between w:val="nil"/>
              </w:pBdr>
              <w:rPr>
                <w:color w:val="000000"/>
              </w:rPr>
            </w:pPr>
            <w:r w:rsidRPr="00B523DA">
              <w:rPr>
                <w:color w:val="000000"/>
              </w:rPr>
              <w:t>25</w:t>
            </w:r>
          </w:p>
        </w:tc>
        <w:tc>
          <w:tcPr>
            <w:tcW w:w="1300" w:type="dxa"/>
            <w:noWrap/>
            <w:hideMark/>
          </w:tcPr>
          <w:p w14:paraId="218BD71A" w14:textId="77777777" w:rsidR="00B523DA" w:rsidRPr="00B523DA" w:rsidRDefault="00B523DA" w:rsidP="00B523DA">
            <w:pPr>
              <w:pBdr>
                <w:top w:val="nil"/>
                <w:left w:val="nil"/>
                <w:bottom w:val="nil"/>
                <w:right w:val="nil"/>
                <w:between w:val="nil"/>
              </w:pBdr>
              <w:rPr>
                <w:color w:val="000000"/>
              </w:rPr>
            </w:pPr>
            <w:r w:rsidRPr="00B523DA">
              <w:rPr>
                <w:color w:val="000000"/>
              </w:rPr>
              <w:t>-30</w:t>
            </w:r>
          </w:p>
        </w:tc>
        <w:tc>
          <w:tcPr>
            <w:tcW w:w="1765" w:type="dxa"/>
            <w:noWrap/>
            <w:hideMark/>
          </w:tcPr>
          <w:p w14:paraId="0CC7B4F9"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64767498" w14:textId="77777777" w:rsidR="00B523DA" w:rsidRPr="00B523DA" w:rsidRDefault="00B523DA" w:rsidP="00B523DA">
            <w:pPr>
              <w:pBdr>
                <w:top w:val="nil"/>
                <w:left w:val="nil"/>
                <w:bottom w:val="nil"/>
                <w:right w:val="nil"/>
                <w:between w:val="nil"/>
              </w:pBdr>
              <w:rPr>
                <w:color w:val="000000"/>
              </w:rPr>
            </w:pPr>
            <w:r w:rsidRPr="00B523DA">
              <w:rPr>
                <w:color w:val="000000"/>
              </w:rPr>
              <w:t>2</w:t>
            </w:r>
          </w:p>
        </w:tc>
        <w:tc>
          <w:tcPr>
            <w:tcW w:w="1761" w:type="dxa"/>
            <w:noWrap/>
            <w:hideMark/>
          </w:tcPr>
          <w:p w14:paraId="2F63D7A4"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2454820D" w14:textId="77777777" w:rsidR="00B523DA" w:rsidRPr="00B523DA" w:rsidRDefault="00B523DA" w:rsidP="00B523DA">
            <w:pPr>
              <w:pBdr>
                <w:top w:val="nil"/>
                <w:left w:val="nil"/>
                <w:bottom w:val="nil"/>
                <w:right w:val="nil"/>
                <w:between w:val="nil"/>
              </w:pBdr>
              <w:rPr>
                <w:color w:val="000000"/>
              </w:rPr>
            </w:pPr>
            <w:r w:rsidRPr="00B523DA">
              <w:rPr>
                <w:color w:val="000000"/>
              </w:rPr>
              <w:t>-5</w:t>
            </w:r>
          </w:p>
        </w:tc>
        <w:tc>
          <w:tcPr>
            <w:tcW w:w="1765" w:type="dxa"/>
            <w:noWrap/>
            <w:hideMark/>
          </w:tcPr>
          <w:p w14:paraId="590DED89"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065E7F2F" w14:textId="77777777" w:rsidR="00B523DA" w:rsidRPr="00B523DA" w:rsidRDefault="00B523DA" w:rsidP="00B523DA">
            <w:pPr>
              <w:pBdr>
                <w:top w:val="nil"/>
                <w:left w:val="nil"/>
                <w:bottom w:val="nil"/>
                <w:right w:val="nil"/>
                <w:between w:val="nil"/>
              </w:pBdr>
              <w:rPr>
                <w:color w:val="000000"/>
              </w:rPr>
            </w:pPr>
          </w:p>
        </w:tc>
      </w:tr>
      <w:tr w:rsidR="00B523DA" w:rsidRPr="00B523DA" w14:paraId="3A059C5C" w14:textId="77777777" w:rsidTr="00B523DA">
        <w:trPr>
          <w:trHeight w:val="300"/>
        </w:trPr>
        <w:tc>
          <w:tcPr>
            <w:tcW w:w="1969" w:type="dxa"/>
            <w:noWrap/>
            <w:hideMark/>
          </w:tcPr>
          <w:p w14:paraId="63B338B0" w14:textId="77777777" w:rsidR="00B523DA" w:rsidRPr="00B523DA" w:rsidRDefault="00B523DA" w:rsidP="00B523DA">
            <w:pPr>
              <w:pBdr>
                <w:top w:val="nil"/>
                <w:left w:val="nil"/>
                <w:bottom w:val="nil"/>
                <w:right w:val="nil"/>
                <w:between w:val="nil"/>
              </w:pBdr>
              <w:rPr>
                <w:color w:val="000000"/>
              </w:rPr>
            </w:pPr>
            <w:r w:rsidRPr="00B523DA">
              <w:rPr>
                <w:color w:val="000000"/>
              </w:rPr>
              <w:t>3</w:t>
            </w:r>
          </w:p>
        </w:tc>
        <w:tc>
          <w:tcPr>
            <w:tcW w:w="2140" w:type="dxa"/>
            <w:noWrap/>
            <w:hideMark/>
          </w:tcPr>
          <w:p w14:paraId="6D929D2A"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1300" w:type="dxa"/>
            <w:noWrap/>
            <w:hideMark/>
          </w:tcPr>
          <w:p w14:paraId="2CA43D4F" w14:textId="77777777" w:rsidR="00B523DA" w:rsidRPr="00B523DA" w:rsidRDefault="00B523DA" w:rsidP="00B523DA">
            <w:pPr>
              <w:pBdr>
                <w:top w:val="nil"/>
                <w:left w:val="nil"/>
                <w:bottom w:val="nil"/>
                <w:right w:val="nil"/>
                <w:between w:val="nil"/>
              </w:pBdr>
              <w:rPr>
                <w:color w:val="000000"/>
              </w:rPr>
            </w:pPr>
            <w:r w:rsidRPr="00B523DA">
              <w:rPr>
                <w:color w:val="000000"/>
              </w:rPr>
              <w:t>-10</w:t>
            </w:r>
          </w:p>
        </w:tc>
        <w:tc>
          <w:tcPr>
            <w:tcW w:w="1765" w:type="dxa"/>
            <w:noWrap/>
            <w:hideMark/>
          </w:tcPr>
          <w:p w14:paraId="33D0CCA7"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6C47EB0C" w14:textId="77777777" w:rsidR="00B523DA" w:rsidRPr="00B523DA" w:rsidRDefault="00B523DA" w:rsidP="00B523DA">
            <w:pPr>
              <w:pBdr>
                <w:top w:val="nil"/>
                <w:left w:val="nil"/>
                <w:bottom w:val="nil"/>
                <w:right w:val="nil"/>
                <w:between w:val="nil"/>
              </w:pBdr>
              <w:rPr>
                <w:color w:val="000000"/>
              </w:rPr>
            </w:pPr>
            <w:r w:rsidRPr="00B523DA">
              <w:rPr>
                <w:color w:val="000000"/>
              </w:rPr>
              <w:t>3</w:t>
            </w:r>
          </w:p>
        </w:tc>
        <w:tc>
          <w:tcPr>
            <w:tcW w:w="1761" w:type="dxa"/>
            <w:noWrap/>
            <w:hideMark/>
          </w:tcPr>
          <w:p w14:paraId="1E111709"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10AD687F" w14:textId="77777777" w:rsidR="00B523DA" w:rsidRPr="00B523DA" w:rsidRDefault="00B523DA" w:rsidP="00B523DA">
            <w:pPr>
              <w:pBdr>
                <w:top w:val="nil"/>
                <w:left w:val="nil"/>
                <w:bottom w:val="nil"/>
                <w:right w:val="nil"/>
                <w:between w:val="nil"/>
              </w:pBdr>
              <w:rPr>
                <w:color w:val="000000"/>
              </w:rPr>
            </w:pPr>
            <w:r w:rsidRPr="00B523DA">
              <w:rPr>
                <w:color w:val="000000"/>
              </w:rPr>
              <w:t>15</w:t>
            </w:r>
          </w:p>
        </w:tc>
        <w:tc>
          <w:tcPr>
            <w:tcW w:w="1765" w:type="dxa"/>
            <w:noWrap/>
            <w:hideMark/>
          </w:tcPr>
          <w:p w14:paraId="678E9AC3"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64D427BE" w14:textId="77777777" w:rsidR="00B523DA" w:rsidRPr="00B523DA" w:rsidRDefault="00B523DA" w:rsidP="00B523DA">
            <w:pPr>
              <w:pBdr>
                <w:top w:val="nil"/>
                <w:left w:val="nil"/>
                <w:bottom w:val="nil"/>
                <w:right w:val="nil"/>
                <w:between w:val="nil"/>
              </w:pBdr>
              <w:rPr>
                <w:color w:val="000000"/>
              </w:rPr>
            </w:pPr>
          </w:p>
        </w:tc>
      </w:tr>
      <w:tr w:rsidR="00B523DA" w:rsidRPr="00B523DA" w14:paraId="634ED301" w14:textId="77777777" w:rsidTr="00B523DA">
        <w:trPr>
          <w:trHeight w:val="300"/>
        </w:trPr>
        <w:tc>
          <w:tcPr>
            <w:tcW w:w="1969" w:type="dxa"/>
            <w:noWrap/>
            <w:hideMark/>
          </w:tcPr>
          <w:p w14:paraId="044C4453" w14:textId="77777777" w:rsidR="00B523DA" w:rsidRPr="00B523DA" w:rsidRDefault="00B523DA" w:rsidP="00B523DA">
            <w:pPr>
              <w:pBdr>
                <w:top w:val="nil"/>
                <w:left w:val="nil"/>
                <w:bottom w:val="nil"/>
                <w:right w:val="nil"/>
                <w:between w:val="nil"/>
              </w:pBdr>
              <w:rPr>
                <w:color w:val="000000"/>
              </w:rPr>
            </w:pPr>
            <w:r w:rsidRPr="00B523DA">
              <w:rPr>
                <w:color w:val="000000"/>
              </w:rPr>
              <w:t>4</w:t>
            </w:r>
          </w:p>
        </w:tc>
        <w:tc>
          <w:tcPr>
            <w:tcW w:w="2140" w:type="dxa"/>
            <w:noWrap/>
            <w:hideMark/>
          </w:tcPr>
          <w:p w14:paraId="7CE5E1E4" w14:textId="77777777" w:rsidR="00B523DA" w:rsidRPr="00B523DA" w:rsidRDefault="00B523DA" w:rsidP="00B523DA">
            <w:pPr>
              <w:pBdr>
                <w:top w:val="nil"/>
                <w:left w:val="nil"/>
                <w:bottom w:val="nil"/>
                <w:right w:val="nil"/>
                <w:between w:val="nil"/>
              </w:pBdr>
              <w:rPr>
                <w:color w:val="000000"/>
              </w:rPr>
            </w:pPr>
            <w:r w:rsidRPr="00B523DA">
              <w:rPr>
                <w:color w:val="000000"/>
              </w:rPr>
              <w:t>55</w:t>
            </w:r>
          </w:p>
        </w:tc>
        <w:tc>
          <w:tcPr>
            <w:tcW w:w="1300" w:type="dxa"/>
            <w:noWrap/>
            <w:hideMark/>
          </w:tcPr>
          <w:p w14:paraId="1A17DB72" w14:textId="77777777" w:rsidR="00B523DA" w:rsidRPr="00B523DA" w:rsidRDefault="00B523DA" w:rsidP="00B523DA">
            <w:pPr>
              <w:pBdr>
                <w:top w:val="nil"/>
                <w:left w:val="nil"/>
                <w:bottom w:val="nil"/>
                <w:right w:val="nil"/>
                <w:between w:val="nil"/>
              </w:pBdr>
              <w:rPr>
                <w:color w:val="000000"/>
              </w:rPr>
            </w:pPr>
            <w:r w:rsidRPr="00B523DA">
              <w:rPr>
                <w:color w:val="000000"/>
              </w:rPr>
              <w:t>45</w:t>
            </w:r>
          </w:p>
        </w:tc>
        <w:tc>
          <w:tcPr>
            <w:tcW w:w="1765" w:type="dxa"/>
            <w:noWrap/>
            <w:hideMark/>
          </w:tcPr>
          <w:p w14:paraId="204A6262"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1969" w:type="dxa"/>
            <w:noWrap/>
            <w:hideMark/>
          </w:tcPr>
          <w:p w14:paraId="60AD0565" w14:textId="77777777" w:rsidR="00B523DA" w:rsidRPr="00B523DA" w:rsidRDefault="00B523DA" w:rsidP="00B523DA">
            <w:pPr>
              <w:pBdr>
                <w:top w:val="nil"/>
                <w:left w:val="nil"/>
                <w:bottom w:val="nil"/>
                <w:right w:val="nil"/>
                <w:between w:val="nil"/>
              </w:pBdr>
              <w:rPr>
                <w:color w:val="000000"/>
              </w:rPr>
            </w:pPr>
            <w:r w:rsidRPr="00B523DA">
              <w:rPr>
                <w:color w:val="000000"/>
              </w:rPr>
              <w:t>4</w:t>
            </w:r>
          </w:p>
        </w:tc>
        <w:tc>
          <w:tcPr>
            <w:tcW w:w="1761" w:type="dxa"/>
            <w:noWrap/>
            <w:hideMark/>
          </w:tcPr>
          <w:p w14:paraId="68B4CB95"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7AF2EF70" w14:textId="77777777" w:rsidR="00B523DA" w:rsidRPr="00B523DA" w:rsidRDefault="00B523DA" w:rsidP="00B523DA">
            <w:pPr>
              <w:pBdr>
                <w:top w:val="nil"/>
                <w:left w:val="nil"/>
                <w:bottom w:val="nil"/>
                <w:right w:val="nil"/>
                <w:between w:val="nil"/>
              </w:pBdr>
              <w:rPr>
                <w:color w:val="000000"/>
              </w:rPr>
            </w:pPr>
            <w:r w:rsidRPr="00B523DA">
              <w:rPr>
                <w:color w:val="000000"/>
              </w:rPr>
              <w:t>35</w:t>
            </w:r>
          </w:p>
        </w:tc>
        <w:tc>
          <w:tcPr>
            <w:tcW w:w="1765" w:type="dxa"/>
            <w:noWrap/>
            <w:hideMark/>
          </w:tcPr>
          <w:p w14:paraId="54D8937F"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139F5A10" w14:textId="77777777" w:rsidR="00B523DA" w:rsidRPr="00B523DA" w:rsidRDefault="00B523DA" w:rsidP="00B523DA">
            <w:pPr>
              <w:pBdr>
                <w:top w:val="nil"/>
                <w:left w:val="nil"/>
                <w:bottom w:val="nil"/>
                <w:right w:val="nil"/>
                <w:between w:val="nil"/>
              </w:pBdr>
              <w:rPr>
                <w:color w:val="000000"/>
              </w:rPr>
            </w:pPr>
          </w:p>
        </w:tc>
      </w:tr>
      <w:tr w:rsidR="00B523DA" w:rsidRPr="00B523DA" w14:paraId="54DA5A82" w14:textId="77777777" w:rsidTr="00B523DA">
        <w:trPr>
          <w:trHeight w:val="300"/>
        </w:trPr>
        <w:tc>
          <w:tcPr>
            <w:tcW w:w="4109" w:type="dxa"/>
            <w:gridSpan w:val="2"/>
            <w:noWrap/>
            <w:hideMark/>
          </w:tcPr>
          <w:p w14:paraId="6201BA3B" w14:textId="77777777" w:rsidR="00B523DA" w:rsidRPr="00B523DA" w:rsidRDefault="00B523DA" w:rsidP="00B523DA">
            <w:pPr>
              <w:pBdr>
                <w:top w:val="nil"/>
                <w:left w:val="nil"/>
                <w:bottom w:val="nil"/>
                <w:right w:val="nil"/>
                <w:between w:val="nil"/>
              </w:pBdr>
              <w:rPr>
                <w:color w:val="000000"/>
              </w:rPr>
            </w:pPr>
            <w:r w:rsidRPr="00B523DA">
              <w:rPr>
                <w:color w:val="000000"/>
              </w:rPr>
              <w:t>Payback period</w:t>
            </w:r>
          </w:p>
        </w:tc>
        <w:tc>
          <w:tcPr>
            <w:tcW w:w="1300" w:type="dxa"/>
            <w:noWrap/>
            <w:hideMark/>
          </w:tcPr>
          <w:p w14:paraId="775266B6" w14:textId="77777777" w:rsidR="00B523DA" w:rsidRPr="00B523DA" w:rsidRDefault="00B523DA" w:rsidP="00B523DA">
            <w:pPr>
              <w:pBdr>
                <w:top w:val="nil"/>
                <w:left w:val="nil"/>
                <w:bottom w:val="nil"/>
                <w:right w:val="nil"/>
                <w:between w:val="nil"/>
              </w:pBdr>
              <w:rPr>
                <w:color w:val="000000"/>
              </w:rPr>
            </w:pPr>
            <w:r w:rsidRPr="00B523DA">
              <w:rPr>
                <w:color w:val="000000"/>
              </w:rPr>
              <w:t>2.181818</w:t>
            </w:r>
          </w:p>
        </w:tc>
        <w:tc>
          <w:tcPr>
            <w:tcW w:w="1765" w:type="dxa"/>
            <w:noWrap/>
            <w:hideMark/>
          </w:tcPr>
          <w:p w14:paraId="2F3B48EF" w14:textId="77777777" w:rsidR="00B523DA" w:rsidRPr="00B523DA" w:rsidRDefault="00B523DA" w:rsidP="00B523DA">
            <w:pPr>
              <w:pBdr>
                <w:top w:val="nil"/>
                <w:left w:val="nil"/>
                <w:bottom w:val="nil"/>
                <w:right w:val="nil"/>
                <w:between w:val="nil"/>
              </w:pBdr>
              <w:rPr>
                <w:color w:val="000000"/>
              </w:rPr>
            </w:pPr>
            <w:r w:rsidRPr="00B523DA">
              <w:rPr>
                <w:color w:val="000000"/>
              </w:rPr>
              <w:t> </w:t>
            </w:r>
          </w:p>
        </w:tc>
        <w:tc>
          <w:tcPr>
            <w:tcW w:w="3730" w:type="dxa"/>
            <w:gridSpan w:val="2"/>
            <w:noWrap/>
            <w:hideMark/>
          </w:tcPr>
          <w:p w14:paraId="1069B332" w14:textId="77777777" w:rsidR="00B523DA" w:rsidRPr="00B523DA" w:rsidRDefault="00B523DA" w:rsidP="00B523DA">
            <w:pPr>
              <w:pBdr>
                <w:top w:val="nil"/>
                <w:left w:val="nil"/>
                <w:bottom w:val="nil"/>
                <w:right w:val="nil"/>
                <w:between w:val="nil"/>
              </w:pBdr>
              <w:rPr>
                <w:color w:val="000000"/>
              </w:rPr>
            </w:pPr>
            <w:r w:rsidRPr="00B523DA">
              <w:rPr>
                <w:color w:val="000000"/>
              </w:rPr>
              <w:t>Payback period</w:t>
            </w:r>
          </w:p>
        </w:tc>
        <w:tc>
          <w:tcPr>
            <w:tcW w:w="2280" w:type="dxa"/>
            <w:noWrap/>
            <w:hideMark/>
          </w:tcPr>
          <w:p w14:paraId="420C4BBF" w14:textId="77777777" w:rsidR="00B523DA" w:rsidRPr="00B523DA" w:rsidRDefault="00B523DA" w:rsidP="00B523DA">
            <w:pPr>
              <w:pBdr>
                <w:top w:val="nil"/>
                <w:left w:val="nil"/>
                <w:bottom w:val="nil"/>
                <w:right w:val="nil"/>
                <w:between w:val="nil"/>
              </w:pBdr>
              <w:rPr>
                <w:color w:val="000000"/>
              </w:rPr>
            </w:pPr>
            <w:r w:rsidRPr="00B523DA">
              <w:rPr>
                <w:color w:val="000000"/>
              </w:rPr>
              <w:t>3</w:t>
            </w:r>
          </w:p>
        </w:tc>
        <w:tc>
          <w:tcPr>
            <w:tcW w:w="1765" w:type="dxa"/>
            <w:noWrap/>
            <w:hideMark/>
          </w:tcPr>
          <w:p w14:paraId="6CC2BC45"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05BD93C3" w14:textId="77777777" w:rsidR="00B523DA" w:rsidRPr="00B523DA" w:rsidRDefault="00B523DA" w:rsidP="00B523DA">
            <w:pPr>
              <w:pBdr>
                <w:top w:val="nil"/>
                <w:left w:val="nil"/>
                <w:bottom w:val="nil"/>
                <w:right w:val="nil"/>
                <w:between w:val="nil"/>
              </w:pBdr>
              <w:rPr>
                <w:color w:val="000000"/>
              </w:rPr>
            </w:pPr>
          </w:p>
        </w:tc>
      </w:tr>
      <w:tr w:rsidR="00B523DA" w:rsidRPr="00B523DA" w14:paraId="79A19A84" w14:textId="77777777" w:rsidTr="00B523DA">
        <w:trPr>
          <w:trHeight w:val="300"/>
        </w:trPr>
        <w:tc>
          <w:tcPr>
            <w:tcW w:w="1969" w:type="dxa"/>
            <w:noWrap/>
            <w:hideMark/>
          </w:tcPr>
          <w:p w14:paraId="57CF0FAE" w14:textId="77777777" w:rsidR="00B523DA" w:rsidRPr="00B523DA" w:rsidRDefault="00B523DA" w:rsidP="00B523DA">
            <w:pPr>
              <w:pBdr>
                <w:top w:val="nil"/>
                <w:left w:val="nil"/>
                <w:bottom w:val="nil"/>
                <w:right w:val="nil"/>
                <w:between w:val="nil"/>
              </w:pBdr>
              <w:rPr>
                <w:color w:val="000000"/>
              </w:rPr>
            </w:pPr>
          </w:p>
        </w:tc>
        <w:tc>
          <w:tcPr>
            <w:tcW w:w="2140" w:type="dxa"/>
            <w:noWrap/>
            <w:hideMark/>
          </w:tcPr>
          <w:p w14:paraId="3D9979FA" w14:textId="77777777" w:rsidR="00B523DA" w:rsidRPr="00B523DA" w:rsidRDefault="00B523DA" w:rsidP="00B523DA">
            <w:pPr>
              <w:pBdr>
                <w:top w:val="nil"/>
                <w:left w:val="nil"/>
                <w:bottom w:val="nil"/>
                <w:right w:val="nil"/>
                <w:between w:val="nil"/>
              </w:pBdr>
              <w:rPr>
                <w:color w:val="000000"/>
              </w:rPr>
            </w:pPr>
          </w:p>
        </w:tc>
        <w:tc>
          <w:tcPr>
            <w:tcW w:w="1300" w:type="dxa"/>
            <w:noWrap/>
            <w:hideMark/>
          </w:tcPr>
          <w:p w14:paraId="43E937A6"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6508AE40" w14:textId="77777777" w:rsidR="00B523DA" w:rsidRPr="00B523DA" w:rsidRDefault="00B523DA" w:rsidP="00B523DA">
            <w:pPr>
              <w:pBdr>
                <w:top w:val="nil"/>
                <w:left w:val="nil"/>
                <w:bottom w:val="nil"/>
                <w:right w:val="nil"/>
                <w:between w:val="nil"/>
              </w:pBdr>
              <w:rPr>
                <w:color w:val="000000"/>
              </w:rPr>
            </w:pPr>
          </w:p>
        </w:tc>
        <w:tc>
          <w:tcPr>
            <w:tcW w:w="1969" w:type="dxa"/>
            <w:noWrap/>
            <w:hideMark/>
          </w:tcPr>
          <w:p w14:paraId="1911AA04" w14:textId="77777777" w:rsidR="00B523DA" w:rsidRPr="00B523DA" w:rsidRDefault="00B523DA" w:rsidP="00B523DA">
            <w:pPr>
              <w:pBdr>
                <w:top w:val="nil"/>
                <w:left w:val="nil"/>
                <w:bottom w:val="nil"/>
                <w:right w:val="nil"/>
                <w:between w:val="nil"/>
              </w:pBdr>
              <w:rPr>
                <w:color w:val="000000"/>
              </w:rPr>
            </w:pPr>
          </w:p>
        </w:tc>
        <w:tc>
          <w:tcPr>
            <w:tcW w:w="1761" w:type="dxa"/>
            <w:noWrap/>
            <w:hideMark/>
          </w:tcPr>
          <w:p w14:paraId="55B409FC" w14:textId="77777777" w:rsidR="00B523DA" w:rsidRPr="00B523DA" w:rsidRDefault="00B523DA" w:rsidP="00B523DA">
            <w:pPr>
              <w:pBdr>
                <w:top w:val="nil"/>
                <w:left w:val="nil"/>
                <w:bottom w:val="nil"/>
                <w:right w:val="nil"/>
                <w:between w:val="nil"/>
              </w:pBdr>
              <w:rPr>
                <w:color w:val="000000"/>
              </w:rPr>
            </w:pPr>
          </w:p>
        </w:tc>
        <w:tc>
          <w:tcPr>
            <w:tcW w:w="2280" w:type="dxa"/>
            <w:noWrap/>
            <w:hideMark/>
          </w:tcPr>
          <w:p w14:paraId="76EFDAAA"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6AA4AEF4"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4AD8C8F1" w14:textId="77777777" w:rsidR="00B523DA" w:rsidRPr="00B523DA" w:rsidRDefault="00B523DA" w:rsidP="00B523DA">
            <w:pPr>
              <w:pBdr>
                <w:top w:val="nil"/>
                <w:left w:val="nil"/>
                <w:bottom w:val="nil"/>
                <w:right w:val="nil"/>
                <w:between w:val="nil"/>
              </w:pBdr>
              <w:rPr>
                <w:color w:val="000000"/>
              </w:rPr>
            </w:pPr>
          </w:p>
        </w:tc>
      </w:tr>
      <w:tr w:rsidR="00B523DA" w:rsidRPr="00B523DA" w14:paraId="6DECE340" w14:textId="77777777" w:rsidTr="00B523DA">
        <w:trPr>
          <w:trHeight w:val="300"/>
        </w:trPr>
        <w:tc>
          <w:tcPr>
            <w:tcW w:w="1969" w:type="dxa"/>
            <w:noWrap/>
            <w:hideMark/>
          </w:tcPr>
          <w:p w14:paraId="47B1B968" w14:textId="77777777" w:rsidR="00B523DA" w:rsidRPr="00B523DA" w:rsidRDefault="00B523DA" w:rsidP="00B523DA">
            <w:pPr>
              <w:pBdr>
                <w:top w:val="nil"/>
                <w:left w:val="nil"/>
                <w:bottom w:val="nil"/>
                <w:right w:val="nil"/>
                <w:between w:val="nil"/>
              </w:pBdr>
              <w:rPr>
                <w:color w:val="000000"/>
              </w:rPr>
            </w:pPr>
          </w:p>
        </w:tc>
        <w:tc>
          <w:tcPr>
            <w:tcW w:w="2140" w:type="dxa"/>
            <w:noWrap/>
            <w:hideMark/>
          </w:tcPr>
          <w:p w14:paraId="0822A393" w14:textId="77777777" w:rsidR="00B523DA" w:rsidRPr="00B523DA" w:rsidRDefault="00B523DA" w:rsidP="00B523DA">
            <w:pPr>
              <w:pBdr>
                <w:top w:val="nil"/>
                <w:left w:val="nil"/>
                <w:bottom w:val="nil"/>
                <w:right w:val="nil"/>
                <w:between w:val="nil"/>
              </w:pBdr>
              <w:rPr>
                <w:color w:val="000000"/>
              </w:rPr>
            </w:pPr>
          </w:p>
        </w:tc>
        <w:tc>
          <w:tcPr>
            <w:tcW w:w="1300" w:type="dxa"/>
            <w:noWrap/>
            <w:hideMark/>
          </w:tcPr>
          <w:p w14:paraId="33E9FB3F"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3258663F" w14:textId="77777777" w:rsidR="00B523DA" w:rsidRPr="00B523DA" w:rsidRDefault="00B523DA" w:rsidP="00B523DA">
            <w:pPr>
              <w:pBdr>
                <w:top w:val="nil"/>
                <w:left w:val="nil"/>
                <w:bottom w:val="nil"/>
                <w:right w:val="nil"/>
                <w:between w:val="nil"/>
              </w:pBdr>
              <w:rPr>
                <w:color w:val="000000"/>
              </w:rPr>
            </w:pPr>
          </w:p>
        </w:tc>
        <w:tc>
          <w:tcPr>
            <w:tcW w:w="1969" w:type="dxa"/>
            <w:noWrap/>
            <w:hideMark/>
          </w:tcPr>
          <w:p w14:paraId="045747DF" w14:textId="77777777" w:rsidR="00B523DA" w:rsidRPr="00B523DA" w:rsidRDefault="00B523DA" w:rsidP="00B523DA">
            <w:pPr>
              <w:pBdr>
                <w:top w:val="nil"/>
                <w:left w:val="nil"/>
                <w:bottom w:val="nil"/>
                <w:right w:val="nil"/>
                <w:between w:val="nil"/>
              </w:pBdr>
              <w:rPr>
                <w:color w:val="000000"/>
              </w:rPr>
            </w:pPr>
          </w:p>
        </w:tc>
        <w:tc>
          <w:tcPr>
            <w:tcW w:w="1761" w:type="dxa"/>
            <w:noWrap/>
            <w:hideMark/>
          </w:tcPr>
          <w:p w14:paraId="236CE658" w14:textId="77777777" w:rsidR="00B523DA" w:rsidRPr="00B523DA" w:rsidRDefault="00B523DA" w:rsidP="00B523DA">
            <w:pPr>
              <w:pBdr>
                <w:top w:val="nil"/>
                <w:left w:val="nil"/>
                <w:bottom w:val="nil"/>
                <w:right w:val="nil"/>
                <w:between w:val="nil"/>
              </w:pBdr>
              <w:rPr>
                <w:color w:val="000000"/>
              </w:rPr>
            </w:pPr>
          </w:p>
        </w:tc>
        <w:tc>
          <w:tcPr>
            <w:tcW w:w="2280" w:type="dxa"/>
            <w:noWrap/>
            <w:hideMark/>
          </w:tcPr>
          <w:p w14:paraId="23CD7784"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1C6EC99D"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61394A86" w14:textId="77777777" w:rsidR="00B523DA" w:rsidRPr="00B523DA" w:rsidRDefault="00B523DA" w:rsidP="00B523DA">
            <w:pPr>
              <w:pBdr>
                <w:top w:val="nil"/>
                <w:left w:val="nil"/>
                <w:bottom w:val="nil"/>
                <w:right w:val="nil"/>
                <w:between w:val="nil"/>
              </w:pBdr>
              <w:rPr>
                <w:color w:val="000000"/>
              </w:rPr>
            </w:pPr>
          </w:p>
        </w:tc>
      </w:tr>
      <w:tr w:rsidR="00B523DA" w:rsidRPr="00B523DA" w14:paraId="66CFFBEC" w14:textId="77777777" w:rsidTr="00B523DA">
        <w:trPr>
          <w:trHeight w:val="300"/>
        </w:trPr>
        <w:tc>
          <w:tcPr>
            <w:tcW w:w="1969" w:type="dxa"/>
            <w:noWrap/>
            <w:hideMark/>
          </w:tcPr>
          <w:p w14:paraId="33D6EFA8" w14:textId="77777777" w:rsidR="00B523DA" w:rsidRPr="00B523DA" w:rsidRDefault="00B523DA" w:rsidP="00B523DA">
            <w:pPr>
              <w:pBdr>
                <w:top w:val="nil"/>
                <w:left w:val="nil"/>
                <w:bottom w:val="nil"/>
                <w:right w:val="nil"/>
                <w:between w:val="nil"/>
              </w:pBdr>
              <w:rPr>
                <w:color w:val="000000"/>
              </w:rPr>
            </w:pPr>
            <w:r w:rsidRPr="00B523DA">
              <w:rPr>
                <w:color w:val="000000"/>
              </w:rPr>
              <w:t>Year</w:t>
            </w:r>
          </w:p>
        </w:tc>
        <w:tc>
          <w:tcPr>
            <w:tcW w:w="2140" w:type="dxa"/>
            <w:noWrap/>
            <w:hideMark/>
          </w:tcPr>
          <w:p w14:paraId="57B4DEF7" w14:textId="77777777" w:rsidR="00B523DA" w:rsidRPr="00B523DA" w:rsidRDefault="00B523DA" w:rsidP="00B523DA">
            <w:pPr>
              <w:pBdr>
                <w:top w:val="nil"/>
                <w:left w:val="nil"/>
                <w:bottom w:val="nil"/>
                <w:right w:val="nil"/>
                <w:between w:val="nil"/>
              </w:pBdr>
              <w:rPr>
                <w:color w:val="000000"/>
              </w:rPr>
            </w:pPr>
            <w:r w:rsidRPr="00B523DA">
              <w:rPr>
                <w:color w:val="000000"/>
              </w:rPr>
              <w:t>Projected cash(£m)</w:t>
            </w:r>
          </w:p>
        </w:tc>
        <w:tc>
          <w:tcPr>
            <w:tcW w:w="1300" w:type="dxa"/>
            <w:noWrap/>
            <w:hideMark/>
          </w:tcPr>
          <w:p w14:paraId="50DA88E4" w14:textId="77777777" w:rsidR="00B523DA" w:rsidRPr="00B523DA" w:rsidRDefault="00B523DA" w:rsidP="00B523DA">
            <w:pPr>
              <w:pBdr>
                <w:top w:val="nil"/>
                <w:left w:val="nil"/>
                <w:bottom w:val="nil"/>
                <w:right w:val="nil"/>
                <w:between w:val="nil"/>
              </w:pBdr>
              <w:rPr>
                <w:color w:val="000000"/>
              </w:rPr>
            </w:pPr>
            <w:r w:rsidRPr="00B523DA">
              <w:rPr>
                <w:color w:val="000000"/>
              </w:rPr>
              <w:t>Cost of capital</w:t>
            </w:r>
          </w:p>
        </w:tc>
        <w:tc>
          <w:tcPr>
            <w:tcW w:w="1765" w:type="dxa"/>
            <w:noWrap/>
            <w:hideMark/>
          </w:tcPr>
          <w:p w14:paraId="6AC26087" w14:textId="77777777" w:rsidR="00B523DA" w:rsidRPr="00B523DA" w:rsidRDefault="00B523DA" w:rsidP="00B523DA">
            <w:pPr>
              <w:pBdr>
                <w:top w:val="nil"/>
                <w:left w:val="nil"/>
                <w:bottom w:val="nil"/>
                <w:right w:val="nil"/>
                <w:between w:val="nil"/>
              </w:pBdr>
              <w:rPr>
                <w:color w:val="000000"/>
              </w:rPr>
            </w:pPr>
            <w:r w:rsidRPr="00B523DA">
              <w:rPr>
                <w:color w:val="000000"/>
              </w:rPr>
              <w:t xml:space="preserve">Present </w:t>
            </w:r>
            <w:proofErr w:type="gramStart"/>
            <w:r w:rsidRPr="00B523DA">
              <w:rPr>
                <w:color w:val="000000"/>
              </w:rPr>
              <w:t>value  (</w:t>
            </w:r>
            <w:proofErr w:type="gramEnd"/>
            <w:r w:rsidRPr="00B523DA">
              <w:rPr>
                <w:color w:val="000000"/>
              </w:rPr>
              <w:t>£m)</w:t>
            </w:r>
          </w:p>
        </w:tc>
        <w:tc>
          <w:tcPr>
            <w:tcW w:w="1969" w:type="dxa"/>
            <w:noWrap/>
            <w:hideMark/>
          </w:tcPr>
          <w:p w14:paraId="3DFE02BF" w14:textId="77777777" w:rsidR="00B523DA" w:rsidRPr="00B523DA" w:rsidRDefault="00B523DA" w:rsidP="00B523DA">
            <w:pPr>
              <w:pBdr>
                <w:top w:val="nil"/>
                <w:left w:val="nil"/>
                <w:bottom w:val="nil"/>
                <w:right w:val="nil"/>
                <w:between w:val="nil"/>
              </w:pBdr>
              <w:rPr>
                <w:color w:val="000000"/>
              </w:rPr>
            </w:pPr>
            <w:r w:rsidRPr="00B523DA">
              <w:rPr>
                <w:color w:val="000000"/>
              </w:rPr>
              <w:t>Year</w:t>
            </w:r>
          </w:p>
        </w:tc>
        <w:tc>
          <w:tcPr>
            <w:tcW w:w="1761" w:type="dxa"/>
            <w:noWrap/>
            <w:hideMark/>
          </w:tcPr>
          <w:p w14:paraId="54BC1BD9" w14:textId="77777777" w:rsidR="00B523DA" w:rsidRPr="00B523DA" w:rsidRDefault="00B523DA" w:rsidP="00B523DA">
            <w:pPr>
              <w:pBdr>
                <w:top w:val="nil"/>
                <w:left w:val="nil"/>
                <w:bottom w:val="nil"/>
                <w:right w:val="nil"/>
                <w:between w:val="nil"/>
              </w:pBdr>
              <w:rPr>
                <w:color w:val="000000"/>
              </w:rPr>
            </w:pPr>
            <w:r w:rsidRPr="00B523DA">
              <w:rPr>
                <w:color w:val="000000"/>
              </w:rPr>
              <w:t>Projected cash(£m)</w:t>
            </w:r>
          </w:p>
        </w:tc>
        <w:tc>
          <w:tcPr>
            <w:tcW w:w="2280" w:type="dxa"/>
            <w:noWrap/>
            <w:hideMark/>
          </w:tcPr>
          <w:p w14:paraId="4F853217" w14:textId="77777777" w:rsidR="00B523DA" w:rsidRPr="00B523DA" w:rsidRDefault="00B523DA" w:rsidP="00B523DA">
            <w:pPr>
              <w:pBdr>
                <w:top w:val="nil"/>
                <w:left w:val="nil"/>
                <w:bottom w:val="nil"/>
                <w:right w:val="nil"/>
                <w:between w:val="nil"/>
              </w:pBdr>
              <w:rPr>
                <w:color w:val="000000"/>
              </w:rPr>
            </w:pPr>
            <w:r w:rsidRPr="00B523DA">
              <w:rPr>
                <w:color w:val="000000"/>
              </w:rPr>
              <w:t>Cost of capital</w:t>
            </w:r>
          </w:p>
        </w:tc>
        <w:tc>
          <w:tcPr>
            <w:tcW w:w="1765" w:type="dxa"/>
            <w:noWrap/>
            <w:hideMark/>
          </w:tcPr>
          <w:p w14:paraId="43DF8987" w14:textId="77777777" w:rsidR="00B523DA" w:rsidRPr="00B523DA" w:rsidRDefault="00B523DA" w:rsidP="00B523DA">
            <w:pPr>
              <w:pBdr>
                <w:top w:val="nil"/>
                <w:left w:val="nil"/>
                <w:bottom w:val="nil"/>
                <w:right w:val="nil"/>
                <w:between w:val="nil"/>
              </w:pBdr>
              <w:rPr>
                <w:color w:val="000000"/>
              </w:rPr>
            </w:pPr>
            <w:r w:rsidRPr="00B523DA">
              <w:rPr>
                <w:color w:val="000000"/>
              </w:rPr>
              <w:t xml:space="preserve">Present </w:t>
            </w:r>
            <w:proofErr w:type="gramStart"/>
            <w:r w:rsidRPr="00B523DA">
              <w:rPr>
                <w:color w:val="000000"/>
              </w:rPr>
              <w:t>value  (</w:t>
            </w:r>
            <w:proofErr w:type="gramEnd"/>
            <w:r w:rsidRPr="00B523DA">
              <w:rPr>
                <w:color w:val="000000"/>
              </w:rPr>
              <w:t>£m)</w:t>
            </w:r>
          </w:p>
        </w:tc>
        <w:tc>
          <w:tcPr>
            <w:tcW w:w="960" w:type="dxa"/>
            <w:noWrap/>
            <w:hideMark/>
          </w:tcPr>
          <w:p w14:paraId="71ABCC78" w14:textId="77777777" w:rsidR="00B523DA" w:rsidRPr="00B523DA" w:rsidRDefault="00B523DA" w:rsidP="00B523DA">
            <w:pPr>
              <w:pBdr>
                <w:top w:val="nil"/>
                <w:left w:val="nil"/>
                <w:bottom w:val="nil"/>
                <w:right w:val="nil"/>
                <w:between w:val="nil"/>
              </w:pBdr>
              <w:rPr>
                <w:color w:val="000000"/>
              </w:rPr>
            </w:pPr>
          </w:p>
        </w:tc>
      </w:tr>
      <w:tr w:rsidR="00B523DA" w:rsidRPr="00B523DA" w14:paraId="30F227B3" w14:textId="77777777" w:rsidTr="00B523DA">
        <w:trPr>
          <w:trHeight w:val="300"/>
        </w:trPr>
        <w:tc>
          <w:tcPr>
            <w:tcW w:w="1969" w:type="dxa"/>
            <w:noWrap/>
            <w:hideMark/>
          </w:tcPr>
          <w:p w14:paraId="54006EF7" w14:textId="77777777" w:rsidR="00B523DA" w:rsidRPr="00B523DA" w:rsidRDefault="00B523DA" w:rsidP="00B523DA">
            <w:pPr>
              <w:pBdr>
                <w:top w:val="nil"/>
                <w:left w:val="nil"/>
                <w:bottom w:val="nil"/>
                <w:right w:val="nil"/>
                <w:between w:val="nil"/>
              </w:pBdr>
              <w:rPr>
                <w:color w:val="000000"/>
              </w:rPr>
            </w:pPr>
            <w:r w:rsidRPr="00B523DA">
              <w:rPr>
                <w:color w:val="000000"/>
              </w:rPr>
              <w:t>0</w:t>
            </w:r>
          </w:p>
        </w:tc>
        <w:tc>
          <w:tcPr>
            <w:tcW w:w="2140" w:type="dxa"/>
            <w:noWrap/>
            <w:hideMark/>
          </w:tcPr>
          <w:p w14:paraId="2FADD897" w14:textId="77777777" w:rsidR="00B523DA" w:rsidRPr="00B523DA" w:rsidRDefault="00B523DA" w:rsidP="00B523DA">
            <w:pPr>
              <w:pBdr>
                <w:top w:val="nil"/>
                <w:left w:val="nil"/>
                <w:bottom w:val="nil"/>
                <w:right w:val="nil"/>
                <w:between w:val="nil"/>
              </w:pBdr>
              <w:rPr>
                <w:color w:val="000000"/>
              </w:rPr>
            </w:pPr>
            <w:r w:rsidRPr="00B523DA">
              <w:rPr>
                <w:color w:val="000000"/>
              </w:rPr>
              <w:t>-80</w:t>
            </w:r>
          </w:p>
        </w:tc>
        <w:tc>
          <w:tcPr>
            <w:tcW w:w="1300" w:type="dxa"/>
            <w:noWrap/>
            <w:hideMark/>
          </w:tcPr>
          <w:p w14:paraId="3B5AF10C"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1765" w:type="dxa"/>
            <w:noWrap/>
            <w:hideMark/>
          </w:tcPr>
          <w:p w14:paraId="2ADE2B2F" w14:textId="77777777" w:rsidR="00B523DA" w:rsidRPr="00B523DA" w:rsidRDefault="00B523DA" w:rsidP="00B523DA">
            <w:pPr>
              <w:pBdr>
                <w:top w:val="nil"/>
                <w:left w:val="nil"/>
                <w:bottom w:val="nil"/>
                <w:right w:val="nil"/>
                <w:between w:val="nil"/>
              </w:pBdr>
              <w:rPr>
                <w:color w:val="000000"/>
              </w:rPr>
            </w:pPr>
            <w:r w:rsidRPr="00B523DA">
              <w:rPr>
                <w:color w:val="000000"/>
              </w:rPr>
              <w:t>-80</w:t>
            </w:r>
          </w:p>
        </w:tc>
        <w:tc>
          <w:tcPr>
            <w:tcW w:w="1969" w:type="dxa"/>
            <w:noWrap/>
            <w:hideMark/>
          </w:tcPr>
          <w:p w14:paraId="282B6B0A" w14:textId="77777777" w:rsidR="00B523DA" w:rsidRPr="00B523DA" w:rsidRDefault="00B523DA" w:rsidP="00B523DA">
            <w:pPr>
              <w:pBdr>
                <w:top w:val="nil"/>
                <w:left w:val="nil"/>
                <w:bottom w:val="nil"/>
                <w:right w:val="nil"/>
                <w:between w:val="nil"/>
              </w:pBdr>
              <w:rPr>
                <w:color w:val="000000"/>
              </w:rPr>
            </w:pPr>
            <w:r w:rsidRPr="00B523DA">
              <w:rPr>
                <w:color w:val="000000"/>
              </w:rPr>
              <w:t>0</w:t>
            </w:r>
          </w:p>
        </w:tc>
        <w:tc>
          <w:tcPr>
            <w:tcW w:w="1761" w:type="dxa"/>
            <w:noWrap/>
            <w:hideMark/>
          </w:tcPr>
          <w:p w14:paraId="24B6249E" w14:textId="77777777" w:rsidR="00B523DA" w:rsidRPr="00B523DA" w:rsidRDefault="00B523DA" w:rsidP="00B523DA">
            <w:pPr>
              <w:pBdr>
                <w:top w:val="nil"/>
                <w:left w:val="nil"/>
                <w:bottom w:val="nil"/>
                <w:right w:val="nil"/>
                <w:between w:val="nil"/>
              </w:pBdr>
              <w:rPr>
                <w:color w:val="000000"/>
              </w:rPr>
            </w:pPr>
            <w:r w:rsidRPr="00B523DA">
              <w:rPr>
                <w:color w:val="000000"/>
              </w:rPr>
              <w:t>-75</w:t>
            </w:r>
          </w:p>
        </w:tc>
        <w:tc>
          <w:tcPr>
            <w:tcW w:w="2280" w:type="dxa"/>
            <w:noWrap/>
            <w:hideMark/>
          </w:tcPr>
          <w:p w14:paraId="7AA78DE6"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1765" w:type="dxa"/>
            <w:noWrap/>
            <w:hideMark/>
          </w:tcPr>
          <w:p w14:paraId="08FB9BDB" w14:textId="77777777" w:rsidR="00B523DA" w:rsidRPr="00B523DA" w:rsidRDefault="00B523DA" w:rsidP="00B523DA">
            <w:pPr>
              <w:pBdr>
                <w:top w:val="nil"/>
                <w:left w:val="nil"/>
                <w:bottom w:val="nil"/>
                <w:right w:val="nil"/>
                <w:between w:val="nil"/>
              </w:pBdr>
              <w:rPr>
                <w:color w:val="000000"/>
              </w:rPr>
            </w:pPr>
            <w:r w:rsidRPr="00B523DA">
              <w:rPr>
                <w:color w:val="000000"/>
              </w:rPr>
              <w:t>-75</w:t>
            </w:r>
          </w:p>
        </w:tc>
        <w:tc>
          <w:tcPr>
            <w:tcW w:w="960" w:type="dxa"/>
            <w:noWrap/>
            <w:hideMark/>
          </w:tcPr>
          <w:p w14:paraId="3796D83B" w14:textId="77777777" w:rsidR="00B523DA" w:rsidRPr="00B523DA" w:rsidRDefault="00B523DA" w:rsidP="00B523DA">
            <w:pPr>
              <w:pBdr>
                <w:top w:val="nil"/>
                <w:left w:val="nil"/>
                <w:bottom w:val="nil"/>
                <w:right w:val="nil"/>
                <w:between w:val="nil"/>
              </w:pBdr>
              <w:rPr>
                <w:color w:val="000000"/>
              </w:rPr>
            </w:pPr>
          </w:p>
        </w:tc>
      </w:tr>
      <w:tr w:rsidR="00B523DA" w:rsidRPr="00B523DA" w14:paraId="145FA3B4" w14:textId="77777777" w:rsidTr="00B523DA">
        <w:trPr>
          <w:trHeight w:val="300"/>
        </w:trPr>
        <w:tc>
          <w:tcPr>
            <w:tcW w:w="1969" w:type="dxa"/>
            <w:noWrap/>
            <w:hideMark/>
          </w:tcPr>
          <w:p w14:paraId="54E9D6D1"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2140" w:type="dxa"/>
            <w:noWrap/>
            <w:hideMark/>
          </w:tcPr>
          <w:p w14:paraId="29E2F322" w14:textId="77777777" w:rsidR="00B523DA" w:rsidRPr="00B523DA" w:rsidRDefault="00B523DA" w:rsidP="00B523DA">
            <w:pPr>
              <w:pBdr>
                <w:top w:val="nil"/>
                <w:left w:val="nil"/>
                <w:bottom w:val="nil"/>
                <w:right w:val="nil"/>
                <w:between w:val="nil"/>
              </w:pBdr>
              <w:rPr>
                <w:color w:val="000000"/>
              </w:rPr>
            </w:pPr>
            <w:r w:rsidRPr="00B523DA">
              <w:rPr>
                <w:color w:val="000000"/>
              </w:rPr>
              <w:t>25</w:t>
            </w:r>
          </w:p>
        </w:tc>
        <w:tc>
          <w:tcPr>
            <w:tcW w:w="1300" w:type="dxa"/>
            <w:noWrap/>
            <w:hideMark/>
          </w:tcPr>
          <w:p w14:paraId="029625B7" w14:textId="77777777" w:rsidR="00B523DA" w:rsidRPr="00B523DA" w:rsidRDefault="00B523DA" w:rsidP="00B523DA">
            <w:pPr>
              <w:pBdr>
                <w:top w:val="nil"/>
                <w:left w:val="nil"/>
                <w:bottom w:val="nil"/>
                <w:right w:val="nil"/>
                <w:between w:val="nil"/>
              </w:pBdr>
              <w:rPr>
                <w:color w:val="000000"/>
              </w:rPr>
            </w:pPr>
            <w:r w:rsidRPr="00B523DA">
              <w:rPr>
                <w:color w:val="000000"/>
              </w:rPr>
              <w:t>1.0975</w:t>
            </w:r>
          </w:p>
        </w:tc>
        <w:tc>
          <w:tcPr>
            <w:tcW w:w="1765" w:type="dxa"/>
            <w:noWrap/>
            <w:hideMark/>
          </w:tcPr>
          <w:p w14:paraId="55318019" w14:textId="77777777" w:rsidR="00B523DA" w:rsidRPr="00B523DA" w:rsidRDefault="00B523DA" w:rsidP="00B523DA">
            <w:pPr>
              <w:pBdr>
                <w:top w:val="nil"/>
                <w:left w:val="nil"/>
                <w:bottom w:val="nil"/>
                <w:right w:val="nil"/>
                <w:between w:val="nil"/>
              </w:pBdr>
              <w:rPr>
                <w:color w:val="000000"/>
              </w:rPr>
            </w:pPr>
            <w:r w:rsidRPr="00B523DA">
              <w:rPr>
                <w:color w:val="000000"/>
              </w:rPr>
              <w:t>22.77904328</w:t>
            </w:r>
          </w:p>
        </w:tc>
        <w:tc>
          <w:tcPr>
            <w:tcW w:w="1969" w:type="dxa"/>
            <w:noWrap/>
            <w:hideMark/>
          </w:tcPr>
          <w:p w14:paraId="670C15C6" w14:textId="77777777" w:rsidR="00B523DA" w:rsidRPr="00B523DA" w:rsidRDefault="00B523DA" w:rsidP="00B523DA">
            <w:pPr>
              <w:pBdr>
                <w:top w:val="nil"/>
                <w:left w:val="nil"/>
                <w:bottom w:val="nil"/>
                <w:right w:val="nil"/>
                <w:between w:val="nil"/>
              </w:pBdr>
              <w:rPr>
                <w:color w:val="000000"/>
              </w:rPr>
            </w:pPr>
            <w:r w:rsidRPr="00B523DA">
              <w:rPr>
                <w:color w:val="000000"/>
              </w:rPr>
              <w:t>1</w:t>
            </w:r>
          </w:p>
        </w:tc>
        <w:tc>
          <w:tcPr>
            <w:tcW w:w="1761" w:type="dxa"/>
            <w:noWrap/>
            <w:hideMark/>
          </w:tcPr>
          <w:p w14:paraId="55AC43D7" w14:textId="77777777" w:rsidR="00B523DA" w:rsidRPr="00B523DA" w:rsidRDefault="00B523DA" w:rsidP="00B523DA">
            <w:pPr>
              <w:pBdr>
                <w:top w:val="nil"/>
                <w:left w:val="nil"/>
                <w:bottom w:val="nil"/>
                <w:right w:val="nil"/>
                <w:between w:val="nil"/>
              </w:pBdr>
              <w:rPr>
                <w:color w:val="000000"/>
              </w:rPr>
            </w:pPr>
            <w:r w:rsidRPr="00B523DA">
              <w:rPr>
                <w:color w:val="000000"/>
              </w:rPr>
              <w:t>50</w:t>
            </w:r>
          </w:p>
        </w:tc>
        <w:tc>
          <w:tcPr>
            <w:tcW w:w="2280" w:type="dxa"/>
            <w:noWrap/>
            <w:hideMark/>
          </w:tcPr>
          <w:p w14:paraId="4CB3730F" w14:textId="77777777" w:rsidR="00B523DA" w:rsidRPr="00B523DA" w:rsidRDefault="00B523DA" w:rsidP="00B523DA">
            <w:pPr>
              <w:pBdr>
                <w:top w:val="nil"/>
                <w:left w:val="nil"/>
                <w:bottom w:val="nil"/>
                <w:right w:val="nil"/>
                <w:between w:val="nil"/>
              </w:pBdr>
              <w:rPr>
                <w:color w:val="000000"/>
              </w:rPr>
            </w:pPr>
            <w:r w:rsidRPr="00B523DA">
              <w:rPr>
                <w:color w:val="000000"/>
              </w:rPr>
              <w:t>1.0975</w:t>
            </w:r>
          </w:p>
        </w:tc>
        <w:tc>
          <w:tcPr>
            <w:tcW w:w="1765" w:type="dxa"/>
            <w:noWrap/>
            <w:hideMark/>
          </w:tcPr>
          <w:p w14:paraId="1B51EC21" w14:textId="77777777" w:rsidR="00B523DA" w:rsidRPr="00B523DA" w:rsidRDefault="00B523DA" w:rsidP="00B523DA">
            <w:pPr>
              <w:pBdr>
                <w:top w:val="nil"/>
                <w:left w:val="nil"/>
                <w:bottom w:val="nil"/>
                <w:right w:val="nil"/>
                <w:between w:val="nil"/>
              </w:pBdr>
              <w:rPr>
                <w:color w:val="000000"/>
              </w:rPr>
            </w:pPr>
            <w:r w:rsidRPr="00B523DA">
              <w:rPr>
                <w:color w:val="000000"/>
              </w:rPr>
              <w:t>45.55809</w:t>
            </w:r>
          </w:p>
        </w:tc>
        <w:tc>
          <w:tcPr>
            <w:tcW w:w="960" w:type="dxa"/>
            <w:noWrap/>
            <w:hideMark/>
          </w:tcPr>
          <w:p w14:paraId="30DC741F" w14:textId="77777777" w:rsidR="00B523DA" w:rsidRPr="00B523DA" w:rsidRDefault="00B523DA" w:rsidP="00B523DA">
            <w:pPr>
              <w:pBdr>
                <w:top w:val="nil"/>
                <w:left w:val="nil"/>
                <w:bottom w:val="nil"/>
                <w:right w:val="nil"/>
                <w:between w:val="nil"/>
              </w:pBdr>
              <w:rPr>
                <w:color w:val="000000"/>
              </w:rPr>
            </w:pPr>
          </w:p>
        </w:tc>
      </w:tr>
      <w:tr w:rsidR="00B523DA" w:rsidRPr="00B523DA" w14:paraId="26B9A68D" w14:textId="77777777" w:rsidTr="00B523DA">
        <w:trPr>
          <w:trHeight w:val="300"/>
        </w:trPr>
        <w:tc>
          <w:tcPr>
            <w:tcW w:w="1969" w:type="dxa"/>
            <w:noWrap/>
            <w:hideMark/>
          </w:tcPr>
          <w:p w14:paraId="3417ED15" w14:textId="77777777" w:rsidR="00B523DA" w:rsidRPr="00B523DA" w:rsidRDefault="00B523DA" w:rsidP="00B523DA">
            <w:pPr>
              <w:pBdr>
                <w:top w:val="nil"/>
                <w:left w:val="nil"/>
                <w:bottom w:val="nil"/>
                <w:right w:val="nil"/>
                <w:between w:val="nil"/>
              </w:pBdr>
              <w:rPr>
                <w:color w:val="000000"/>
              </w:rPr>
            </w:pPr>
            <w:r w:rsidRPr="00B523DA">
              <w:rPr>
                <w:color w:val="000000"/>
              </w:rPr>
              <w:lastRenderedPageBreak/>
              <w:t>2</w:t>
            </w:r>
          </w:p>
        </w:tc>
        <w:tc>
          <w:tcPr>
            <w:tcW w:w="2140" w:type="dxa"/>
            <w:noWrap/>
            <w:hideMark/>
          </w:tcPr>
          <w:p w14:paraId="14EF1D6B" w14:textId="77777777" w:rsidR="00B523DA" w:rsidRPr="00B523DA" w:rsidRDefault="00B523DA" w:rsidP="00B523DA">
            <w:pPr>
              <w:pBdr>
                <w:top w:val="nil"/>
                <w:left w:val="nil"/>
                <w:bottom w:val="nil"/>
                <w:right w:val="nil"/>
                <w:between w:val="nil"/>
              </w:pBdr>
              <w:rPr>
                <w:color w:val="000000"/>
              </w:rPr>
            </w:pPr>
            <w:r w:rsidRPr="00B523DA">
              <w:rPr>
                <w:color w:val="000000"/>
              </w:rPr>
              <w:t>25</w:t>
            </w:r>
          </w:p>
        </w:tc>
        <w:tc>
          <w:tcPr>
            <w:tcW w:w="1300" w:type="dxa"/>
            <w:noWrap/>
            <w:hideMark/>
          </w:tcPr>
          <w:p w14:paraId="34483CBB" w14:textId="77777777" w:rsidR="00B523DA" w:rsidRPr="00B523DA" w:rsidRDefault="00B523DA" w:rsidP="00B523DA">
            <w:pPr>
              <w:pBdr>
                <w:top w:val="nil"/>
                <w:left w:val="nil"/>
                <w:bottom w:val="nil"/>
                <w:right w:val="nil"/>
                <w:between w:val="nil"/>
              </w:pBdr>
              <w:rPr>
                <w:color w:val="000000"/>
              </w:rPr>
            </w:pPr>
            <w:r w:rsidRPr="00B523DA">
              <w:rPr>
                <w:color w:val="000000"/>
              </w:rPr>
              <w:t>1.204506</w:t>
            </w:r>
          </w:p>
        </w:tc>
        <w:tc>
          <w:tcPr>
            <w:tcW w:w="1765" w:type="dxa"/>
            <w:noWrap/>
            <w:hideMark/>
          </w:tcPr>
          <w:p w14:paraId="524EA7E0" w14:textId="77777777" w:rsidR="00B523DA" w:rsidRPr="00B523DA" w:rsidRDefault="00B523DA" w:rsidP="00B523DA">
            <w:pPr>
              <w:pBdr>
                <w:top w:val="nil"/>
                <w:left w:val="nil"/>
                <w:bottom w:val="nil"/>
                <w:right w:val="nil"/>
                <w:between w:val="nil"/>
              </w:pBdr>
              <w:rPr>
                <w:color w:val="000000"/>
              </w:rPr>
            </w:pPr>
            <w:r w:rsidRPr="00B523DA">
              <w:rPr>
                <w:color w:val="000000"/>
              </w:rPr>
              <w:t>20.75539251</w:t>
            </w:r>
          </w:p>
        </w:tc>
        <w:tc>
          <w:tcPr>
            <w:tcW w:w="1969" w:type="dxa"/>
            <w:noWrap/>
            <w:hideMark/>
          </w:tcPr>
          <w:p w14:paraId="2E8B2354" w14:textId="77777777" w:rsidR="00B523DA" w:rsidRPr="00B523DA" w:rsidRDefault="00B523DA" w:rsidP="00B523DA">
            <w:pPr>
              <w:pBdr>
                <w:top w:val="nil"/>
                <w:left w:val="nil"/>
                <w:bottom w:val="nil"/>
                <w:right w:val="nil"/>
                <w:between w:val="nil"/>
              </w:pBdr>
              <w:rPr>
                <w:color w:val="000000"/>
              </w:rPr>
            </w:pPr>
            <w:r w:rsidRPr="00B523DA">
              <w:rPr>
                <w:color w:val="000000"/>
              </w:rPr>
              <w:t>2</w:t>
            </w:r>
          </w:p>
        </w:tc>
        <w:tc>
          <w:tcPr>
            <w:tcW w:w="1761" w:type="dxa"/>
            <w:noWrap/>
            <w:hideMark/>
          </w:tcPr>
          <w:p w14:paraId="2AD71706"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189AFBED" w14:textId="77777777" w:rsidR="00B523DA" w:rsidRPr="00B523DA" w:rsidRDefault="00B523DA" w:rsidP="00B523DA">
            <w:pPr>
              <w:pBdr>
                <w:top w:val="nil"/>
                <w:left w:val="nil"/>
                <w:bottom w:val="nil"/>
                <w:right w:val="nil"/>
                <w:between w:val="nil"/>
              </w:pBdr>
              <w:rPr>
                <w:color w:val="000000"/>
              </w:rPr>
            </w:pPr>
            <w:r w:rsidRPr="00B523DA">
              <w:rPr>
                <w:color w:val="000000"/>
              </w:rPr>
              <w:t>1.20450625</w:t>
            </w:r>
          </w:p>
        </w:tc>
        <w:tc>
          <w:tcPr>
            <w:tcW w:w="1765" w:type="dxa"/>
            <w:noWrap/>
            <w:hideMark/>
          </w:tcPr>
          <w:p w14:paraId="0CBF7629" w14:textId="77777777" w:rsidR="00B523DA" w:rsidRPr="00B523DA" w:rsidRDefault="00B523DA" w:rsidP="00B523DA">
            <w:pPr>
              <w:pBdr>
                <w:top w:val="nil"/>
                <w:left w:val="nil"/>
                <w:bottom w:val="nil"/>
                <w:right w:val="nil"/>
                <w:between w:val="nil"/>
              </w:pBdr>
              <w:rPr>
                <w:color w:val="000000"/>
              </w:rPr>
            </w:pPr>
            <w:r w:rsidRPr="00B523DA">
              <w:rPr>
                <w:color w:val="000000"/>
              </w:rPr>
              <w:t>16.60431</w:t>
            </w:r>
          </w:p>
        </w:tc>
        <w:tc>
          <w:tcPr>
            <w:tcW w:w="960" w:type="dxa"/>
            <w:noWrap/>
            <w:hideMark/>
          </w:tcPr>
          <w:p w14:paraId="2824CC2D" w14:textId="77777777" w:rsidR="00B523DA" w:rsidRPr="00B523DA" w:rsidRDefault="00B523DA" w:rsidP="00B523DA">
            <w:pPr>
              <w:pBdr>
                <w:top w:val="nil"/>
                <w:left w:val="nil"/>
                <w:bottom w:val="nil"/>
                <w:right w:val="nil"/>
                <w:between w:val="nil"/>
              </w:pBdr>
              <w:rPr>
                <w:color w:val="000000"/>
              </w:rPr>
            </w:pPr>
          </w:p>
        </w:tc>
      </w:tr>
      <w:tr w:rsidR="00B523DA" w:rsidRPr="00B523DA" w14:paraId="72D67B67" w14:textId="77777777" w:rsidTr="00B523DA">
        <w:trPr>
          <w:trHeight w:val="300"/>
        </w:trPr>
        <w:tc>
          <w:tcPr>
            <w:tcW w:w="1969" w:type="dxa"/>
            <w:noWrap/>
            <w:hideMark/>
          </w:tcPr>
          <w:p w14:paraId="3B373EA6" w14:textId="77777777" w:rsidR="00B523DA" w:rsidRPr="00B523DA" w:rsidRDefault="00B523DA" w:rsidP="00B523DA">
            <w:pPr>
              <w:pBdr>
                <w:top w:val="nil"/>
                <w:left w:val="nil"/>
                <w:bottom w:val="nil"/>
                <w:right w:val="nil"/>
                <w:between w:val="nil"/>
              </w:pBdr>
              <w:rPr>
                <w:color w:val="000000"/>
              </w:rPr>
            </w:pPr>
            <w:r w:rsidRPr="00B523DA">
              <w:rPr>
                <w:color w:val="000000"/>
              </w:rPr>
              <w:t>3</w:t>
            </w:r>
          </w:p>
        </w:tc>
        <w:tc>
          <w:tcPr>
            <w:tcW w:w="2140" w:type="dxa"/>
            <w:noWrap/>
            <w:hideMark/>
          </w:tcPr>
          <w:p w14:paraId="516B2E76"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1300" w:type="dxa"/>
            <w:noWrap/>
            <w:hideMark/>
          </w:tcPr>
          <w:p w14:paraId="17E23BA3" w14:textId="77777777" w:rsidR="00B523DA" w:rsidRPr="00B523DA" w:rsidRDefault="00B523DA" w:rsidP="00B523DA">
            <w:pPr>
              <w:pBdr>
                <w:top w:val="nil"/>
                <w:left w:val="nil"/>
                <w:bottom w:val="nil"/>
                <w:right w:val="nil"/>
                <w:between w:val="nil"/>
              </w:pBdr>
              <w:rPr>
                <w:color w:val="000000"/>
              </w:rPr>
            </w:pPr>
            <w:r w:rsidRPr="00B523DA">
              <w:rPr>
                <w:color w:val="000000"/>
              </w:rPr>
              <w:t>1.321946</w:t>
            </w:r>
          </w:p>
        </w:tc>
        <w:tc>
          <w:tcPr>
            <w:tcW w:w="1765" w:type="dxa"/>
            <w:noWrap/>
            <w:hideMark/>
          </w:tcPr>
          <w:p w14:paraId="5D169CBA" w14:textId="77777777" w:rsidR="00B523DA" w:rsidRPr="00B523DA" w:rsidRDefault="00B523DA" w:rsidP="00B523DA">
            <w:pPr>
              <w:pBdr>
                <w:top w:val="nil"/>
                <w:left w:val="nil"/>
                <w:bottom w:val="nil"/>
                <w:right w:val="nil"/>
                <w:between w:val="nil"/>
              </w:pBdr>
              <w:rPr>
                <w:color w:val="000000"/>
              </w:rPr>
            </w:pPr>
            <w:r w:rsidRPr="00B523DA">
              <w:rPr>
                <w:color w:val="000000"/>
              </w:rPr>
              <w:t>15.1292155</w:t>
            </w:r>
          </w:p>
        </w:tc>
        <w:tc>
          <w:tcPr>
            <w:tcW w:w="1969" w:type="dxa"/>
            <w:noWrap/>
            <w:hideMark/>
          </w:tcPr>
          <w:p w14:paraId="47877478" w14:textId="77777777" w:rsidR="00B523DA" w:rsidRPr="00B523DA" w:rsidRDefault="00B523DA" w:rsidP="00B523DA">
            <w:pPr>
              <w:pBdr>
                <w:top w:val="nil"/>
                <w:left w:val="nil"/>
                <w:bottom w:val="nil"/>
                <w:right w:val="nil"/>
                <w:between w:val="nil"/>
              </w:pBdr>
              <w:rPr>
                <w:color w:val="000000"/>
              </w:rPr>
            </w:pPr>
            <w:r w:rsidRPr="00B523DA">
              <w:rPr>
                <w:color w:val="000000"/>
              </w:rPr>
              <w:t>3</w:t>
            </w:r>
          </w:p>
        </w:tc>
        <w:tc>
          <w:tcPr>
            <w:tcW w:w="1761" w:type="dxa"/>
            <w:noWrap/>
            <w:hideMark/>
          </w:tcPr>
          <w:p w14:paraId="328C04D3"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40A1D557" w14:textId="77777777" w:rsidR="00B523DA" w:rsidRPr="00B523DA" w:rsidRDefault="00B523DA" w:rsidP="00B523DA">
            <w:pPr>
              <w:pBdr>
                <w:top w:val="nil"/>
                <w:left w:val="nil"/>
                <w:bottom w:val="nil"/>
                <w:right w:val="nil"/>
                <w:between w:val="nil"/>
              </w:pBdr>
              <w:rPr>
                <w:color w:val="000000"/>
              </w:rPr>
            </w:pPr>
            <w:r w:rsidRPr="00B523DA">
              <w:rPr>
                <w:color w:val="000000"/>
              </w:rPr>
              <w:t>1.321945609</w:t>
            </w:r>
          </w:p>
        </w:tc>
        <w:tc>
          <w:tcPr>
            <w:tcW w:w="1765" w:type="dxa"/>
            <w:noWrap/>
            <w:hideMark/>
          </w:tcPr>
          <w:p w14:paraId="1B823769" w14:textId="77777777" w:rsidR="00B523DA" w:rsidRPr="00B523DA" w:rsidRDefault="00B523DA" w:rsidP="00B523DA">
            <w:pPr>
              <w:pBdr>
                <w:top w:val="nil"/>
                <w:left w:val="nil"/>
                <w:bottom w:val="nil"/>
                <w:right w:val="nil"/>
                <w:between w:val="nil"/>
              </w:pBdr>
              <w:rPr>
                <w:color w:val="000000"/>
              </w:rPr>
            </w:pPr>
            <w:r w:rsidRPr="00B523DA">
              <w:rPr>
                <w:color w:val="000000"/>
              </w:rPr>
              <w:t>15.12922</w:t>
            </w:r>
          </w:p>
        </w:tc>
        <w:tc>
          <w:tcPr>
            <w:tcW w:w="960" w:type="dxa"/>
            <w:noWrap/>
            <w:hideMark/>
          </w:tcPr>
          <w:p w14:paraId="6D947196" w14:textId="77777777" w:rsidR="00B523DA" w:rsidRPr="00B523DA" w:rsidRDefault="00B523DA" w:rsidP="00B523DA">
            <w:pPr>
              <w:pBdr>
                <w:top w:val="nil"/>
                <w:left w:val="nil"/>
                <w:bottom w:val="nil"/>
                <w:right w:val="nil"/>
                <w:between w:val="nil"/>
              </w:pBdr>
              <w:rPr>
                <w:color w:val="000000"/>
              </w:rPr>
            </w:pPr>
          </w:p>
        </w:tc>
      </w:tr>
      <w:tr w:rsidR="00B523DA" w:rsidRPr="00B523DA" w14:paraId="7E9C166A" w14:textId="77777777" w:rsidTr="00B523DA">
        <w:trPr>
          <w:trHeight w:val="300"/>
        </w:trPr>
        <w:tc>
          <w:tcPr>
            <w:tcW w:w="1969" w:type="dxa"/>
            <w:noWrap/>
            <w:hideMark/>
          </w:tcPr>
          <w:p w14:paraId="29491E9F" w14:textId="77777777" w:rsidR="00B523DA" w:rsidRPr="00B523DA" w:rsidRDefault="00B523DA" w:rsidP="00B523DA">
            <w:pPr>
              <w:pBdr>
                <w:top w:val="nil"/>
                <w:left w:val="nil"/>
                <w:bottom w:val="nil"/>
                <w:right w:val="nil"/>
                <w:between w:val="nil"/>
              </w:pBdr>
              <w:rPr>
                <w:color w:val="000000"/>
              </w:rPr>
            </w:pPr>
            <w:r w:rsidRPr="00B523DA">
              <w:rPr>
                <w:color w:val="000000"/>
              </w:rPr>
              <w:t>4</w:t>
            </w:r>
          </w:p>
        </w:tc>
        <w:tc>
          <w:tcPr>
            <w:tcW w:w="2140" w:type="dxa"/>
            <w:noWrap/>
            <w:hideMark/>
          </w:tcPr>
          <w:p w14:paraId="75288B81" w14:textId="77777777" w:rsidR="00B523DA" w:rsidRPr="00B523DA" w:rsidRDefault="00B523DA" w:rsidP="00B523DA">
            <w:pPr>
              <w:pBdr>
                <w:top w:val="nil"/>
                <w:left w:val="nil"/>
                <w:bottom w:val="nil"/>
                <w:right w:val="nil"/>
                <w:between w:val="nil"/>
              </w:pBdr>
              <w:rPr>
                <w:color w:val="000000"/>
              </w:rPr>
            </w:pPr>
            <w:r w:rsidRPr="00B523DA">
              <w:rPr>
                <w:color w:val="000000"/>
              </w:rPr>
              <w:t>55</w:t>
            </w:r>
          </w:p>
        </w:tc>
        <w:tc>
          <w:tcPr>
            <w:tcW w:w="1300" w:type="dxa"/>
            <w:noWrap/>
            <w:hideMark/>
          </w:tcPr>
          <w:p w14:paraId="2F7CDA96" w14:textId="77777777" w:rsidR="00B523DA" w:rsidRPr="00B523DA" w:rsidRDefault="00B523DA" w:rsidP="00B523DA">
            <w:pPr>
              <w:pBdr>
                <w:top w:val="nil"/>
                <w:left w:val="nil"/>
                <w:bottom w:val="nil"/>
                <w:right w:val="nil"/>
                <w:between w:val="nil"/>
              </w:pBdr>
              <w:rPr>
                <w:color w:val="000000"/>
              </w:rPr>
            </w:pPr>
            <w:r w:rsidRPr="00B523DA">
              <w:rPr>
                <w:color w:val="000000"/>
              </w:rPr>
              <w:t>1.450835</w:t>
            </w:r>
          </w:p>
        </w:tc>
        <w:tc>
          <w:tcPr>
            <w:tcW w:w="1765" w:type="dxa"/>
            <w:noWrap/>
            <w:hideMark/>
          </w:tcPr>
          <w:p w14:paraId="63DA76BF" w14:textId="77777777" w:rsidR="00B523DA" w:rsidRPr="00B523DA" w:rsidRDefault="00B523DA" w:rsidP="00B523DA">
            <w:pPr>
              <w:pBdr>
                <w:top w:val="nil"/>
                <w:left w:val="nil"/>
                <w:bottom w:val="nil"/>
                <w:right w:val="nil"/>
                <w:between w:val="nil"/>
              </w:pBdr>
              <w:rPr>
                <w:color w:val="000000"/>
              </w:rPr>
            </w:pPr>
            <w:r w:rsidRPr="00B523DA">
              <w:rPr>
                <w:color w:val="000000"/>
              </w:rPr>
              <w:t>37.90919601</w:t>
            </w:r>
          </w:p>
        </w:tc>
        <w:tc>
          <w:tcPr>
            <w:tcW w:w="1969" w:type="dxa"/>
            <w:noWrap/>
            <w:hideMark/>
          </w:tcPr>
          <w:p w14:paraId="4F0A5773" w14:textId="77777777" w:rsidR="00B523DA" w:rsidRPr="00B523DA" w:rsidRDefault="00B523DA" w:rsidP="00B523DA">
            <w:pPr>
              <w:pBdr>
                <w:top w:val="nil"/>
                <w:left w:val="nil"/>
                <w:bottom w:val="nil"/>
                <w:right w:val="nil"/>
                <w:between w:val="nil"/>
              </w:pBdr>
              <w:rPr>
                <w:color w:val="000000"/>
              </w:rPr>
            </w:pPr>
            <w:r w:rsidRPr="00B523DA">
              <w:rPr>
                <w:color w:val="000000"/>
              </w:rPr>
              <w:t>4</w:t>
            </w:r>
          </w:p>
        </w:tc>
        <w:tc>
          <w:tcPr>
            <w:tcW w:w="1761" w:type="dxa"/>
            <w:noWrap/>
            <w:hideMark/>
          </w:tcPr>
          <w:p w14:paraId="5AC9BD5A" w14:textId="77777777" w:rsidR="00B523DA" w:rsidRPr="00B523DA" w:rsidRDefault="00B523DA" w:rsidP="00B523DA">
            <w:pPr>
              <w:pBdr>
                <w:top w:val="nil"/>
                <w:left w:val="nil"/>
                <w:bottom w:val="nil"/>
                <w:right w:val="nil"/>
                <w:between w:val="nil"/>
              </w:pBdr>
              <w:rPr>
                <w:color w:val="000000"/>
              </w:rPr>
            </w:pPr>
            <w:r w:rsidRPr="00B523DA">
              <w:rPr>
                <w:color w:val="000000"/>
              </w:rPr>
              <w:t>20</w:t>
            </w:r>
          </w:p>
        </w:tc>
        <w:tc>
          <w:tcPr>
            <w:tcW w:w="2280" w:type="dxa"/>
            <w:noWrap/>
            <w:hideMark/>
          </w:tcPr>
          <w:p w14:paraId="08721917" w14:textId="77777777" w:rsidR="00B523DA" w:rsidRPr="00B523DA" w:rsidRDefault="00B523DA" w:rsidP="00B523DA">
            <w:pPr>
              <w:pBdr>
                <w:top w:val="nil"/>
                <w:left w:val="nil"/>
                <w:bottom w:val="nil"/>
                <w:right w:val="nil"/>
                <w:between w:val="nil"/>
              </w:pBdr>
              <w:rPr>
                <w:color w:val="000000"/>
              </w:rPr>
            </w:pPr>
            <w:r w:rsidRPr="00B523DA">
              <w:rPr>
                <w:color w:val="000000"/>
              </w:rPr>
              <w:t>1.450835306</w:t>
            </w:r>
          </w:p>
        </w:tc>
        <w:tc>
          <w:tcPr>
            <w:tcW w:w="1765" w:type="dxa"/>
            <w:noWrap/>
            <w:hideMark/>
          </w:tcPr>
          <w:p w14:paraId="1C393058" w14:textId="77777777" w:rsidR="00B523DA" w:rsidRPr="00B523DA" w:rsidRDefault="00B523DA" w:rsidP="00B523DA">
            <w:pPr>
              <w:pBdr>
                <w:top w:val="nil"/>
                <w:left w:val="nil"/>
                <w:bottom w:val="nil"/>
                <w:right w:val="nil"/>
                <w:between w:val="nil"/>
              </w:pBdr>
              <w:rPr>
                <w:color w:val="000000"/>
              </w:rPr>
            </w:pPr>
            <w:r w:rsidRPr="00B523DA">
              <w:rPr>
                <w:color w:val="000000"/>
              </w:rPr>
              <w:t>13.78516</w:t>
            </w:r>
          </w:p>
        </w:tc>
        <w:tc>
          <w:tcPr>
            <w:tcW w:w="960" w:type="dxa"/>
            <w:noWrap/>
            <w:hideMark/>
          </w:tcPr>
          <w:p w14:paraId="59006128" w14:textId="77777777" w:rsidR="00B523DA" w:rsidRPr="00B523DA" w:rsidRDefault="00B523DA" w:rsidP="00B523DA">
            <w:pPr>
              <w:pBdr>
                <w:top w:val="nil"/>
                <w:left w:val="nil"/>
                <w:bottom w:val="nil"/>
                <w:right w:val="nil"/>
                <w:between w:val="nil"/>
              </w:pBdr>
              <w:rPr>
                <w:color w:val="000000"/>
              </w:rPr>
            </w:pPr>
          </w:p>
        </w:tc>
      </w:tr>
      <w:tr w:rsidR="00B523DA" w:rsidRPr="00B523DA" w14:paraId="63EEB08E" w14:textId="77777777" w:rsidTr="00B523DA">
        <w:trPr>
          <w:trHeight w:val="300"/>
        </w:trPr>
        <w:tc>
          <w:tcPr>
            <w:tcW w:w="5409" w:type="dxa"/>
            <w:gridSpan w:val="3"/>
            <w:noWrap/>
            <w:hideMark/>
          </w:tcPr>
          <w:p w14:paraId="4514ED5F" w14:textId="77777777" w:rsidR="00B523DA" w:rsidRPr="00B523DA" w:rsidRDefault="00B523DA" w:rsidP="00B523DA">
            <w:pPr>
              <w:pBdr>
                <w:top w:val="nil"/>
                <w:left w:val="nil"/>
                <w:bottom w:val="nil"/>
                <w:right w:val="nil"/>
                <w:between w:val="nil"/>
              </w:pBdr>
              <w:rPr>
                <w:color w:val="000000"/>
              </w:rPr>
            </w:pPr>
            <w:r w:rsidRPr="00B523DA">
              <w:rPr>
                <w:color w:val="000000"/>
              </w:rPr>
              <w:t>NPV</w:t>
            </w:r>
          </w:p>
        </w:tc>
        <w:tc>
          <w:tcPr>
            <w:tcW w:w="1765" w:type="dxa"/>
            <w:noWrap/>
            <w:hideMark/>
          </w:tcPr>
          <w:p w14:paraId="4EE341EF" w14:textId="77777777" w:rsidR="00B523DA" w:rsidRPr="00B523DA" w:rsidRDefault="00B523DA" w:rsidP="00B523DA">
            <w:pPr>
              <w:pBdr>
                <w:top w:val="nil"/>
                <w:left w:val="nil"/>
                <w:bottom w:val="nil"/>
                <w:right w:val="nil"/>
                <w:between w:val="nil"/>
              </w:pBdr>
              <w:rPr>
                <w:color w:val="000000"/>
              </w:rPr>
            </w:pPr>
            <w:r w:rsidRPr="00B523DA">
              <w:rPr>
                <w:color w:val="000000"/>
              </w:rPr>
              <w:t>16.57284729</w:t>
            </w:r>
          </w:p>
        </w:tc>
        <w:tc>
          <w:tcPr>
            <w:tcW w:w="6010" w:type="dxa"/>
            <w:gridSpan w:val="3"/>
            <w:noWrap/>
            <w:hideMark/>
          </w:tcPr>
          <w:p w14:paraId="7F65414A" w14:textId="77777777" w:rsidR="00B523DA" w:rsidRPr="00B523DA" w:rsidRDefault="00B523DA" w:rsidP="00B523DA">
            <w:pPr>
              <w:pBdr>
                <w:top w:val="nil"/>
                <w:left w:val="nil"/>
                <w:bottom w:val="nil"/>
                <w:right w:val="nil"/>
                <w:between w:val="nil"/>
              </w:pBdr>
              <w:rPr>
                <w:color w:val="000000"/>
              </w:rPr>
            </w:pPr>
            <w:r w:rsidRPr="00B523DA">
              <w:rPr>
                <w:color w:val="000000"/>
              </w:rPr>
              <w:t>NPV</w:t>
            </w:r>
          </w:p>
        </w:tc>
        <w:tc>
          <w:tcPr>
            <w:tcW w:w="1765" w:type="dxa"/>
            <w:noWrap/>
            <w:hideMark/>
          </w:tcPr>
          <w:p w14:paraId="6A86C16C" w14:textId="77777777" w:rsidR="00B523DA" w:rsidRPr="00B523DA" w:rsidRDefault="00B523DA" w:rsidP="00B523DA">
            <w:pPr>
              <w:pBdr>
                <w:top w:val="nil"/>
                <w:left w:val="nil"/>
                <w:bottom w:val="nil"/>
                <w:right w:val="nil"/>
                <w:between w:val="nil"/>
              </w:pBdr>
              <w:rPr>
                <w:color w:val="000000"/>
              </w:rPr>
            </w:pPr>
            <w:r w:rsidRPr="00B523DA">
              <w:rPr>
                <w:color w:val="000000"/>
              </w:rPr>
              <w:t>16.07678</w:t>
            </w:r>
          </w:p>
        </w:tc>
        <w:tc>
          <w:tcPr>
            <w:tcW w:w="960" w:type="dxa"/>
            <w:noWrap/>
            <w:hideMark/>
          </w:tcPr>
          <w:p w14:paraId="4EB72AB8" w14:textId="77777777" w:rsidR="00B523DA" w:rsidRPr="00B523DA" w:rsidRDefault="00B523DA" w:rsidP="00B523DA">
            <w:pPr>
              <w:pBdr>
                <w:top w:val="nil"/>
                <w:left w:val="nil"/>
                <w:bottom w:val="nil"/>
                <w:right w:val="nil"/>
                <w:between w:val="nil"/>
              </w:pBdr>
              <w:rPr>
                <w:color w:val="000000"/>
              </w:rPr>
            </w:pPr>
          </w:p>
        </w:tc>
      </w:tr>
      <w:tr w:rsidR="00B523DA" w:rsidRPr="00B523DA" w14:paraId="14E59624" w14:textId="77777777" w:rsidTr="00B523DA">
        <w:trPr>
          <w:trHeight w:val="300"/>
        </w:trPr>
        <w:tc>
          <w:tcPr>
            <w:tcW w:w="1969" w:type="dxa"/>
            <w:noWrap/>
            <w:hideMark/>
          </w:tcPr>
          <w:p w14:paraId="56F81E03" w14:textId="77777777" w:rsidR="00B523DA" w:rsidRPr="00B523DA" w:rsidRDefault="00B523DA" w:rsidP="00B523DA">
            <w:pPr>
              <w:pBdr>
                <w:top w:val="nil"/>
                <w:left w:val="nil"/>
                <w:bottom w:val="nil"/>
                <w:right w:val="nil"/>
                <w:between w:val="nil"/>
              </w:pBdr>
              <w:rPr>
                <w:color w:val="000000"/>
              </w:rPr>
            </w:pPr>
          </w:p>
        </w:tc>
        <w:tc>
          <w:tcPr>
            <w:tcW w:w="2140" w:type="dxa"/>
            <w:noWrap/>
            <w:hideMark/>
          </w:tcPr>
          <w:p w14:paraId="07A43E8C" w14:textId="77777777" w:rsidR="00B523DA" w:rsidRPr="00B523DA" w:rsidRDefault="00B523DA" w:rsidP="00B523DA">
            <w:pPr>
              <w:pBdr>
                <w:top w:val="nil"/>
                <w:left w:val="nil"/>
                <w:bottom w:val="nil"/>
                <w:right w:val="nil"/>
                <w:between w:val="nil"/>
              </w:pBdr>
              <w:rPr>
                <w:color w:val="000000"/>
              </w:rPr>
            </w:pPr>
          </w:p>
        </w:tc>
        <w:tc>
          <w:tcPr>
            <w:tcW w:w="1300" w:type="dxa"/>
            <w:noWrap/>
            <w:hideMark/>
          </w:tcPr>
          <w:p w14:paraId="43003216"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798E5CCA" w14:textId="77777777" w:rsidR="00B523DA" w:rsidRPr="00B523DA" w:rsidRDefault="00B523DA" w:rsidP="00B523DA">
            <w:pPr>
              <w:pBdr>
                <w:top w:val="nil"/>
                <w:left w:val="nil"/>
                <w:bottom w:val="nil"/>
                <w:right w:val="nil"/>
                <w:between w:val="nil"/>
              </w:pBdr>
              <w:rPr>
                <w:color w:val="000000"/>
              </w:rPr>
            </w:pPr>
          </w:p>
        </w:tc>
        <w:tc>
          <w:tcPr>
            <w:tcW w:w="1969" w:type="dxa"/>
            <w:noWrap/>
            <w:hideMark/>
          </w:tcPr>
          <w:p w14:paraId="658AB9AD" w14:textId="77777777" w:rsidR="00B523DA" w:rsidRPr="00B523DA" w:rsidRDefault="00B523DA" w:rsidP="00B523DA">
            <w:pPr>
              <w:pBdr>
                <w:top w:val="nil"/>
                <w:left w:val="nil"/>
                <w:bottom w:val="nil"/>
                <w:right w:val="nil"/>
                <w:between w:val="nil"/>
              </w:pBdr>
              <w:rPr>
                <w:color w:val="000000"/>
              </w:rPr>
            </w:pPr>
          </w:p>
        </w:tc>
        <w:tc>
          <w:tcPr>
            <w:tcW w:w="1761" w:type="dxa"/>
            <w:noWrap/>
            <w:hideMark/>
          </w:tcPr>
          <w:p w14:paraId="16020B46" w14:textId="77777777" w:rsidR="00B523DA" w:rsidRPr="00B523DA" w:rsidRDefault="00B523DA" w:rsidP="00B523DA">
            <w:pPr>
              <w:pBdr>
                <w:top w:val="nil"/>
                <w:left w:val="nil"/>
                <w:bottom w:val="nil"/>
                <w:right w:val="nil"/>
                <w:between w:val="nil"/>
              </w:pBdr>
              <w:rPr>
                <w:color w:val="000000"/>
              </w:rPr>
            </w:pPr>
          </w:p>
        </w:tc>
        <w:tc>
          <w:tcPr>
            <w:tcW w:w="2280" w:type="dxa"/>
            <w:noWrap/>
            <w:hideMark/>
          </w:tcPr>
          <w:p w14:paraId="677745B5"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65BA2351"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30E9D037" w14:textId="77777777" w:rsidR="00B523DA" w:rsidRPr="00B523DA" w:rsidRDefault="00B523DA" w:rsidP="00B523DA">
            <w:pPr>
              <w:pBdr>
                <w:top w:val="nil"/>
                <w:left w:val="nil"/>
                <w:bottom w:val="nil"/>
                <w:right w:val="nil"/>
                <w:between w:val="nil"/>
              </w:pBdr>
              <w:rPr>
                <w:color w:val="000000"/>
              </w:rPr>
            </w:pPr>
          </w:p>
        </w:tc>
      </w:tr>
      <w:tr w:rsidR="00B523DA" w:rsidRPr="00B523DA" w14:paraId="4AEC64F4" w14:textId="77777777" w:rsidTr="00B523DA">
        <w:trPr>
          <w:trHeight w:val="300"/>
        </w:trPr>
        <w:tc>
          <w:tcPr>
            <w:tcW w:w="1969" w:type="dxa"/>
            <w:noWrap/>
            <w:hideMark/>
          </w:tcPr>
          <w:p w14:paraId="46BD937B" w14:textId="77777777" w:rsidR="00B523DA" w:rsidRPr="00B523DA" w:rsidRDefault="00B523DA" w:rsidP="00B523DA">
            <w:pPr>
              <w:pBdr>
                <w:top w:val="nil"/>
                <w:left w:val="nil"/>
                <w:bottom w:val="nil"/>
                <w:right w:val="nil"/>
                <w:between w:val="nil"/>
              </w:pBdr>
              <w:rPr>
                <w:color w:val="000000"/>
              </w:rPr>
            </w:pPr>
            <w:r w:rsidRPr="00B523DA">
              <w:rPr>
                <w:color w:val="000000"/>
              </w:rPr>
              <w:t>Average annual profit</w:t>
            </w:r>
          </w:p>
        </w:tc>
        <w:tc>
          <w:tcPr>
            <w:tcW w:w="2140" w:type="dxa"/>
            <w:noWrap/>
            <w:hideMark/>
          </w:tcPr>
          <w:p w14:paraId="71CFBC8F" w14:textId="77777777" w:rsidR="00B523DA" w:rsidRPr="00B523DA" w:rsidRDefault="00B523DA" w:rsidP="00B523DA">
            <w:pPr>
              <w:pBdr>
                <w:top w:val="nil"/>
                <w:left w:val="nil"/>
                <w:bottom w:val="nil"/>
                <w:right w:val="nil"/>
                <w:between w:val="nil"/>
              </w:pBdr>
              <w:rPr>
                <w:color w:val="000000"/>
              </w:rPr>
            </w:pPr>
            <w:r w:rsidRPr="00B523DA">
              <w:rPr>
                <w:color w:val="000000"/>
              </w:rPr>
              <w:t>11.25</w:t>
            </w:r>
          </w:p>
        </w:tc>
        <w:tc>
          <w:tcPr>
            <w:tcW w:w="1300" w:type="dxa"/>
            <w:noWrap/>
            <w:hideMark/>
          </w:tcPr>
          <w:p w14:paraId="4981A2D9"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0D514410" w14:textId="77777777" w:rsidR="00B523DA" w:rsidRPr="00B523DA" w:rsidRDefault="00B523DA" w:rsidP="00B523DA">
            <w:pPr>
              <w:pBdr>
                <w:top w:val="nil"/>
                <w:left w:val="nil"/>
                <w:bottom w:val="nil"/>
                <w:right w:val="nil"/>
                <w:between w:val="nil"/>
              </w:pBdr>
              <w:rPr>
                <w:color w:val="000000"/>
              </w:rPr>
            </w:pPr>
          </w:p>
        </w:tc>
        <w:tc>
          <w:tcPr>
            <w:tcW w:w="1969" w:type="dxa"/>
            <w:noWrap/>
            <w:hideMark/>
          </w:tcPr>
          <w:p w14:paraId="01ACDC81" w14:textId="77777777" w:rsidR="00B523DA" w:rsidRPr="00B523DA" w:rsidRDefault="00B523DA" w:rsidP="00B523DA">
            <w:pPr>
              <w:pBdr>
                <w:top w:val="nil"/>
                <w:left w:val="nil"/>
                <w:bottom w:val="nil"/>
                <w:right w:val="nil"/>
                <w:between w:val="nil"/>
              </w:pBdr>
              <w:rPr>
                <w:color w:val="000000"/>
              </w:rPr>
            </w:pPr>
            <w:r w:rsidRPr="00B523DA">
              <w:rPr>
                <w:color w:val="000000"/>
              </w:rPr>
              <w:t>Average annual profit</w:t>
            </w:r>
          </w:p>
        </w:tc>
        <w:tc>
          <w:tcPr>
            <w:tcW w:w="1761" w:type="dxa"/>
            <w:noWrap/>
            <w:hideMark/>
          </w:tcPr>
          <w:p w14:paraId="5F93E74D" w14:textId="77777777" w:rsidR="00B523DA" w:rsidRPr="00B523DA" w:rsidRDefault="00B523DA" w:rsidP="00B523DA">
            <w:pPr>
              <w:pBdr>
                <w:top w:val="nil"/>
                <w:left w:val="nil"/>
                <w:bottom w:val="nil"/>
                <w:right w:val="nil"/>
                <w:between w:val="nil"/>
              </w:pBdr>
              <w:rPr>
                <w:color w:val="000000"/>
              </w:rPr>
            </w:pPr>
            <w:r w:rsidRPr="00B523DA">
              <w:rPr>
                <w:color w:val="000000"/>
              </w:rPr>
              <w:t>8.75</w:t>
            </w:r>
          </w:p>
        </w:tc>
        <w:tc>
          <w:tcPr>
            <w:tcW w:w="2280" w:type="dxa"/>
            <w:noWrap/>
            <w:hideMark/>
          </w:tcPr>
          <w:p w14:paraId="481D55C8"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2870BE36"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083DEE52" w14:textId="77777777" w:rsidR="00B523DA" w:rsidRPr="00B523DA" w:rsidRDefault="00B523DA" w:rsidP="00B523DA">
            <w:pPr>
              <w:pBdr>
                <w:top w:val="nil"/>
                <w:left w:val="nil"/>
                <w:bottom w:val="nil"/>
                <w:right w:val="nil"/>
                <w:between w:val="nil"/>
              </w:pBdr>
              <w:rPr>
                <w:color w:val="000000"/>
              </w:rPr>
            </w:pPr>
          </w:p>
        </w:tc>
      </w:tr>
      <w:tr w:rsidR="00B523DA" w:rsidRPr="00B523DA" w14:paraId="5CB715B3" w14:textId="77777777" w:rsidTr="00B523DA">
        <w:trPr>
          <w:trHeight w:val="300"/>
        </w:trPr>
        <w:tc>
          <w:tcPr>
            <w:tcW w:w="1969" w:type="dxa"/>
            <w:noWrap/>
            <w:hideMark/>
          </w:tcPr>
          <w:p w14:paraId="69E9C213" w14:textId="77777777" w:rsidR="00B523DA" w:rsidRPr="00B523DA" w:rsidRDefault="00B523DA" w:rsidP="00B523DA">
            <w:pPr>
              <w:pBdr>
                <w:top w:val="nil"/>
                <w:left w:val="nil"/>
                <w:bottom w:val="nil"/>
                <w:right w:val="nil"/>
                <w:between w:val="nil"/>
              </w:pBdr>
              <w:rPr>
                <w:color w:val="000000"/>
              </w:rPr>
            </w:pPr>
            <w:r w:rsidRPr="00B523DA">
              <w:rPr>
                <w:color w:val="000000"/>
              </w:rPr>
              <w:t>ARR</w:t>
            </w:r>
          </w:p>
        </w:tc>
        <w:tc>
          <w:tcPr>
            <w:tcW w:w="2140" w:type="dxa"/>
            <w:noWrap/>
            <w:hideMark/>
          </w:tcPr>
          <w:p w14:paraId="47C74026" w14:textId="77777777" w:rsidR="00B523DA" w:rsidRPr="00B523DA" w:rsidRDefault="00B523DA" w:rsidP="00B523DA">
            <w:pPr>
              <w:pBdr>
                <w:top w:val="nil"/>
                <w:left w:val="nil"/>
                <w:bottom w:val="nil"/>
                <w:right w:val="nil"/>
                <w:between w:val="nil"/>
              </w:pBdr>
              <w:rPr>
                <w:color w:val="000000"/>
              </w:rPr>
            </w:pPr>
            <w:r w:rsidRPr="00B523DA">
              <w:rPr>
                <w:color w:val="000000"/>
              </w:rPr>
              <w:t>14.06%</w:t>
            </w:r>
          </w:p>
        </w:tc>
        <w:tc>
          <w:tcPr>
            <w:tcW w:w="1300" w:type="dxa"/>
            <w:noWrap/>
            <w:hideMark/>
          </w:tcPr>
          <w:p w14:paraId="41F4C533"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663E15BC" w14:textId="77777777" w:rsidR="00B523DA" w:rsidRPr="00B523DA" w:rsidRDefault="00B523DA" w:rsidP="00B523DA">
            <w:pPr>
              <w:pBdr>
                <w:top w:val="nil"/>
                <w:left w:val="nil"/>
                <w:bottom w:val="nil"/>
                <w:right w:val="nil"/>
                <w:between w:val="nil"/>
              </w:pBdr>
              <w:rPr>
                <w:color w:val="000000"/>
              </w:rPr>
            </w:pPr>
          </w:p>
        </w:tc>
        <w:tc>
          <w:tcPr>
            <w:tcW w:w="1969" w:type="dxa"/>
            <w:noWrap/>
            <w:hideMark/>
          </w:tcPr>
          <w:p w14:paraId="76D4AFD3" w14:textId="77777777" w:rsidR="00B523DA" w:rsidRPr="00B523DA" w:rsidRDefault="00B523DA" w:rsidP="00B523DA">
            <w:pPr>
              <w:pBdr>
                <w:top w:val="nil"/>
                <w:left w:val="nil"/>
                <w:bottom w:val="nil"/>
                <w:right w:val="nil"/>
                <w:between w:val="nil"/>
              </w:pBdr>
              <w:rPr>
                <w:color w:val="000000"/>
              </w:rPr>
            </w:pPr>
            <w:r w:rsidRPr="00B523DA">
              <w:rPr>
                <w:color w:val="000000"/>
              </w:rPr>
              <w:t>ARR</w:t>
            </w:r>
          </w:p>
        </w:tc>
        <w:tc>
          <w:tcPr>
            <w:tcW w:w="1761" w:type="dxa"/>
            <w:noWrap/>
            <w:hideMark/>
          </w:tcPr>
          <w:p w14:paraId="586A2C62" w14:textId="77777777" w:rsidR="00B523DA" w:rsidRPr="00B523DA" w:rsidRDefault="00B523DA" w:rsidP="00B523DA">
            <w:pPr>
              <w:pBdr>
                <w:top w:val="nil"/>
                <w:left w:val="nil"/>
                <w:bottom w:val="nil"/>
                <w:right w:val="nil"/>
                <w:between w:val="nil"/>
              </w:pBdr>
              <w:rPr>
                <w:color w:val="000000"/>
              </w:rPr>
            </w:pPr>
            <w:r w:rsidRPr="00B523DA">
              <w:rPr>
                <w:color w:val="000000"/>
              </w:rPr>
              <w:t>11.67%</w:t>
            </w:r>
          </w:p>
        </w:tc>
        <w:tc>
          <w:tcPr>
            <w:tcW w:w="2280" w:type="dxa"/>
            <w:noWrap/>
            <w:hideMark/>
          </w:tcPr>
          <w:p w14:paraId="7C3599D1" w14:textId="77777777" w:rsidR="00B523DA" w:rsidRPr="00B523DA" w:rsidRDefault="00B523DA" w:rsidP="00B523DA">
            <w:pPr>
              <w:pBdr>
                <w:top w:val="nil"/>
                <w:left w:val="nil"/>
                <w:bottom w:val="nil"/>
                <w:right w:val="nil"/>
                <w:between w:val="nil"/>
              </w:pBdr>
              <w:rPr>
                <w:color w:val="000000"/>
              </w:rPr>
            </w:pPr>
          </w:p>
        </w:tc>
        <w:tc>
          <w:tcPr>
            <w:tcW w:w="1765" w:type="dxa"/>
            <w:noWrap/>
            <w:hideMark/>
          </w:tcPr>
          <w:p w14:paraId="2F5AEE8C" w14:textId="77777777" w:rsidR="00B523DA" w:rsidRPr="00B523DA" w:rsidRDefault="00B523DA" w:rsidP="00B523DA">
            <w:pPr>
              <w:pBdr>
                <w:top w:val="nil"/>
                <w:left w:val="nil"/>
                <w:bottom w:val="nil"/>
                <w:right w:val="nil"/>
                <w:between w:val="nil"/>
              </w:pBdr>
              <w:rPr>
                <w:color w:val="000000"/>
              </w:rPr>
            </w:pPr>
          </w:p>
        </w:tc>
        <w:tc>
          <w:tcPr>
            <w:tcW w:w="960" w:type="dxa"/>
            <w:noWrap/>
            <w:hideMark/>
          </w:tcPr>
          <w:p w14:paraId="4E7E4202" w14:textId="77777777" w:rsidR="00B523DA" w:rsidRPr="00B523DA" w:rsidRDefault="00B523DA" w:rsidP="00B523DA">
            <w:pPr>
              <w:pBdr>
                <w:top w:val="nil"/>
                <w:left w:val="nil"/>
                <w:bottom w:val="nil"/>
                <w:right w:val="nil"/>
                <w:between w:val="nil"/>
              </w:pBdr>
              <w:rPr>
                <w:color w:val="000000"/>
              </w:rPr>
            </w:pPr>
          </w:p>
        </w:tc>
      </w:tr>
    </w:tbl>
    <w:p w14:paraId="5D912040" w14:textId="1935FDBE" w:rsidR="00F44EAE" w:rsidRDefault="00F44EAE">
      <w:pPr>
        <w:pBdr>
          <w:top w:val="nil"/>
          <w:left w:val="nil"/>
          <w:bottom w:val="nil"/>
          <w:right w:val="nil"/>
          <w:between w:val="nil"/>
        </w:pBdr>
        <w:rPr>
          <w:color w:val="000000"/>
        </w:rPr>
      </w:pPr>
    </w:p>
    <w:p w14:paraId="238F19C8" w14:textId="77777777" w:rsidR="00F44EAE" w:rsidRDefault="00AB3F43">
      <w:pPr>
        <w:pBdr>
          <w:top w:val="nil"/>
          <w:left w:val="nil"/>
          <w:bottom w:val="nil"/>
          <w:right w:val="nil"/>
          <w:between w:val="nil"/>
        </w:pBdr>
        <w:rPr>
          <w:color w:val="000000"/>
        </w:rPr>
      </w:pPr>
      <w:r>
        <w:rPr>
          <w:color w:val="000000"/>
        </w:rPr>
        <w:t>‌</w:t>
      </w:r>
    </w:p>
    <w:p w14:paraId="43DCE207" w14:textId="77777777" w:rsidR="00F44EAE" w:rsidRDefault="00AB3F43">
      <w:pPr>
        <w:pBdr>
          <w:top w:val="nil"/>
          <w:left w:val="nil"/>
          <w:bottom w:val="nil"/>
          <w:right w:val="nil"/>
          <w:between w:val="nil"/>
        </w:pBdr>
        <w:rPr>
          <w:color w:val="000000"/>
        </w:rPr>
      </w:pPr>
      <w:r>
        <w:rPr>
          <w:color w:val="000000"/>
        </w:rPr>
        <w:t>‌</w:t>
      </w:r>
    </w:p>
    <w:p w14:paraId="0BD7EE41" w14:textId="77777777" w:rsidR="00F44EAE" w:rsidRDefault="00AB3F43">
      <w:pPr>
        <w:pBdr>
          <w:top w:val="nil"/>
          <w:left w:val="nil"/>
          <w:bottom w:val="nil"/>
          <w:right w:val="nil"/>
          <w:between w:val="nil"/>
        </w:pBdr>
        <w:rPr>
          <w:color w:val="000000"/>
        </w:rPr>
      </w:pPr>
      <w:r>
        <w:rPr>
          <w:color w:val="000000"/>
        </w:rPr>
        <w:t>‌</w:t>
      </w:r>
    </w:p>
    <w:p w14:paraId="75DBE091" w14:textId="77777777" w:rsidR="00F44EAE" w:rsidRDefault="00AB3F43">
      <w:pPr>
        <w:pBdr>
          <w:top w:val="nil"/>
          <w:left w:val="nil"/>
          <w:bottom w:val="nil"/>
          <w:right w:val="nil"/>
          <w:between w:val="nil"/>
        </w:pBdr>
        <w:rPr>
          <w:color w:val="000000"/>
        </w:rPr>
      </w:pPr>
      <w:r>
        <w:rPr>
          <w:color w:val="000000"/>
        </w:rPr>
        <w:t>‌</w:t>
      </w:r>
    </w:p>
    <w:p w14:paraId="0F431A48" w14:textId="77777777" w:rsidR="00F44EAE" w:rsidRDefault="00AB3F43">
      <w:pPr>
        <w:pBdr>
          <w:top w:val="nil"/>
          <w:left w:val="nil"/>
          <w:bottom w:val="nil"/>
          <w:right w:val="nil"/>
          <w:between w:val="nil"/>
        </w:pBdr>
        <w:rPr>
          <w:color w:val="000000"/>
        </w:rPr>
      </w:pPr>
      <w:r>
        <w:rPr>
          <w:color w:val="000000"/>
        </w:rPr>
        <w:t>‌</w:t>
      </w:r>
    </w:p>
    <w:p w14:paraId="1C53FC86" w14:textId="77777777" w:rsidR="00F44EAE" w:rsidRDefault="00AB3F43">
      <w:pPr>
        <w:pBdr>
          <w:top w:val="nil"/>
          <w:left w:val="nil"/>
          <w:bottom w:val="nil"/>
          <w:right w:val="nil"/>
          <w:between w:val="nil"/>
        </w:pBdr>
        <w:rPr>
          <w:color w:val="000000"/>
        </w:rPr>
      </w:pPr>
      <w:r>
        <w:rPr>
          <w:color w:val="000000"/>
        </w:rPr>
        <w:t>‌</w:t>
      </w:r>
    </w:p>
    <w:p w14:paraId="5D0B5547" w14:textId="77777777" w:rsidR="00F44EAE" w:rsidRDefault="00AB3F43">
      <w:pPr>
        <w:pBdr>
          <w:top w:val="nil"/>
          <w:left w:val="nil"/>
          <w:bottom w:val="nil"/>
          <w:right w:val="nil"/>
          <w:between w:val="nil"/>
        </w:pBdr>
        <w:rPr>
          <w:color w:val="000000"/>
        </w:rPr>
      </w:pPr>
      <w:r>
        <w:rPr>
          <w:color w:val="000000"/>
        </w:rPr>
        <w:t>‌</w:t>
      </w:r>
    </w:p>
    <w:p w14:paraId="16D37244" w14:textId="77777777" w:rsidR="00F44EAE" w:rsidRDefault="00AB3F43">
      <w:pPr>
        <w:pBdr>
          <w:top w:val="nil"/>
          <w:left w:val="nil"/>
          <w:bottom w:val="nil"/>
          <w:right w:val="nil"/>
          <w:between w:val="nil"/>
        </w:pBdr>
        <w:rPr>
          <w:color w:val="000000"/>
        </w:rPr>
      </w:pPr>
      <w:r>
        <w:rPr>
          <w:color w:val="000000"/>
        </w:rPr>
        <w:t>‌</w:t>
      </w:r>
    </w:p>
    <w:p w14:paraId="48D35CA4" w14:textId="77777777" w:rsidR="00F44EAE" w:rsidRDefault="00F44EAE">
      <w:pPr>
        <w:pBdr>
          <w:top w:val="nil"/>
          <w:left w:val="nil"/>
          <w:bottom w:val="nil"/>
          <w:right w:val="nil"/>
          <w:between w:val="nil"/>
        </w:pBdr>
        <w:rPr>
          <w:color w:val="000000"/>
        </w:rPr>
      </w:pPr>
    </w:p>
    <w:p w14:paraId="6F95D36C" w14:textId="77777777" w:rsidR="00F44EAE" w:rsidRDefault="00AB3F43">
      <w:pPr>
        <w:pBdr>
          <w:top w:val="nil"/>
          <w:left w:val="nil"/>
          <w:bottom w:val="nil"/>
          <w:right w:val="nil"/>
          <w:between w:val="nil"/>
        </w:pBdr>
        <w:rPr>
          <w:color w:val="000000"/>
        </w:rPr>
      </w:pPr>
      <w:r>
        <w:rPr>
          <w:color w:val="000000"/>
        </w:rPr>
        <w:t>‌</w:t>
      </w:r>
    </w:p>
    <w:p w14:paraId="61DCB9E3" w14:textId="77777777" w:rsidR="00F44EAE" w:rsidRDefault="00F44EAE">
      <w:pPr>
        <w:pBdr>
          <w:top w:val="nil"/>
          <w:left w:val="nil"/>
          <w:bottom w:val="nil"/>
          <w:right w:val="nil"/>
          <w:between w:val="nil"/>
        </w:pBdr>
        <w:rPr>
          <w:color w:val="000000"/>
        </w:rPr>
      </w:pPr>
    </w:p>
    <w:sectPr w:rsidR="00F44EAE">
      <w:footerReference w:type="default" r:id="rId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53F88" w14:textId="77777777" w:rsidR="00DE080D" w:rsidRDefault="00DE080D">
      <w:pPr>
        <w:spacing w:before="0" w:after="0" w:line="240" w:lineRule="auto"/>
      </w:pPr>
      <w:r>
        <w:separator/>
      </w:r>
    </w:p>
  </w:endnote>
  <w:endnote w:type="continuationSeparator" w:id="0">
    <w:p w14:paraId="57701624" w14:textId="77777777" w:rsidR="00DE080D" w:rsidRDefault="00DE08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B543D" w14:textId="77777777" w:rsidR="00F44EAE" w:rsidRDefault="00AB3F43">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D057AD">
      <w:rPr>
        <w:noProof/>
        <w:color w:val="000000"/>
      </w:rPr>
      <w:t>1</w:t>
    </w:r>
    <w:r>
      <w:rPr>
        <w:color w:val="000000"/>
      </w:rPr>
      <w:fldChar w:fldCharType="end"/>
    </w:r>
  </w:p>
  <w:p w14:paraId="1EEB6B00" w14:textId="77777777" w:rsidR="00F44EAE" w:rsidRDefault="00F44EAE">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4391D" w14:textId="77777777" w:rsidR="00DE080D" w:rsidRDefault="00DE080D">
      <w:pPr>
        <w:spacing w:before="0" w:after="0" w:line="240" w:lineRule="auto"/>
      </w:pPr>
      <w:r>
        <w:separator/>
      </w:r>
    </w:p>
  </w:footnote>
  <w:footnote w:type="continuationSeparator" w:id="0">
    <w:p w14:paraId="689B0794" w14:textId="77777777" w:rsidR="00DE080D" w:rsidRDefault="00DE080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AC604F"/>
    <w:multiLevelType w:val="multilevel"/>
    <w:tmpl w:val="E1008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82344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EAE"/>
    <w:rsid w:val="001A3025"/>
    <w:rsid w:val="001B3533"/>
    <w:rsid w:val="00634F17"/>
    <w:rsid w:val="00737EE7"/>
    <w:rsid w:val="007F3EAE"/>
    <w:rsid w:val="009D0D90"/>
    <w:rsid w:val="00AB3F43"/>
    <w:rsid w:val="00B523DA"/>
    <w:rsid w:val="00B66B2C"/>
    <w:rsid w:val="00D057AD"/>
    <w:rsid w:val="00D452E5"/>
    <w:rsid w:val="00DE080D"/>
    <w:rsid w:val="00F4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626DA"/>
  <w15:docId w15:val="{5B9DBA3D-9302-4E2E-A1C1-8679600F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color w:val="000000"/>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b/>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0"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TOC1">
    <w:name w:val="toc 1"/>
    <w:basedOn w:val="Normal"/>
    <w:next w:val="Normal"/>
    <w:autoRedefine/>
    <w:uiPriority w:val="39"/>
    <w:unhideWhenUsed/>
    <w:rsid w:val="00D057AD"/>
    <w:pPr>
      <w:spacing w:after="100"/>
    </w:pPr>
  </w:style>
  <w:style w:type="paragraph" w:styleId="TOC2">
    <w:name w:val="toc 2"/>
    <w:basedOn w:val="Normal"/>
    <w:next w:val="Normal"/>
    <w:autoRedefine/>
    <w:uiPriority w:val="39"/>
    <w:unhideWhenUsed/>
    <w:rsid w:val="00D057AD"/>
    <w:pPr>
      <w:spacing w:after="100"/>
      <w:ind w:left="240"/>
    </w:pPr>
  </w:style>
  <w:style w:type="paragraph" w:styleId="TOC3">
    <w:name w:val="toc 3"/>
    <w:basedOn w:val="Normal"/>
    <w:next w:val="Normal"/>
    <w:autoRedefine/>
    <w:uiPriority w:val="39"/>
    <w:unhideWhenUsed/>
    <w:rsid w:val="00D057AD"/>
    <w:pPr>
      <w:spacing w:after="100"/>
      <w:ind w:left="480"/>
    </w:pPr>
  </w:style>
  <w:style w:type="character" w:styleId="Hyperlink">
    <w:name w:val="Hyperlink"/>
    <w:basedOn w:val="DefaultParagraphFont"/>
    <w:uiPriority w:val="99"/>
    <w:unhideWhenUsed/>
    <w:rsid w:val="00D057AD"/>
    <w:rPr>
      <w:color w:val="0000FF" w:themeColor="hyperlink"/>
      <w:u w:val="single"/>
    </w:rPr>
  </w:style>
  <w:style w:type="table" w:styleId="TableGrid">
    <w:name w:val="Table Grid"/>
    <w:basedOn w:val="TableNormal"/>
    <w:uiPriority w:val="39"/>
    <w:rsid w:val="00B523D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979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repository.lincoln.ac.uk/articles/journal_contribution/Strategic_investment_decision-making_practices_in_large_UK_manufacturing_companies_a_role_for_emergent_analysis_techniques/24383224/2/files/42954946.pdf" TargetMode="External"/><Relationship Id="rId26" Type="http://schemas.openxmlformats.org/officeDocument/2006/relationships/hyperlink" Target="https://eprints.unm.ac.id/30153/1/The_Effect_of_Working_Capital_Turnover_A.pdf" TargetMode="External"/><Relationship Id="rId39" Type="http://schemas.openxmlformats.org/officeDocument/2006/relationships/hyperlink" Target="https://journal.stie-mce.ac.id/index.php/jabminternational/article/download/559/268" TargetMode="External"/><Relationship Id="rId21" Type="http://schemas.openxmlformats.org/officeDocument/2006/relationships/hyperlink" Target="https://books.google.com/books?hl=en&amp;lr=&amp;id=4-ASEAAAQBAJ&amp;oi=fnd&amp;pg=PP1&amp;dq=investment+appraisal+techniques&amp;ots=GMTt_snXjL&amp;sig=XDWFPBY5_tGkq9ne-zfxjAzkRzU" TargetMode="External"/><Relationship Id="rId34" Type="http://schemas.openxmlformats.org/officeDocument/2006/relationships/hyperlink" Target="https://www.bib.irb.hr:8443/1235912/download/1235912.Sustainable_and_Clean_Energy_The_Case_of_Tesla_Company.pdf" TargetMode="External"/><Relationship Id="rId42" Type="http://schemas.openxmlformats.org/officeDocument/2006/relationships/hyperlink" Target="https://www.statista.com/statistics/272120/revenue-of-tesla/" TargetMode="External"/><Relationship Id="rId47" Type="http://schemas.openxmlformats.org/officeDocument/2006/relationships/hyperlink" Target="https://www.wsj.com/market-data/quotes/TM/financials/annual/cash-flow" TargetMode="External"/><Relationship Id="rId50" Type="http://schemas.openxmlformats.org/officeDocument/2006/relationships/hyperlink" Target="https://www.wsj.com/market-data/quotes/TSLA/financials/annual/cash-flow"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books.google.com/books?hl=en&amp;lr=&amp;id=Jg7UDwAAQBAJ&amp;oi=fnd&amp;pg=PP1&amp;dq=investment+appraisal+techniques&amp;ots=o5Cc4vo25x&amp;sig=oimKiuJDvE7OC56z7othyGFo85c" TargetMode="External"/><Relationship Id="rId11" Type="http://schemas.openxmlformats.org/officeDocument/2006/relationships/image" Target="media/image5.png"/><Relationship Id="rId24" Type="http://schemas.openxmlformats.org/officeDocument/2006/relationships/hyperlink" Target="https://eudl.eu/pdf/10.4108/eai.30-10-2021.2315839" TargetMode="External"/><Relationship Id="rId32" Type="http://schemas.openxmlformats.org/officeDocument/2006/relationships/hyperlink" Target="https://www.researchgate.net/profile/Maeenuddin-Dr/publication/340793341_Economic_Value_Added_Momentum_Traditional_profitability_measures/links/5e9df62692851c2f52b60c3d/Economic-Value-Added-Momentum-Traditional-profitability-measures.pdf" TargetMode="External"/><Relationship Id="rId37" Type="http://schemas.openxmlformats.org/officeDocument/2006/relationships/hyperlink" Target="https://www.ssbfnet.com/ojs/index.php/ijfbs/article/download/937/712" TargetMode="External"/><Relationship Id="rId40" Type="http://schemas.openxmlformats.org/officeDocument/2006/relationships/hyperlink" Target="https://www.academia.edu/download/91261672/Financial-decision-making-and-forecasting-techniques-on-project-evaluation-a-planning-development-1528-2686-27-4-553.pdf" TargetMode="External"/><Relationship Id="rId45" Type="http://schemas.openxmlformats.org/officeDocument/2006/relationships/hyperlink" Target="https://www.volkswagen-group.com/en/annual-report-and-full-year-results-2023-18144" TargetMode="External"/><Relationship Id="rId53" Type="http://schemas.openxmlformats.org/officeDocument/2006/relationships/hyperlink" Target="https://www.wsj.com/market-data/quotes/XE/XETR/VOW/financials/annual/cash-flow" TargetMode="External"/><Relationship Id="rId5" Type="http://schemas.openxmlformats.org/officeDocument/2006/relationships/footnotes" Target="footnotes.xml"/><Relationship Id="rId19" Type="http://schemas.openxmlformats.org/officeDocument/2006/relationships/hyperlink" Target="https://journals.sagepub.com/doi/pdf/10.1177/0008125622110742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ejournal.aibpmjournals.com/index.php/IJTHAP/article/viewFile/825/787" TargetMode="External"/><Relationship Id="rId27" Type="http://schemas.openxmlformats.org/officeDocument/2006/relationships/hyperlink" Target="http://www.riiopenjournals.com/index.php/finance-economics-review/article/download/102/53" TargetMode="External"/><Relationship Id="rId30" Type="http://schemas.openxmlformats.org/officeDocument/2006/relationships/hyperlink" Target="https://www.sciencedirect.com/science/article/pii/S0360544220320612" TargetMode="External"/><Relationship Id="rId35" Type="http://schemas.openxmlformats.org/officeDocument/2006/relationships/hyperlink" Target="https://dinastipub.org/DIJEFA/article/download/225/164" TargetMode="External"/><Relationship Id="rId43" Type="http://schemas.openxmlformats.org/officeDocument/2006/relationships/hyperlink" Target="https://www.tesla.com/blog" TargetMode="External"/><Relationship Id="rId48" Type="http://schemas.openxmlformats.org/officeDocument/2006/relationships/hyperlink" Target="https://www.wsj.com/market-data/quotes/TM/financials/annual/income-statement"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wsj.com/market-data/quotes/TSLA/financials/annual/income-statement"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repo.pw.edu.pl/docstore/download/WUTc8977461e7804c31a12d9d9deb114c30/Sustainable_Investment_Project_Evaluation.pdf" TargetMode="External"/><Relationship Id="rId33" Type="http://schemas.openxmlformats.org/officeDocument/2006/relationships/hyperlink" Target="https://mpra.ub.uni-muenchen.de/99922/1/MPRA_paper_99922.pdf" TargetMode="External"/><Relationship Id="rId38" Type="http://schemas.openxmlformats.org/officeDocument/2006/relationships/hyperlink" Target="https://link.springer.com/content/pdf/10.1186/s43093-021-00058-9.pdf" TargetMode="External"/><Relationship Id="rId46" Type="http://schemas.openxmlformats.org/officeDocument/2006/relationships/hyperlink" Target="https://www.wsj.com/market-data/quotes/TM/financials/annual/balance-sheet" TargetMode="External"/><Relationship Id="rId20" Type="http://schemas.openxmlformats.org/officeDocument/2006/relationships/hyperlink" Target="https://www.avatrade.com/education/market-terms/gearing-ratio" TargetMode="External"/><Relationship Id="rId41" Type="http://schemas.openxmlformats.org/officeDocument/2006/relationships/hyperlink" Target="https://repository.up.ac.za/bitstream/handle/2263/74586/Siziba_Evolution_2020.pdf?sequence=1" TargetMode="External"/><Relationship Id="rId54" Type="http://schemas.openxmlformats.org/officeDocument/2006/relationships/hyperlink" Target="https://www.wsj.com/market-data/quotes/XE/XETR/VOW/financials/annual/income-statemen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mdpi.com/2073-8994/13/1/27/pdf" TargetMode="External"/><Relationship Id="rId28" Type="http://schemas.openxmlformats.org/officeDocument/2006/relationships/hyperlink" Target="https://revenue.lppmbinabangsa.id/index.php/home/article/download/69/169" TargetMode="External"/><Relationship Id="rId36" Type="http://schemas.openxmlformats.org/officeDocument/2006/relationships/hyperlink" Target="https://turcomat.org/index.php/turkbilmat/article/download/3237/2785" TargetMode="External"/><Relationship Id="rId49" Type="http://schemas.openxmlformats.org/officeDocument/2006/relationships/hyperlink" Target="https://www.wsj.com/market-data/quotes/TSLA/financials/annual/balance-sheet"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eprints.whiterose.ac.uk/157998/1/" TargetMode="External"/><Relationship Id="rId44" Type="http://schemas.openxmlformats.org/officeDocument/2006/relationships/hyperlink" Target="https://www.toyota-industries.com/investors/library/annual_reports/2023/index.html" TargetMode="External"/><Relationship Id="rId52" Type="http://schemas.openxmlformats.org/officeDocument/2006/relationships/hyperlink" Target="https://www.wsj.com/market-data/quotes/XE/XETR/VOW/financials/annual/balance-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6735</Words>
  <Characters>40969</Characters>
  <Application>Microsoft Office Word</Application>
  <DocSecurity>0</DocSecurity>
  <Lines>1463</Lines>
  <Paragraphs>506</Paragraphs>
  <ScaleCrop>false</ScaleCrop>
  <Company/>
  <LinksUpToDate>false</LinksUpToDate>
  <CharactersWithSpaces>47374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Jawahar Raj</cp:lastModifiedBy>
  <cp:revision>3</cp:revision>
  <dcterms:created xsi:type="dcterms:W3CDTF">2024-08-17T11:29:00Z</dcterms:created>
  <dcterms:modified xsi:type="dcterms:W3CDTF">2024-08-17T11:32:00Z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af0f4bc7adf92d5252fdb52002c9dc74adfe459924fe4db7052a466bc3e6fe2c</vt:lpwstr>
  </property>
</Properties>
</file>