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023F2D2" w14:textId="370961AA" w:rsidR="00C1120D" w:rsidRPr="00AD5B06" w:rsidRDefault="00C1120D" w:rsidP="7F64D8DD">
      <w:pPr>
        <w:spacing w:after="0"/>
        <w:rPr>
          <w:rFonts w:ascii="Arial" w:eastAsia="Segoe UI" w:hAnsi="Arial" w:cs="Arial"/>
          <w:color w:val="000000" w:themeColor="text1"/>
          <w:sz w:val="44"/>
          <w:szCs w:val="44"/>
        </w:rPr>
      </w:pPr>
    </w:p>
    <w:p w14:paraId="7334A2F9" w14:textId="4358DDC2" w:rsidR="00C1120D" w:rsidRPr="00AD5B06" w:rsidRDefault="11F1679F" w:rsidP="7F64D8DD">
      <w:pPr>
        <w:spacing w:before="300" w:after="300"/>
        <w:rPr>
          <w:rFonts w:ascii="Arial" w:eastAsia="Segoe UI" w:hAnsi="Arial" w:cs="Arial"/>
          <w:b/>
          <w:bCs/>
          <w:color w:val="000000" w:themeColor="text1"/>
          <w:sz w:val="48"/>
          <w:szCs w:val="48"/>
        </w:rPr>
      </w:pPr>
      <w:r w:rsidRPr="00AD5B06">
        <w:rPr>
          <w:rFonts w:ascii="Arial" w:eastAsia="Segoe UI" w:hAnsi="Arial" w:cs="Arial"/>
          <w:b/>
          <w:bCs/>
          <w:color w:val="000000" w:themeColor="text1"/>
          <w:sz w:val="44"/>
          <w:szCs w:val="44"/>
        </w:rPr>
        <w:t>Bronfenbrenner’s Ecological Model of Human Development:</w:t>
      </w:r>
    </w:p>
    <w:p w14:paraId="37D99EB4" w14:textId="0C27EEBA" w:rsidR="00C1120D" w:rsidRPr="00AD5B06" w:rsidRDefault="11F1679F" w:rsidP="7F64D8DD">
      <w:pPr>
        <w:pStyle w:val="ListParagraph"/>
        <w:numPr>
          <w:ilvl w:val="0"/>
          <w:numId w:val="1"/>
        </w:numPr>
        <w:spacing w:after="0"/>
        <w:rPr>
          <w:rFonts w:ascii="Arial" w:eastAsia="Segoe UI" w:hAnsi="Arial" w:cs="Arial"/>
          <w:color w:val="000000" w:themeColor="text1"/>
          <w:sz w:val="44"/>
          <w:szCs w:val="44"/>
        </w:rPr>
      </w:pPr>
      <w:r w:rsidRPr="00AD5B06">
        <w:rPr>
          <w:rFonts w:ascii="Arial" w:eastAsia="Segoe UI" w:hAnsi="Arial" w:cs="Arial"/>
          <w:color w:val="000000" w:themeColor="text1"/>
          <w:sz w:val="44"/>
          <w:szCs w:val="44"/>
        </w:rPr>
        <w:t xml:space="preserve">Bronfenbrenner's Ecological Model is a psychological theory that views human development as influenced by multiple environmental systems. It identifies five levels of influence: microsystem, mesosystem, </w:t>
      </w:r>
      <w:proofErr w:type="spellStart"/>
      <w:r w:rsidRPr="00AD5B06">
        <w:rPr>
          <w:rFonts w:ascii="Arial" w:eastAsia="Segoe UI" w:hAnsi="Arial" w:cs="Arial"/>
          <w:color w:val="000000" w:themeColor="text1"/>
          <w:sz w:val="44"/>
          <w:szCs w:val="44"/>
        </w:rPr>
        <w:t>exosystem</w:t>
      </w:r>
      <w:proofErr w:type="spellEnd"/>
      <w:r w:rsidRPr="00AD5B06">
        <w:rPr>
          <w:rFonts w:ascii="Arial" w:eastAsia="Segoe UI" w:hAnsi="Arial" w:cs="Arial"/>
          <w:color w:val="000000" w:themeColor="text1"/>
          <w:sz w:val="44"/>
          <w:szCs w:val="44"/>
        </w:rPr>
        <w:t>, macrosystem, and chronosystem. In health and social care, this model can be applied to understand the various factors that impact an individual's health and well-being. It emphasizes the interconnectedness of environments and the need to consider not only the individual but also their family, community, and societal contexts when providing care and support.</w:t>
      </w:r>
    </w:p>
    <w:p w14:paraId="20F29FBE" w14:textId="58A32D11" w:rsidR="00C1120D" w:rsidRPr="00AD5B06" w:rsidRDefault="00C1120D" w:rsidP="7F64D8DD">
      <w:pPr>
        <w:spacing w:after="0"/>
        <w:rPr>
          <w:rFonts w:ascii="Arial" w:eastAsia="Segoe UI" w:hAnsi="Arial" w:cs="Arial"/>
          <w:color w:val="000000" w:themeColor="text1"/>
          <w:sz w:val="44"/>
          <w:szCs w:val="44"/>
        </w:rPr>
      </w:pPr>
    </w:p>
    <w:p w14:paraId="6AAAF877" w14:textId="52428B3C" w:rsidR="00C1120D" w:rsidRPr="00AD5B06" w:rsidRDefault="00C1120D" w:rsidP="7F64D8DD">
      <w:pPr>
        <w:spacing w:after="0"/>
        <w:rPr>
          <w:rFonts w:ascii="Arial" w:eastAsia="Segoe UI" w:hAnsi="Arial" w:cs="Arial"/>
          <w:color w:val="000000" w:themeColor="text1"/>
          <w:sz w:val="44"/>
          <w:szCs w:val="44"/>
        </w:rPr>
      </w:pPr>
    </w:p>
    <w:p w14:paraId="69700546" w14:textId="3A311BDF" w:rsidR="00C1120D" w:rsidRPr="00AD5B06" w:rsidRDefault="00C1120D" w:rsidP="7F64D8DD">
      <w:pPr>
        <w:spacing w:after="0"/>
        <w:rPr>
          <w:rFonts w:ascii="Arial" w:eastAsia="Segoe UI" w:hAnsi="Arial" w:cs="Arial"/>
          <w:color w:val="000000" w:themeColor="text1"/>
          <w:sz w:val="44"/>
          <w:szCs w:val="44"/>
        </w:rPr>
      </w:pPr>
    </w:p>
    <w:p w14:paraId="5797F9D5" w14:textId="158F8064" w:rsidR="00C1120D" w:rsidRPr="00AD5B06" w:rsidRDefault="00C1120D" w:rsidP="7F64D8DD">
      <w:pPr>
        <w:spacing w:after="0"/>
        <w:rPr>
          <w:rFonts w:ascii="Arial" w:eastAsia="Segoe UI" w:hAnsi="Arial" w:cs="Arial"/>
          <w:color w:val="000000" w:themeColor="text1"/>
          <w:sz w:val="44"/>
          <w:szCs w:val="44"/>
        </w:rPr>
      </w:pPr>
    </w:p>
    <w:p w14:paraId="5840BE1D" w14:textId="3A6A82BC" w:rsidR="00C1120D" w:rsidRPr="00AD5B06" w:rsidRDefault="11F1679F" w:rsidP="7F64D8DD">
      <w:pPr>
        <w:spacing w:before="300" w:after="300"/>
        <w:rPr>
          <w:rFonts w:ascii="Arial" w:eastAsia="Segoe UI" w:hAnsi="Arial" w:cs="Arial"/>
          <w:b/>
          <w:bCs/>
          <w:color w:val="000000" w:themeColor="text1"/>
          <w:sz w:val="48"/>
          <w:szCs w:val="48"/>
        </w:rPr>
      </w:pPr>
      <w:r w:rsidRPr="00AD5B06">
        <w:rPr>
          <w:rFonts w:ascii="Arial" w:eastAsia="Segoe UI" w:hAnsi="Arial" w:cs="Arial"/>
          <w:b/>
          <w:bCs/>
          <w:color w:val="000000" w:themeColor="text1"/>
          <w:sz w:val="44"/>
          <w:szCs w:val="44"/>
        </w:rPr>
        <w:lastRenderedPageBreak/>
        <w:t>Maslow’s Hierarchy of Needs:</w:t>
      </w:r>
    </w:p>
    <w:p w14:paraId="017E67FA" w14:textId="41A904BF" w:rsidR="00C1120D" w:rsidRPr="00AD5B06" w:rsidRDefault="11F1679F" w:rsidP="7F64D8DD">
      <w:pPr>
        <w:pStyle w:val="ListParagraph"/>
        <w:numPr>
          <w:ilvl w:val="0"/>
          <w:numId w:val="1"/>
        </w:numPr>
        <w:spacing w:after="0"/>
        <w:rPr>
          <w:rFonts w:ascii="Arial" w:eastAsia="Segoe UI" w:hAnsi="Arial" w:cs="Arial"/>
          <w:color w:val="000000" w:themeColor="text1"/>
          <w:sz w:val="44"/>
          <w:szCs w:val="44"/>
        </w:rPr>
      </w:pPr>
      <w:r w:rsidRPr="00AD5B06">
        <w:rPr>
          <w:rFonts w:ascii="Arial" w:eastAsia="Segoe UI" w:hAnsi="Arial" w:cs="Arial"/>
          <w:color w:val="000000" w:themeColor="text1"/>
          <w:sz w:val="44"/>
          <w:szCs w:val="44"/>
        </w:rPr>
        <w:t>Maslow's Hierarchy of Needs is a psychological theory that describes a hierarchy of human needs, with basic physiological needs (e.g., food, shelter) at the base and self-actualization needs (e.g., personal growth, creativity) at the top. In health and social care, this theory can be applied to assess and address patients' needs comprehensively. It highlights the importance of meeting basic physiological and safety needs before addressing higher-level needs such as social belonging and self-esteem. Healthcare professionals can use this framework to prioritize interventions and provide holistic car</w:t>
      </w:r>
      <w:r w:rsidR="00767907" w:rsidRPr="00AD5B06">
        <w:rPr>
          <w:rFonts w:ascii="Arial" w:eastAsia="Segoe UI" w:hAnsi="Arial" w:cs="Arial"/>
          <w:color w:val="000000" w:themeColor="text1"/>
          <w:sz w:val="44"/>
          <w:szCs w:val="44"/>
        </w:rPr>
        <w:t>e</w:t>
      </w:r>
    </w:p>
    <w:p w14:paraId="6FA0CABE" w14:textId="7BC6E325" w:rsidR="00C1120D" w:rsidRPr="00AD5B06" w:rsidRDefault="00C1120D" w:rsidP="7F64D8DD">
      <w:pPr>
        <w:spacing w:after="0"/>
        <w:rPr>
          <w:rFonts w:ascii="Arial" w:eastAsia="Segoe UI" w:hAnsi="Arial" w:cs="Arial"/>
          <w:color w:val="000000" w:themeColor="text1"/>
          <w:sz w:val="44"/>
          <w:szCs w:val="44"/>
        </w:rPr>
      </w:pPr>
    </w:p>
    <w:p w14:paraId="40A0382A" w14:textId="77777777" w:rsidR="002654EE" w:rsidRDefault="002654EE" w:rsidP="7F64D8DD">
      <w:pPr>
        <w:spacing w:before="300" w:after="300"/>
        <w:rPr>
          <w:rFonts w:ascii="Arial" w:eastAsia="Segoe UI" w:hAnsi="Arial" w:cs="Arial"/>
          <w:b/>
          <w:bCs/>
          <w:color w:val="000000" w:themeColor="text1"/>
          <w:sz w:val="44"/>
          <w:szCs w:val="44"/>
        </w:rPr>
      </w:pPr>
    </w:p>
    <w:p w14:paraId="155F7403" w14:textId="77777777" w:rsidR="002654EE" w:rsidRDefault="002654EE" w:rsidP="7F64D8DD">
      <w:pPr>
        <w:spacing w:before="300" w:after="300"/>
        <w:rPr>
          <w:rFonts w:ascii="Arial" w:eastAsia="Segoe UI" w:hAnsi="Arial" w:cs="Arial"/>
          <w:b/>
          <w:bCs/>
          <w:color w:val="000000" w:themeColor="text1"/>
          <w:sz w:val="44"/>
          <w:szCs w:val="44"/>
        </w:rPr>
      </w:pPr>
    </w:p>
    <w:p w14:paraId="2DF59BEE" w14:textId="77777777" w:rsidR="002654EE" w:rsidRDefault="002654EE" w:rsidP="7F64D8DD">
      <w:pPr>
        <w:spacing w:before="300" w:after="300"/>
        <w:rPr>
          <w:rFonts w:ascii="Arial" w:eastAsia="Segoe UI" w:hAnsi="Arial" w:cs="Arial"/>
          <w:b/>
          <w:bCs/>
          <w:color w:val="000000" w:themeColor="text1"/>
          <w:sz w:val="44"/>
          <w:szCs w:val="44"/>
        </w:rPr>
      </w:pPr>
    </w:p>
    <w:p w14:paraId="39601324" w14:textId="77777777" w:rsidR="002654EE" w:rsidRDefault="002654EE" w:rsidP="7F64D8DD">
      <w:pPr>
        <w:spacing w:before="300" w:after="300"/>
        <w:rPr>
          <w:rFonts w:ascii="Arial" w:eastAsia="Segoe UI" w:hAnsi="Arial" w:cs="Arial"/>
          <w:b/>
          <w:bCs/>
          <w:color w:val="000000" w:themeColor="text1"/>
          <w:sz w:val="44"/>
          <w:szCs w:val="44"/>
        </w:rPr>
      </w:pPr>
    </w:p>
    <w:p w14:paraId="2031DB3F" w14:textId="426BB734" w:rsidR="00C1120D" w:rsidRPr="00AD5B06" w:rsidRDefault="11F1679F" w:rsidP="7F64D8DD">
      <w:pPr>
        <w:spacing w:before="300" w:after="300"/>
        <w:rPr>
          <w:rFonts w:ascii="Arial" w:eastAsia="Segoe UI" w:hAnsi="Arial" w:cs="Arial"/>
          <w:b/>
          <w:bCs/>
          <w:color w:val="000000" w:themeColor="text1"/>
          <w:sz w:val="48"/>
          <w:szCs w:val="48"/>
        </w:rPr>
      </w:pPr>
      <w:proofErr w:type="spellStart"/>
      <w:r w:rsidRPr="00AD5B06">
        <w:rPr>
          <w:rFonts w:ascii="Arial" w:eastAsia="Segoe UI" w:hAnsi="Arial" w:cs="Arial"/>
          <w:b/>
          <w:bCs/>
          <w:color w:val="000000" w:themeColor="text1"/>
          <w:sz w:val="44"/>
          <w:szCs w:val="44"/>
        </w:rPr>
        <w:lastRenderedPageBreak/>
        <w:t>Aldfer</w:t>
      </w:r>
      <w:proofErr w:type="spellEnd"/>
      <w:r w:rsidRPr="00AD5B06">
        <w:rPr>
          <w:rFonts w:ascii="Arial" w:eastAsia="Segoe UI" w:hAnsi="Arial" w:cs="Arial"/>
          <w:b/>
          <w:bCs/>
          <w:color w:val="000000" w:themeColor="text1"/>
          <w:sz w:val="44"/>
          <w:szCs w:val="44"/>
        </w:rPr>
        <w:t xml:space="preserve"> ERG Theory of Motivation:</w:t>
      </w:r>
    </w:p>
    <w:p w14:paraId="6879B91C" w14:textId="6A89C074" w:rsidR="00C1120D" w:rsidRPr="00AD5B06" w:rsidRDefault="11F1679F" w:rsidP="7F64D8DD">
      <w:pPr>
        <w:pStyle w:val="ListParagraph"/>
        <w:numPr>
          <w:ilvl w:val="0"/>
          <w:numId w:val="1"/>
        </w:numPr>
        <w:spacing w:after="0"/>
        <w:rPr>
          <w:rFonts w:ascii="Arial" w:eastAsia="Segoe UI" w:hAnsi="Arial" w:cs="Arial"/>
          <w:color w:val="000000" w:themeColor="text1"/>
          <w:sz w:val="44"/>
          <w:szCs w:val="44"/>
        </w:rPr>
      </w:pPr>
      <w:proofErr w:type="spellStart"/>
      <w:r w:rsidRPr="00AD5B06">
        <w:rPr>
          <w:rFonts w:ascii="Arial" w:eastAsia="Segoe UI" w:hAnsi="Arial" w:cs="Arial"/>
          <w:color w:val="000000" w:themeColor="text1"/>
          <w:sz w:val="44"/>
          <w:szCs w:val="44"/>
        </w:rPr>
        <w:t>Aldfer's</w:t>
      </w:r>
      <w:proofErr w:type="spellEnd"/>
      <w:r w:rsidRPr="00AD5B06">
        <w:rPr>
          <w:rFonts w:ascii="Arial" w:eastAsia="Segoe UI" w:hAnsi="Arial" w:cs="Arial"/>
          <w:color w:val="000000" w:themeColor="text1"/>
          <w:sz w:val="44"/>
          <w:szCs w:val="44"/>
        </w:rPr>
        <w:t xml:space="preserve"> ERG Theory of Motivation categorizes human needs into three groups: Existence needs (E), Relatedness needs (R), and Growth needs (G). It proposes that individuals can pursue multiple needs simultaneously and can regress to lower-level needs if higher-level needs are not met. In health and social care, this theory can be applied to understand and motivate individuals to engage in self-care and treatment. It recognizes that individuals may have a variety of needs related to their health and well-being, and healthcare providers should consider these needs when developing care plans and interventions.</w:t>
      </w:r>
    </w:p>
    <w:p w14:paraId="63B7F5FB" w14:textId="77777777" w:rsidR="00767907" w:rsidRPr="00AD5B06" w:rsidRDefault="00767907" w:rsidP="7F64D8DD">
      <w:pPr>
        <w:spacing w:before="300" w:after="300"/>
        <w:rPr>
          <w:rFonts w:ascii="Arial" w:eastAsia="Segoe UI" w:hAnsi="Arial" w:cs="Arial"/>
          <w:color w:val="000000" w:themeColor="text1"/>
          <w:sz w:val="44"/>
          <w:szCs w:val="44"/>
        </w:rPr>
      </w:pPr>
    </w:p>
    <w:p w14:paraId="4F0A0811" w14:textId="77777777" w:rsidR="002654EE" w:rsidRDefault="002654EE" w:rsidP="7F64D8DD">
      <w:pPr>
        <w:spacing w:before="300" w:after="300"/>
        <w:rPr>
          <w:rFonts w:ascii="Arial" w:eastAsia="Segoe UI" w:hAnsi="Arial" w:cs="Arial"/>
          <w:b/>
          <w:bCs/>
          <w:color w:val="000000" w:themeColor="text1"/>
          <w:sz w:val="40"/>
          <w:szCs w:val="40"/>
        </w:rPr>
      </w:pPr>
    </w:p>
    <w:p w14:paraId="27E51D60" w14:textId="77777777" w:rsidR="002654EE" w:rsidRDefault="002654EE" w:rsidP="7F64D8DD">
      <w:pPr>
        <w:spacing w:before="300" w:after="300"/>
        <w:rPr>
          <w:rFonts w:ascii="Arial" w:eastAsia="Segoe UI" w:hAnsi="Arial" w:cs="Arial"/>
          <w:b/>
          <w:bCs/>
          <w:color w:val="000000" w:themeColor="text1"/>
          <w:sz w:val="40"/>
          <w:szCs w:val="40"/>
        </w:rPr>
      </w:pPr>
    </w:p>
    <w:p w14:paraId="1A86F790" w14:textId="77777777" w:rsidR="002654EE" w:rsidRDefault="002654EE" w:rsidP="7F64D8DD">
      <w:pPr>
        <w:spacing w:before="300" w:after="300"/>
        <w:rPr>
          <w:rFonts w:ascii="Arial" w:eastAsia="Segoe UI" w:hAnsi="Arial" w:cs="Arial"/>
          <w:b/>
          <w:bCs/>
          <w:color w:val="000000" w:themeColor="text1"/>
          <w:sz w:val="40"/>
          <w:szCs w:val="40"/>
        </w:rPr>
      </w:pPr>
    </w:p>
    <w:p w14:paraId="4E50B2FE" w14:textId="77777777" w:rsidR="002654EE" w:rsidRDefault="002654EE" w:rsidP="7F64D8DD">
      <w:pPr>
        <w:spacing w:before="300" w:after="300"/>
        <w:rPr>
          <w:rFonts w:ascii="Arial" w:eastAsia="Segoe UI" w:hAnsi="Arial" w:cs="Arial"/>
          <w:b/>
          <w:bCs/>
          <w:color w:val="000000" w:themeColor="text1"/>
          <w:sz w:val="40"/>
          <w:szCs w:val="40"/>
        </w:rPr>
      </w:pPr>
    </w:p>
    <w:p w14:paraId="43D62903" w14:textId="46D401AA" w:rsidR="00C1120D" w:rsidRPr="00AD5B06" w:rsidRDefault="11F1679F" w:rsidP="7F64D8DD">
      <w:pPr>
        <w:spacing w:before="300" w:after="300"/>
        <w:rPr>
          <w:rFonts w:ascii="Arial" w:eastAsia="Segoe UI" w:hAnsi="Arial" w:cs="Arial"/>
          <w:b/>
          <w:bCs/>
          <w:color w:val="000000" w:themeColor="text1"/>
          <w:sz w:val="44"/>
          <w:szCs w:val="44"/>
        </w:rPr>
      </w:pPr>
      <w:r w:rsidRPr="00AD5B06">
        <w:rPr>
          <w:rFonts w:ascii="Arial" w:eastAsia="Segoe UI" w:hAnsi="Arial" w:cs="Arial"/>
          <w:b/>
          <w:bCs/>
          <w:color w:val="000000" w:themeColor="text1"/>
          <w:sz w:val="40"/>
          <w:szCs w:val="40"/>
        </w:rPr>
        <w:t>Bradshaw’s Taxonomy of Social Needs:</w:t>
      </w:r>
    </w:p>
    <w:p w14:paraId="6CDB765B" w14:textId="51235EA5" w:rsidR="00C1120D" w:rsidRPr="00AD5B06" w:rsidRDefault="11F1679F" w:rsidP="7F64D8DD">
      <w:pPr>
        <w:pStyle w:val="ListParagraph"/>
        <w:numPr>
          <w:ilvl w:val="0"/>
          <w:numId w:val="1"/>
        </w:numPr>
        <w:spacing w:after="0"/>
        <w:rPr>
          <w:rFonts w:ascii="Arial" w:eastAsia="Segoe UI" w:hAnsi="Arial" w:cs="Arial"/>
          <w:color w:val="000000" w:themeColor="text1"/>
          <w:sz w:val="48"/>
          <w:szCs w:val="48"/>
        </w:rPr>
      </w:pPr>
      <w:r w:rsidRPr="00AD5B06">
        <w:rPr>
          <w:rFonts w:ascii="Arial" w:eastAsia="Segoe UI" w:hAnsi="Arial" w:cs="Arial"/>
          <w:b/>
          <w:bCs/>
          <w:color w:val="000000" w:themeColor="text1"/>
          <w:sz w:val="48"/>
          <w:szCs w:val="48"/>
        </w:rPr>
        <w:t>Explanation:</w:t>
      </w:r>
      <w:r w:rsidRPr="00AD5B06">
        <w:rPr>
          <w:rFonts w:ascii="Arial" w:eastAsia="Segoe UI" w:hAnsi="Arial" w:cs="Arial"/>
          <w:color w:val="000000" w:themeColor="text1"/>
          <w:sz w:val="48"/>
          <w:szCs w:val="48"/>
        </w:rPr>
        <w:t xml:space="preserve"> Bradshaw's Taxonomy of Social Needs is a framework for </w:t>
      </w:r>
      <w:proofErr w:type="spellStart"/>
      <w:r w:rsidRPr="00AD5B06">
        <w:rPr>
          <w:rFonts w:ascii="Arial" w:eastAsia="Segoe UI" w:hAnsi="Arial" w:cs="Arial"/>
          <w:color w:val="000000" w:themeColor="text1"/>
          <w:sz w:val="48"/>
          <w:szCs w:val="48"/>
        </w:rPr>
        <w:t>categori</w:t>
      </w:r>
      <w:r w:rsidR="00AD5B06" w:rsidRPr="00AD5B06">
        <w:rPr>
          <w:rFonts w:ascii="Arial" w:eastAsia="Segoe UI" w:hAnsi="Arial" w:cs="Arial"/>
          <w:color w:val="000000" w:themeColor="text1"/>
          <w:sz w:val="48"/>
          <w:szCs w:val="48"/>
        </w:rPr>
        <w:t>s</w:t>
      </w:r>
      <w:r w:rsidRPr="00AD5B06">
        <w:rPr>
          <w:rFonts w:ascii="Arial" w:eastAsia="Segoe UI" w:hAnsi="Arial" w:cs="Arial"/>
          <w:color w:val="000000" w:themeColor="text1"/>
          <w:sz w:val="48"/>
          <w:szCs w:val="48"/>
        </w:rPr>
        <w:t>ing</w:t>
      </w:r>
      <w:proofErr w:type="spellEnd"/>
      <w:r w:rsidRPr="00AD5B06">
        <w:rPr>
          <w:rFonts w:ascii="Arial" w:eastAsia="Segoe UI" w:hAnsi="Arial" w:cs="Arial"/>
          <w:color w:val="000000" w:themeColor="text1"/>
          <w:sz w:val="48"/>
          <w:szCs w:val="48"/>
        </w:rPr>
        <w:t xml:space="preserve"> social needs into four main categories: Normative, Felt, Expressed, and Comparative needs. It is used to assess and address individuals' social and welfare needs. In health and social care, this taxonomy can be applied to conduct comprehensive needs assessments for clients or patients. It helps professionals identify not only the obvious and expressed needs but also the underlying and comparative needs that may be affecting an individual's well-being. This holistic approach informs the development of tailored support and intervention plans.</w:t>
      </w:r>
    </w:p>
    <w:p w14:paraId="0088A5D0" w14:textId="044D98E2" w:rsidR="00C1120D" w:rsidRPr="00AD5B06" w:rsidRDefault="00000000" w:rsidP="7F64D8DD">
      <w:pPr>
        <w:spacing w:after="240"/>
        <w:rPr>
          <w:rFonts w:ascii="Arial" w:hAnsi="Arial" w:cs="Arial"/>
          <w:sz w:val="36"/>
          <w:szCs w:val="36"/>
        </w:rPr>
      </w:pPr>
      <w:r w:rsidRPr="00AD5B06">
        <w:rPr>
          <w:rFonts w:ascii="Arial" w:hAnsi="Arial" w:cs="Arial"/>
          <w:sz w:val="20"/>
          <w:szCs w:val="20"/>
        </w:rPr>
        <w:br/>
      </w:r>
    </w:p>
    <w:p w14:paraId="2FC350E3" w14:textId="77777777" w:rsidR="00AD5B06" w:rsidRPr="00AD5B06" w:rsidRDefault="00AD5B06" w:rsidP="00AD5B06">
      <w:pPr>
        <w:rPr>
          <w:rFonts w:ascii="Arial" w:hAnsi="Arial" w:cs="Arial"/>
          <w:b/>
          <w:bCs/>
          <w:sz w:val="36"/>
          <w:szCs w:val="36"/>
          <w:lang w:val="en-GB"/>
        </w:rPr>
      </w:pPr>
      <w:r w:rsidRPr="00AD5B06">
        <w:rPr>
          <w:rFonts w:ascii="Arial" w:hAnsi="Arial" w:cs="Arial"/>
          <w:b/>
          <w:bCs/>
          <w:sz w:val="36"/>
          <w:szCs w:val="36"/>
          <w:lang w:val="en-GB"/>
        </w:rPr>
        <w:lastRenderedPageBreak/>
        <w:t>Medical Model of Health</w:t>
      </w:r>
    </w:p>
    <w:p w14:paraId="7302CEE8" w14:textId="77777777" w:rsidR="00AD5B06" w:rsidRPr="00AD5B06" w:rsidRDefault="00AD5B06" w:rsidP="00AD5B06">
      <w:pPr>
        <w:rPr>
          <w:rFonts w:ascii="Arial" w:hAnsi="Arial" w:cs="Arial"/>
          <w:sz w:val="36"/>
          <w:szCs w:val="36"/>
          <w:lang w:val="en-GB"/>
        </w:rPr>
      </w:pPr>
      <w:r w:rsidRPr="00AD5B06">
        <w:rPr>
          <w:rFonts w:ascii="Arial" w:hAnsi="Arial" w:cs="Arial"/>
          <w:sz w:val="36"/>
          <w:szCs w:val="36"/>
          <w:lang w:val="en-GB"/>
        </w:rPr>
        <w:t>The Medical Model of Health focuses on diagnosing and treating diseases through clinical interventions, emphasizing biological and physiological aspects. This approach is crucial for managing specific health conditions effectively, using medical technologies and treatments to address pathology. In the context of partnership working and person-</w:t>
      </w:r>
      <w:proofErr w:type="spellStart"/>
      <w:r w:rsidRPr="00AD5B06">
        <w:rPr>
          <w:rFonts w:ascii="Arial" w:hAnsi="Arial" w:cs="Arial"/>
          <w:sz w:val="36"/>
          <w:szCs w:val="36"/>
          <w:lang w:val="en-GB"/>
        </w:rPr>
        <w:t>centered</w:t>
      </w:r>
      <w:proofErr w:type="spellEnd"/>
      <w:r w:rsidRPr="00AD5B06">
        <w:rPr>
          <w:rFonts w:ascii="Arial" w:hAnsi="Arial" w:cs="Arial"/>
          <w:sz w:val="36"/>
          <w:szCs w:val="36"/>
          <w:lang w:val="en-GB"/>
        </w:rPr>
        <w:t xml:space="preserve"> care in UK health and social care, this model provides the necessary clinical expertise and interventions required for acute and chronic health issues. It ensures that individuals receive targeted medical care to address their immediate health needs.</w:t>
      </w:r>
    </w:p>
    <w:p w14:paraId="4DC88E32" w14:textId="77777777" w:rsidR="00AD5B06" w:rsidRPr="00AD5B06" w:rsidRDefault="00AD5B06" w:rsidP="00AD5B06">
      <w:pPr>
        <w:rPr>
          <w:rFonts w:ascii="Arial" w:hAnsi="Arial" w:cs="Arial"/>
          <w:sz w:val="36"/>
          <w:szCs w:val="36"/>
          <w:lang w:val="en-GB"/>
        </w:rPr>
      </w:pPr>
      <w:r w:rsidRPr="00AD5B06">
        <w:rPr>
          <w:rFonts w:ascii="Arial" w:hAnsi="Arial" w:cs="Arial"/>
          <w:sz w:val="36"/>
          <w:szCs w:val="36"/>
          <w:lang w:val="en-GB"/>
        </w:rPr>
        <w:t>However, the Medical Model’s focus on disease can sometimes overlook broader factors affecting health, such as social and environmental influences. In partnership working and person-</w:t>
      </w:r>
      <w:proofErr w:type="spellStart"/>
      <w:r w:rsidRPr="00AD5B06">
        <w:rPr>
          <w:rFonts w:ascii="Arial" w:hAnsi="Arial" w:cs="Arial"/>
          <w:sz w:val="36"/>
          <w:szCs w:val="36"/>
          <w:lang w:val="en-GB"/>
        </w:rPr>
        <w:t>centered</w:t>
      </w:r>
      <w:proofErr w:type="spellEnd"/>
      <w:r w:rsidRPr="00AD5B06">
        <w:rPr>
          <w:rFonts w:ascii="Arial" w:hAnsi="Arial" w:cs="Arial"/>
          <w:sz w:val="36"/>
          <w:szCs w:val="36"/>
          <w:lang w:val="en-GB"/>
        </w:rPr>
        <w:t xml:space="preserve"> care, integrating the Medical Model with other approaches ensures a comprehensive strategy. This integration allows for the provision of specialized medical care while also considering the holistic needs of the individual, leading to better health outcomes and more personalized care.</w:t>
      </w:r>
    </w:p>
    <w:p w14:paraId="2C078E63" w14:textId="5B69B878" w:rsidR="00C1120D" w:rsidRPr="00AD5B06" w:rsidRDefault="00C1120D" w:rsidP="7F64D8DD">
      <w:pPr>
        <w:rPr>
          <w:rFonts w:ascii="Arial" w:hAnsi="Arial" w:cs="Arial"/>
          <w:sz w:val="36"/>
          <w:szCs w:val="36"/>
          <w:lang w:val="en-GB"/>
        </w:rPr>
      </w:pPr>
    </w:p>
    <w:p w14:paraId="46D064E4" w14:textId="77777777" w:rsidR="00AD5B06" w:rsidRPr="00AD5B06" w:rsidRDefault="00AD5B06" w:rsidP="7F64D8DD">
      <w:pPr>
        <w:rPr>
          <w:rFonts w:ascii="Arial" w:hAnsi="Arial" w:cs="Arial"/>
          <w:sz w:val="36"/>
          <w:szCs w:val="36"/>
          <w:lang w:val="en-GB"/>
        </w:rPr>
      </w:pPr>
    </w:p>
    <w:p w14:paraId="078FCF6A" w14:textId="77777777" w:rsidR="00AD5B06" w:rsidRPr="00AD5B06" w:rsidRDefault="00AD5B06" w:rsidP="7F64D8DD">
      <w:pPr>
        <w:rPr>
          <w:rFonts w:ascii="Arial" w:hAnsi="Arial" w:cs="Arial"/>
          <w:sz w:val="36"/>
          <w:szCs w:val="36"/>
          <w:lang w:val="en-GB"/>
        </w:rPr>
      </w:pPr>
    </w:p>
    <w:p w14:paraId="3FDC784E" w14:textId="77777777" w:rsidR="00AD5B06" w:rsidRPr="00AD5B06" w:rsidRDefault="00AD5B06" w:rsidP="7F64D8DD">
      <w:pPr>
        <w:rPr>
          <w:rFonts w:ascii="Arial" w:hAnsi="Arial" w:cs="Arial"/>
          <w:sz w:val="36"/>
          <w:szCs w:val="36"/>
          <w:lang w:val="en-GB"/>
        </w:rPr>
      </w:pPr>
    </w:p>
    <w:p w14:paraId="07A1F03B" w14:textId="77777777" w:rsidR="00AD5B06" w:rsidRPr="00AD5B06" w:rsidRDefault="00AD5B06" w:rsidP="7F64D8DD">
      <w:pPr>
        <w:rPr>
          <w:rFonts w:ascii="Arial" w:hAnsi="Arial" w:cs="Arial"/>
          <w:sz w:val="36"/>
          <w:szCs w:val="36"/>
          <w:lang w:val="en-GB"/>
        </w:rPr>
      </w:pPr>
    </w:p>
    <w:p w14:paraId="19F0F6DD" w14:textId="77777777" w:rsidR="00AD5B06" w:rsidRPr="00AD5B06" w:rsidRDefault="00AD5B06" w:rsidP="00AD5B06">
      <w:pPr>
        <w:rPr>
          <w:rFonts w:ascii="Arial" w:hAnsi="Arial" w:cs="Arial"/>
          <w:b/>
          <w:bCs/>
          <w:sz w:val="40"/>
          <w:szCs w:val="40"/>
          <w:lang w:val="en-GB"/>
        </w:rPr>
      </w:pPr>
      <w:r w:rsidRPr="00AD5B06">
        <w:rPr>
          <w:rFonts w:ascii="Arial" w:hAnsi="Arial" w:cs="Arial"/>
          <w:b/>
          <w:bCs/>
          <w:sz w:val="40"/>
          <w:szCs w:val="40"/>
          <w:lang w:val="en-GB"/>
        </w:rPr>
        <w:lastRenderedPageBreak/>
        <w:t>Social Model of Health</w:t>
      </w:r>
    </w:p>
    <w:p w14:paraId="4C3B4411" w14:textId="77777777" w:rsidR="00AD5B06" w:rsidRPr="00AD5B06" w:rsidRDefault="00AD5B06" w:rsidP="00AD5B06">
      <w:pPr>
        <w:rPr>
          <w:rFonts w:ascii="Arial" w:hAnsi="Arial" w:cs="Arial"/>
          <w:sz w:val="40"/>
          <w:szCs w:val="40"/>
          <w:lang w:val="en-GB"/>
        </w:rPr>
      </w:pPr>
      <w:r w:rsidRPr="00AD5B06">
        <w:rPr>
          <w:rFonts w:ascii="Arial" w:hAnsi="Arial" w:cs="Arial"/>
          <w:sz w:val="40"/>
          <w:szCs w:val="40"/>
          <w:lang w:val="en-GB"/>
        </w:rPr>
        <w:t>The Social Model of Health highlights how social, economic, and environmental factors influence health, emphasizing the importance of addressing these broader determinants to improve well-being. It focuses on creating equitable conditions by addressing factors such as income, education, and living environments. In UK health and social care, this model is essential for partnership working and person-</w:t>
      </w:r>
      <w:proofErr w:type="spellStart"/>
      <w:r w:rsidRPr="00AD5B06">
        <w:rPr>
          <w:rFonts w:ascii="Arial" w:hAnsi="Arial" w:cs="Arial"/>
          <w:sz w:val="40"/>
          <w:szCs w:val="40"/>
          <w:lang w:val="en-GB"/>
        </w:rPr>
        <w:t>centered</w:t>
      </w:r>
      <w:proofErr w:type="spellEnd"/>
      <w:r w:rsidRPr="00AD5B06">
        <w:rPr>
          <w:rFonts w:ascii="Arial" w:hAnsi="Arial" w:cs="Arial"/>
          <w:sz w:val="40"/>
          <w:szCs w:val="40"/>
          <w:lang w:val="en-GB"/>
        </w:rPr>
        <w:t xml:space="preserve"> care as it advocates for a comprehensive approach to health that includes social support and policy changes.</w:t>
      </w:r>
    </w:p>
    <w:p w14:paraId="18AF1A78" w14:textId="77777777" w:rsidR="00AD5B06" w:rsidRPr="00AD5B06" w:rsidRDefault="00AD5B06" w:rsidP="00AD5B06">
      <w:pPr>
        <w:rPr>
          <w:rFonts w:ascii="Arial" w:hAnsi="Arial" w:cs="Arial"/>
          <w:sz w:val="40"/>
          <w:szCs w:val="40"/>
          <w:lang w:val="en-GB"/>
        </w:rPr>
      </w:pPr>
      <w:r w:rsidRPr="00AD5B06">
        <w:rPr>
          <w:rFonts w:ascii="Arial" w:hAnsi="Arial" w:cs="Arial"/>
          <w:sz w:val="40"/>
          <w:szCs w:val="40"/>
          <w:lang w:val="en-GB"/>
        </w:rPr>
        <w:t>By considering these wider determinants, the Social Model promotes health equity and ensures that care is tailored to the individual’s broader social context. This approach supports partnership working by involving various sectors and agencies to address social factors affecting health and encourages person-</w:t>
      </w:r>
      <w:proofErr w:type="spellStart"/>
      <w:r w:rsidRPr="00AD5B06">
        <w:rPr>
          <w:rFonts w:ascii="Arial" w:hAnsi="Arial" w:cs="Arial"/>
          <w:sz w:val="40"/>
          <w:szCs w:val="40"/>
          <w:lang w:val="en-GB"/>
        </w:rPr>
        <w:t>centered</w:t>
      </w:r>
      <w:proofErr w:type="spellEnd"/>
      <w:r w:rsidRPr="00AD5B06">
        <w:rPr>
          <w:rFonts w:ascii="Arial" w:hAnsi="Arial" w:cs="Arial"/>
          <w:sz w:val="40"/>
          <w:szCs w:val="40"/>
          <w:lang w:val="en-GB"/>
        </w:rPr>
        <w:t xml:space="preserve"> care by recognizing and responding to the individual’s unique social circumstances.</w:t>
      </w:r>
    </w:p>
    <w:p w14:paraId="79AF9134" w14:textId="77777777" w:rsidR="00AD5B06" w:rsidRPr="00AD5B06" w:rsidRDefault="00AD5B06" w:rsidP="7F64D8DD">
      <w:pPr>
        <w:rPr>
          <w:sz w:val="32"/>
          <w:szCs w:val="32"/>
          <w:lang w:val="en-GB"/>
        </w:rPr>
      </w:pPr>
    </w:p>
    <w:sectPr w:rsidR="00AD5B06" w:rsidRPr="00AD5B0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160C9B3" w14:textId="77777777" w:rsidR="00823B98" w:rsidRDefault="00823B98" w:rsidP="00767907">
      <w:pPr>
        <w:spacing w:after="0" w:line="240" w:lineRule="auto"/>
      </w:pPr>
      <w:r>
        <w:separator/>
      </w:r>
    </w:p>
  </w:endnote>
  <w:endnote w:type="continuationSeparator" w:id="0">
    <w:p w14:paraId="56D3F042" w14:textId="77777777" w:rsidR="00823B98" w:rsidRDefault="00823B98" w:rsidP="007679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A2BF698" w14:textId="77777777" w:rsidR="00823B98" w:rsidRDefault="00823B98" w:rsidP="00767907">
      <w:pPr>
        <w:spacing w:after="0" w:line="240" w:lineRule="auto"/>
      </w:pPr>
      <w:r>
        <w:separator/>
      </w:r>
    </w:p>
  </w:footnote>
  <w:footnote w:type="continuationSeparator" w:id="0">
    <w:p w14:paraId="1F4A4E9E" w14:textId="77777777" w:rsidR="00823B98" w:rsidRDefault="00823B98" w:rsidP="0076790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0703C86"/>
    <w:multiLevelType w:val="hybridMultilevel"/>
    <w:tmpl w:val="BA76F14E"/>
    <w:lvl w:ilvl="0" w:tplc="F794B0F8">
      <w:start w:val="1"/>
      <w:numFmt w:val="bullet"/>
      <w:lvlText w:val=""/>
      <w:lvlJc w:val="left"/>
      <w:pPr>
        <w:ind w:left="720" w:hanging="360"/>
      </w:pPr>
      <w:rPr>
        <w:rFonts w:ascii="Symbol" w:hAnsi="Symbol" w:hint="default"/>
      </w:rPr>
    </w:lvl>
    <w:lvl w:ilvl="1" w:tplc="CA4C5DC0">
      <w:start w:val="1"/>
      <w:numFmt w:val="bullet"/>
      <w:lvlText w:val="o"/>
      <w:lvlJc w:val="left"/>
      <w:pPr>
        <w:ind w:left="1440" w:hanging="360"/>
      </w:pPr>
      <w:rPr>
        <w:rFonts w:ascii="Courier New" w:hAnsi="Courier New" w:hint="default"/>
      </w:rPr>
    </w:lvl>
    <w:lvl w:ilvl="2" w:tplc="F11433BA">
      <w:start w:val="1"/>
      <w:numFmt w:val="bullet"/>
      <w:lvlText w:val=""/>
      <w:lvlJc w:val="left"/>
      <w:pPr>
        <w:ind w:left="2160" w:hanging="360"/>
      </w:pPr>
      <w:rPr>
        <w:rFonts w:ascii="Wingdings" w:hAnsi="Wingdings" w:hint="default"/>
      </w:rPr>
    </w:lvl>
    <w:lvl w:ilvl="3" w:tplc="D29E93BE">
      <w:start w:val="1"/>
      <w:numFmt w:val="bullet"/>
      <w:lvlText w:val=""/>
      <w:lvlJc w:val="left"/>
      <w:pPr>
        <w:ind w:left="2880" w:hanging="360"/>
      </w:pPr>
      <w:rPr>
        <w:rFonts w:ascii="Symbol" w:hAnsi="Symbol" w:hint="default"/>
      </w:rPr>
    </w:lvl>
    <w:lvl w:ilvl="4" w:tplc="7B04C11A">
      <w:start w:val="1"/>
      <w:numFmt w:val="bullet"/>
      <w:lvlText w:val="o"/>
      <w:lvlJc w:val="left"/>
      <w:pPr>
        <w:ind w:left="3600" w:hanging="360"/>
      </w:pPr>
      <w:rPr>
        <w:rFonts w:ascii="Courier New" w:hAnsi="Courier New" w:hint="default"/>
      </w:rPr>
    </w:lvl>
    <w:lvl w:ilvl="5" w:tplc="A10CFAE2">
      <w:start w:val="1"/>
      <w:numFmt w:val="bullet"/>
      <w:lvlText w:val=""/>
      <w:lvlJc w:val="left"/>
      <w:pPr>
        <w:ind w:left="4320" w:hanging="360"/>
      </w:pPr>
      <w:rPr>
        <w:rFonts w:ascii="Wingdings" w:hAnsi="Wingdings" w:hint="default"/>
      </w:rPr>
    </w:lvl>
    <w:lvl w:ilvl="6" w:tplc="535EC096">
      <w:start w:val="1"/>
      <w:numFmt w:val="bullet"/>
      <w:lvlText w:val=""/>
      <w:lvlJc w:val="left"/>
      <w:pPr>
        <w:ind w:left="5040" w:hanging="360"/>
      </w:pPr>
      <w:rPr>
        <w:rFonts w:ascii="Symbol" w:hAnsi="Symbol" w:hint="default"/>
      </w:rPr>
    </w:lvl>
    <w:lvl w:ilvl="7" w:tplc="AD425C36">
      <w:start w:val="1"/>
      <w:numFmt w:val="bullet"/>
      <w:lvlText w:val="o"/>
      <w:lvlJc w:val="left"/>
      <w:pPr>
        <w:ind w:left="5760" w:hanging="360"/>
      </w:pPr>
      <w:rPr>
        <w:rFonts w:ascii="Courier New" w:hAnsi="Courier New" w:hint="default"/>
      </w:rPr>
    </w:lvl>
    <w:lvl w:ilvl="8" w:tplc="1B1660B4">
      <w:start w:val="1"/>
      <w:numFmt w:val="bullet"/>
      <w:lvlText w:val=""/>
      <w:lvlJc w:val="left"/>
      <w:pPr>
        <w:ind w:left="6480" w:hanging="360"/>
      </w:pPr>
      <w:rPr>
        <w:rFonts w:ascii="Wingdings" w:hAnsi="Wingdings" w:hint="default"/>
      </w:rPr>
    </w:lvl>
  </w:abstractNum>
  <w:num w:numId="1" w16cid:durableId="2035650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6297B10"/>
    <w:rsid w:val="002654EE"/>
    <w:rsid w:val="003E11DE"/>
    <w:rsid w:val="00416838"/>
    <w:rsid w:val="00447226"/>
    <w:rsid w:val="004C5176"/>
    <w:rsid w:val="00767907"/>
    <w:rsid w:val="00823B98"/>
    <w:rsid w:val="00AD5B06"/>
    <w:rsid w:val="00AF5F4D"/>
    <w:rsid w:val="00BA4900"/>
    <w:rsid w:val="00C1120D"/>
    <w:rsid w:val="11F1679F"/>
    <w:rsid w:val="15290861"/>
    <w:rsid w:val="36297B10"/>
    <w:rsid w:val="52EF29EE"/>
    <w:rsid w:val="68D78609"/>
    <w:rsid w:val="7E9BB58C"/>
    <w:rsid w:val="7F64D8D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6297B10"/>
  <w15:chartTrackingRefBased/>
  <w15:docId w15:val="{C3799FD0-B69E-41B6-87FB-9F8BDF68E0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paragraph" w:styleId="Header">
    <w:name w:val="header"/>
    <w:basedOn w:val="Normal"/>
    <w:link w:val="HeaderChar"/>
    <w:uiPriority w:val="99"/>
    <w:unhideWhenUsed/>
    <w:rsid w:val="00767907"/>
    <w:pPr>
      <w:tabs>
        <w:tab w:val="center" w:pos="4513"/>
        <w:tab w:val="right" w:pos="9026"/>
      </w:tabs>
      <w:spacing w:after="0" w:line="240" w:lineRule="auto"/>
    </w:pPr>
  </w:style>
  <w:style w:type="character" w:customStyle="1" w:styleId="HeaderChar">
    <w:name w:val="Header Char"/>
    <w:basedOn w:val="DefaultParagraphFont"/>
    <w:link w:val="Header"/>
    <w:uiPriority w:val="99"/>
    <w:rsid w:val="00767907"/>
  </w:style>
  <w:style w:type="paragraph" w:styleId="Footer">
    <w:name w:val="footer"/>
    <w:basedOn w:val="Normal"/>
    <w:link w:val="FooterChar"/>
    <w:uiPriority w:val="99"/>
    <w:unhideWhenUsed/>
    <w:rsid w:val="00767907"/>
    <w:pPr>
      <w:tabs>
        <w:tab w:val="center" w:pos="4513"/>
        <w:tab w:val="right" w:pos="9026"/>
      </w:tabs>
      <w:spacing w:after="0" w:line="240" w:lineRule="auto"/>
    </w:pPr>
  </w:style>
  <w:style w:type="character" w:customStyle="1" w:styleId="FooterChar">
    <w:name w:val="Footer Char"/>
    <w:basedOn w:val="DefaultParagraphFont"/>
    <w:link w:val="Footer"/>
    <w:uiPriority w:val="99"/>
    <w:rsid w:val="0076790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90372435">
      <w:bodyDiv w:val="1"/>
      <w:marLeft w:val="0"/>
      <w:marRight w:val="0"/>
      <w:marTop w:val="0"/>
      <w:marBottom w:val="0"/>
      <w:divBdr>
        <w:top w:val="none" w:sz="0" w:space="0" w:color="auto"/>
        <w:left w:val="none" w:sz="0" w:space="0" w:color="auto"/>
        <w:bottom w:val="none" w:sz="0" w:space="0" w:color="auto"/>
        <w:right w:val="none" w:sz="0" w:space="0" w:color="auto"/>
      </w:divBdr>
    </w:div>
    <w:div w:id="532352163">
      <w:bodyDiv w:val="1"/>
      <w:marLeft w:val="0"/>
      <w:marRight w:val="0"/>
      <w:marTop w:val="0"/>
      <w:marBottom w:val="0"/>
      <w:divBdr>
        <w:top w:val="none" w:sz="0" w:space="0" w:color="auto"/>
        <w:left w:val="none" w:sz="0" w:space="0" w:color="auto"/>
        <w:bottom w:val="none" w:sz="0" w:space="0" w:color="auto"/>
        <w:right w:val="none" w:sz="0" w:space="0" w:color="auto"/>
      </w:divBdr>
      <w:divsChild>
        <w:div w:id="706754878">
          <w:marLeft w:val="0"/>
          <w:marRight w:val="0"/>
          <w:marTop w:val="0"/>
          <w:marBottom w:val="0"/>
          <w:divBdr>
            <w:top w:val="none" w:sz="0" w:space="0" w:color="auto"/>
            <w:left w:val="none" w:sz="0" w:space="0" w:color="auto"/>
            <w:bottom w:val="none" w:sz="0" w:space="0" w:color="auto"/>
            <w:right w:val="none" w:sz="0" w:space="0" w:color="auto"/>
          </w:divBdr>
          <w:divsChild>
            <w:div w:id="1057360104">
              <w:marLeft w:val="0"/>
              <w:marRight w:val="0"/>
              <w:marTop w:val="0"/>
              <w:marBottom w:val="0"/>
              <w:divBdr>
                <w:top w:val="none" w:sz="0" w:space="0" w:color="auto"/>
                <w:left w:val="none" w:sz="0" w:space="0" w:color="auto"/>
                <w:bottom w:val="none" w:sz="0" w:space="0" w:color="auto"/>
                <w:right w:val="none" w:sz="0" w:space="0" w:color="auto"/>
              </w:divBdr>
              <w:divsChild>
                <w:div w:id="1734235987">
                  <w:marLeft w:val="0"/>
                  <w:marRight w:val="0"/>
                  <w:marTop w:val="0"/>
                  <w:marBottom w:val="0"/>
                  <w:divBdr>
                    <w:top w:val="none" w:sz="0" w:space="0" w:color="auto"/>
                    <w:left w:val="none" w:sz="0" w:space="0" w:color="auto"/>
                    <w:bottom w:val="none" w:sz="0" w:space="0" w:color="auto"/>
                    <w:right w:val="none" w:sz="0" w:space="0" w:color="auto"/>
                  </w:divBdr>
                  <w:divsChild>
                    <w:div w:id="2032607277">
                      <w:marLeft w:val="0"/>
                      <w:marRight w:val="0"/>
                      <w:marTop w:val="0"/>
                      <w:marBottom w:val="0"/>
                      <w:divBdr>
                        <w:top w:val="none" w:sz="0" w:space="0" w:color="auto"/>
                        <w:left w:val="none" w:sz="0" w:space="0" w:color="auto"/>
                        <w:bottom w:val="none" w:sz="0" w:space="0" w:color="auto"/>
                        <w:right w:val="none" w:sz="0" w:space="0" w:color="auto"/>
                      </w:divBdr>
                      <w:divsChild>
                        <w:div w:id="1185828519">
                          <w:marLeft w:val="0"/>
                          <w:marRight w:val="0"/>
                          <w:marTop w:val="0"/>
                          <w:marBottom w:val="0"/>
                          <w:divBdr>
                            <w:top w:val="none" w:sz="0" w:space="0" w:color="auto"/>
                            <w:left w:val="none" w:sz="0" w:space="0" w:color="auto"/>
                            <w:bottom w:val="none" w:sz="0" w:space="0" w:color="auto"/>
                            <w:right w:val="none" w:sz="0" w:space="0" w:color="auto"/>
                          </w:divBdr>
                          <w:divsChild>
                            <w:div w:id="1410424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35512261">
      <w:bodyDiv w:val="1"/>
      <w:marLeft w:val="0"/>
      <w:marRight w:val="0"/>
      <w:marTop w:val="0"/>
      <w:marBottom w:val="0"/>
      <w:divBdr>
        <w:top w:val="none" w:sz="0" w:space="0" w:color="auto"/>
        <w:left w:val="none" w:sz="0" w:space="0" w:color="auto"/>
        <w:bottom w:val="none" w:sz="0" w:space="0" w:color="auto"/>
        <w:right w:val="none" w:sz="0" w:space="0" w:color="auto"/>
      </w:divBdr>
      <w:divsChild>
        <w:div w:id="702484288">
          <w:marLeft w:val="0"/>
          <w:marRight w:val="0"/>
          <w:marTop w:val="0"/>
          <w:marBottom w:val="0"/>
          <w:divBdr>
            <w:top w:val="none" w:sz="0" w:space="0" w:color="auto"/>
            <w:left w:val="none" w:sz="0" w:space="0" w:color="auto"/>
            <w:bottom w:val="none" w:sz="0" w:space="0" w:color="auto"/>
            <w:right w:val="none" w:sz="0" w:space="0" w:color="auto"/>
          </w:divBdr>
          <w:divsChild>
            <w:div w:id="358510040">
              <w:marLeft w:val="0"/>
              <w:marRight w:val="0"/>
              <w:marTop w:val="0"/>
              <w:marBottom w:val="0"/>
              <w:divBdr>
                <w:top w:val="none" w:sz="0" w:space="0" w:color="auto"/>
                <w:left w:val="none" w:sz="0" w:space="0" w:color="auto"/>
                <w:bottom w:val="none" w:sz="0" w:space="0" w:color="auto"/>
                <w:right w:val="none" w:sz="0" w:space="0" w:color="auto"/>
              </w:divBdr>
              <w:divsChild>
                <w:div w:id="1738287161">
                  <w:marLeft w:val="0"/>
                  <w:marRight w:val="0"/>
                  <w:marTop w:val="0"/>
                  <w:marBottom w:val="0"/>
                  <w:divBdr>
                    <w:top w:val="none" w:sz="0" w:space="0" w:color="auto"/>
                    <w:left w:val="none" w:sz="0" w:space="0" w:color="auto"/>
                    <w:bottom w:val="none" w:sz="0" w:space="0" w:color="auto"/>
                    <w:right w:val="none" w:sz="0" w:space="0" w:color="auto"/>
                  </w:divBdr>
                  <w:divsChild>
                    <w:div w:id="304510210">
                      <w:marLeft w:val="0"/>
                      <w:marRight w:val="0"/>
                      <w:marTop w:val="0"/>
                      <w:marBottom w:val="0"/>
                      <w:divBdr>
                        <w:top w:val="none" w:sz="0" w:space="0" w:color="auto"/>
                        <w:left w:val="none" w:sz="0" w:space="0" w:color="auto"/>
                        <w:bottom w:val="none" w:sz="0" w:space="0" w:color="auto"/>
                        <w:right w:val="none" w:sz="0" w:space="0" w:color="auto"/>
                      </w:divBdr>
                      <w:divsChild>
                        <w:div w:id="1523930048">
                          <w:marLeft w:val="0"/>
                          <w:marRight w:val="0"/>
                          <w:marTop w:val="0"/>
                          <w:marBottom w:val="0"/>
                          <w:divBdr>
                            <w:top w:val="none" w:sz="0" w:space="0" w:color="auto"/>
                            <w:left w:val="none" w:sz="0" w:space="0" w:color="auto"/>
                            <w:bottom w:val="none" w:sz="0" w:space="0" w:color="auto"/>
                            <w:right w:val="none" w:sz="0" w:space="0" w:color="auto"/>
                          </w:divBdr>
                          <w:divsChild>
                            <w:div w:id="1769891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94873117">
      <w:bodyDiv w:val="1"/>
      <w:marLeft w:val="0"/>
      <w:marRight w:val="0"/>
      <w:marTop w:val="0"/>
      <w:marBottom w:val="0"/>
      <w:divBdr>
        <w:top w:val="none" w:sz="0" w:space="0" w:color="auto"/>
        <w:left w:val="none" w:sz="0" w:space="0" w:color="auto"/>
        <w:bottom w:val="none" w:sz="0" w:space="0" w:color="auto"/>
        <w:right w:val="none" w:sz="0" w:space="0" w:color="auto"/>
      </w:divBdr>
      <w:divsChild>
        <w:div w:id="425612556">
          <w:marLeft w:val="0"/>
          <w:marRight w:val="0"/>
          <w:marTop w:val="0"/>
          <w:marBottom w:val="0"/>
          <w:divBdr>
            <w:top w:val="none" w:sz="0" w:space="0" w:color="auto"/>
            <w:left w:val="none" w:sz="0" w:space="0" w:color="auto"/>
            <w:bottom w:val="none" w:sz="0" w:space="0" w:color="auto"/>
            <w:right w:val="none" w:sz="0" w:space="0" w:color="auto"/>
          </w:divBdr>
          <w:divsChild>
            <w:div w:id="1703823929">
              <w:marLeft w:val="0"/>
              <w:marRight w:val="0"/>
              <w:marTop w:val="0"/>
              <w:marBottom w:val="0"/>
              <w:divBdr>
                <w:top w:val="none" w:sz="0" w:space="0" w:color="auto"/>
                <w:left w:val="none" w:sz="0" w:space="0" w:color="auto"/>
                <w:bottom w:val="none" w:sz="0" w:space="0" w:color="auto"/>
                <w:right w:val="none" w:sz="0" w:space="0" w:color="auto"/>
              </w:divBdr>
              <w:divsChild>
                <w:div w:id="562374848">
                  <w:marLeft w:val="0"/>
                  <w:marRight w:val="0"/>
                  <w:marTop w:val="0"/>
                  <w:marBottom w:val="0"/>
                  <w:divBdr>
                    <w:top w:val="none" w:sz="0" w:space="0" w:color="auto"/>
                    <w:left w:val="none" w:sz="0" w:space="0" w:color="auto"/>
                    <w:bottom w:val="none" w:sz="0" w:space="0" w:color="auto"/>
                    <w:right w:val="none" w:sz="0" w:space="0" w:color="auto"/>
                  </w:divBdr>
                  <w:divsChild>
                    <w:div w:id="100227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2789864">
          <w:marLeft w:val="0"/>
          <w:marRight w:val="0"/>
          <w:marTop w:val="0"/>
          <w:marBottom w:val="0"/>
          <w:divBdr>
            <w:top w:val="none" w:sz="0" w:space="0" w:color="auto"/>
            <w:left w:val="none" w:sz="0" w:space="0" w:color="auto"/>
            <w:bottom w:val="none" w:sz="0" w:space="0" w:color="auto"/>
            <w:right w:val="none" w:sz="0" w:space="0" w:color="auto"/>
          </w:divBdr>
          <w:divsChild>
            <w:div w:id="2102097519">
              <w:marLeft w:val="0"/>
              <w:marRight w:val="0"/>
              <w:marTop w:val="0"/>
              <w:marBottom w:val="0"/>
              <w:divBdr>
                <w:top w:val="none" w:sz="0" w:space="0" w:color="auto"/>
                <w:left w:val="none" w:sz="0" w:space="0" w:color="auto"/>
                <w:bottom w:val="none" w:sz="0" w:space="0" w:color="auto"/>
                <w:right w:val="none" w:sz="0" w:space="0" w:color="auto"/>
              </w:divBdr>
              <w:divsChild>
                <w:div w:id="874468037">
                  <w:marLeft w:val="0"/>
                  <w:marRight w:val="0"/>
                  <w:marTop w:val="0"/>
                  <w:marBottom w:val="0"/>
                  <w:divBdr>
                    <w:top w:val="none" w:sz="0" w:space="0" w:color="auto"/>
                    <w:left w:val="none" w:sz="0" w:space="0" w:color="auto"/>
                    <w:bottom w:val="none" w:sz="0" w:space="0" w:color="auto"/>
                    <w:right w:val="none" w:sz="0" w:space="0" w:color="auto"/>
                  </w:divBdr>
                  <w:divsChild>
                    <w:div w:id="1155604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5039373">
      <w:bodyDiv w:val="1"/>
      <w:marLeft w:val="0"/>
      <w:marRight w:val="0"/>
      <w:marTop w:val="0"/>
      <w:marBottom w:val="0"/>
      <w:divBdr>
        <w:top w:val="none" w:sz="0" w:space="0" w:color="auto"/>
        <w:left w:val="none" w:sz="0" w:space="0" w:color="auto"/>
        <w:bottom w:val="none" w:sz="0" w:space="0" w:color="auto"/>
        <w:right w:val="none" w:sz="0" w:space="0" w:color="auto"/>
      </w:divBdr>
    </w:div>
    <w:div w:id="866065674">
      <w:bodyDiv w:val="1"/>
      <w:marLeft w:val="0"/>
      <w:marRight w:val="0"/>
      <w:marTop w:val="0"/>
      <w:marBottom w:val="0"/>
      <w:divBdr>
        <w:top w:val="none" w:sz="0" w:space="0" w:color="auto"/>
        <w:left w:val="none" w:sz="0" w:space="0" w:color="auto"/>
        <w:bottom w:val="none" w:sz="0" w:space="0" w:color="auto"/>
        <w:right w:val="none" w:sz="0" w:space="0" w:color="auto"/>
      </w:divBdr>
    </w:div>
    <w:div w:id="1575435697">
      <w:bodyDiv w:val="1"/>
      <w:marLeft w:val="0"/>
      <w:marRight w:val="0"/>
      <w:marTop w:val="0"/>
      <w:marBottom w:val="0"/>
      <w:divBdr>
        <w:top w:val="none" w:sz="0" w:space="0" w:color="auto"/>
        <w:left w:val="none" w:sz="0" w:space="0" w:color="auto"/>
        <w:bottom w:val="none" w:sz="0" w:space="0" w:color="auto"/>
        <w:right w:val="none" w:sz="0" w:space="0" w:color="auto"/>
      </w:divBdr>
    </w:div>
    <w:div w:id="1610430789">
      <w:bodyDiv w:val="1"/>
      <w:marLeft w:val="0"/>
      <w:marRight w:val="0"/>
      <w:marTop w:val="0"/>
      <w:marBottom w:val="0"/>
      <w:divBdr>
        <w:top w:val="none" w:sz="0" w:space="0" w:color="auto"/>
        <w:left w:val="none" w:sz="0" w:space="0" w:color="auto"/>
        <w:bottom w:val="none" w:sz="0" w:space="0" w:color="auto"/>
        <w:right w:val="none" w:sz="0" w:space="0" w:color="auto"/>
      </w:divBdr>
      <w:divsChild>
        <w:div w:id="1175650917">
          <w:marLeft w:val="0"/>
          <w:marRight w:val="0"/>
          <w:marTop w:val="0"/>
          <w:marBottom w:val="0"/>
          <w:divBdr>
            <w:top w:val="none" w:sz="0" w:space="0" w:color="auto"/>
            <w:left w:val="none" w:sz="0" w:space="0" w:color="auto"/>
            <w:bottom w:val="none" w:sz="0" w:space="0" w:color="auto"/>
            <w:right w:val="none" w:sz="0" w:space="0" w:color="auto"/>
          </w:divBdr>
          <w:divsChild>
            <w:div w:id="2105227683">
              <w:marLeft w:val="0"/>
              <w:marRight w:val="0"/>
              <w:marTop w:val="0"/>
              <w:marBottom w:val="0"/>
              <w:divBdr>
                <w:top w:val="none" w:sz="0" w:space="0" w:color="auto"/>
                <w:left w:val="none" w:sz="0" w:space="0" w:color="auto"/>
                <w:bottom w:val="none" w:sz="0" w:space="0" w:color="auto"/>
                <w:right w:val="none" w:sz="0" w:space="0" w:color="auto"/>
              </w:divBdr>
              <w:divsChild>
                <w:div w:id="903610661">
                  <w:marLeft w:val="0"/>
                  <w:marRight w:val="0"/>
                  <w:marTop w:val="0"/>
                  <w:marBottom w:val="0"/>
                  <w:divBdr>
                    <w:top w:val="none" w:sz="0" w:space="0" w:color="auto"/>
                    <w:left w:val="none" w:sz="0" w:space="0" w:color="auto"/>
                    <w:bottom w:val="none" w:sz="0" w:space="0" w:color="auto"/>
                    <w:right w:val="none" w:sz="0" w:space="0" w:color="auto"/>
                  </w:divBdr>
                  <w:divsChild>
                    <w:div w:id="1998344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68685">
          <w:marLeft w:val="0"/>
          <w:marRight w:val="0"/>
          <w:marTop w:val="0"/>
          <w:marBottom w:val="0"/>
          <w:divBdr>
            <w:top w:val="none" w:sz="0" w:space="0" w:color="auto"/>
            <w:left w:val="none" w:sz="0" w:space="0" w:color="auto"/>
            <w:bottom w:val="none" w:sz="0" w:space="0" w:color="auto"/>
            <w:right w:val="none" w:sz="0" w:space="0" w:color="auto"/>
          </w:divBdr>
          <w:divsChild>
            <w:div w:id="1974020199">
              <w:marLeft w:val="0"/>
              <w:marRight w:val="0"/>
              <w:marTop w:val="0"/>
              <w:marBottom w:val="0"/>
              <w:divBdr>
                <w:top w:val="none" w:sz="0" w:space="0" w:color="auto"/>
                <w:left w:val="none" w:sz="0" w:space="0" w:color="auto"/>
                <w:bottom w:val="none" w:sz="0" w:space="0" w:color="auto"/>
                <w:right w:val="none" w:sz="0" w:space="0" w:color="auto"/>
              </w:divBdr>
              <w:divsChild>
                <w:div w:id="1958871567">
                  <w:marLeft w:val="0"/>
                  <w:marRight w:val="0"/>
                  <w:marTop w:val="0"/>
                  <w:marBottom w:val="0"/>
                  <w:divBdr>
                    <w:top w:val="none" w:sz="0" w:space="0" w:color="auto"/>
                    <w:left w:val="none" w:sz="0" w:space="0" w:color="auto"/>
                    <w:bottom w:val="none" w:sz="0" w:space="0" w:color="auto"/>
                    <w:right w:val="none" w:sz="0" w:space="0" w:color="auto"/>
                  </w:divBdr>
                  <w:divsChild>
                    <w:div w:id="1387147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29622719">
      <w:bodyDiv w:val="1"/>
      <w:marLeft w:val="0"/>
      <w:marRight w:val="0"/>
      <w:marTop w:val="0"/>
      <w:marBottom w:val="0"/>
      <w:divBdr>
        <w:top w:val="none" w:sz="0" w:space="0" w:color="auto"/>
        <w:left w:val="none" w:sz="0" w:space="0" w:color="auto"/>
        <w:bottom w:val="none" w:sz="0" w:space="0" w:color="auto"/>
        <w:right w:val="none" w:sz="0" w:space="0" w:color="auto"/>
      </w:divBdr>
    </w:div>
    <w:div w:id="20891122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694</Words>
  <Characters>3956</Characters>
  <Application>Microsoft Office Word</Application>
  <DocSecurity>0</DocSecurity>
  <Lines>32</Lines>
  <Paragraphs>9</Paragraphs>
  <ScaleCrop>false</ScaleCrop>
  <Company/>
  <LinksUpToDate>false</LinksUpToDate>
  <CharactersWithSpaces>4641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Parese Ahmed</dc:creator>
  <cp:keywords/>
  <dc:description/>
  <cp:lastModifiedBy>Parese Ahmed</cp:lastModifiedBy>
  <cp:revision>2</cp:revision>
  <dcterms:created xsi:type="dcterms:W3CDTF">2024-09-24T12:29:00Z</dcterms:created>
  <dcterms:modified xsi:type="dcterms:W3CDTF">2024-09-24T12:29:00Z</dcterms:modified>
</cp:coreProperties>
</file>