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629C6" w14:textId="177BA8AD" w:rsidR="003411F3" w:rsidRDefault="003411F3" w:rsidP="00EF5B08">
      <w:pPr>
        <w:spacing w:after="160" w:line="360" w:lineRule="auto"/>
        <w:rPr>
          <w:rFonts w:ascii="Arial" w:eastAsia="Calibri" w:hAnsi="Arial" w:cs="Arial"/>
          <w:kern w:val="2"/>
          <w:sz w:val="28"/>
          <w:szCs w:val="28"/>
          <w14:ligatures w14:val="standardContextual"/>
        </w:rPr>
      </w:pPr>
      <w:r>
        <w:rPr>
          <w:noProof/>
        </w:rPr>
        <w:drawing>
          <wp:inline distT="0" distB="0" distL="0" distR="0" wp14:anchorId="4A6F96E8" wp14:editId="35FD28EF">
            <wp:extent cx="2796540" cy="1615440"/>
            <wp:effectExtent l="0" t="0" r="3810" b="3810"/>
            <wp:docPr id="1072225949" name="Picture 1072225949"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25949" name="Picture 1072225949" descr="A logo with black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96540" cy="1615440"/>
                    </a:xfrm>
                    <a:prstGeom prst="rect">
                      <a:avLst/>
                    </a:prstGeom>
                  </pic:spPr>
                </pic:pic>
              </a:graphicData>
            </a:graphic>
          </wp:inline>
        </w:drawing>
      </w:r>
    </w:p>
    <w:p w14:paraId="46B2AD51" w14:textId="77777777" w:rsidR="003411F3" w:rsidRDefault="003411F3" w:rsidP="00EF5B08">
      <w:pPr>
        <w:spacing w:after="160" w:line="360" w:lineRule="auto"/>
        <w:rPr>
          <w:rFonts w:ascii="Arial" w:eastAsia="Calibri" w:hAnsi="Arial" w:cs="Arial"/>
          <w:kern w:val="2"/>
          <w:sz w:val="28"/>
          <w:szCs w:val="28"/>
          <w14:ligatures w14:val="standardContextual"/>
        </w:rPr>
      </w:pPr>
    </w:p>
    <w:p w14:paraId="2DC6130B" w14:textId="18A4282E" w:rsidR="00EF5B08" w:rsidRPr="003411F3" w:rsidRDefault="00EF5B08" w:rsidP="00EF5B08">
      <w:pPr>
        <w:spacing w:after="160" w:line="360" w:lineRule="auto"/>
        <w:rPr>
          <w:rFonts w:ascii="Arial" w:eastAsia="Calibri" w:hAnsi="Arial" w:cs="Arial"/>
          <w:b/>
          <w:bCs/>
          <w:kern w:val="2"/>
          <w:sz w:val="28"/>
          <w:szCs w:val="28"/>
          <w14:ligatures w14:val="standardContextual"/>
        </w:rPr>
      </w:pPr>
      <w:r w:rsidRPr="003411F3">
        <w:rPr>
          <w:rFonts w:ascii="Arial" w:eastAsia="Calibri" w:hAnsi="Arial" w:cs="Arial"/>
          <w:b/>
          <w:bCs/>
          <w:kern w:val="2"/>
          <w:sz w:val="28"/>
          <w:szCs w:val="28"/>
          <w14:ligatures w14:val="standardContextual"/>
        </w:rPr>
        <w:t>Title: Research Proposal Report - The Impact of Digital health Technologies on Patient Care in the NHS.</w:t>
      </w:r>
    </w:p>
    <w:p w14:paraId="6B295235" w14:textId="78DE1704" w:rsidR="00EF5B08" w:rsidRPr="003411F3" w:rsidRDefault="00EF5B08" w:rsidP="00EF5B08">
      <w:pPr>
        <w:spacing w:after="160" w:line="360" w:lineRule="auto"/>
        <w:jc w:val="both"/>
        <w:rPr>
          <w:rFonts w:ascii="Arial" w:eastAsia="Calibri" w:hAnsi="Arial" w:cs="Arial"/>
          <w:b/>
          <w:bCs/>
          <w:kern w:val="2"/>
          <w:sz w:val="28"/>
          <w:szCs w:val="28"/>
          <w14:ligatures w14:val="standardContextual"/>
        </w:rPr>
      </w:pPr>
      <w:r w:rsidRPr="003411F3">
        <w:rPr>
          <w:rFonts w:ascii="Arial" w:eastAsia="Calibri" w:hAnsi="Arial" w:cs="Arial"/>
          <w:b/>
          <w:bCs/>
          <w:kern w:val="2"/>
          <w:sz w:val="28"/>
          <w:szCs w:val="28"/>
          <w14:ligatures w14:val="standardContextual"/>
        </w:rPr>
        <w:t>Name: Genabu Barri</w:t>
      </w:r>
    </w:p>
    <w:p w14:paraId="798989D0" w14:textId="5F4BEE5C" w:rsidR="00EF5B08" w:rsidRPr="003411F3" w:rsidRDefault="00EF5B08" w:rsidP="00EF5B08">
      <w:pPr>
        <w:spacing w:after="160" w:line="360" w:lineRule="auto"/>
        <w:jc w:val="both"/>
        <w:rPr>
          <w:rFonts w:ascii="Arial" w:eastAsia="Calibri" w:hAnsi="Arial" w:cs="Arial"/>
          <w:b/>
          <w:bCs/>
          <w:kern w:val="2"/>
          <w:sz w:val="28"/>
          <w:szCs w:val="28"/>
          <w14:ligatures w14:val="standardContextual"/>
        </w:rPr>
      </w:pPr>
      <w:r w:rsidRPr="003411F3">
        <w:rPr>
          <w:rFonts w:ascii="Arial" w:eastAsia="Calibri" w:hAnsi="Arial" w:cs="Arial"/>
          <w:b/>
          <w:bCs/>
          <w:kern w:val="2"/>
          <w:sz w:val="28"/>
          <w:szCs w:val="28"/>
          <w14:ligatures w14:val="standardContextual"/>
        </w:rPr>
        <w:t>Student ID:</w:t>
      </w:r>
      <w:r w:rsidR="003411F3" w:rsidRPr="003411F3">
        <w:rPr>
          <w:rFonts w:ascii="Arial" w:eastAsia="Calibri" w:hAnsi="Arial" w:cs="Arial"/>
          <w:b/>
          <w:bCs/>
          <w:kern w:val="2"/>
          <w:sz w:val="28"/>
          <w:szCs w:val="28"/>
          <w14:ligatures w14:val="standardContextual"/>
        </w:rPr>
        <w:t xml:space="preserve"> 2328229</w:t>
      </w:r>
    </w:p>
    <w:p w14:paraId="4F76C641" w14:textId="0FA6C279" w:rsidR="00EF5B08" w:rsidRPr="003411F3" w:rsidRDefault="00EF5B08" w:rsidP="00EF5B08">
      <w:pPr>
        <w:spacing w:after="160" w:line="360" w:lineRule="auto"/>
        <w:jc w:val="both"/>
        <w:rPr>
          <w:rFonts w:ascii="Arial" w:eastAsia="Calibri" w:hAnsi="Arial" w:cs="Arial"/>
          <w:b/>
          <w:bCs/>
          <w:kern w:val="2"/>
          <w:sz w:val="28"/>
          <w:szCs w:val="28"/>
          <w14:ligatures w14:val="standardContextual"/>
        </w:rPr>
      </w:pPr>
      <w:r w:rsidRPr="003411F3">
        <w:rPr>
          <w:rFonts w:ascii="Arial" w:eastAsia="Calibri" w:hAnsi="Arial" w:cs="Arial"/>
          <w:b/>
          <w:bCs/>
          <w:kern w:val="2"/>
          <w:sz w:val="28"/>
          <w:szCs w:val="28"/>
          <w14:ligatures w14:val="standardContextual"/>
        </w:rPr>
        <w:t>Module Name:</w:t>
      </w:r>
      <w:r w:rsidR="003411F3" w:rsidRPr="003411F3">
        <w:rPr>
          <w:rFonts w:ascii="Arial" w:eastAsia="Calibri" w:hAnsi="Arial" w:cs="Arial"/>
          <w:b/>
          <w:bCs/>
          <w:kern w:val="2"/>
          <w:sz w:val="28"/>
          <w:szCs w:val="28"/>
          <w14:ligatures w14:val="standardContextual"/>
        </w:rPr>
        <w:t xml:space="preserve"> Introduction to Independent Research Skills</w:t>
      </w:r>
    </w:p>
    <w:p w14:paraId="55DDBFAF" w14:textId="7F40445F" w:rsidR="00EF5B08" w:rsidRPr="003411F3" w:rsidRDefault="00EF5B08" w:rsidP="00EF5B08">
      <w:pPr>
        <w:spacing w:after="160" w:line="360" w:lineRule="auto"/>
        <w:jc w:val="both"/>
        <w:rPr>
          <w:rFonts w:ascii="Arial" w:eastAsia="Calibri" w:hAnsi="Arial" w:cs="Arial"/>
          <w:b/>
          <w:bCs/>
          <w:kern w:val="2"/>
          <w:sz w:val="28"/>
          <w:szCs w:val="28"/>
          <w14:ligatures w14:val="standardContextual"/>
        </w:rPr>
      </w:pPr>
      <w:r w:rsidRPr="003411F3">
        <w:rPr>
          <w:rFonts w:ascii="Arial" w:eastAsia="Calibri" w:hAnsi="Arial" w:cs="Arial"/>
          <w:b/>
          <w:bCs/>
          <w:kern w:val="2"/>
          <w:sz w:val="28"/>
          <w:szCs w:val="28"/>
          <w14:ligatures w14:val="standardContextual"/>
        </w:rPr>
        <w:t>Module Code:</w:t>
      </w:r>
      <w:r w:rsidR="003411F3" w:rsidRPr="003411F3">
        <w:rPr>
          <w:rFonts w:ascii="Arial" w:eastAsia="Calibri" w:hAnsi="Arial" w:cs="Arial"/>
          <w:b/>
          <w:bCs/>
          <w:kern w:val="2"/>
          <w:sz w:val="28"/>
          <w:szCs w:val="28"/>
          <w14:ligatures w14:val="standardContextual"/>
        </w:rPr>
        <w:t xml:space="preserve"> BMHP5019</w:t>
      </w:r>
    </w:p>
    <w:p w14:paraId="0D054CA9" w14:textId="435CCC8B" w:rsidR="00EF5B08" w:rsidRPr="003411F3" w:rsidRDefault="00EF5B08" w:rsidP="00EF5B08">
      <w:pPr>
        <w:spacing w:after="160" w:line="360" w:lineRule="auto"/>
        <w:jc w:val="both"/>
        <w:rPr>
          <w:rFonts w:ascii="Arial" w:eastAsia="Calibri" w:hAnsi="Arial" w:cs="Arial"/>
          <w:b/>
          <w:bCs/>
          <w:kern w:val="2"/>
          <w:sz w:val="28"/>
          <w:szCs w:val="28"/>
          <w14:ligatures w14:val="standardContextual"/>
        </w:rPr>
      </w:pPr>
      <w:r w:rsidRPr="003411F3">
        <w:rPr>
          <w:rFonts w:ascii="Arial" w:eastAsia="Calibri" w:hAnsi="Arial" w:cs="Arial"/>
          <w:b/>
          <w:bCs/>
          <w:kern w:val="2"/>
          <w:sz w:val="28"/>
          <w:szCs w:val="28"/>
          <w14:ligatures w14:val="standardContextual"/>
        </w:rPr>
        <w:t>Lecture Name:</w:t>
      </w:r>
      <w:r w:rsidR="003411F3" w:rsidRPr="003411F3">
        <w:rPr>
          <w:rFonts w:ascii="Arial" w:eastAsia="Calibri" w:hAnsi="Arial" w:cs="Arial"/>
          <w:b/>
          <w:bCs/>
          <w:kern w:val="2"/>
          <w:sz w:val="28"/>
          <w:szCs w:val="28"/>
          <w14:ligatures w14:val="standardContextual"/>
        </w:rPr>
        <w:t xml:space="preserve"> </w:t>
      </w:r>
      <w:proofErr w:type="spellStart"/>
      <w:r w:rsidR="003411F3" w:rsidRPr="003411F3">
        <w:rPr>
          <w:rFonts w:ascii="Arial" w:hAnsi="Arial" w:cs="Arial"/>
          <w:b/>
          <w:bCs/>
          <w:sz w:val="28"/>
          <w:szCs w:val="28"/>
        </w:rPr>
        <w:t>Itse</w:t>
      </w:r>
      <w:proofErr w:type="spellEnd"/>
      <w:r w:rsidR="003411F3" w:rsidRPr="003411F3">
        <w:rPr>
          <w:rFonts w:ascii="Arial" w:hAnsi="Arial" w:cs="Arial"/>
          <w:b/>
          <w:bCs/>
          <w:sz w:val="28"/>
          <w:szCs w:val="28"/>
        </w:rPr>
        <w:t> Olaoye </w:t>
      </w:r>
    </w:p>
    <w:p w14:paraId="2BFE08CD" w14:textId="77777777" w:rsidR="00EF5B08" w:rsidRPr="00EF5B08" w:rsidRDefault="00EF5B08" w:rsidP="00EF5B08">
      <w:pPr>
        <w:spacing w:after="160" w:line="256" w:lineRule="auto"/>
        <w:rPr>
          <w:rFonts w:ascii="Times New Roman" w:eastAsia="Calibri" w:hAnsi="Times New Roman" w:cs="Times New Roman"/>
          <w:kern w:val="2"/>
          <w:sz w:val="24"/>
          <w14:ligatures w14:val="standardContextual"/>
        </w:rPr>
      </w:pPr>
      <w:r w:rsidRPr="00EF5B08">
        <w:rPr>
          <w:rFonts w:ascii="Times New Roman" w:eastAsia="Calibri" w:hAnsi="Times New Roman" w:cs="Times New Roman"/>
          <w:sz w:val="24"/>
        </w:rPr>
        <w:br w:type="page"/>
      </w:r>
    </w:p>
    <w:sdt>
      <w:sdtPr>
        <w:rPr>
          <w:rFonts w:ascii="Times New Roman" w:eastAsia="Calibri" w:hAnsi="Times New Roman" w:cs="Times New Roman"/>
          <w:b/>
          <w:bCs/>
          <w:sz w:val="24"/>
          <w:szCs w:val="24"/>
        </w:rPr>
        <w:id w:val="-620535112"/>
        <w:docPartObj>
          <w:docPartGallery w:val="Table of Contents"/>
          <w:docPartUnique/>
        </w:docPartObj>
      </w:sdtPr>
      <w:sdtContent>
        <w:p w14:paraId="4BA4670E" w14:textId="77777777" w:rsidR="00EF5B08" w:rsidRPr="003411F3" w:rsidRDefault="00EF5B08" w:rsidP="00EF5B08">
          <w:pPr>
            <w:keepNext/>
            <w:keepLines/>
            <w:spacing w:before="240" w:after="0" w:line="256" w:lineRule="auto"/>
            <w:jc w:val="center"/>
            <w:rPr>
              <w:rFonts w:ascii="Arial" w:eastAsia="Times New Roman" w:hAnsi="Arial" w:cs="Arial"/>
              <w:b/>
              <w:bCs/>
              <w:sz w:val="24"/>
              <w:szCs w:val="24"/>
              <w:lang w:val="en-US"/>
            </w:rPr>
          </w:pPr>
          <w:r w:rsidRPr="00EF5B08">
            <w:rPr>
              <w:rFonts w:ascii="Times New Roman" w:eastAsia="Times New Roman" w:hAnsi="Times New Roman" w:cs="Times New Roman"/>
              <w:b/>
              <w:bCs/>
              <w:sz w:val="24"/>
              <w:szCs w:val="24"/>
              <w:lang w:val="en-US"/>
            </w:rPr>
            <w:t>Table of Contents</w:t>
          </w:r>
        </w:p>
        <w:p w14:paraId="7D1261F8" w14:textId="48171794" w:rsidR="00EF5B08" w:rsidRPr="003411F3" w:rsidRDefault="00EF5B08" w:rsidP="00EF5B08">
          <w:pPr>
            <w:tabs>
              <w:tab w:val="right" w:leader="dot" w:pos="9016"/>
            </w:tabs>
            <w:spacing w:after="100" w:line="360" w:lineRule="auto"/>
            <w:ind w:firstLine="720"/>
            <w:jc w:val="both"/>
            <w:rPr>
              <w:rFonts w:ascii="Arial" w:eastAsia="Times New Roman" w:hAnsi="Arial" w:cs="Arial"/>
              <w:noProof/>
              <w:kern w:val="2"/>
              <w:sz w:val="24"/>
              <w:szCs w:val="24"/>
              <w:lang w:eastAsia="en-GB"/>
              <w14:ligatures w14:val="standardContextual"/>
            </w:rPr>
          </w:pPr>
          <w:r w:rsidRPr="003411F3">
            <w:rPr>
              <w:rFonts w:ascii="Arial" w:eastAsia="Calibri" w:hAnsi="Arial" w:cs="Arial"/>
              <w:kern w:val="2"/>
              <w:sz w:val="24"/>
              <w:szCs w:val="24"/>
              <w14:ligatures w14:val="standardContextual"/>
            </w:rPr>
            <w:fldChar w:fldCharType="begin"/>
          </w:r>
          <w:r w:rsidRPr="003411F3">
            <w:rPr>
              <w:rFonts w:ascii="Arial" w:eastAsia="Calibri" w:hAnsi="Arial" w:cs="Arial"/>
              <w:kern w:val="2"/>
              <w:sz w:val="24"/>
              <w:szCs w:val="24"/>
              <w14:ligatures w14:val="standardContextual"/>
            </w:rPr>
            <w:instrText xml:space="preserve"> TOC \o "1-3" \h \z \u </w:instrText>
          </w:r>
          <w:r w:rsidRPr="003411F3">
            <w:rPr>
              <w:rFonts w:ascii="Arial" w:eastAsia="Calibri" w:hAnsi="Arial" w:cs="Arial"/>
              <w:kern w:val="2"/>
              <w:sz w:val="24"/>
              <w:szCs w:val="24"/>
              <w14:ligatures w14:val="standardContextual"/>
            </w:rPr>
            <w:fldChar w:fldCharType="separate"/>
          </w:r>
          <w:hyperlink r:id="rId7" w:anchor="_Toc212436366" w:history="1">
            <w:r w:rsidRPr="003411F3">
              <w:rPr>
                <w:rFonts w:ascii="Arial" w:eastAsia="Calibri" w:hAnsi="Arial" w:cs="Arial"/>
                <w:noProof/>
                <w:color w:val="0563C1"/>
                <w:kern w:val="2"/>
                <w:sz w:val="24"/>
                <w:szCs w:val="24"/>
                <w:u w:val="single"/>
                <w14:ligatures w14:val="standardContextual"/>
              </w:rPr>
              <w:t>Introduction</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_Toc212436366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3</w:t>
            </w:r>
            <w:r w:rsidRPr="003411F3">
              <w:rPr>
                <w:rFonts w:ascii="Arial" w:eastAsia="Calibri" w:hAnsi="Arial" w:cs="Arial"/>
                <w:noProof/>
                <w:webHidden/>
                <w:kern w:val="2"/>
                <w:sz w:val="24"/>
                <w:szCs w:val="24"/>
                <w:u w:val="single"/>
                <w14:ligatures w14:val="standardContextual"/>
              </w:rPr>
              <w:fldChar w:fldCharType="end"/>
            </w:r>
          </w:hyperlink>
        </w:p>
        <w:p w14:paraId="454557C9" w14:textId="775D18FD" w:rsidR="00EF5B08" w:rsidRPr="003411F3" w:rsidRDefault="00EF5B08" w:rsidP="00EF5B08">
          <w:pPr>
            <w:tabs>
              <w:tab w:val="right" w:leader="dot" w:pos="9016"/>
            </w:tabs>
            <w:spacing w:after="100" w:line="360" w:lineRule="auto"/>
            <w:ind w:firstLine="720"/>
            <w:jc w:val="both"/>
            <w:rPr>
              <w:rFonts w:ascii="Arial" w:eastAsia="Times New Roman" w:hAnsi="Arial" w:cs="Arial"/>
              <w:noProof/>
              <w:kern w:val="2"/>
              <w:sz w:val="24"/>
              <w:szCs w:val="24"/>
              <w:lang w:eastAsia="en-GB"/>
              <w14:ligatures w14:val="standardContextual"/>
            </w:rPr>
          </w:pPr>
          <w:hyperlink r:id="rId8" w:anchor="_Toc212436367" w:history="1">
            <w:r w:rsidRPr="003411F3">
              <w:rPr>
                <w:rFonts w:ascii="Arial" w:eastAsia="Calibri" w:hAnsi="Arial" w:cs="Arial"/>
                <w:noProof/>
                <w:color w:val="0563C1"/>
                <w:kern w:val="2"/>
                <w:sz w:val="24"/>
                <w:szCs w:val="24"/>
                <w:u w:val="single"/>
                <w14:ligatures w14:val="standardContextual"/>
              </w:rPr>
              <w:t>Background</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_Toc212436367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4</w:t>
            </w:r>
            <w:r w:rsidRPr="003411F3">
              <w:rPr>
                <w:rFonts w:ascii="Arial" w:eastAsia="Calibri" w:hAnsi="Arial" w:cs="Arial"/>
                <w:noProof/>
                <w:webHidden/>
                <w:kern w:val="2"/>
                <w:sz w:val="24"/>
                <w:szCs w:val="24"/>
                <w:u w:val="single"/>
                <w14:ligatures w14:val="standardContextual"/>
              </w:rPr>
              <w:fldChar w:fldCharType="end"/>
            </w:r>
          </w:hyperlink>
        </w:p>
        <w:p w14:paraId="10459B0E" w14:textId="64D732F8" w:rsidR="00EF5B08" w:rsidRPr="003411F3" w:rsidRDefault="00EF5B08" w:rsidP="00EF5B08">
          <w:pPr>
            <w:tabs>
              <w:tab w:val="right" w:leader="dot" w:pos="9016"/>
            </w:tabs>
            <w:spacing w:after="100" w:line="360" w:lineRule="auto"/>
            <w:ind w:firstLine="720"/>
            <w:jc w:val="both"/>
            <w:rPr>
              <w:rFonts w:ascii="Arial" w:eastAsia="Times New Roman" w:hAnsi="Arial" w:cs="Arial"/>
              <w:noProof/>
              <w:kern w:val="2"/>
              <w:sz w:val="24"/>
              <w:szCs w:val="24"/>
              <w:lang w:eastAsia="en-GB"/>
              <w14:ligatures w14:val="standardContextual"/>
            </w:rPr>
          </w:pPr>
          <w:hyperlink r:id="rId9" w:anchor="_Toc212436368" w:history="1">
            <w:r w:rsidRPr="003411F3">
              <w:rPr>
                <w:rFonts w:ascii="Arial" w:eastAsia="Calibri" w:hAnsi="Arial" w:cs="Arial"/>
                <w:noProof/>
                <w:color w:val="0563C1"/>
                <w:kern w:val="2"/>
                <w:sz w:val="24"/>
                <w:szCs w:val="24"/>
                <w:u w:val="single"/>
                <w14:ligatures w14:val="standardContextual"/>
              </w:rPr>
              <w:t>Methodology</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_Toc212436368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5</w:t>
            </w:r>
            <w:r w:rsidRPr="003411F3">
              <w:rPr>
                <w:rFonts w:ascii="Arial" w:eastAsia="Calibri" w:hAnsi="Arial" w:cs="Arial"/>
                <w:noProof/>
                <w:webHidden/>
                <w:kern w:val="2"/>
                <w:sz w:val="24"/>
                <w:szCs w:val="24"/>
                <w:u w:val="single"/>
                <w14:ligatures w14:val="standardContextual"/>
              </w:rPr>
              <w:fldChar w:fldCharType="end"/>
            </w:r>
          </w:hyperlink>
        </w:p>
        <w:p w14:paraId="595A242D" w14:textId="467F7B09"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10" w:anchor="_Toc212436369" w:history="1">
            <w:r w:rsidRPr="003411F3">
              <w:rPr>
                <w:rFonts w:ascii="Arial" w:eastAsia="Calibri" w:hAnsi="Arial" w:cs="Arial"/>
                <w:noProof/>
                <w:color w:val="0563C1"/>
                <w:kern w:val="2"/>
                <w:sz w:val="24"/>
                <w:szCs w:val="24"/>
                <w:u w:val="single"/>
                <w14:ligatures w14:val="standardContextual"/>
              </w:rPr>
              <w:t>Research Design</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_Toc212436369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5</w:t>
            </w:r>
            <w:r w:rsidRPr="003411F3">
              <w:rPr>
                <w:rFonts w:ascii="Arial" w:eastAsia="Calibri" w:hAnsi="Arial" w:cs="Arial"/>
                <w:noProof/>
                <w:webHidden/>
                <w:kern w:val="2"/>
                <w:sz w:val="24"/>
                <w:szCs w:val="24"/>
                <w:u w:val="single"/>
                <w14:ligatures w14:val="standardContextual"/>
              </w:rPr>
              <w:fldChar w:fldCharType="end"/>
            </w:r>
          </w:hyperlink>
        </w:p>
        <w:p w14:paraId="722AC61C" w14:textId="47D77C2A"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11" w:anchor="_Toc212436370" w:history="1">
            <w:r w:rsidRPr="003411F3">
              <w:rPr>
                <w:rFonts w:ascii="Arial" w:eastAsia="Calibri" w:hAnsi="Arial" w:cs="Arial"/>
                <w:noProof/>
                <w:color w:val="0563C1"/>
                <w:kern w:val="2"/>
                <w:sz w:val="24"/>
                <w:szCs w:val="24"/>
                <w:u w:val="single"/>
                <w14:ligatures w14:val="standardContextual"/>
              </w:rPr>
              <w:t>Search Strategy</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_Toc212436370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6</w:t>
            </w:r>
            <w:r w:rsidRPr="003411F3">
              <w:rPr>
                <w:rFonts w:ascii="Arial" w:eastAsia="Calibri" w:hAnsi="Arial" w:cs="Arial"/>
                <w:noProof/>
                <w:webHidden/>
                <w:kern w:val="2"/>
                <w:sz w:val="24"/>
                <w:szCs w:val="24"/>
                <w:u w:val="single"/>
                <w14:ligatures w14:val="standardContextual"/>
              </w:rPr>
              <w:fldChar w:fldCharType="end"/>
            </w:r>
          </w:hyperlink>
        </w:p>
        <w:p w14:paraId="6DFF125C" w14:textId="48E698C8"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12" w:anchor="_Toc212436371" w:history="1">
            <w:r w:rsidRPr="003411F3">
              <w:rPr>
                <w:rFonts w:ascii="Arial" w:eastAsia="Calibri" w:hAnsi="Arial" w:cs="Arial"/>
                <w:noProof/>
                <w:color w:val="0563C1"/>
                <w:kern w:val="2"/>
                <w:sz w:val="24"/>
                <w:szCs w:val="24"/>
                <w:u w:val="single"/>
                <w14:ligatures w14:val="standardContextual"/>
              </w:rPr>
              <w:t>Inclusion and Exclusion Criteria</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_Toc212436371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6</w:t>
            </w:r>
            <w:r w:rsidRPr="003411F3">
              <w:rPr>
                <w:rFonts w:ascii="Arial" w:eastAsia="Calibri" w:hAnsi="Arial" w:cs="Arial"/>
                <w:noProof/>
                <w:webHidden/>
                <w:kern w:val="2"/>
                <w:sz w:val="24"/>
                <w:szCs w:val="24"/>
                <w:u w:val="single"/>
                <w14:ligatures w14:val="standardContextual"/>
              </w:rPr>
              <w:fldChar w:fldCharType="end"/>
            </w:r>
          </w:hyperlink>
        </w:p>
        <w:p w14:paraId="6D704CBA" w14:textId="3AA63EB6" w:rsidR="00EF5B08" w:rsidRPr="003411F3" w:rsidRDefault="00EF5B08" w:rsidP="00EF5B08">
          <w:pPr>
            <w:tabs>
              <w:tab w:val="right" w:leader="dot" w:pos="9016"/>
            </w:tabs>
            <w:spacing w:after="100" w:line="360" w:lineRule="auto"/>
            <w:ind w:left="480" w:firstLine="720"/>
            <w:jc w:val="both"/>
            <w:rPr>
              <w:rFonts w:ascii="Arial" w:eastAsia="Times New Roman" w:hAnsi="Arial" w:cs="Arial"/>
              <w:noProof/>
              <w:kern w:val="2"/>
              <w:sz w:val="24"/>
              <w:szCs w:val="24"/>
              <w:lang w:eastAsia="en-GB"/>
              <w14:ligatures w14:val="standardContextual"/>
            </w:rPr>
          </w:pPr>
          <w:hyperlink r:id="rId13" w:anchor="_Toc212436372" w:history="1">
            <w:r w:rsidRPr="003411F3">
              <w:rPr>
                <w:rFonts w:ascii="Arial" w:eastAsia="Calibri" w:hAnsi="Arial" w:cs="Arial"/>
                <w:noProof/>
                <w:color w:val="0563C1"/>
                <w:kern w:val="2"/>
                <w:sz w:val="24"/>
                <w:szCs w:val="24"/>
                <w:u w:val="single"/>
                <w14:ligatures w14:val="standardContextual"/>
              </w:rPr>
              <w:t>Inclusion criteria:</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_Toc212436372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6</w:t>
            </w:r>
            <w:r w:rsidRPr="003411F3">
              <w:rPr>
                <w:rFonts w:ascii="Arial" w:eastAsia="Calibri" w:hAnsi="Arial" w:cs="Arial"/>
                <w:noProof/>
                <w:webHidden/>
                <w:kern w:val="2"/>
                <w:sz w:val="24"/>
                <w:szCs w:val="24"/>
                <w:u w:val="single"/>
                <w14:ligatures w14:val="standardContextual"/>
              </w:rPr>
              <w:fldChar w:fldCharType="end"/>
            </w:r>
          </w:hyperlink>
        </w:p>
        <w:p w14:paraId="083C7EC6" w14:textId="76A025B3" w:rsidR="00EF5B08" w:rsidRPr="003411F3" w:rsidRDefault="00EF5B08" w:rsidP="00EF5B08">
          <w:pPr>
            <w:tabs>
              <w:tab w:val="right" w:leader="dot" w:pos="9016"/>
            </w:tabs>
            <w:spacing w:after="100" w:line="360" w:lineRule="auto"/>
            <w:ind w:left="480" w:firstLine="720"/>
            <w:jc w:val="both"/>
            <w:rPr>
              <w:rFonts w:ascii="Arial" w:eastAsia="Times New Roman" w:hAnsi="Arial" w:cs="Arial"/>
              <w:noProof/>
              <w:kern w:val="2"/>
              <w:sz w:val="24"/>
              <w:szCs w:val="24"/>
              <w:lang w:eastAsia="en-GB"/>
              <w14:ligatures w14:val="standardContextual"/>
            </w:rPr>
          </w:pPr>
          <w:hyperlink r:id="rId14" w:anchor="_Toc212436373" w:history="1">
            <w:r w:rsidRPr="003411F3">
              <w:rPr>
                <w:rFonts w:ascii="Arial" w:eastAsia="Calibri" w:hAnsi="Arial" w:cs="Arial"/>
                <w:noProof/>
                <w:color w:val="0563C1"/>
                <w:kern w:val="2"/>
                <w:sz w:val="24"/>
                <w:szCs w:val="24"/>
                <w:u w:val="single"/>
                <w14:ligatures w14:val="standardContextual"/>
              </w:rPr>
              <w:t>Exclusion criteria:</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_Toc212436373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6</w:t>
            </w:r>
            <w:r w:rsidRPr="003411F3">
              <w:rPr>
                <w:rFonts w:ascii="Arial" w:eastAsia="Calibri" w:hAnsi="Arial" w:cs="Arial"/>
                <w:noProof/>
                <w:webHidden/>
                <w:kern w:val="2"/>
                <w:sz w:val="24"/>
                <w:szCs w:val="24"/>
                <w:u w:val="single"/>
                <w14:ligatures w14:val="standardContextual"/>
              </w:rPr>
              <w:fldChar w:fldCharType="end"/>
            </w:r>
          </w:hyperlink>
        </w:p>
        <w:p w14:paraId="13D82782" w14:textId="5BCDBE87"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15" w:anchor="_Toc212436374" w:history="1">
            <w:r w:rsidRPr="003411F3">
              <w:rPr>
                <w:rFonts w:ascii="Arial" w:eastAsia="Calibri" w:hAnsi="Arial" w:cs="Arial"/>
                <w:noProof/>
                <w:color w:val="0563C1"/>
                <w:kern w:val="2"/>
                <w:sz w:val="24"/>
                <w:szCs w:val="24"/>
                <w:u w:val="single"/>
                <w14:ligatures w14:val="standardContextual"/>
              </w:rPr>
              <w:t>Data Extraction and Thematic Analysis</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_Toc212436374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7</w:t>
            </w:r>
            <w:r w:rsidRPr="003411F3">
              <w:rPr>
                <w:rFonts w:ascii="Arial" w:eastAsia="Calibri" w:hAnsi="Arial" w:cs="Arial"/>
                <w:noProof/>
                <w:webHidden/>
                <w:kern w:val="2"/>
                <w:sz w:val="24"/>
                <w:szCs w:val="24"/>
                <w:u w:val="single"/>
                <w14:ligatures w14:val="standardContextual"/>
              </w:rPr>
              <w:fldChar w:fldCharType="end"/>
            </w:r>
          </w:hyperlink>
        </w:p>
        <w:p w14:paraId="667054D4" w14:textId="1BF81665"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16" w:anchor="_Toc212436375" w:history="1">
            <w:r w:rsidRPr="003411F3">
              <w:rPr>
                <w:rFonts w:ascii="Arial" w:eastAsia="Calibri" w:hAnsi="Arial" w:cs="Arial"/>
                <w:noProof/>
                <w:color w:val="0563C1"/>
                <w:kern w:val="2"/>
                <w:sz w:val="24"/>
                <w:szCs w:val="24"/>
                <w:u w:val="single"/>
                <w14:ligatures w14:val="standardContextual"/>
              </w:rPr>
              <w:t>Ethical Considerations</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_Toc212436375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7</w:t>
            </w:r>
            <w:r w:rsidRPr="003411F3">
              <w:rPr>
                <w:rFonts w:ascii="Arial" w:eastAsia="Calibri" w:hAnsi="Arial" w:cs="Arial"/>
                <w:noProof/>
                <w:webHidden/>
                <w:kern w:val="2"/>
                <w:sz w:val="24"/>
                <w:szCs w:val="24"/>
                <w:u w:val="single"/>
                <w14:ligatures w14:val="standardContextual"/>
              </w:rPr>
              <w:fldChar w:fldCharType="end"/>
            </w:r>
          </w:hyperlink>
        </w:p>
        <w:p w14:paraId="7E734877" w14:textId="2114A39A" w:rsidR="00EF5B08" w:rsidRPr="003411F3" w:rsidRDefault="00EF5B08" w:rsidP="00EF5B08">
          <w:pPr>
            <w:tabs>
              <w:tab w:val="right" w:leader="dot" w:pos="9016"/>
            </w:tabs>
            <w:spacing w:after="100" w:line="360" w:lineRule="auto"/>
            <w:ind w:firstLine="720"/>
            <w:jc w:val="both"/>
            <w:rPr>
              <w:rFonts w:ascii="Arial" w:eastAsia="Times New Roman" w:hAnsi="Arial" w:cs="Arial"/>
              <w:noProof/>
              <w:kern w:val="2"/>
              <w:sz w:val="24"/>
              <w:szCs w:val="24"/>
              <w:lang w:eastAsia="en-GB"/>
              <w14:ligatures w14:val="standardContextual"/>
            </w:rPr>
          </w:pPr>
          <w:hyperlink r:id="rId17" w:anchor="_Toc212436376" w:history="1">
            <w:r w:rsidRPr="003411F3">
              <w:rPr>
                <w:rFonts w:ascii="Arial" w:eastAsia="Calibri" w:hAnsi="Arial" w:cs="Arial"/>
                <w:noProof/>
                <w:color w:val="0563C1"/>
                <w:kern w:val="2"/>
                <w:sz w:val="24"/>
                <w:szCs w:val="24"/>
                <w:u w:val="single"/>
                <w14:ligatures w14:val="standardContextual"/>
              </w:rPr>
              <w:t>Results</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_Toc212436376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7</w:t>
            </w:r>
            <w:r w:rsidRPr="003411F3">
              <w:rPr>
                <w:rFonts w:ascii="Arial" w:eastAsia="Calibri" w:hAnsi="Arial" w:cs="Arial"/>
                <w:noProof/>
                <w:webHidden/>
                <w:kern w:val="2"/>
                <w:sz w:val="24"/>
                <w:szCs w:val="24"/>
                <w:u w:val="single"/>
                <w14:ligatures w14:val="standardContextual"/>
              </w:rPr>
              <w:fldChar w:fldCharType="end"/>
            </w:r>
          </w:hyperlink>
        </w:p>
        <w:p w14:paraId="27AFFC50" w14:textId="1B257068"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18" w:anchor="_Toc212436377" w:history="1">
            <w:r w:rsidRPr="003411F3">
              <w:rPr>
                <w:rFonts w:ascii="Arial" w:eastAsia="Calibri" w:hAnsi="Arial" w:cs="Arial"/>
                <w:noProof/>
                <w:color w:val="0563C1"/>
                <w:kern w:val="2"/>
                <w:sz w:val="24"/>
                <w:szCs w:val="24"/>
                <w:u w:val="single"/>
                <w14:ligatures w14:val="standardContextual"/>
              </w:rPr>
              <w:t>Table 1: Summary of Reviewed Studies (2020–2025)</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_Toc212436377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8</w:t>
            </w:r>
            <w:r w:rsidRPr="003411F3">
              <w:rPr>
                <w:rFonts w:ascii="Arial" w:eastAsia="Calibri" w:hAnsi="Arial" w:cs="Arial"/>
                <w:noProof/>
                <w:webHidden/>
                <w:kern w:val="2"/>
                <w:sz w:val="24"/>
                <w:szCs w:val="24"/>
                <w:u w:val="single"/>
                <w14:ligatures w14:val="standardContextual"/>
              </w:rPr>
              <w:fldChar w:fldCharType="end"/>
            </w:r>
          </w:hyperlink>
        </w:p>
        <w:p w14:paraId="256F3EF0" w14:textId="2CFD16FE"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19" w:anchor="_Toc212436378" w:history="1">
            <w:r w:rsidRPr="003411F3">
              <w:rPr>
                <w:rFonts w:ascii="Arial" w:eastAsia="Calibri" w:hAnsi="Arial" w:cs="Arial"/>
                <w:noProof/>
                <w:color w:val="0563C1"/>
                <w:kern w:val="2"/>
                <w:sz w:val="24"/>
                <w:szCs w:val="24"/>
                <w:u w:val="single"/>
                <w14:ligatures w14:val="standardContextual"/>
              </w:rPr>
              <w:t>Synthesis of Key Findings</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_Toc212436378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9</w:t>
            </w:r>
            <w:r w:rsidRPr="003411F3">
              <w:rPr>
                <w:rFonts w:ascii="Arial" w:eastAsia="Calibri" w:hAnsi="Arial" w:cs="Arial"/>
                <w:noProof/>
                <w:webHidden/>
                <w:kern w:val="2"/>
                <w:sz w:val="24"/>
                <w:szCs w:val="24"/>
                <w:u w:val="single"/>
                <w14:ligatures w14:val="standardContextual"/>
              </w:rPr>
              <w:fldChar w:fldCharType="end"/>
            </w:r>
          </w:hyperlink>
        </w:p>
        <w:p w14:paraId="37CE47AB" w14:textId="1F4C48B6" w:rsidR="00EF5B08" w:rsidRPr="003411F3" w:rsidRDefault="00EF5B08" w:rsidP="00EF5B08">
          <w:pPr>
            <w:tabs>
              <w:tab w:val="right" w:leader="dot" w:pos="9016"/>
            </w:tabs>
            <w:spacing w:after="100" w:line="360" w:lineRule="auto"/>
            <w:ind w:left="480" w:firstLine="720"/>
            <w:jc w:val="both"/>
            <w:rPr>
              <w:rFonts w:ascii="Arial" w:eastAsia="Times New Roman" w:hAnsi="Arial" w:cs="Arial"/>
              <w:noProof/>
              <w:kern w:val="2"/>
              <w:sz w:val="24"/>
              <w:szCs w:val="24"/>
              <w:lang w:eastAsia="en-GB"/>
              <w14:ligatures w14:val="standardContextual"/>
            </w:rPr>
          </w:pPr>
          <w:hyperlink r:id="rId20" w:anchor="_Toc212436379" w:history="1">
            <w:r w:rsidRPr="003411F3">
              <w:rPr>
                <w:rFonts w:ascii="Arial" w:eastAsia="Calibri" w:hAnsi="Arial" w:cs="Arial"/>
                <w:noProof/>
                <w:color w:val="0563C1"/>
                <w:kern w:val="2"/>
                <w:sz w:val="24"/>
                <w:szCs w:val="24"/>
                <w:u w:val="single"/>
                <w14:ligatures w14:val="standardContextual"/>
              </w:rPr>
              <w:t>1. Telemedicine and Patient Access</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_Toc212436379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9</w:t>
            </w:r>
            <w:r w:rsidRPr="003411F3">
              <w:rPr>
                <w:rFonts w:ascii="Arial" w:eastAsia="Calibri" w:hAnsi="Arial" w:cs="Arial"/>
                <w:noProof/>
                <w:webHidden/>
                <w:kern w:val="2"/>
                <w:sz w:val="24"/>
                <w:szCs w:val="24"/>
                <w:u w:val="single"/>
                <w14:ligatures w14:val="standardContextual"/>
              </w:rPr>
              <w:fldChar w:fldCharType="end"/>
            </w:r>
          </w:hyperlink>
        </w:p>
        <w:p w14:paraId="7FA033B9" w14:textId="0793E8E4" w:rsidR="00EF5B08" w:rsidRPr="003411F3" w:rsidRDefault="00EF5B08" w:rsidP="00EF5B08">
          <w:pPr>
            <w:tabs>
              <w:tab w:val="right" w:leader="dot" w:pos="9016"/>
            </w:tabs>
            <w:spacing w:after="100" w:line="360" w:lineRule="auto"/>
            <w:ind w:left="480" w:firstLine="720"/>
            <w:jc w:val="both"/>
            <w:rPr>
              <w:rFonts w:ascii="Arial" w:eastAsia="Times New Roman" w:hAnsi="Arial" w:cs="Arial"/>
              <w:noProof/>
              <w:kern w:val="2"/>
              <w:sz w:val="24"/>
              <w:szCs w:val="24"/>
              <w:lang w:eastAsia="en-GB"/>
              <w14:ligatures w14:val="standardContextual"/>
            </w:rPr>
          </w:pPr>
          <w:hyperlink r:id="rId21" w:anchor="_Toc212436380" w:history="1">
            <w:r w:rsidRPr="003411F3">
              <w:rPr>
                <w:rFonts w:ascii="Arial" w:eastAsia="Calibri" w:hAnsi="Arial" w:cs="Arial"/>
                <w:noProof/>
                <w:color w:val="0563C1"/>
                <w:kern w:val="2"/>
                <w:sz w:val="24"/>
                <w:szCs w:val="24"/>
                <w:u w:val="single"/>
                <w14:ligatures w14:val="standardContextual"/>
              </w:rPr>
              <w:t>2. Electronic Health Records and Integrated Care</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_Toc212436380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10</w:t>
            </w:r>
            <w:r w:rsidRPr="003411F3">
              <w:rPr>
                <w:rFonts w:ascii="Arial" w:eastAsia="Calibri" w:hAnsi="Arial" w:cs="Arial"/>
                <w:noProof/>
                <w:webHidden/>
                <w:kern w:val="2"/>
                <w:sz w:val="24"/>
                <w:szCs w:val="24"/>
                <w:u w:val="single"/>
                <w14:ligatures w14:val="standardContextual"/>
              </w:rPr>
              <w:fldChar w:fldCharType="end"/>
            </w:r>
          </w:hyperlink>
        </w:p>
        <w:p w14:paraId="3FED40C9" w14:textId="2B37AA22" w:rsidR="00EF5B08" w:rsidRPr="003411F3" w:rsidRDefault="00EF5B08" w:rsidP="00EF5B08">
          <w:pPr>
            <w:tabs>
              <w:tab w:val="right" w:leader="dot" w:pos="9016"/>
            </w:tabs>
            <w:spacing w:after="100" w:line="360" w:lineRule="auto"/>
            <w:ind w:left="480" w:firstLine="720"/>
            <w:jc w:val="both"/>
            <w:rPr>
              <w:rFonts w:ascii="Arial" w:eastAsia="Times New Roman" w:hAnsi="Arial" w:cs="Arial"/>
              <w:noProof/>
              <w:kern w:val="2"/>
              <w:sz w:val="24"/>
              <w:szCs w:val="24"/>
              <w:lang w:eastAsia="en-GB"/>
              <w14:ligatures w14:val="standardContextual"/>
            </w:rPr>
          </w:pPr>
          <w:hyperlink r:id="rId22" w:anchor="_Toc212436381" w:history="1">
            <w:r w:rsidRPr="003411F3">
              <w:rPr>
                <w:rFonts w:ascii="Arial" w:eastAsia="Calibri" w:hAnsi="Arial" w:cs="Arial"/>
                <w:noProof/>
                <w:color w:val="0563C1"/>
                <w:kern w:val="2"/>
                <w:sz w:val="24"/>
                <w:szCs w:val="24"/>
                <w:u w:val="single"/>
                <w14:ligatures w14:val="standardContextual"/>
              </w:rPr>
              <w:t>3. Mobile Health and Patient Self-Management</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_Toc212436381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10</w:t>
            </w:r>
            <w:r w:rsidRPr="003411F3">
              <w:rPr>
                <w:rFonts w:ascii="Arial" w:eastAsia="Calibri" w:hAnsi="Arial" w:cs="Arial"/>
                <w:noProof/>
                <w:webHidden/>
                <w:kern w:val="2"/>
                <w:sz w:val="24"/>
                <w:szCs w:val="24"/>
                <w:u w:val="single"/>
                <w14:ligatures w14:val="standardContextual"/>
              </w:rPr>
              <w:fldChar w:fldCharType="end"/>
            </w:r>
          </w:hyperlink>
        </w:p>
        <w:p w14:paraId="0BDB2D2C" w14:textId="75EFA229" w:rsidR="00EF5B08" w:rsidRPr="003411F3" w:rsidRDefault="00EF5B08" w:rsidP="00EF5B08">
          <w:pPr>
            <w:tabs>
              <w:tab w:val="right" w:leader="dot" w:pos="9016"/>
            </w:tabs>
            <w:spacing w:after="100" w:line="360" w:lineRule="auto"/>
            <w:ind w:left="480" w:firstLine="720"/>
            <w:jc w:val="both"/>
            <w:rPr>
              <w:rFonts w:ascii="Arial" w:eastAsia="Times New Roman" w:hAnsi="Arial" w:cs="Arial"/>
              <w:noProof/>
              <w:kern w:val="2"/>
              <w:sz w:val="24"/>
              <w:szCs w:val="24"/>
              <w:lang w:eastAsia="en-GB"/>
              <w14:ligatures w14:val="standardContextual"/>
            </w:rPr>
          </w:pPr>
          <w:hyperlink r:id="rId23" w:anchor="_Toc212436382" w:history="1">
            <w:r w:rsidRPr="003411F3">
              <w:rPr>
                <w:rFonts w:ascii="Arial" w:eastAsia="Calibri" w:hAnsi="Arial" w:cs="Arial"/>
                <w:noProof/>
                <w:color w:val="0563C1"/>
                <w:kern w:val="2"/>
                <w:sz w:val="24"/>
                <w:szCs w:val="24"/>
                <w:u w:val="single"/>
                <w14:ligatures w14:val="standardContextual"/>
              </w:rPr>
              <w:t>4. Artificial Intelligence and Diagnostic Efficiency</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_Toc212436382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10</w:t>
            </w:r>
            <w:r w:rsidRPr="003411F3">
              <w:rPr>
                <w:rFonts w:ascii="Arial" w:eastAsia="Calibri" w:hAnsi="Arial" w:cs="Arial"/>
                <w:noProof/>
                <w:webHidden/>
                <w:kern w:val="2"/>
                <w:sz w:val="24"/>
                <w:szCs w:val="24"/>
                <w:u w:val="single"/>
                <w14:ligatures w14:val="standardContextual"/>
              </w:rPr>
              <w:fldChar w:fldCharType="end"/>
            </w:r>
          </w:hyperlink>
        </w:p>
        <w:p w14:paraId="7260B5C4" w14:textId="2B45E831" w:rsidR="00EF5B08" w:rsidRPr="003411F3" w:rsidRDefault="00EF5B08" w:rsidP="00EF5B08">
          <w:pPr>
            <w:tabs>
              <w:tab w:val="right" w:leader="dot" w:pos="9016"/>
            </w:tabs>
            <w:spacing w:after="100" w:line="360" w:lineRule="auto"/>
            <w:ind w:left="480" w:firstLine="720"/>
            <w:jc w:val="both"/>
            <w:rPr>
              <w:rFonts w:ascii="Arial" w:eastAsia="Times New Roman" w:hAnsi="Arial" w:cs="Arial"/>
              <w:noProof/>
              <w:kern w:val="2"/>
              <w:sz w:val="24"/>
              <w:szCs w:val="24"/>
              <w:lang w:eastAsia="en-GB"/>
              <w14:ligatures w14:val="standardContextual"/>
            </w:rPr>
          </w:pPr>
          <w:hyperlink r:id="rId24" w:anchor="_Toc212436383" w:history="1">
            <w:r w:rsidRPr="003411F3">
              <w:rPr>
                <w:rFonts w:ascii="Arial" w:eastAsia="Calibri" w:hAnsi="Arial" w:cs="Arial"/>
                <w:noProof/>
                <w:color w:val="0563C1"/>
                <w:kern w:val="2"/>
                <w:sz w:val="24"/>
                <w:szCs w:val="24"/>
                <w:u w:val="single"/>
                <w14:ligatures w14:val="standardContextual"/>
              </w:rPr>
              <w:t>5. Patient Experience and System-Level Challenges</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_Toc212436383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10</w:t>
            </w:r>
            <w:r w:rsidRPr="003411F3">
              <w:rPr>
                <w:rFonts w:ascii="Arial" w:eastAsia="Calibri" w:hAnsi="Arial" w:cs="Arial"/>
                <w:noProof/>
                <w:webHidden/>
                <w:kern w:val="2"/>
                <w:sz w:val="24"/>
                <w:szCs w:val="24"/>
                <w:u w:val="single"/>
                <w14:ligatures w14:val="standardContextual"/>
              </w:rPr>
              <w:fldChar w:fldCharType="end"/>
            </w:r>
          </w:hyperlink>
        </w:p>
        <w:p w14:paraId="032A16AB" w14:textId="1C0F5B3B" w:rsidR="00EF5B08" w:rsidRPr="003411F3" w:rsidRDefault="00EF5B08" w:rsidP="00EF5B08">
          <w:pPr>
            <w:tabs>
              <w:tab w:val="right" w:leader="dot" w:pos="9016"/>
            </w:tabs>
            <w:spacing w:after="100" w:line="360" w:lineRule="auto"/>
            <w:ind w:firstLine="720"/>
            <w:jc w:val="both"/>
            <w:rPr>
              <w:rFonts w:ascii="Arial" w:eastAsia="Times New Roman" w:hAnsi="Arial" w:cs="Arial"/>
              <w:noProof/>
              <w:kern w:val="2"/>
              <w:sz w:val="24"/>
              <w:szCs w:val="24"/>
              <w:lang w:eastAsia="en-GB"/>
              <w14:ligatures w14:val="standardContextual"/>
            </w:rPr>
          </w:pPr>
          <w:hyperlink r:id="rId25" w:anchor="_Toc212436384" w:history="1">
            <w:r w:rsidRPr="003411F3">
              <w:rPr>
                <w:rFonts w:ascii="Arial" w:eastAsia="Calibri" w:hAnsi="Arial" w:cs="Arial"/>
                <w:noProof/>
                <w:color w:val="0563C1"/>
                <w:kern w:val="2"/>
                <w:sz w:val="24"/>
                <w:szCs w:val="24"/>
                <w:u w:val="single"/>
                <w14:ligatures w14:val="standardContextual"/>
              </w:rPr>
              <w:t>Discussion</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_Toc212436384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12</w:t>
            </w:r>
            <w:r w:rsidRPr="003411F3">
              <w:rPr>
                <w:rFonts w:ascii="Arial" w:eastAsia="Calibri" w:hAnsi="Arial" w:cs="Arial"/>
                <w:noProof/>
                <w:webHidden/>
                <w:kern w:val="2"/>
                <w:sz w:val="24"/>
                <w:szCs w:val="24"/>
                <w:u w:val="single"/>
                <w14:ligatures w14:val="standardContextual"/>
              </w:rPr>
              <w:fldChar w:fldCharType="end"/>
            </w:r>
          </w:hyperlink>
        </w:p>
        <w:p w14:paraId="00B45858" w14:textId="69ECD818"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26" w:anchor="_Toc212436385" w:history="1">
            <w:r w:rsidRPr="003411F3">
              <w:rPr>
                <w:rFonts w:ascii="Arial" w:eastAsia="Calibri" w:hAnsi="Arial" w:cs="Arial"/>
                <w:noProof/>
                <w:color w:val="0563C1"/>
                <w:kern w:val="2"/>
                <w:sz w:val="24"/>
                <w:szCs w:val="24"/>
                <w:u w:val="single"/>
                <w14:ligatures w14:val="standardContextual"/>
              </w:rPr>
              <w:t>Patient Engagement and Empowerment</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_Toc212436385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12</w:t>
            </w:r>
            <w:r w:rsidRPr="003411F3">
              <w:rPr>
                <w:rFonts w:ascii="Arial" w:eastAsia="Calibri" w:hAnsi="Arial" w:cs="Arial"/>
                <w:noProof/>
                <w:webHidden/>
                <w:kern w:val="2"/>
                <w:sz w:val="24"/>
                <w:szCs w:val="24"/>
                <w:u w:val="single"/>
                <w14:ligatures w14:val="standardContextual"/>
              </w:rPr>
              <w:fldChar w:fldCharType="end"/>
            </w:r>
          </w:hyperlink>
        </w:p>
        <w:p w14:paraId="21ADE09E" w14:textId="15715CB1"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27" w:anchor="_Toc212436386" w:history="1">
            <w:r w:rsidRPr="003411F3">
              <w:rPr>
                <w:rFonts w:ascii="Arial" w:eastAsia="Calibri" w:hAnsi="Arial" w:cs="Arial"/>
                <w:noProof/>
                <w:color w:val="0563C1"/>
                <w:kern w:val="2"/>
                <w:sz w:val="24"/>
                <w:szCs w:val="24"/>
                <w:u w:val="single"/>
                <w14:ligatures w14:val="standardContextual"/>
              </w:rPr>
              <w:t>Efficiency and Coordination of Care</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_Toc212436386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13</w:t>
            </w:r>
            <w:r w:rsidRPr="003411F3">
              <w:rPr>
                <w:rFonts w:ascii="Arial" w:eastAsia="Calibri" w:hAnsi="Arial" w:cs="Arial"/>
                <w:noProof/>
                <w:webHidden/>
                <w:kern w:val="2"/>
                <w:sz w:val="24"/>
                <w:szCs w:val="24"/>
                <w:u w:val="single"/>
                <w14:ligatures w14:val="standardContextual"/>
              </w:rPr>
              <w:fldChar w:fldCharType="end"/>
            </w:r>
          </w:hyperlink>
        </w:p>
        <w:p w14:paraId="268EE429" w14:textId="7A038477"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28" w:anchor="_Toc212436387" w:history="1">
            <w:r w:rsidRPr="003411F3">
              <w:rPr>
                <w:rFonts w:ascii="Arial" w:eastAsia="Calibri" w:hAnsi="Arial" w:cs="Arial"/>
                <w:noProof/>
                <w:color w:val="0563C1"/>
                <w:kern w:val="2"/>
                <w:sz w:val="24"/>
                <w:szCs w:val="24"/>
                <w:u w:val="single"/>
                <w14:ligatures w14:val="standardContextual"/>
              </w:rPr>
              <w:t>Staff Adoption and Professional Adaptation</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_Toc212436387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13</w:t>
            </w:r>
            <w:r w:rsidRPr="003411F3">
              <w:rPr>
                <w:rFonts w:ascii="Arial" w:eastAsia="Calibri" w:hAnsi="Arial" w:cs="Arial"/>
                <w:noProof/>
                <w:webHidden/>
                <w:kern w:val="2"/>
                <w:sz w:val="24"/>
                <w:szCs w:val="24"/>
                <w:u w:val="single"/>
                <w14:ligatures w14:val="standardContextual"/>
              </w:rPr>
              <w:fldChar w:fldCharType="end"/>
            </w:r>
          </w:hyperlink>
        </w:p>
        <w:p w14:paraId="52D3CCA0" w14:textId="68736C86"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29" w:anchor="_Toc212436388" w:history="1">
            <w:r w:rsidRPr="003411F3">
              <w:rPr>
                <w:rFonts w:ascii="Arial" w:eastAsia="Calibri" w:hAnsi="Arial" w:cs="Arial"/>
                <w:noProof/>
                <w:color w:val="0563C1"/>
                <w:kern w:val="2"/>
                <w:sz w:val="24"/>
                <w:szCs w:val="24"/>
                <w:u w:val="single"/>
                <w14:ligatures w14:val="standardContextual"/>
              </w:rPr>
              <w:t>Data Security, Privacy, and Trust</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_Toc212436388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13</w:t>
            </w:r>
            <w:r w:rsidRPr="003411F3">
              <w:rPr>
                <w:rFonts w:ascii="Arial" w:eastAsia="Calibri" w:hAnsi="Arial" w:cs="Arial"/>
                <w:noProof/>
                <w:webHidden/>
                <w:kern w:val="2"/>
                <w:sz w:val="24"/>
                <w:szCs w:val="24"/>
                <w:u w:val="single"/>
                <w14:ligatures w14:val="standardContextual"/>
              </w:rPr>
              <w:fldChar w:fldCharType="end"/>
            </w:r>
          </w:hyperlink>
        </w:p>
        <w:p w14:paraId="225E0283" w14:textId="27FD7406"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30" w:anchor="_Toc212436389" w:history="1">
            <w:r w:rsidRPr="003411F3">
              <w:rPr>
                <w:rFonts w:ascii="Arial" w:eastAsia="Calibri" w:hAnsi="Arial" w:cs="Arial"/>
                <w:noProof/>
                <w:color w:val="0563C1"/>
                <w:kern w:val="2"/>
                <w:sz w:val="24"/>
                <w:szCs w:val="24"/>
                <w:u w:val="single"/>
                <w14:ligatures w14:val="standardContextual"/>
              </w:rPr>
              <w:t>Patient Satisfaction and Experience</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_Toc212436389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14</w:t>
            </w:r>
            <w:r w:rsidRPr="003411F3">
              <w:rPr>
                <w:rFonts w:ascii="Arial" w:eastAsia="Calibri" w:hAnsi="Arial" w:cs="Arial"/>
                <w:noProof/>
                <w:webHidden/>
                <w:kern w:val="2"/>
                <w:sz w:val="24"/>
                <w:szCs w:val="24"/>
                <w:u w:val="single"/>
                <w14:ligatures w14:val="standardContextual"/>
              </w:rPr>
              <w:fldChar w:fldCharType="end"/>
            </w:r>
          </w:hyperlink>
        </w:p>
        <w:p w14:paraId="0B93186F" w14:textId="06A9CE1A" w:rsidR="00EF5B08" w:rsidRPr="003411F3" w:rsidRDefault="00EF5B08" w:rsidP="00EF5B08">
          <w:pPr>
            <w:tabs>
              <w:tab w:val="right" w:leader="dot" w:pos="9016"/>
            </w:tabs>
            <w:spacing w:after="100" w:line="360" w:lineRule="auto"/>
            <w:ind w:left="240" w:firstLine="720"/>
            <w:jc w:val="both"/>
            <w:rPr>
              <w:rFonts w:ascii="Arial" w:eastAsia="Times New Roman" w:hAnsi="Arial" w:cs="Arial"/>
              <w:noProof/>
              <w:kern w:val="2"/>
              <w:sz w:val="24"/>
              <w:szCs w:val="24"/>
              <w:lang w:eastAsia="en-GB"/>
              <w14:ligatures w14:val="standardContextual"/>
            </w:rPr>
          </w:pPr>
          <w:hyperlink r:id="rId31" w:anchor="_Toc212436390" w:history="1">
            <w:r w:rsidRPr="003411F3">
              <w:rPr>
                <w:rFonts w:ascii="Arial" w:eastAsia="Calibri" w:hAnsi="Arial" w:cs="Arial"/>
                <w:noProof/>
                <w:color w:val="0563C1"/>
                <w:kern w:val="2"/>
                <w:sz w:val="24"/>
                <w:szCs w:val="24"/>
                <w:u w:val="single"/>
                <w14:ligatures w14:val="standardContextual"/>
              </w:rPr>
              <w:t>Contradictions, Limitations, and Implications</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_Toc212436390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14</w:t>
            </w:r>
            <w:r w:rsidRPr="003411F3">
              <w:rPr>
                <w:rFonts w:ascii="Arial" w:eastAsia="Calibri" w:hAnsi="Arial" w:cs="Arial"/>
                <w:noProof/>
                <w:webHidden/>
                <w:kern w:val="2"/>
                <w:sz w:val="24"/>
                <w:szCs w:val="24"/>
                <w:u w:val="single"/>
                <w14:ligatures w14:val="standardContextual"/>
              </w:rPr>
              <w:fldChar w:fldCharType="end"/>
            </w:r>
          </w:hyperlink>
        </w:p>
        <w:p w14:paraId="251D20AF" w14:textId="2F923808" w:rsidR="00EF5B08" w:rsidRPr="003411F3" w:rsidRDefault="00EF5B08" w:rsidP="00EF5B08">
          <w:pPr>
            <w:tabs>
              <w:tab w:val="right" w:leader="dot" w:pos="9016"/>
            </w:tabs>
            <w:spacing w:after="100" w:line="360" w:lineRule="auto"/>
            <w:ind w:firstLine="720"/>
            <w:jc w:val="both"/>
            <w:rPr>
              <w:rFonts w:ascii="Arial" w:eastAsia="Times New Roman" w:hAnsi="Arial" w:cs="Arial"/>
              <w:noProof/>
              <w:kern w:val="2"/>
              <w:sz w:val="24"/>
              <w:szCs w:val="24"/>
              <w:lang w:eastAsia="en-GB"/>
              <w14:ligatures w14:val="standardContextual"/>
            </w:rPr>
          </w:pPr>
          <w:hyperlink r:id="rId32" w:anchor="_Toc212436391" w:history="1">
            <w:r w:rsidRPr="003411F3">
              <w:rPr>
                <w:rFonts w:ascii="Arial" w:eastAsia="Calibri" w:hAnsi="Arial" w:cs="Arial"/>
                <w:noProof/>
                <w:color w:val="0563C1"/>
                <w:kern w:val="2"/>
                <w:sz w:val="24"/>
                <w:szCs w:val="24"/>
                <w:u w:val="single"/>
                <w14:ligatures w14:val="standardContextual"/>
              </w:rPr>
              <w:t>Conclusion and Recommendations</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_Toc212436391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14</w:t>
            </w:r>
            <w:r w:rsidRPr="003411F3">
              <w:rPr>
                <w:rFonts w:ascii="Arial" w:eastAsia="Calibri" w:hAnsi="Arial" w:cs="Arial"/>
                <w:noProof/>
                <w:webHidden/>
                <w:kern w:val="2"/>
                <w:sz w:val="24"/>
                <w:szCs w:val="24"/>
                <w:u w:val="single"/>
                <w14:ligatures w14:val="standardContextual"/>
              </w:rPr>
              <w:fldChar w:fldCharType="end"/>
            </w:r>
          </w:hyperlink>
        </w:p>
        <w:p w14:paraId="697BA28D" w14:textId="1712A904" w:rsidR="00EF5B08" w:rsidRPr="003411F3" w:rsidRDefault="00EF5B08" w:rsidP="00EF5B08">
          <w:pPr>
            <w:tabs>
              <w:tab w:val="right" w:leader="dot" w:pos="9016"/>
            </w:tabs>
            <w:spacing w:after="100" w:line="360" w:lineRule="auto"/>
            <w:ind w:firstLine="720"/>
            <w:jc w:val="both"/>
            <w:rPr>
              <w:rFonts w:ascii="Arial" w:eastAsia="Times New Roman" w:hAnsi="Arial" w:cs="Arial"/>
              <w:noProof/>
              <w:kern w:val="2"/>
              <w:sz w:val="24"/>
              <w:szCs w:val="24"/>
              <w:lang w:eastAsia="en-GB"/>
              <w14:ligatures w14:val="standardContextual"/>
            </w:rPr>
          </w:pPr>
          <w:hyperlink r:id="rId33" w:anchor="_Toc212436392" w:history="1">
            <w:r w:rsidRPr="003411F3">
              <w:rPr>
                <w:rFonts w:ascii="Arial" w:eastAsia="Calibri" w:hAnsi="Arial" w:cs="Arial"/>
                <w:noProof/>
                <w:color w:val="0563C1"/>
                <w:kern w:val="2"/>
                <w:sz w:val="24"/>
                <w:szCs w:val="24"/>
                <w:u w:val="single"/>
                <w14:ligatures w14:val="standardContextual"/>
              </w:rPr>
              <w:t>References</w:t>
            </w:r>
            <w:r w:rsidRPr="003411F3">
              <w:rPr>
                <w:rFonts w:ascii="Arial" w:eastAsia="Calibri" w:hAnsi="Arial" w:cs="Arial"/>
                <w:noProof/>
                <w:webHidden/>
                <w:kern w:val="2"/>
                <w:sz w:val="24"/>
                <w:szCs w:val="24"/>
                <w:u w:val="single"/>
                <w14:ligatures w14:val="standardContextual"/>
              </w:rPr>
              <w:tab/>
            </w:r>
            <w:r w:rsidRPr="003411F3">
              <w:rPr>
                <w:rFonts w:ascii="Arial" w:eastAsia="Calibri" w:hAnsi="Arial" w:cs="Arial"/>
                <w:noProof/>
                <w:webHidden/>
                <w:kern w:val="2"/>
                <w:sz w:val="24"/>
                <w:szCs w:val="24"/>
                <w:u w:val="single"/>
                <w14:ligatures w14:val="standardContextual"/>
              </w:rPr>
              <w:fldChar w:fldCharType="begin"/>
            </w:r>
            <w:r w:rsidRPr="003411F3">
              <w:rPr>
                <w:rFonts w:ascii="Arial" w:eastAsia="Calibri" w:hAnsi="Arial" w:cs="Arial"/>
                <w:noProof/>
                <w:webHidden/>
                <w:kern w:val="2"/>
                <w:sz w:val="24"/>
                <w:szCs w:val="24"/>
                <w:u w:val="single"/>
                <w14:ligatures w14:val="standardContextual"/>
              </w:rPr>
              <w:instrText xml:space="preserve"> PAGEREF _Toc212436392 \h </w:instrText>
            </w:r>
            <w:r w:rsidRPr="003411F3">
              <w:rPr>
                <w:rFonts w:ascii="Arial" w:eastAsia="Calibri" w:hAnsi="Arial" w:cs="Arial"/>
                <w:noProof/>
                <w:webHidden/>
                <w:kern w:val="2"/>
                <w:sz w:val="24"/>
                <w:szCs w:val="24"/>
                <w:u w:val="single"/>
                <w14:ligatures w14:val="standardContextual"/>
              </w:rPr>
            </w:r>
            <w:r w:rsidRPr="003411F3">
              <w:rPr>
                <w:rFonts w:ascii="Arial" w:eastAsia="Calibri" w:hAnsi="Arial" w:cs="Arial"/>
                <w:noProof/>
                <w:webHidden/>
                <w:kern w:val="2"/>
                <w:sz w:val="24"/>
                <w:szCs w:val="24"/>
                <w:u w:val="single"/>
                <w14:ligatures w14:val="standardContextual"/>
              </w:rPr>
              <w:fldChar w:fldCharType="separate"/>
            </w:r>
            <w:r w:rsidR="003D0109">
              <w:rPr>
                <w:rFonts w:ascii="Arial" w:eastAsia="Calibri" w:hAnsi="Arial" w:cs="Arial"/>
                <w:noProof/>
                <w:webHidden/>
                <w:kern w:val="2"/>
                <w:sz w:val="24"/>
                <w:szCs w:val="24"/>
                <w:u w:val="single"/>
                <w14:ligatures w14:val="standardContextual"/>
              </w:rPr>
              <w:t>16</w:t>
            </w:r>
            <w:r w:rsidRPr="003411F3">
              <w:rPr>
                <w:rFonts w:ascii="Arial" w:eastAsia="Calibri" w:hAnsi="Arial" w:cs="Arial"/>
                <w:noProof/>
                <w:webHidden/>
                <w:kern w:val="2"/>
                <w:sz w:val="24"/>
                <w:szCs w:val="24"/>
                <w:u w:val="single"/>
                <w14:ligatures w14:val="standardContextual"/>
              </w:rPr>
              <w:fldChar w:fldCharType="end"/>
            </w:r>
          </w:hyperlink>
        </w:p>
        <w:p w14:paraId="4717F847" w14:textId="77777777" w:rsidR="00EF5B08" w:rsidRPr="00EF5B08" w:rsidRDefault="00EF5B08" w:rsidP="00EF5B08">
          <w:pPr>
            <w:spacing w:after="160" w:line="360" w:lineRule="auto"/>
            <w:ind w:firstLine="720"/>
            <w:jc w:val="both"/>
            <w:rPr>
              <w:rFonts w:ascii="Times New Roman" w:eastAsia="Calibri" w:hAnsi="Times New Roman" w:cs="Times New Roman"/>
              <w:kern w:val="2"/>
              <w:sz w:val="24"/>
              <w14:ligatures w14:val="standardContextual"/>
            </w:rPr>
          </w:pPr>
          <w:r w:rsidRPr="003411F3">
            <w:rPr>
              <w:rFonts w:ascii="Arial" w:eastAsia="Calibri" w:hAnsi="Arial" w:cs="Arial"/>
              <w:b/>
              <w:bCs/>
              <w:noProof/>
              <w:kern w:val="2"/>
              <w:sz w:val="24"/>
              <w:szCs w:val="24"/>
              <w14:ligatures w14:val="standardContextual"/>
            </w:rPr>
            <w:lastRenderedPageBreak/>
            <w:fldChar w:fldCharType="end"/>
          </w:r>
        </w:p>
      </w:sdtContent>
    </w:sdt>
    <w:p w14:paraId="7D9C9BB3" w14:textId="77777777" w:rsidR="00EF5B08" w:rsidRPr="00F05A93" w:rsidRDefault="00EF5B08" w:rsidP="00F05A93">
      <w:pPr>
        <w:keepNext/>
        <w:keepLines/>
        <w:spacing w:before="240" w:after="0" w:line="360" w:lineRule="auto"/>
        <w:jc w:val="both"/>
        <w:outlineLvl w:val="0"/>
        <w:rPr>
          <w:rFonts w:ascii="Arial" w:eastAsia="Times New Roman" w:hAnsi="Arial" w:cs="Arial"/>
          <w:b/>
          <w:iCs/>
          <w:color w:val="000000"/>
          <w:kern w:val="2"/>
          <w14:ligatures w14:val="standardContextual"/>
        </w:rPr>
      </w:pPr>
      <w:bookmarkStart w:id="0" w:name="_Toc212436366"/>
      <w:r w:rsidRPr="00F05A93">
        <w:rPr>
          <w:rFonts w:ascii="Arial" w:eastAsia="Times New Roman" w:hAnsi="Arial" w:cs="Arial"/>
          <w:b/>
          <w:iCs/>
          <w:color w:val="000000"/>
          <w:kern w:val="2"/>
          <w14:ligatures w14:val="standardContextual"/>
        </w:rPr>
        <w:t>Introduction</w:t>
      </w:r>
      <w:bookmarkEnd w:id="0"/>
      <w:r w:rsidRPr="00F05A93">
        <w:rPr>
          <w:rFonts w:ascii="Arial" w:eastAsia="Times New Roman" w:hAnsi="Arial" w:cs="Arial"/>
          <w:b/>
          <w:iCs/>
          <w:color w:val="000000"/>
          <w:kern w:val="2"/>
          <w14:ligatures w14:val="standardContextual"/>
        </w:rPr>
        <w:t xml:space="preserve"> </w:t>
      </w:r>
    </w:p>
    <w:p w14:paraId="7C0E0F0B" w14:textId="6F3516FA" w:rsidR="00EF5B08" w:rsidRDefault="00EF5B08" w:rsidP="00F05A93">
      <w:pPr>
        <w:spacing w:after="16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 Healthcare is made accessible, efficient, and quality by digital technologies, platforms, and data. According to the WHO (2023), digital health is telemedicine, EHRs, AI, mobile health applications and wearables. It assists in illness prevention, diagnosis, treatment and management. The NHS is in the vanguard of digital transformation of healthcare. New technology enhances patient performance, productivity and development. Online health technologies offer data exchange, online consultations and self-management by the patient (Sheikh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Digital healthcare is revolutionised with telemedicine. It offers online, smartphone, and video conferencing healthcare consultation. The NHS quickly increased telemedicine usage during the COVID-19 pandemic to sustain patient care and limit infection risk (</w:t>
      </w:r>
      <w:proofErr w:type="spellStart"/>
      <w:r w:rsidRPr="00F05A93">
        <w:rPr>
          <w:rFonts w:ascii="Arial" w:eastAsia="Calibri" w:hAnsi="Arial" w:cs="Arial"/>
          <w:kern w:val="2"/>
          <w14:ligatures w14:val="standardContextual"/>
        </w:rPr>
        <w:t>Kukoryte</w:t>
      </w:r>
      <w:proofErr w:type="spellEnd"/>
      <w:r w:rsidRPr="00F05A93">
        <w:rPr>
          <w:rFonts w:ascii="Arial" w:eastAsia="Calibri" w:hAnsi="Arial" w:cs="Arial"/>
          <w:kern w:val="2"/>
          <w14:ligatures w14:val="standardContextual"/>
        </w:rPr>
        <w:t xml:space="preserve">, 2022). Telemedicine has saved rural and poor patients' lives by healing chronic diseases, reducing hospital visits, and improving access. EHRs have altered how healthcare providers store, disseminate, and access patient data. EHRs improve communication, reduce medical errors, and enable evidence-based decision-making (Unsworth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Mobile health applications (mHealth) are growing in relevance. Tablet and smartphone users may monitor their health, record symptoms, and obtain medical advice with these applications. These apps are becoming increasingly popular for controlling long-term health issues including diabetes and high blood pressure since they help with ongoing medication and patient engagement (</w:t>
      </w:r>
      <w:proofErr w:type="spellStart"/>
      <w:r w:rsidRPr="00F05A93">
        <w:rPr>
          <w:rFonts w:ascii="Arial" w:eastAsia="Calibri" w:hAnsi="Arial" w:cs="Arial"/>
          <w:kern w:val="2"/>
          <w14:ligatures w14:val="standardContextual"/>
        </w:rPr>
        <w:t>Ziebland</w:t>
      </w:r>
      <w:proofErr w:type="spellEnd"/>
      <w:r w:rsidRPr="00F05A93">
        <w:rPr>
          <w:rFonts w:ascii="Arial" w:eastAsia="Calibri" w:hAnsi="Arial" w:cs="Arial"/>
          <w:kern w:val="2"/>
          <w14:ligatures w14:val="standardContextual"/>
        </w:rPr>
        <w:t>, Hyde, and Powell, 2021).</w:t>
      </w:r>
    </w:p>
    <w:p w14:paraId="62DE52F6" w14:textId="33998791" w:rsidR="003D0109" w:rsidRPr="003D0109" w:rsidRDefault="003D0109" w:rsidP="00F05A93">
      <w:pPr>
        <w:spacing w:after="160" w:line="360" w:lineRule="auto"/>
        <w:jc w:val="both"/>
        <w:rPr>
          <w:rFonts w:ascii="Arial" w:eastAsia="Calibri" w:hAnsi="Arial" w:cs="Arial"/>
          <w:b/>
          <w:bCs/>
          <w:kern w:val="2"/>
          <w14:ligatures w14:val="standardContextual"/>
        </w:rPr>
      </w:pPr>
      <w:r w:rsidRPr="003D0109">
        <w:rPr>
          <w:rFonts w:ascii="Arial" w:eastAsia="Calibri" w:hAnsi="Arial" w:cs="Arial"/>
          <w:b/>
          <w:bCs/>
          <w:kern w:val="2"/>
          <w14:ligatures w14:val="standardContextual"/>
        </w:rPr>
        <w:t>Rationale</w:t>
      </w:r>
    </w:p>
    <w:p w14:paraId="4264244A" w14:textId="0F55FC77" w:rsidR="00EF5B08"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The NHS is struggling due to an ageing population, more chronic diseases, and a shortage of healthcare workers. Digital technology is essential for improving operations, helping physicians decide, and managing patients' health. Digital health technology offers many advantages, but it also has drawbacks such privacy problems, digital literacy issues, system interoperability issues, and healthcare personnel' reluctance to utilise it (Sheikh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The evaluation of the impact of new technology on patient care is crucial so that the digital transformation can be adjusted to meet the needs of patients, ethics, and organisational objectives. The study has significance as digital health is a UK priority. This is the NHS Digital Transformation </w:t>
      </w:r>
      <w:r w:rsidR="00494C36" w:rsidRPr="00F05A93">
        <w:rPr>
          <w:rFonts w:ascii="Arial" w:eastAsia="Calibri" w:hAnsi="Arial" w:cs="Arial"/>
          <w:kern w:val="2"/>
          <w14:ligatures w14:val="standardContextual"/>
        </w:rPr>
        <w:t>Strategy,</w:t>
      </w:r>
      <w:r w:rsidRPr="00F05A93">
        <w:rPr>
          <w:rFonts w:ascii="Arial" w:eastAsia="Calibri" w:hAnsi="Arial" w:cs="Arial"/>
          <w:kern w:val="2"/>
          <w14:ligatures w14:val="standardContextual"/>
        </w:rPr>
        <w:t xml:space="preserve"> and "Digital First Primary Care" apply technology to enhance the safety, efficiency, and patient-centeredness (NHS Digital, 2023). Sustainable healthcare cannot be achieved without digital solutions, which the COVID-19 pandemic demonstrated. NHS ought to examine the impact of such changes that were experienced on the health, satisfaction, and experience of patients to enhance policies and procedures.</w:t>
      </w:r>
    </w:p>
    <w:p w14:paraId="2C96AB5F" w14:textId="77777777" w:rsidR="003D0109" w:rsidRDefault="003D0109" w:rsidP="00F05A93">
      <w:pPr>
        <w:spacing w:after="160" w:line="360" w:lineRule="auto"/>
        <w:ind w:firstLine="720"/>
        <w:jc w:val="both"/>
        <w:rPr>
          <w:rFonts w:ascii="Arial" w:eastAsia="Calibri" w:hAnsi="Arial" w:cs="Arial"/>
          <w:kern w:val="2"/>
          <w14:ligatures w14:val="standardContextual"/>
        </w:rPr>
      </w:pPr>
    </w:p>
    <w:p w14:paraId="4859C210" w14:textId="65F86EF4" w:rsidR="003D0109" w:rsidRPr="003D0109" w:rsidRDefault="003D0109" w:rsidP="00F05A93">
      <w:pPr>
        <w:spacing w:after="160" w:line="360" w:lineRule="auto"/>
        <w:ind w:firstLine="720"/>
        <w:jc w:val="both"/>
        <w:rPr>
          <w:rFonts w:ascii="Arial" w:eastAsia="Calibri" w:hAnsi="Arial" w:cs="Arial"/>
          <w:b/>
          <w:bCs/>
          <w:kern w:val="2"/>
          <w14:ligatures w14:val="standardContextual"/>
        </w:rPr>
      </w:pPr>
      <w:r w:rsidRPr="003D0109">
        <w:rPr>
          <w:rFonts w:ascii="Arial" w:eastAsia="Calibri" w:hAnsi="Arial" w:cs="Arial"/>
          <w:b/>
          <w:bCs/>
          <w:kern w:val="2"/>
          <w14:ligatures w14:val="standardContextual"/>
        </w:rPr>
        <w:lastRenderedPageBreak/>
        <w:t>Review questions objectives</w:t>
      </w:r>
    </w:p>
    <w:p w14:paraId="16D0F823"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The purpose of the study is to establish the effect of digital health technologies in enhancing efficiency, effectiveness and satisfaction of the patients in the NHS care delivery. To respond to this purpose, the study is going to seek three key objectives:</w:t>
      </w:r>
    </w:p>
    <w:p w14:paraId="69CC149A" w14:textId="77777777" w:rsidR="00EF5B08" w:rsidRPr="00F05A93" w:rsidRDefault="00EF5B08" w:rsidP="00F05A93">
      <w:pPr>
        <w:numPr>
          <w:ilvl w:val="0"/>
          <w:numId w:val="1"/>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To evaluate how telemedicine and electronic health records affect NHS patient care.</w:t>
      </w:r>
    </w:p>
    <w:p w14:paraId="553F597F" w14:textId="77777777" w:rsidR="00EF5B08" w:rsidRPr="00F05A93" w:rsidRDefault="00EF5B08" w:rsidP="00F05A93">
      <w:pPr>
        <w:numPr>
          <w:ilvl w:val="0"/>
          <w:numId w:val="1"/>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To determine the impact of these technologies on patient engagement, self-management, and health outcomes.</w:t>
      </w:r>
    </w:p>
    <w:p w14:paraId="7A593925" w14:textId="77777777" w:rsidR="00EF5B08" w:rsidRPr="00F05A93" w:rsidRDefault="00EF5B08" w:rsidP="00F05A93">
      <w:pPr>
        <w:numPr>
          <w:ilvl w:val="0"/>
          <w:numId w:val="1"/>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To analyse and identify barriers faced by NHS staff and patients in the deployment and use of digital health technology.</w:t>
      </w:r>
    </w:p>
    <w:p w14:paraId="4BF242BE" w14:textId="487A236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This scoping study asks: How might digital health technologies enhance NHS treatment accessibility, efficiency, and quality? Goals help me answer this. How do these technologies affect patient engagement and mood? What digital health technology issues do patients and physicians face? This research will analyse peer-reviewed studies to determine the pros, cons, and genuine effects of digital health integration in NHS patient care. The findings may help UK healthcare managers, legislators, and professionals use digital technology's benefits to improve access, sustainability, and quality.</w:t>
      </w:r>
    </w:p>
    <w:p w14:paraId="27F74812" w14:textId="77777777" w:rsidR="00EF5B08" w:rsidRPr="00F05A93" w:rsidRDefault="00EF5B08" w:rsidP="00F05A93">
      <w:pPr>
        <w:keepNext/>
        <w:keepLines/>
        <w:spacing w:before="240" w:after="0" w:line="360" w:lineRule="auto"/>
        <w:jc w:val="both"/>
        <w:outlineLvl w:val="0"/>
        <w:rPr>
          <w:rFonts w:ascii="Arial" w:eastAsia="Times New Roman" w:hAnsi="Arial" w:cs="Arial"/>
          <w:b/>
          <w:iCs/>
          <w:color w:val="000000"/>
          <w:kern w:val="2"/>
          <w14:ligatures w14:val="standardContextual"/>
        </w:rPr>
      </w:pPr>
      <w:bookmarkStart w:id="1" w:name="_Toc212436367"/>
      <w:r w:rsidRPr="00F05A93">
        <w:rPr>
          <w:rFonts w:ascii="Arial" w:eastAsia="Times New Roman" w:hAnsi="Arial" w:cs="Arial"/>
          <w:b/>
          <w:iCs/>
          <w:color w:val="000000"/>
          <w:kern w:val="2"/>
          <w14:ligatures w14:val="standardContextual"/>
        </w:rPr>
        <w:t>Background</w:t>
      </w:r>
      <w:bookmarkEnd w:id="1"/>
    </w:p>
    <w:p w14:paraId="5494943C"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The National Health Service (NHS) uses digital health technology to update and meet the changing demands of a healthcare system. Over the last decade, the NHS has gone digital to enhance patient outcomes, accessibility, and efficiency. The NHS Long Term Plan (2019) outlines how digital technology will fulfil expanding service requirements, improve care coordination, and empower people to manage their health. Technology can personalise, prevent, and integrate healthcare, according to the approach. To ease the shift from reactive to proactive therapy. NHS England (2019) desires a "paperless NHS" due to digitalisation. This would streamline department and regional healthcare communication, enhancing decision and treatment flow. The Long-Term Plan is based on NHS Digital Transformation Strategy. It repeats the digitalisation mission of healthcare by the government. The plan promotes telemedicine, EHRs and remote monitoring of patients to digitalise healthcare (NHS England, 2022). This program makes access to digital health records easy to both clinicians and the patients. According to Agarwal (2021), there is a necessity of accessible, secure, and data-driven UK public services, especially healthcare.</w:t>
      </w:r>
    </w:p>
    <w:p w14:paraId="63079664" w14:textId="76BCB144"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The legal and regulatory framework for safe, private, and compliant digital health is also crucial to strategic planning. The Health and Social Care Act (2012) outlined how to integrate digital technologies to make health and social care more transparent, efficient, and responsible. The 2018 Data Protection Act and UK General Data Protection Regulation </w:t>
      </w:r>
      <w:r w:rsidRPr="00F05A93">
        <w:rPr>
          <w:rFonts w:ascii="Arial" w:eastAsia="Calibri" w:hAnsi="Arial" w:cs="Arial"/>
          <w:kern w:val="2"/>
          <w14:ligatures w14:val="standardContextual"/>
        </w:rPr>
        <w:lastRenderedPageBreak/>
        <w:t xml:space="preserve">(GDPR) emphasise data privacy and security to protect patients' personal and medical data. Budd, (2023), may assist healthcare companies satisfy these regulations. This will let them preserve and share patient data between care environments. The National Data Guardian (NDG) for Health and Social Care recommends ethical approaches to protect and use patient data. Openness, honesty, and responsibility are examples (NDG, 2022). </w:t>
      </w:r>
      <w:proofErr w:type="gramStart"/>
      <w:r w:rsidR="00494C36" w:rsidRPr="00F05A93">
        <w:rPr>
          <w:rFonts w:ascii="Arial" w:eastAsia="Calibri" w:hAnsi="Arial" w:cs="Arial"/>
          <w:kern w:val="2"/>
          <w14:ligatures w14:val="standardContextual"/>
        </w:rPr>
        <w:t>All</w:t>
      </w:r>
      <w:r w:rsidRPr="00F05A93">
        <w:rPr>
          <w:rFonts w:ascii="Arial" w:eastAsia="Calibri" w:hAnsi="Arial" w:cs="Arial"/>
          <w:kern w:val="2"/>
          <w14:ligatures w14:val="standardContextual"/>
        </w:rPr>
        <w:t xml:space="preserve"> </w:t>
      </w:r>
      <w:r w:rsidR="00494C36">
        <w:rPr>
          <w:rFonts w:ascii="Arial" w:eastAsia="Calibri" w:hAnsi="Arial" w:cs="Arial"/>
          <w:kern w:val="2"/>
          <w14:ligatures w14:val="standardContextual"/>
        </w:rPr>
        <w:t xml:space="preserve"> </w:t>
      </w:r>
      <w:r w:rsidRPr="00F05A93">
        <w:rPr>
          <w:rFonts w:ascii="Arial" w:eastAsia="Calibri" w:hAnsi="Arial" w:cs="Arial"/>
          <w:kern w:val="2"/>
          <w14:ligatures w14:val="standardContextual"/>
        </w:rPr>
        <w:t>these</w:t>
      </w:r>
      <w:proofErr w:type="gramEnd"/>
      <w:r w:rsidRPr="00F05A93">
        <w:rPr>
          <w:rFonts w:ascii="Arial" w:eastAsia="Calibri" w:hAnsi="Arial" w:cs="Arial"/>
          <w:kern w:val="2"/>
          <w14:ligatures w14:val="standardContextual"/>
        </w:rPr>
        <w:t xml:space="preserve"> frameworks allow safe, ethical, and supervised development of new healthcare technologies. Many national projects aim to increase NHS digital health technology utilisation. This illustrates my point well. In 2016, the Global Digital Exemplar (GDE) Programme began. It honours and funds NHS digital innovators (NHS England, 2021). Additional programs like the Digital Aspirant Programme assist other NHS trusts improve their technological skills. The Digital First Primary Care Strategy recommends electronic prescriptions, digital appointment systems, and online consultations in primary care to simplify treatment and reduce general practitioner workload (Greenhalgh et al., 2022). By simplifying health information, appointment scheduling, and guidance, the NHS App and associated patient portals increase patient engagement and autonomy (</w:t>
      </w:r>
      <w:proofErr w:type="spellStart"/>
      <w:r w:rsidRPr="00F05A93">
        <w:rPr>
          <w:rFonts w:ascii="Arial" w:eastAsia="Calibri" w:hAnsi="Arial" w:cs="Arial"/>
          <w:kern w:val="2"/>
          <w14:ligatures w14:val="standardContextual"/>
        </w:rPr>
        <w:t>Bakhai</w:t>
      </w:r>
      <w:proofErr w:type="spellEnd"/>
      <w:r w:rsidRPr="00F05A93">
        <w:rPr>
          <w:rFonts w:ascii="Arial" w:eastAsia="Calibri" w:hAnsi="Arial" w:cs="Arial"/>
          <w:kern w:val="2"/>
          <w14:ligatures w14:val="standardContextual"/>
        </w:rPr>
        <w:t xml:space="preserve">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w:t>
      </w:r>
    </w:p>
    <w:p w14:paraId="352156F1"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Despite the advantages, the NHS is challenging to persuade to adopt digital transformation fairly and comprehensively. Since not everyone has internet, digital expertise, and technology access, digital inequality threatens health inequalities (Greenhalgh et al., 2022). Digital health innovations are underutilised by rural, low-income, and internet-less people. Healthcare workers' unwillingness to adapt may also hinder acceptance. Some workers worry that digital platforms may make their tasks tougher, data more accurate, and systems less safe (</w:t>
      </w:r>
      <w:proofErr w:type="spellStart"/>
      <w:r w:rsidRPr="00F05A93">
        <w:rPr>
          <w:rFonts w:ascii="Arial" w:eastAsia="Calibri" w:hAnsi="Arial" w:cs="Arial"/>
          <w:kern w:val="2"/>
          <w14:ligatures w14:val="standardContextual"/>
        </w:rPr>
        <w:t>Ziebland</w:t>
      </w:r>
      <w:proofErr w:type="spellEnd"/>
      <w:r w:rsidRPr="00F05A93">
        <w:rPr>
          <w:rFonts w:ascii="Arial" w:eastAsia="Calibri" w:hAnsi="Arial" w:cs="Arial"/>
          <w:kern w:val="2"/>
          <w14:ligatures w14:val="standardContextual"/>
        </w:rPr>
        <w:t xml:space="preserve">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The only way to solve these cultural and organisational issues is to invest in staff education, digital skills training, and leadership support for digital transformation. As digital health technology spreads, data privacy and cybersecurity become more important. The NHS is anxious about data breaches, cyberattacks, and unauthorised access as increasingly sensitive patient data is stored and delivered electronically (Shah, 2022). Ransomware assaults like the 2017 NHS WannaCry attack show the significance of protection for aged IT systems. NHS Digital has made steps to minimise similar instances. </w:t>
      </w:r>
    </w:p>
    <w:p w14:paraId="5B112282" w14:textId="77777777" w:rsidR="00EF5B08" w:rsidRPr="00F05A93" w:rsidRDefault="00EF5B08" w:rsidP="00F05A93">
      <w:pPr>
        <w:keepNext/>
        <w:keepLines/>
        <w:spacing w:before="240" w:after="0" w:line="360" w:lineRule="auto"/>
        <w:jc w:val="both"/>
        <w:outlineLvl w:val="0"/>
        <w:rPr>
          <w:rFonts w:ascii="Arial" w:eastAsia="Times New Roman" w:hAnsi="Arial" w:cs="Arial"/>
          <w:b/>
          <w:iCs/>
          <w:color w:val="000000"/>
          <w:kern w:val="2"/>
          <w14:ligatures w14:val="standardContextual"/>
        </w:rPr>
      </w:pPr>
      <w:bookmarkStart w:id="2" w:name="_Toc212436368"/>
      <w:r w:rsidRPr="00F05A93">
        <w:rPr>
          <w:rFonts w:ascii="Arial" w:eastAsia="Times New Roman" w:hAnsi="Arial" w:cs="Arial"/>
          <w:b/>
          <w:iCs/>
          <w:color w:val="000000"/>
          <w:kern w:val="2"/>
          <w14:ligatures w14:val="standardContextual"/>
        </w:rPr>
        <w:t>Methodology</w:t>
      </w:r>
      <w:bookmarkEnd w:id="2"/>
    </w:p>
    <w:p w14:paraId="3B65AF97" w14:textId="77777777" w:rsidR="00EF5B08" w:rsidRPr="00657A3F" w:rsidRDefault="00EF5B08" w:rsidP="00F05A93">
      <w:pPr>
        <w:keepNext/>
        <w:keepLines/>
        <w:spacing w:before="40" w:after="0" w:line="360" w:lineRule="auto"/>
        <w:jc w:val="both"/>
        <w:outlineLvl w:val="1"/>
        <w:rPr>
          <w:rFonts w:ascii="Arial" w:eastAsia="Times New Roman" w:hAnsi="Arial" w:cs="Arial"/>
          <w:b/>
          <w:bCs/>
          <w:iCs/>
          <w:color w:val="000000"/>
          <w:kern w:val="2"/>
          <w14:ligatures w14:val="standardContextual"/>
        </w:rPr>
      </w:pPr>
      <w:bookmarkStart w:id="3" w:name="_Toc212436369"/>
      <w:r w:rsidRPr="00657A3F">
        <w:rPr>
          <w:rFonts w:ascii="Arial" w:eastAsia="Times New Roman" w:hAnsi="Arial" w:cs="Arial"/>
          <w:b/>
          <w:bCs/>
          <w:iCs/>
          <w:color w:val="000000"/>
          <w:kern w:val="2"/>
          <w14:ligatures w14:val="standardContextual"/>
        </w:rPr>
        <w:t>Research Design</w:t>
      </w:r>
      <w:bookmarkEnd w:id="3"/>
    </w:p>
    <w:p w14:paraId="470E0FF1" w14:textId="1258DE3A"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This extensive secondary </w:t>
      </w:r>
      <w:r w:rsidR="00657A3F">
        <w:rPr>
          <w:rFonts w:ascii="Arial" w:eastAsia="Calibri" w:hAnsi="Arial" w:cs="Arial"/>
          <w:kern w:val="2"/>
          <w14:ligatures w14:val="standardContextual"/>
        </w:rPr>
        <w:t>scoping</w:t>
      </w:r>
      <w:r w:rsidRPr="00F05A93">
        <w:rPr>
          <w:rFonts w:ascii="Arial" w:eastAsia="Calibri" w:hAnsi="Arial" w:cs="Arial"/>
          <w:kern w:val="2"/>
          <w14:ligatures w14:val="standardContextual"/>
        </w:rPr>
        <w:t xml:space="preserve"> review explored how digital health technologies impact NHS patient care. Tyler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recommend a scoping study to identify research areas, trends, and gaps. Its comprehensiveness makes it ideal for investigating how digital technologies impact UK healthcare access, satisfaction, and involvement. This technology </w:t>
      </w:r>
      <w:r w:rsidRPr="00F05A93">
        <w:rPr>
          <w:rFonts w:ascii="Arial" w:eastAsia="Calibri" w:hAnsi="Arial" w:cs="Arial"/>
          <w:kern w:val="2"/>
          <w14:ligatures w14:val="standardContextual"/>
        </w:rPr>
        <w:lastRenderedPageBreak/>
        <w:t xml:space="preserve">comprises AI, mHealth, EHRs, and telemedicine. Digital health technology may improve NHS patient care's accessibility, efficiency, and quality (Baum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Research outcomes from peer-reviewed literature synthesis. Secondary qualitative analysis uses existing data to investigate complicated healthcare issues. This strategy allows researchers evaluate study results in social, organisational, and ethical contexts (</w:t>
      </w:r>
      <w:proofErr w:type="spellStart"/>
      <w:r w:rsidRPr="00F05A93">
        <w:rPr>
          <w:rFonts w:ascii="Arial" w:eastAsia="Calibri" w:hAnsi="Arial" w:cs="Arial"/>
          <w:kern w:val="2"/>
          <w14:ligatures w14:val="standardContextual"/>
        </w:rPr>
        <w:t>Dzwigol</w:t>
      </w:r>
      <w:proofErr w:type="spellEnd"/>
      <w:r w:rsidRPr="00F05A93">
        <w:rPr>
          <w:rFonts w:ascii="Arial" w:eastAsia="Calibri" w:hAnsi="Arial" w:cs="Arial"/>
          <w:kern w:val="2"/>
          <w14:ligatures w14:val="standardContextual"/>
        </w:rPr>
        <w:t xml:space="preserve">, 2022). </w:t>
      </w:r>
    </w:p>
    <w:p w14:paraId="01867376" w14:textId="77777777" w:rsidR="00EF5B08" w:rsidRPr="00657A3F" w:rsidRDefault="00EF5B08" w:rsidP="00F05A93">
      <w:pPr>
        <w:keepNext/>
        <w:keepLines/>
        <w:spacing w:before="40" w:after="0" w:line="360" w:lineRule="auto"/>
        <w:jc w:val="both"/>
        <w:outlineLvl w:val="1"/>
        <w:rPr>
          <w:rFonts w:ascii="Arial" w:eastAsia="Times New Roman" w:hAnsi="Arial" w:cs="Arial"/>
          <w:b/>
          <w:bCs/>
          <w:iCs/>
          <w:color w:val="000000"/>
          <w:kern w:val="2"/>
          <w14:ligatures w14:val="standardContextual"/>
        </w:rPr>
      </w:pPr>
      <w:bookmarkStart w:id="4" w:name="_Toc212436370"/>
      <w:r w:rsidRPr="00657A3F">
        <w:rPr>
          <w:rFonts w:ascii="Arial" w:eastAsia="Times New Roman" w:hAnsi="Arial" w:cs="Arial"/>
          <w:b/>
          <w:bCs/>
          <w:iCs/>
          <w:color w:val="000000"/>
          <w:kern w:val="2"/>
          <w14:ligatures w14:val="standardContextual"/>
        </w:rPr>
        <w:t>Search Strategy</w:t>
      </w:r>
      <w:bookmarkEnd w:id="4"/>
    </w:p>
    <w:p w14:paraId="1E08205B"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Systematic searches were performed in PubMed, CINAHL, EBSCOhost, ScienceDirect, and the UWTSD Library. Relevant 2019–2024 research was needed for the NHS's digital transformation. The following keywords and Boolean operators narrowed the search: ("digital health" OR "digital healthcare") AND ("NHS" OR "United Kingdom"); ("telemedicine" OR "telehealth") AND ("patient care" OR "patient satisfaction"); and ("electronic health records" OR "EHRs") AND ("patient outcomes" OR "quality of More relevant research was uncovered by checking our prior articles' reference lists. To maintain academic quality, only peer-reviewed primary and secondary research publications were included. Scoping reviews gave perspective but did not include policy papers, perspectives, and reports (Koonin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2020).</w:t>
      </w:r>
    </w:p>
    <w:p w14:paraId="38CDF629" w14:textId="77777777" w:rsidR="00EF5B08" w:rsidRPr="00657A3F" w:rsidRDefault="00EF5B08" w:rsidP="00F05A93">
      <w:pPr>
        <w:keepNext/>
        <w:keepLines/>
        <w:spacing w:before="40" w:after="0" w:line="360" w:lineRule="auto"/>
        <w:jc w:val="both"/>
        <w:outlineLvl w:val="1"/>
        <w:rPr>
          <w:rFonts w:ascii="Arial" w:eastAsia="Times New Roman" w:hAnsi="Arial" w:cs="Arial"/>
          <w:b/>
          <w:bCs/>
          <w:iCs/>
          <w:color w:val="000000"/>
          <w:kern w:val="2"/>
          <w14:ligatures w14:val="standardContextual"/>
        </w:rPr>
      </w:pPr>
      <w:bookmarkStart w:id="5" w:name="_Toc212436371"/>
      <w:r w:rsidRPr="00657A3F">
        <w:rPr>
          <w:rFonts w:ascii="Arial" w:eastAsia="Times New Roman" w:hAnsi="Arial" w:cs="Arial"/>
          <w:b/>
          <w:bCs/>
          <w:iCs/>
          <w:color w:val="000000"/>
          <w:kern w:val="2"/>
          <w14:ligatures w14:val="standardContextual"/>
        </w:rPr>
        <w:t>Inclusion and Exclusion Criteria</w:t>
      </w:r>
      <w:bookmarkEnd w:id="5"/>
    </w:p>
    <w:p w14:paraId="50696397"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The inclusion and exclusion criteria were established to ensure the relevance and quality of selected studies.</w:t>
      </w:r>
    </w:p>
    <w:p w14:paraId="761E6E2B" w14:textId="77777777" w:rsidR="00EF5B08" w:rsidRPr="00F05A93" w:rsidRDefault="00EF5B08" w:rsidP="00F05A93">
      <w:pPr>
        <w:keepNext/>
        <w:keepLines/>
        <w:spacing w:before="160" w:after="80" w:line="360" w:lineRule="auto"/>
        <w:ind w:left="720" w:hanging="720"/>
        <w:jc w:val="both"/>
        <w:outlineLvl w:val="2"/>
        <w:rPr>
          <w:rFonts w:ascii="Arial" w:eastAsia="Times New Roman" w:hAnsi="Arial" w:cs="Arial"/>
          <w:b/>
          <w:color w:val="000000"/>
          <w:kern w:val="2"/>
          <w14:ligatures w14:val="standardContextual"/>
        </w:rPr>
      </w:pPr>
      <w:bookmarkStart w:id="6" w:name="_Toc212436372"/>
      <w:r w:rsidRPr="00F05A93">
        <w:rPr>
          <w:rFonts w:ascii="Arial" w:eastAsia="Times New Roman" w:hAnsi="Arial" w:cs="Arial"/>
          <w:b/>
          <w:color w:val="000000"/>
          <w:kern w:val="2"/>
          <w14:ligatures w14:val="standardContextual"/>
        </w:rPr>
        <w:t>Inclusion criteria:</w:t>
      </w:r>
      <w:bookmarkEnd w:id="6"/>
    </w:p>
    <w:p w14:paraId="0875716B" w14:textId="77777777" w:rsidR="00EF5B08" w:rsidRPr="00F05A93" w:rsidRDefault="00EF5B08" w:rsidP="00F05A93">
      <w:pPr>
        <w:numPr>
          <w:ilvl w:val="0"/>
          <w:numId w:val="2"/>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Studies published between 2019 and 2024.</w:t>
      </w:r>
    </w:p>
    <w:p w14:paraId="1C8CCAD9" w14:textId="77777777" w:rsidR="00EF5B08" w:rsidRPr="00F05A93" w:rsidRDefault="00EF5B08" w:rsidP="00F05A93">
      <w:pPr>
        <w:numPr>
          <w:ilvl w:val="0"/>
          <w:numId w:val="2"/>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Research conducted in the UK or focusing on NHS settings.</w:t>
      </w:r>
    </w:p>
    <w:p w14:paraId="604EAA6A" w14:textId="77777777" w:rsidR="00EF5B08" w:rsidRPr="00F05A93" w:rsidRDefault="00EF5B08" w:rsidP="00F05A93">
      <w:pPr>
        <w:numPr>
          <w:ilvl w:val="0"/>
          <w:numId w:val="2"/>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Peer-reviewed primary or secondary studies examining digital health technologies such as telemedicine, EHRs, AI diagnostics, or mHealth.</w:t>
      </w:r>
    </w:p>
    <w:p w14:paraId="44EC9E91" w14:textId="77777777" w:rsidR="00EF5B08" w:rsidRPr="00F05A93" w:rsidRDefault="00EF5B08" w:rsidP="00F05A93">
      <w:pPr>
        <w:numPr>
          <w:ilvl w:val="0"/>
          <w:numId w:val="2"/>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Studies assessing outcomes related to patient care, access, satisfaction, engagement, or efficiency.</w:t>
      </w:r>
    </w:p>
    <w:p w14:paraId="448BF665" w14:textId="77777777" w:rsidR="00EF5B08" w:rsidRPr="00F05A93" w:rsidRDefault="00EF5B08" w:rsidP="00F05A93">
      <w:pPr>
        <w:keepNext/>
        <w:keepLines/>
        <w:spacing w:before="160" w:after="80" w:line="360" w:lineRule="auto"/>
        <w:ind w:left="720" w:hanging="720"/>
        <w:jc w:val="both"/>
        <w:outlineLvl w:val="2"/>
        <w:rPr>
          <w:rFonts w:ascii="Arial" w:eastAsia="Times New Roman" w:hAnsi="Arial" w:cs="Arial"/>
          <w:b/>
          <w:color w:val="000000"/>
          <w:kern w:val="2"/>
          <w14:ligatures w14:val="standardContextual"/>
        </w:rPr>
      </w:pPr>
      <w:bookmarkStart w:id="7" w:name="_Toc212436373"/>
      <w:r w:rsidRPr="00F05A93">
        <w:rPr>
          <w:rFonts w:ascii="Arial" w:eastAsia="Times New Roman" w:hAnsi="Arial" w:cs="Arial"/>
          <w:b/>
          <w:color w:val="000000"/>
          <w:kern w:val="2"/>
          <w14:ligatures w14:val="standardContextual"/>
        </w:rPr>
        <w:t>Exclusion criteria:</w:t>
      </w:r>
      <w:bookmarkEnd w:id="7"/>
    </w:p>
    <w:p w14:paraId="487852BD" w14:textId="77777777" w:rsidR="00EF5B08" w:rsidRPr="00F05A93" w:rsidRDefault="00EF5B08" w:rsidP="00F05A93">
      <w:pPr>
        <w:numPr>
          <w:ilvl w:val="0"/>
          <w:numId w:val="3"/>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Studies conducted outside the UK healthcare context.</w:t>
      </w:r>
    </w:p>
    <w:p w14:paraId="4B0AF287" w14:textId="77777777" w:rsidR="00EF5B08" w:rsidRPr="00F05A93" w:rsidRDefault="00EF5B08" w:rsidP="00F05A93">
      <w:pPr>
        <w:numPr>
          <w:ilvl w:val="0"/>
          <w:numId w:val="3"/>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Non-peer-reviewed sources, conference papers, or commentaries.</w:t>
      </w:r>
    </w:p>
    <w:p w14:paraId="7E070506" w14:textId="77777777" w:rsidR="00EF5B08" w:rsidRPr="00F05A93" w:rsidRDefault="00EF5B08" w:rsidP="00F05A93">
      <w:pPr>
        <w:numPr>
          <w:ilvl w:val="0"/>
          <w:numId w:val="3"/>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Studies focusing solely on technical aspects without addressing patient outcomes.</w:t>
      </w:r>
    </w:p>
    <w:p w14:paraId="6E58AB2B" w14:textId="77777777" w:rsidR="00EF5B08" w:rsidRPr="00F05A93" w:rsidRDefault="00EF5B08" w:rsidP="00F05A93">
      <w:pPr>
        <w:numPr>
          <w:ilvl w:val="0"/>
          <w:numId w:val="3"/>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kern w:val="2"/>
          <w14:ligatures w14:val="standardContextual"/>
        </w:rPr>
        <w:t>Publications not available in English.</w:t>
      </w:r>
    </w:p>
    <w:p w14:paraId="190DFFE8" w14:textId="77777777" w:rsidR="00EF0596"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The review examined five or six significant peer-reviewed articles that satisfied these conditions. This study uses quantitative and qualitative methods to understand how digital health technologies affect NHS patient care (Harju, 2022).</w:t>
      </w:r>
      <w:bookmarkStart w:id="8" w:name="_Toc212436374"/>
    </w:p>
    <w:p w14:paraId="7E2876B6" w14:textId="07A9D2F0" w:rsidR="00EF5B08" w:rsidRPr="00657A3F" w:rsidRDefault="00EF5B08" w:rsidP="00F05A93">
      <w:pPr>
        <w:spacing w:after="160" w:line="360" w:lineRule="auto"/>
        <w:jc w:val="both"/>
        <w:rPr>
          <w:rFonts w:ascii="Arial" w:eastAsia="Calibri" w:hAnsi="Arial" w:cs="Arial"/>
          <w:b/>
          <w:bCs/>
          <w:kern w:val="2"/>
          <w14:ligatures w14:val="standardContextual"/>
        </w:rPr>
      </w:pPr>
      <w:r w:rsidRPr="00657A3F">
        <w:rPr>
          <w:rFonts w:ascii="Arial" w:eastAsia="Times New Roman" w:hAnsi="Arial" w:cs="Arial"/>
          <w:b/>
          <w:bCs/>
          <w:iCs/>
          <w:color w:val="000000"/>
          <w:kern w:val="2"/>
          <w14:ligatures w14:val="standardContextual"/>
        </w:rPr>
        <w:lastRenderedPageBreak/>
        <w:t>Data Extraction and Thematic Analysis</w:t>
      </w:r>
      <w:bookmarkEnd w:id="8"/>
    </w:p>
    <w:p w14:paraId="715F2F55" w14:textId="77777777" w:rsidR="00EF5B08" w:rsidRPr="00F05A93" w:rsidRDefault="00EF5B08" w:rsidP="00F05A93">
      <w:pPr>
        <w:spacing w:after="16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A thematic analysis was conducted in detail with identification of themes, linking, and similarities across publications. Theme analysis is a prominent qualitative method of evaluating and synthesising information obtained based on multiple sources (Eddison, 2022). The method consists of many important stages:</w:t>
      </w:r>
    </w:p>
    <w:p w14:paraId="6BA7BC99" w14:textId="77777777" w:rsidR="00EF5B08" w:rsidRPr="00F05A93" w:rsidRDefault="00EF5B08" w:rsidP="00F05A93">
      <w:pPr>
        <w:numPr>
          <w:ilvl w:val="0"/>
          <w:numId w:val="4"/>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b/>
          <w:bCs/>
          <w:kern w:val="2"/>
          <w14:ligatures w14:val="standardContextual"/>
        </w:rPr>
        <w:t>Familiarisation:</w:t>
      </w:r>
      <w:r w:rsidRPr="00F05A93">
        <w:rPr>
          <w:rFonts w:ascii="Arial" w:eastAsia="Calibri" w:hAnsi="Arial" w:cs="Arial"/>
          <w:kern w:val="2"/>
          <w14:ligatures w14:val="standardContextual"/>
        </w:rPr>
        <w:t xml:space="preserve"> Goes through every study several times to get the main findings, the methodology and conclusions.</w:t>
      </w:r>
    </w:p>
    <w:p w14:paraId="1CFB2901" w14:textId="77777777" w:rsidR="00EF5B08" w:rsidRPr="00F05A93" w:rsidRDefault="00EF5B08" w:rsidP="00F05A93">
      <w:pPr>
        <w:numPr>
          <w:ilvl w:val="0"/>
          <w:numId w:val="4"/>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b/>
          <w:bCs/>
          <w:kern w:val="2"/>
          <w14:ligatures w14:val="standardContextual"/>
        </w:rPr>
        <w:t>Coding:</w:t>
      </w:r>
      <w:r w:rsidRPr="00F05A93">
        <w:rPr>
          <w:rFonts w:ascii="Arial" w:eastAsia="Calibri" w:hAnsi="Arial" w:cs="Arial"/>
          <w:kern w:val="2"/>
          <w14:ligatures w14:val="standardContextual"/>
        </w:rPr>
        <w:t xml:space="preserve"> Retrieving pertinent data fragments concerning patient care, efficiency, satisfaction, and difficulties in digital adoption.</w:t>
      </w:r>
    </w:p>
    <w:p w14:paraId="6A60C2BC" w14:textId="77777777" w:rsidR="00EF5B08" w:rsidRPr="00F05A93" w:rsidRDefault="00EF5B08" w:rsidP="00F05A93">
      <w:pPr>
        <w:numPr>
          <w:ilvl w:val="0"/>
          <w:numId w:val="4"/>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b/>
          <w:bCs/>
          <w:kern w:val="2"/>
          <w14:ligatures w14:val="standardContextual"/>
        </w:rPr>
        <w:t>Theme Identification:</w:t>
      </w:r>
      <w:r w:rsidRPr="00F05A93">
        <w:rPr>
          <w:rFonts w:ascii="Arial" w:eastAsia="Calibri" w:hAnsi="Arial" w:cs="Arial"/>
          <w:kern w:val="2"/>
          <w14:ligatures w14:val="standardContextual"/>
        </w:rPr>
        <w:t xml:space="preserve"> Coding </w:t>
      </w:r>
      <w:proofErr w:type="gramStart"/>
      <w:r w:rsidRPr="00F05A93">
        <w:rPr>
          <w:rFonts w:ascii="Arial" w:eastAsia="Calibri" w:hAnsi="Arial" w:cs="Arial"/>
          <w:kern w:val="2"/>
          <w14:ligatures w14:val="standardContextual"/>
        </w:rPr>
        <w:t>all of</w:t>
      </w:r>
      <w:proofErr w:type="gramEnd"/>
      <w:r w:rsidRPr="00F05A93">
        <w:rPr>
          <w:rFonts w:ascii="Arial" w:eastAsia="Calibri" w:hAnsi="Arial" w:cs="Arial"/>
          <w:kern w:val="2"/>
          <w14:ligatures w14:val="standardContextual"/>
        </w:rPr>
        <w:t xml:space="preserve"> the codes into larger concepts like patient engagement, accessibility, data security, and organisational barriers.</w:t>
      </w:r>
    </w:p>
    <w:p w14:paraId="1D1B890E" w14:textId="77777777" w:rsidR="00EF5B08" w:rsidRPr="00F05A93" w:rsidRDefault="00EF5B08" w:rsidP="00F05A93">
      <w:pPr>
        <w:numPr>
          <w:ilvl w:val="0"/>
          <w:numId w:val="4"/>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b/>
          <w:bCs/>
          <w:kern w:val="2"/>
          <w14:ligatures w14:val="standardContextual"/>
        </w:rPr>
        <w:t>Theme Refinement:</w:t>
      </w:r>
      <w:r w:rsidRPr="00F05A93">
        <w:rPr>
          <w:rFonts w:ascii="Arial" w:eastAsia="Calibri" w:hAnsi="Arial" w:cs="Arial"/>
          <w:kern w:val="2"/>
          <w14:ligatures w14:val="standardContextual"/>
        </w:rPr>
        <w:t xml:space="preserve"> Receiving themes to be sure they were properly reflective of the evidence base.</w:t>
      </w:r>
    </w:p>
    <w:p w14:paraId="4465A0FF" w14:textId="77777777" w:rsidR="00EF5B08" w:rsidRPr="00F05A93" w:rsidRDefault="00EF5B08" w:rsidP="00F05A93">
      <w:pPr>
        <w:numPr>
          <w:ilvl w:val="0"/>
          <w:numId w:val="4"/>
        </w:numPr>
        <w:spacing w:after="160" w:line="360" w:lineRule="auto"/>
        <w:contextualSpacing/>
        <w:jc w:val="both"/>
        <w:rPr>
          <w:rFonts w:ascii="Arial" w:eastAsia="Calibri" w:hAnsi="Arial" w:cs="Arial"/>
          <w:kern w:val="2"/>
          <w14:ligatures w14:val="standardContextual"/>
        </w:rPr>
      </w:pPr>
      <w:r w:rsidRPr="00F05A93">
        <w:rPr>
          <w:rFonts w:ascii="Arial" w:eastAsia="Calibri" w:hAnsi="Arial" w:cs="Arial"/>
          <w:b/>
          <w:bCs/>
          <w:kern w:val="2"/>
          <w14:ligatures w14:val="standardContextual"/>
        </w:rPr>
        <w:t>Interpretation:</w:t>
      </w:r>
      <w:r w:rsidRPr="00F05A93">
        <w:rPr>
          <w:rFonts w:ascii="Arial" w:eastAsia="Calibri" w:hAnsi="Arial" w:cs="Arial"/>
          <w:kern w:val="2"/>
          <w14:ligatures w14:val="standardContextual"/>
        </w:rPr>
        <w:t xml:space="preserve"> Comparison and contrasting the themes in the studies </w:t>
      </w:r>
      <w:proofErr w:type="gramStart"/>
      <w:r w:rsidRPr="00F05A93">
        <w:rPr>
          <w:rFonts w:ascii="Arial" w:eastAsia="Calibri" w:hAnsi="Arial" w:cs="Arial"/>
          <w:kern w:val="2"/>
          <w14:ligatures w14:val="standardContextual"/>
        </w:rPr>
        <w:t>in order to</w:t>
      </w:r>
      <w:proofErr w:type="gramEnd"/>
      <w:r w:rsidRPr="00F05A93">
        <w:rPr>
          <w:rFonts w:ascii="Arial" w:eastAsia="Calibri" w:hAnsi="Arial" w:cs="Arial"/>
          <w:kern w:val="2"/>
          <w14:ligatures w14:val="standardContextual"/>
        </w:rPr>
        <w:t xml:space="preserve"> come up with conclusions that are applicable in the NHS context.</w:t>
      </w:r>
    </w:p>
    <w:p w14:paraId="09DE3859"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This plan showed us how digital health technologies influence healthcare, professionals, and patients. The results section includes a table with the research's major aims, methodology, findings, and implications (Li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2022).</w:t>
      </w:r>
    </w:p>
    <w:p w14:paraId="2D245C6A" w14:textId="77777777" w:rsidR="00EF5B08" w:rsidRPr="00657A3F" w:rsidRDefault="00EF5B08" w:rsidP="00F05A93">
      <w:pPr>
        <w:keepNext/>
        <w:keepLines/>
        <w:spacing w:before="40" w:after="0" w:line="360" w:lineRule="auto"/>
        <w:jc w:val="both"/>
        <w:outlineLvl w:val="1"/>
        <w:rPr>
          <w:rFonts w:ascii="Arial" w:eastAsia="Times New Roman" w:hAnsi="Arial" w:cs="Arial"/>
          <w:b/>
          <w:bCs/>
          <w:iCs/>
          <w:color w:val="000000"/>
          <w:kern w:val="2"/>
          <w14:ligatures w14:val="standardContextual"/>
        </w:rPr>
      </w:pPr>
      <w:bookmarkStart w:id="9" w:name="_Toc212436375"/>
      <w:r w:rsidRPr="00657A3F">
        <w:rPr>
          <w:rFonts w:ascii="Arial" w:eastAsia="Times New Roman" w:hAnsi="Arial" w:cs="Arial"/>
          <w:b/>
          <w:bCs/>
          <w:iCs/>
          <w:color w:val="000000"/>
          <w:kern w:val="2"/>
          <w14:ligatures w14:val="standardContextual"/>
        </w:rPr>
        <w:t>Ethical Considerations</w:t>
      </w:r>
      <w:bookmarkEnd w:id="9"/>
    </w:p>
    <w:p w14:paraId="66FA1D2E" w14:textId="0A22F7FF"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As this research relied solely on existing secondary data, no ethical approval was required from an institutional review board. However, all sources were properly mentioned in Harvard </w:t>
      </w:r>
      <w:r w:rsidR="00494C36" w:rsidRPr="00F05A93">
        <w:rPr>
          <w:rFonts w:ascii="Arial" w:eastAsia="Calibri" w:hAnsi="Arial" w:cs="Arial"/>
          <w:kern w:val="2"/>
          <w14:ligatures w14:val="standardContextual"/>
        </w:rPr>
        <w:t>style,</w:t>
      </w:r>
      <w:r w:rsidRPr="00F05A93">
        <w:rPr>
          <w:rFonts w:ascii="Arial" w:eastAsia="Calibri" w:hAnsi="Arial" w:cs="Arial"/>
          <w:kern w:val="2"/>
          <w14:ligatures w14:val="standardContextual"/>
        </w:rPr>
        <w:t xml:space="preserve"> and the University of Wales Trinity Saint David's academic integrity code was followed, therefore no unethical compromises were made. Only public, peer-reviewed research was used to investigate all the data ethically and unbiasedly. Following ethical research guidelines and revealing the methods ensured the review was honest and reliable (Gagnon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2024).</w:t>
      </w:r>
    </w:p>
    <w:p w14:paraId="243E6347" w14:textId="77777777" w:rsidR="00EF5B08" w:rsidRPr="00F05A93" w:rsidRDefault="00EF5B08" w:rsidP="00F05A93">
      <w:pPr>
        <w:keepNext/>
        <w:keepLines/>
        <w:spacing w:before="240" w:after="0" w:line="360" w:lineRule="auto"/>
        <w:jc w:val="both"/>
        <w:outlineLvl w:val="0"/>
        <w:rPr>
          <w:rFonts w:ascii="Arial" w:eastAsia="Times New Roman" w:hAnsi="Arial" w:cs="Arial"/>
          <w:b/>
          <w:iCs/>
          <w:color w:val="000000"/>
          <w:kern w:val="2"/>
          <w14:ligatures w14:val="standardContextual"/>
        </w:rPr>
      </w:pPr>
      <w:bookmarkStart w:id="10" w:name="_Toc212436376"/>
      <w:r w:rsidRPr="00F05A93">
        <w:rPr>
          <w:rFonts w:ascii="Arial" w:eastAsia="Times New Roman" w:hAnsi="Arial" w:cs="Arial"/>
          <w:b/>
          <w:iCs/>
          <w:color w:val="000000"/>
          <w:kern w:val="2"/>
          <w14:ligatures w14:val="standardContextual"/>
        </w:rPr>
        <w:t>Results</w:t>
      </w:r>
      <w:bookmarkEnd w:id="10"/>
    </w:p>
    <w:p w14:paraId="08734E0C"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Five 2020–2025 studies examined how digital health technologies affect NHS patient care. This summarises their findings. AI, mHealth, EHRs, and telemedicine influence patient access, efficiency, enjoyment, and health outcomes (Eberle and </w:t>
      </w:r>
      <w:proofErr w:type="spellStart"/>
      <w:r w:rsidRPr="00F05A93">
        <w:rPr>
          <w:rFonts w:ascii="Arial" w:eastAsia="Calibri" w:hAnsi="Arial" w:cs="Arial"/>
          <w:kern w:val="2"/>
          <w14:ligatures w14:val="standardContextual"/>
        </w:rPr>
        <w:t>Stichling</w:t>
      </w:r>
      <w:proofErr w:type="spellEnd"/>
      <w:r w:rsidRPr="00F05A93">
        <w:rPr>
          <w:rFonts w:ascii="Arial" w:eastAsia="Calibri" w:hAnsi="Arial" w:cs="Arial"/>
          <w:kern w:val="2"/>
          <w14:ligatures w14:val="standardContextual"/>
        </w:rPr>
        <w:t>, 2021). Table 1 lists the studies chosen based on the methodology section's inclusion and exclusion criteria.</w:t>
      </w:r>
    </w:p>
    <w:p w14:paraId="498333F3" w14:textId="77777777" w:rsidR="00EF0596" w:rsidRPr="00F05A93" w:rsidRDefault="00EF0596" w:rsidP="00F05A93">
      <w:pPr>
        <w:keepNext/>
        <w:keepLines/>
        <w:spacing w:before="40" w:after="0" w:line="360" w:lineRule="auto"/>
        <w:jc w:val="both"/>
        <w:outlineLvl w:val="1"/>
        <w:rPr>
          <w:rFonts w:ascii="Arial" w:eastAsia="Times New Roman" w:hAnsi="Arial" w:cs="Arial"/>
          <w:iCs/>
          <w:color w:val="000000"/>
          <w:kern w:val="2"/>
          <w14:ligatures w14:val="standardContextual"/>
        </w:rPr>
      </w:pPr>
      <w:bookmarkStart w:id="11" w:name="_Toc212436377"/>
    </w:p>
    <w:p w14:paraId="6EA7A4D5" w14:textId="77777777" w:rsidR="00EF0596" w:rsidRPr="00F05A93" w:rsidRDefault="00EF0596" w:rsidP="00F05A93">
      <w:pPr>
        <w:keepNext/>
        <w:keepLines/>
        <w:spacing w:before="40" w:after="0" w:line="360" w:lineRule="auto"/>
        <w:jc w:val="both"/>
        <w:outlineLvl w:val="1"/>
        <w:rPr>
          <w:rFonts w:ascii="Arial" w:eastAsia="Times New Roman" w:hAnsi="Arial" w:cs="Arial"/>
          <w:iCs/>
          <w:color w:val="000000"/>
          <w:kern w:val="2"/>
          <w14:ligatures w14:val="standardContextual"/>
        </w:rPr>
      </w:pPr>
    </w:p>
    <w:p w14:paraId="4A85DF20" w14:textId="496CD156" w:rsidR="00EF5B08" w:rsidRPr="00F05A93" w:rsidRDefault="00EF5B08" w:rsidP="00F05A93">
      <w:pPr>
        <w:keepNext/>
        <w:keepLines/>
        <w:spacing w:before="40" w:after="0" w:line="360" w:lineRule="auto"/>
        <w:jc w:val="both"/>
        <w:outlineLvl w:val="1"/>
        <w:rPr>
          <w:rFonts w:ascii="Arial" w:eastAsia="Times New Roman" w:hAnsi="Arial" w:cs="Arial"/>
          <w:iCs/>
          <w:color w:val="000000"/>
          <w:kern w:val="2"/>
          <w14:ligatures w14:val="standardContextual"/>
        </w:rPr>
      </w:pPr>
      <w:r w:rsidRPr="00F05A93">
        <w:rPr>
          <w:rFonts w:ascii="Arial" w:eastAsia="Times New Roman" w:hAnsi="Arial" w:cs="Arial"/>
          <w:iCs/>
          <w:color w:val="000000"/>
          <w:kern w:val="2"/>
          <w14:ligatures w14:val="standardContextual"/>
        </w:rPr>
        <w:t>Table 1: Summary of Reviewed Studies (2020–2025)</w:t>
      </w:r>
      <w:bookmarkEnd w:id="11"/>
    </w:p>
    <w:tbl>
      <w:tblPr>
        <w:tblStyle w:val="TableGrid"/>
        <w:tblW w:w="0" w:type="auto"/>
        <w:tblInd w:w="0" w:type="dxa"/>
        <w:tblLook w:val="04A0" w:firstRow="1" w:lastRow="0" w:firstColumn="1" w:lastColumn="0" w:noHBand="0" w:noVBand="1"/>
      </w:tblPr>
      <w:tblGrid>
        <w:gridCol w:w="1803"/>
        <w:gridCol w:w="1803"/>
        <w:gridCol w:w="1803"/>
        <w:gridCol w:w="1803"/>
        <w:gridCol w:w="1804"/>
      </w:tblGrid>
      <w:tr w:rsidR="00EF5B08" w:rsidRPr="00F05A93" w14:paraId="6EDDDD4B" w14:textId="77777777" w:rsidTr="00EF5B08">
        <w:tc>
          <w:tcPr>
            <w:tcW w:w="1803" w:type="dxa"/>
            <w:tcBorders>
              <w:top w:val="single" w:sz="4" w:space="0" w:color="auto"/>
              <w:left w:val="single" w:sz="4" w:space="0" w:color="auto"/>
              <w:bottom w:val="single" w:sz="4" w:space="0" w:color="auto"/>
              <w:right w:val="single" w:sz="4" w:space="0" w:color="auto"/>
            </w:tcBorders>
            <w:hideMark/>
          </w:tcPr>
          <w:p w14:paraId="0CCDB462" w14:textId="77777777" w:rsidR="00EF5B08" w:rsidRPr="00F05A93" w:rsidRDefault="00EF5B08" w:rsidP="00F05A93">
            <w:pPr>
              <w:spacing w:line="360" w:lineRule="auto"/>
              <w:jc w:val="both"/>
              <w:rPr>
                <w:rFonts w:ascii="Arial" w:hAnsi="Arial" w:cs="Arial"/>
                <w:b/>
                <w:bCs/>
              </w:rPr>
            </w:pPr>
            <w:r w:rsidRPr="00F05A93">
              <w:rPr>
                <w:rFonts w:ascii="Arial" w:hAnsi="Arial" w:cs="Arial"/>
                <w:b/>
                <w:bCs/>
              </w:rPr>
              <w:t>Author(s) &amp; Year</w:t>
            </w:r>
          </w:p>
        </w:tc>
        <w:tc>
          <w:tcPr>
            <w:tcW w:w="1803" w:type="dxa"/>
            <w:tcBorders>
              <w:top w:val="single" w:sz="4" w:space="0" w:color="auto"/>
              <w:left w:val="single" w:sz="4" w:space="0" w:color="auto"/>
              <w:bottom w:val="single" w:sz="4" w:space="0" w:color="auto"/>
              <w:right w:val="single" w:sz="4" w:space="0" w:color="auto"/>
            </w:tcBorders>
            <w:hideMark/>
          </w:tcPr>
          <w:p w14:paraId="4A8DBA57" w14:textId="77777777" w:rsidR="00EF5B08" w:rsidRPr="00F05A93" w:rsidRDefault="00EF5B08" w:rsidP="00F05A93">
            <w:pPr>
              <w:spacing w:line="360" w:lineRule="auto"/>
              <w:jc w:val="both"/>
              <w:rPr>
                <w:rFonts w:ascii="Arial" w:hAnsi="Arial" w:cs="Arial"/>
                <w:b/>
                <w:bCs/>
              </w:rPr>
            </w:pPr>
            <w:r w:rsidRPr="00F05A93">
              <w:rPr>
                <w:rFonts w:ascii="Arial" w:hAnsi="Arial" w:cs="Arial"/>
                <w:b/>
                <w:bCs/>
              </w:rPr>
              <w:t>Title / Journal</w:t>
            </w:r>
          </w:p>
        </w:tc>
        <w:tc>
          <w:tcPr>
            <w:tcW w:w="1803" w:type="dxa"/>
            <w:tcBorders>
              <w:top w:val="single" w:sz="4" w:space="0" w:color="auto"/>
              <w:left w:val="single" w:sz="4" w:space="0" w:color="auto"/>
              <w:bottom w:val="single" w:sz="4" w:space="0" w:color="auto"/>
              <w:right w:val="single" w:sz="4" w:space="0" w:color="auto"/>
            </w:tcBorders>
            <w:hideMark/>
          </w:tcPr>
          <w:p w14:paraId="3A3271EC" w14:textId="77777777" w:rsidR="00EF5B08" w:rsidRPr="00F05A93" w:rsidRDefault="00EF5B08" w:rsidP="00F05A93">
            <w:pPr>
              <w:spacing w:line="360" w:lineRule="auto"/>
              <w:jc w:val="both"/>
              <w:rPr>
                <w:rFonts w:ascii="Arial" w:hAnsi="Arial" w:cs="Arial"/>
                <w:b/>
                <w:bCs/>
              </w:rPr>
            </w:pPr>
            <w:r w:rsidRPr="00F05A93">
              <w:rPr>
                <w:rFonts w:ascii="Arial" w:hAnsi="Arial" w:cs="Arial"/>
                <w:b/>
                <w:bCs/>
              </w:rPr>
              <w:t>Technology Focus</w:t>
            </w:r>
          </w:p>
        </w:tc>
        <w:tc>
          <w:tcPr>
            <w:tcW w:w="1803" w:type="dxa"/>
            <w:tcBorders>
              <w:top w:val="single" w:sz="4" w:space="0" w:color="auto"/>
              <w:left w:val="single" w:sz="4" w:space="0" w:color="auto"/>
              <w:bottom w:val="single" w:sz="4" w:space="0" w:color="auto"/>
              <w:right w:val="single" w:sz="4" w:space="0" w:color="auto"/>
            </w:tcBorders>
            <w:hideMark/>
          </w:tcPr>
          <w:p w14:paraId="3C494E2A" w14:textId="77777777" w:rsidR="00EF5B08" w:rsidRPr="00F05A93" w:rsidRDefault="00EF5B08" w:rsidP="00F05A93">
            <w:pPr>
              <w:spacing w:line="360" w:lineRule="auto"/>
              <w:jc w:val="both"/>
              <w:rPr>
                <w:rFonts w:ascii="Arial" w:hAnsi="Arial" w:cs="Arial"/>
                <w:b/>
                <w:bCs/>
              </w:rPr>
            </w:pPr>
            <w:r w:rsidRPr="00F05A93">
              <w:rPr>
                <w:rFonts w:ascii="Arial" w:hAnsi="Arial" w:cs="Arial"/>
                <w:b/>
                <w:bCs/>
              </w:rPr>
              <w:t>Key Findings</w:t>
            </w:r>
          </w:p>
        </w:tc>
        <w:tc>
          <w:tcPr>
            <w:tcW w:w="1804" w:type="dxa"/>
            <w:tcBorders>
              <w:top w:val="single" w:sz="4" w:space="0" w:color="auto"/>
              <w:left w:val="single" w:sz="4" w:space="0" w:color="auto"/>
              <w:bottom w:val="single" w:sz="4" w:space="0" w:color="auto"/>
              <w:right w:val="single" w:sz="4" w:space="0" w:color="auto"/>
            </w:tcBorders>
            <w:hideMark/>
          </w:tcPr>
          <w:p w14:paraId="63487C85" w14:textId="77777777" w:rsidR="00EF5B08" w:rsidRPr="00F05A93" w:rsidRDefault="00EF5B08" w:rsidP="00F05A93">
            <w:pPr>
              <w:spacing w:line="360" w:lineRule="auto"/>
              <w:jc w:val="both"/>
              <w:rPr>
                <w:rFonts w:ascii="Arial" w:hAnsi="Arial" w:cs="Arial"/>
                <w:b/>
                <w:bCs/>
              </w:rPr>
            </w:pPr>
            <w:r w:rsidRPr="00F05A93">
              <w:rPr>
                <w:rFonts w:ascii="Arial" w:hAnsi="Arial" w:cs="Arial"/>
                <w:b/>
                <w:bCs/>
              </w:rPr>
              <w:t>Relevance to Research Question</w:t>
            </w:r>
          </w:p>
        </w:tc>
      </w:tr>
      <w:tr w:rsidR="00EF5B08" w:rsidRPr="00F05A93" w14:paraId="7C88D2FE" w14:textId="77777777" w:rsidTr="00EF5B08">
        <w:tc>
          <w:tcPr>
            <w:tcW w:w="1803" w:type="dxa"/>
            <w:tcBorders>
              <w:top w:val="single" w:sz="4" w:space="0" w:color="auto"/>
              <w:left w:val="single" w:sz="4" w:space="0" w:color="auto"/>
              <w:bottom w:val="single" w:sz="4" w:space="0" w:color="auto"/>
              <w:right w:val="single" w:sz="4" w:space="0" w:color="auto"/>
            </w:tcBorders>
            <w:hideMark/>
          </w:tcPr>
          <w:p w14:paraId="507F846D" w14:textId="77777777" w:rsidR="00EF5B08" w:rsidRPr="00F05A93" w:rsidRDefault="00EF5B08" w:rsidP="00F05A93">
            <w:pPr>
              <w:spacing w:line="360" w:lineRule="auto"/>
              <w:jc w:val="both"/>
              <w:rPr>
                <w:rFonts w:ascii="Arial" w:hAnsi="Arial" w:cs="Arial"/>
              </w:rPr>
            </w:pPr>
            <w:r w:rsidRPr="00F05A93">
              <w:rPr>
                <w:rFonts w:ascii="Arial" w:hAnsi="Arial" w:cs="Arial"/>
              </w:rPr>
              <w:t xml:space="preserve">Greenhalgh </w:t>
            </w:r>
            <w:r w:rsidRPr="00F05A93">
              <w:rPr>
                <w:rFonts w:ascii="Arial" w:hAnsi="Arial" w:cs="Arial"/>
                <w:i/>
                <w:iCs/>
              </w:rPr>
              <w:t>et</w:t>
            </w:r>
            <w:r w:rsidRPr="00F05A93">
              <w:rPr>
                <w:rFonts w:ascii="Arial" w:hAnsi="Arial" w:cs="Arial"/>
              </w:rPr>
              <w:t xml:space="preserve"> </w:t>
            </w:r>
            <w:r w:rsidRPr="00F05A93">
              <w:rPr>
                <w:rFonts w:ascii="Arial" w:hAnsi="Arial" w:cs="Arial"/>
                <w:i/>
                <w:iCs/>
              </w:rPr>
              <w:t>al.</w:t>
            </w:r>
            <w:r w:rsidRPr="00F05A93">
              <w:rPr>
                <w:rFonts w:ascii="Arial" w:hAnsi="Arial" w:cs="Arial"/>
              </w:rPr>
              <w:t xml:space="preserve"> (2022)</w:t>
            </w:r>
          </w:p>
        </w:tc>
        <w:tc>
          <w:tcPr>
            <w:tcW w:w="1803" w:type="dxa"/>
            <w:tcBorders>
              <w:top w:val="single" w:sz="4" w:space="0" w:color="auto"/>
              <w:left w:val="single" w:sz="4" w:space="0" w:color="auto"/>
              <w:bottom w:val="single" w:sz="4" w:space="0" w:color="auto"/>
              <w:right w:val="single" w:sz="4" w:space="0" w:color="auto"/>
            </w:tcBorders>
            <w:hideMark/>
          </w:tcPr>
          <w:p w14:paraId="47081EF1" w14:textId="77777777" w:rsidR="00EF5B08" w:rsidRPr="00F05A93" w:rsidRDefault="00EF5B08" w:rsidP="00F05A93">
            <w:pPr>
              <w:spacing w:line="360" w:lineRule="auto"/>
              <w:jc w:val="both"/>
              <w:rPr>
                <w:rFonts w:ascii="Arial" w:hAnsi="Arial" w:cs="Arial"/>
              </w:rPr>
            </w:pPr>
            <w:r w:rsidRPr="00F05A93">
              <w:rPr>
                <w:rFonts w:ascii="Arial" w:hAnsi="Arial" w:cs="Arial"/>
              </w:rPr>
              <w:t>“Evaluating digital health innovations: a critical review of the evidence base.” BMC Medicine.</w:t>
            </w:r>
          </w:p>
        </w:tc>
        <w:tc>
          <w:tcPr>
            <w:tcW w:w="1803" w:type="dxa"/>
            <w:tcBorders>
              <w:top w:val="single" w:sz="4" w:space="0" w:color="auto"/>
              <w:left w:val="single" w:sz="4" w:space="0" w:color="auto"/>
              <w:bottom w:val="single" w:sz="4" w:space="0" w:color="auto"/>
              <w:right w:val="single" w:sz="4" w:space="0" w:color="auto"/>
            </w:tcBorders>
            <w:hideMark/>
          </w:tcPr>
          <w:p w14:paraId="1D97D91F" w14:textId="77777777" w:rsidR="00EF5B08" w:rsidRPr="00F05A93" w:rsidRDefault="00EF5B08" w:rsidP="00F05A93">
            <w:pPr>
              <w:spacing w:line="360" w:lineRule="auto"/>
              <w:jc w:val="both"/>
              <w:rPr>
                <w:rFonts w:ascii="Arial" w:hAnsi="Arial" w:cs="Arial"/>
              </w:rPr>
            </w:pPr>
            <w:r w:rsidRPr="00F05A93">
              <w:rPr>
                <w:rFonts w:ascii="Arial" w:hAnsi="Arial" w:cs="Arial"/>
              </w:rPr>
              <w:t>Telemedicine and digital platforms in primary care.</w:t>
            </w:r>
          </w:p>
        </w:tc>
        <w:tc>
          <w:tcPr>
            <w:tcW w:w="1803" w:type="dxa"/>
            <w:tcBorders>
              <w:top w:val="single" w:sz="4" w:space="0" w:color="auto"/>
              <w:left w:val="single" w:sz="4" w:space="0" w:color="auto"/>
              <w:bottom w:val="single" w:sz="4" w:space="0" w:color="auto"/>
              <w:right w:val="single" w:sz="4" w:space="0" w:color="auto"/>
            </w:tcBorders>
            <w:hideMark/>
          </w:tcPr>
          <w:p w14:paraId="65713E5F" w14:textId="77777777" w:rsidR="00EF5B08" w:rsidRPr="00F05A93" w:rsidRDefault="00EF5B08" w:rsidP="00F05A93">
            <w:pPr>
              <w:spacing w:line="360" w:lineRule="auto"/>
              <w:jc w:val="both"/>
              <w:rPr>
                <w:rFonts w:ascii="Arial" w:hAnsi="Arial" w:cs="Arial"/>
              </w:rPr>
            </w:pPr>
            <w:r w:rsidRPr="00F05A93">
              <w:rPr>
                <w:rFonts w:ascii="Arial" w:hAnsi="Arial" w:cs="Arial"/>
              </w:rPr>
              <w:t>Found that telemedicine increased access and continuity of care during and after COVID-19 but raised issues of digital inequality and clinician workload.</w:t>
            </w:r>
          </w:p>
        </w:tc>
        <w:tc>
          <w:tcPr>
            <w:tcW w:w="1804" w:type="dxa"/>
            <w:tcBorders>
              <w:top w:val="single" w:sz="4" w:space="0" w:color="auto"/>
              <w:left w:val="single" w:sz="4" w:space="0" w:color="auto"/>
              <w:bottom w:val="single" w:sz="4" w:space="0" w:color="auto"/>
              <w:right w:val="single" w:sz="4" w:space="0" w:color="auto"/>
            </w:tcBorders>
            <w:hideMark/>
          </w:tcPr>
          <w:p w14:paraId="4472A09F" w14:textId="77777777" w:rsidR="00EF5B08" w:rsidRPr="00F05A93" w:rsidRDefault="00EF5B08" w:rsidP="00F05A93">
            <w:pPr>
              <w:spacing w:line="360" w:lineRule="auto"/>
              <w:jc w:val="both"/>
              <w:rPr>
                <w:rFonts w:ascii="Arial" w:hAnsi="Arial" w:cs="Arial"/>
              </w:rPr>
            </w:pPr>
            <w:r w:rsidRPr="00F05A93">
              <w:rPr>
                <w:rFonts w:ascii="Arial" w:hAnsi="Arial" w:cs="Arial"/>
              </w:rPr>
              <w:t>Highlights how digital tools improve accessibility but need to address equity and sustainability within the NHS.</w:t>
            </w:r>
          </w:p>
        </w:tc>
      </w:tr>
      <w:tr w:rsidR="00EF5B08" w:rsidRPr="00F05A93" w14:paraId="3055F625" w14:textId="77777777" w:rsidTr="00EF5B08">
        <w:tc>
          <w:tcPr>
            <w:tcW w:w="1803" w:type="dxa"/>
            <w:tcBorders>
              <w:top w:val="single" w:sz="4" w:space="0" w:color="auto"/>
              <w:left w:val="single" w:sz="4" w:space="0" w:color="auto"/>
              <w:bottom w:val="single" w:sz="4" w:space="0" w:color="auto"/>
              <w:right w:val="single" w:sz="4" w:space="0" w:color="auto"/>
            </w:tcBorders>
            <w:hideMark/>
          </w:tcPr>
          <w:p w14:paraId="2813554F" w14:textId="77777777" w:rsidR="00EF5B08" w:rsidRPr="00F05A93" w:rsidRDefault="00EF5B08" w:rsidP="00F05A93">
            <w:pPr>
              <w:spacing w:line="360" w:lineRule="auto"/>
              <w:jc w:val="both"/>
              <w:rPr>
                <w:rFonts w:ascii="Arial" w:hAnsi="Arial" w:cs="Arial"/>
              </w:rPr>
            </w:pPr>
            <w:r w:rsidRPr="00F05A93">
              <w:rPr>
                <w:rFonts w:ascii="Arial" w:hAnsi="Arial" w:cs="Arial"/>
              </w:rPr>
              <w:t>Shah et al. (2022)</w:t>
            </w:r>
          </w:p>
        </w:tc>
        <w:tc>
          <w:tcPr>
            <w:tcW w:w="1803" w:type="dxa"/>
            <w:tcBorders>
              <w:top w:val="single" w:sz="4" w:space="0" w:color="auto"/>
              <w:left w:val="single" w:sz="4" w:space="0" w:color="auto"/>
              <w:bottom w:val="single" w:sz="4" w:space="0" w:color="auto"/>
              <w:right w:val="single" w:sz="4" w:space="0" w:color="auto"/>
            </w:tcBorders>
            <w:hideMark/>
          </w:tcPr>
          <w:p w14:paraId="08BC7512" w14:textId="77777777" w:rsidR="00EF5B08" w:rsidRPr="00F05A93" w:rsidRDefault="00EF5B08" w:rsidP="00F05A93">
            <w:pPr>
              <w:spacing w:line="360" w:lineRule="auto"/>
              <w:jc w:val="both"/>
              <w:rPr>
                <w:rFonts w:ascii="Arial" w:hAnsi="Arial" w:cs="Arial"/>
              </w:rPr>
            </w:pPr>
            <w:r w:rsidRPr="00F05A93">
              <w:rPr>
                <w:rFonts w:ascii="Arial" w:hAnsi="Arial" w:cs="Arial"/>
              </w:rPr>
              <w:t>“The role of digital health in the future of integrated care.” Clinics in Integrated Care.</w:t>
            </w:r>
          </w:p>
        </w:tc>
        <w:tc>
          <w:tcPr>
            <w:tcW w:w="1803" w:type="dxa"/>
            <w:tcBorders>
              <w:top w:val="single" w:sz="4" w:space="0" w:color="auto"/>
              <w:left w:val="single" w:sz="4" w:space="0" w:color="auto"/>
              <w:bottom w:val="single" w:sz="4" w:space="0" w:color="auto"/>
              <w:right w:val="single" w:sz="4" w:space="0" w:color="auto"/>
            </w:tcBorders>
            <w:hideMark/>
          </w:tcPr>
          <w:p w14:paraId="40E3DDF3" w14:textId="77777777" w:rsidR="00EF5B08" w:rsidRPr="00F05A93" w:rsidRDefault="00EF5B08" w:rsidP="00F05A93">
            <w:pPr>
              <w:spacing w:line="360" w:lineRule="auto"/>
              <w:jc w:val="both"/>
              <w:rPr>
                <w:rFonts w:ascii="Arial" w:hAnsi="Arial" w:cs="Arial"/>
              </w:rPr>
            </w:pPr>
            <w:r w:rsidRPr="00F05A93">
              <w:rPr>
                <w:rFonts w:ascii="Arial" w:hAnsi="Arial" w:cs="Arial"/>
              </w:rPr>
              <w:t>Integrated digital health systems (EHRs, telemonitoring).</w:t>
            </w:r>
          </w:p>
        </w:tc>
        <w:tc>
          <w:tcPr>
            <w:tcW w:w="1803" w:type="dxa"/>
            <w:tcBorders>
              <w:top w:val="single" w:sz="4" w:space="0" w:color="auto"/>
              <w:left w:val="single" w:sz="4" w:space="0" w:color="auto"/>
              <w:bottom w:val="single" w:sz="4" w:space="0" w:color="auto"/>
              <w:right w:val="single" w:sz="4" w:space="0" w:color="auto"/>
            </w:tcBorders>
            <w:hideMark/>
          </w:tcPr>
          <w:p w14:paraId="00C685C7" w14:textId="77777777" w:rsidR="00EF5B08" w:rsidRPr="00F05A93" w:rsidRDefault="00EF5B08" w:rsidP="00F05A93">
            <w:pPr>
              <w:spacing w:line="360" w:lineRule="auto"/>
              <w:jc w:val="both"/>
              <w:rPr>
                <w:rFonts w:ascii="Arial" w:hAnsi="Arial" w:cs="Arial"/>
              </w:rPr>
            </w:pPr>
            <w:r w:rsidRPr="00F05A93">
              <w:rPr>
                <w:rFonts w:ascii="Arial" w:hAnsi="Arial" w:cs="Arial"/>
              </w:rPr>
              <w:t>Demonstrated that integration of EHRs improved coordination, reduced duplication of services, and enhanced patient satisfaction.</w:t>
            </w:r>
          </w:p>
        </w:tc>
        <w:tc>
          <w:tcPr>
            <w:tcW w:w="1804" w:type="dxa"/>
            <w:tcBorders>
              <w:top w:val="single" w:sz="4" w:space="0" w:color="auto"/>
              <w:left w:val="single" w:sz="4" w:space="0" w:color="auto"/>
              <w:bottom w:val="single" w:sz="4" w:space="0" w:color="auto"/>
              <w:right w:val="single" w:sz="4" w:space="0" w:color="auto"/>
            </w:tcBorders>
            <w:hideMark/>
          </w:tcPr>
          <w:p w14:paraId="5B06D63E" w14:textId="77777777" w:rsidR="00EF5B08" w:rsidRPr="00F05A93" w:rsidRDefault="00EF5B08" w:rsidP="00F05A93">
            <w:pPr>
              <w:spacing w:line="360" w:lineRule="auto"/>
              <w:jc w:val="both"/>
              <w:rPr>
                <w:rFonts w:ascii="Arial" w:hAnsi="Arial" w:cs="Arial"/>
              </w:rPr>
            </w:pPr>
            <w:r w:rsidRPr="00F05A93">
              <w:rPr>
                <w:rFonts w:ascii="Arial" w:hAnsi="Arial" w:cs="Arial"/>
              </w:rPr>
              <w:t>Shows efficiency gains from system integration and EHR adoption in NHS settings.</w:t>
            </w:r>
          </w:p>
        </w:tc>
      </w:tr>
      <w:tr w:rsidR="00EF5B08" w:rsidRPr="00F05A93" w14:paraId="1B8F7933" w14:textId="77777777" w:rsidTr="00EF5B08">
        <w:tc>
          <w:tcPr>
            <w:tcW w:w="1803" w:type="dxa"/>
            <w:tcBorders>
              <w:top w:val="single" w:sz="4" w:space="0" w:color="auto"/>
              <w:left w:val="single" w:sz="4" w:space="0" w:color="auto"/>
              <w:bottom w:val="single" w:sz="4" w:space="0" w:color="auto"/>
              <w:right w:val="single" w:sz="4" w:space="0" w:color="auto"/>
            </w:tcBorders>
            <w:hideMark/>
          </w:tcPr>
          <w:p w14:paraId="6CD0C4C7" w14:textId="77777777" w:rsidR="00EF5B08" w:rsidRPr="00F05A93" w:rsidRDefault="00EF5B08" w:rsidP="00F05A93">
            <w:pPr>
              <w:spacing w:line="360" w:lineRule="auto"/>
              <w:jc w:val="both"/>
              <w:rPr>
                <w:rFonts w:ascii="Arial" w:hAnsi="Arial" w:cs="Arial"/>
              </w:rPr>
            </w:pPr>
            <w:r w:rsidRPr="00F05A93">
              <w:rPr>
                <w:rFonts w:ascii="Arial" w:hAnsi="Arial" w:cs="Arial"/>
              </w:rPr>
              <w:t>Budd et al. (2023)</w:t>
            </w:r>
          </w:p>
        </w:tc>
        <w:tc>
          <w:tcPr>
            <w:tcW w:w="1803" w:type="dxa"/>
            <w:tcBorders>
              <w:top w:val="single" w:sz="4" w:space="0" w:color="auto"/>
              <w:left w:val="single" w:sz="4" w:space="0" w:color="auto"/>
              <w:bottom w:val="single" w:sz="4" w:space="0" w:color="auto"/>
              <w:right w:val="single" w:sz="4" w:space="0" w:color="auto"/>
            </w:tcBorders>
            <w:hideMark/>
          </w:tcPr>
          <w:p w14:paraId="2019F03E" w14:textId="77777777" w:rsidR="00EF5B08" w:rsidRPr="00F05A93" w:rsidRDefault="00EF5B08" w:rsidP="00F05A93">
            <w:pPr>
              <w:spacing w:line="360" w:lineRule="auto"/>
              <w:jc w:val="both"/>
              <w:rPr>
                <w:rFonts w:ascii="Arial" w:hAnsi="Arial" w:cs="Arial"/>
              </w:rPr>
            </w:pPr>
            <w:r w:rsidRPr="00F05A93">
              <w:rPr>
                <w:rFonts w:ascii="Arial" w:hAnsi="Arial" w:cs="Arial"/>
              </w:rPr>
              <w:t xml:space="preserve">“Digital health interventions for chronic disease management in the UK.” Journal of Medical Internet </w:t>
            </w:r>
            <w:r w:rsidRPr="00F05A93">
              <w:rPr>
                <w:rFonts w:ascii="Arial" w:hAnsi="Arial" w:cs="Arial"/>
              </w:rPr>
              <w:lastRenderedPageBreak/>
              <w:t>Research.</w:t>
            </w:r>
          </w:p>
        </w:tc>
        <w:tc>
          <w:tcPr>
            <w:tcW w:w="1803" w:type="dxa"/>
            <w:tcBorders>
              <w:top w:val="single" w:sz="4" w:space="0" w:color="auto"/>
              <w:left w:val="single" w:sz="4" w:space="0" w:color="auto"/>
              <w:bottom w:val="single" w:sz="4" w:space="0" w:color="auto"/>
              <w:right w:val="single" w:sz="4" w:space="0" w:color="auto"/>
            </w:tcBorders>
            <w:hideMark/>
          </w:tcPr>
          <w:p w14:paraId="1E224E5F" w14:textId="77777777" w:rsidR="00EF5B08" w:rsidRPr="00F05A93" w:rsidRDefault="00EF5B08" w:rsidP="00F05A93">
            <w:pPr>
              <w:spacing w:line="360" w:lineRule="auto"/>
              <w:jc w:val="both"/>
              <w:rPr>
                <w:rFonts w:ascii="Arial" w:hAnsi="Arial" w:cs="Arial"/>
              </w:rPr>
            </w:pPr>
            <w:r w:rsidRPr="00F05A93">
              <w:rPr>
                <w:rFonts w:ascii="Arial" w:hAnsi="Arial" w:cs="Arial"/>
              </w:rPr>
              <w:lastRenderedPageBreak/>
              <w:t>Mobile health (mHealth) and wearable technologies.</w:t>
            </w:r>
          </w:p>
        </w:tc>
        <w:tc>
          <w:tcPr>
            <w:tcW w:w="1803" w:type="dxa"/>
            <w:tcBorders>
              <w:top w:val="single" w:sz="4" w:space="0" w:color="auto"/>
              <w:left w:val="single" w:sz="4" w:space="0" w:color="auto"/>
              <w:bottom w:val="single" w:sz="4" w:space="0" w:color="auto"/>
              <w:right w:val="single" w:sz="4" w:space="0" w:color="auto"/>
            </w:tcBorders>
            <w:hideMark/>
          </w:tcPr>
          <w:p w14:paraId="25254FCE" w14:textId="77777777" w:rsidR="00EF5B08" w:rsidRPr="00F05A93" w:rsidRDefault="00EF5B08" w:rsidP="00F05A93">
            <w:pPr>
              <w:spacing w:line="360" w:lineRule="auto"/>
              <w:jc w:val="both"/>
              <w:rPr>
                <w:rFonts w:ascii="Arial" w:hAnsi="Arial" w:cs="Arial"/>
              </w:rPr>
            </w:pPr>
            <w:r w:rsidRPr="00F05A93">
              <w:rPr>
                <w:rFonts w:ascii="Arial" w:hAnsi="Arial" w:cs="Arial"/>
              </w:rPr>
              <w:t xml:space="preserve">Found that digital monitoring improved self-management amongst patients with </w:t>
            </w:r>
            <w:r w:rsidRPr="00F05A93">
              <w:rPr>
                <w:rFonts w:ascii="Arial" w:hAnsi="Arial" w:cs="Arial"/>
              </w:rPr>
              <w:lastRenderedPageBreak/>
              <w:t>diabetes and hypertension, with measurable improvements in adherence.</w:t>
            </w:r>
          </w:p>
        </w:tc>
        <w:tc>
          <w:tcPr>
            <w:tcW w:w="1804" w:type="dxa"/>
            <w:tcBorders>
              <w:top w:val="single" w:sz="4" w:space="0" w:color="auto"/>
              <w:left w:val="single" w:sz="4" w:space="0" w:color="auto"/>
              <w:bottom w:val="single" w:sz="4" w:space="0" w:color="auto"/>
              <w:right w:val="single" w:sz="4" w:space="0" w:color="auto"/>
            </w:tcBorders>
            <w:hideMark/>
          </w:tcPr>
          <w:p w14:paraId="23735BA4" w14:textId="77777777" w:rsidR="00EF5B08" w:rsidRPr="00F05A93" w:rsidRDefault="00EF5B08" w:rsidP="00F05A93">
            <w:pPr>
              <w:spacing w:line="360" w:lineRule="auto"/>
              <w:jc w:val="both"/>
              <w:rPr>
                <w:rFonts w:ascii="Arial" w:hAnsi="Arial" w:cs="Arial"/>
              </w:rPr>
            </w:pPr>
            <w:r w:rsidRPr="00F05A93">
              <w:rPr>
                <w:rFonts w:ascii="Arial" w:hAnsi="Arial" w:cs="Arial"/>
              </w:rPr>
              <w:lastRenderedPageBreak/>
              <w:t xml:space="preserve">Supports digital self-management tools as mechanisms to improve patient outcomes and </w:t>
            </w:r>
            <w:r w:rsidRPr="00F05A93">
              <w:rPr>
                <w:rFonts w:ascii="Arial" w:hAnsi="Arial" w:cs="Arial"/>
              </w:rPr>
              <w:lastRenderedPageBreak/>
              <w:t>empowerment.</w:t>
            </w:r>
          </w:p>
        </w:tc>
      </w:tr>
      <w:tr w:rsidR="00EF5B08" w:rsidRPr="00F05A93" w14:paraId="2D07D80E" w14:textId="77777777" w:rsidTr="00EF5B08">
        <w:tc>
          <w:tcPr>
            <w:tcW w:w="1803" w:type="dxa"/>
            <w:tcBorders>
              <w:top w:val="single" w:sz="4" w:space="0" w:color="auto"/>
              <w:left w:val="single" w:sz="4" w:space="0" w:color="auto"/>
              <w:bottom w:val="single" w:sz="4" w:space="0" w:color="auto"/>
              <w:right w:val="single" w:sz="4" w:space="0" w:color="auto"/>
            </w:tcBorders>
            <w:hideMark/>
          </w:tcPr>
          <w:p w14:paraId="6A294C1A" w14:textId="77777777" w:rsidR="00EF5B08" w:rsidRPr="00F05A93" w:rsidRDefault="00EF5B08" w:rsidP="00F05A93">
            <w:pPr>
              <w:spacing w:line="360" w:lineRule="auto"/>
              <w:jc w:val="both"/>
              <w:rPr>
                <w:rFonts w:ascii="Arial" w:hAnsi="Arial" w:cs="Arial"/>
              </w:rPr>
            </w:pPr>
            <w:r w:rsidRPr="00F05A93">
              <w:rPr>
                <w:rFonts w:ascii="Arial" w:hAnsi="Arial" w:cs="Arial"/>
              </w:rPr>
              <w:lastRenderedPageBreak/>
              <w:t xml:space="preserve">Agarwal </w:t>
            </w:r>
            <w:r w:rsidRPr="00F05A93">
              <w:rPr>
                <w:rFonts w:ascii="Arial" w:hAnsi="Arial" w:cs="Arial"/>
                <w:i/>
                <w:iCs/>
              </w:rPr>
              <w:t>et al.</w:t>
            </w:r>
            <w:r w:rsidRPr="00F05A93">
              <w:rPr>
                <w:rFonts w:ascii="Arial" w:hAnsi="Arial" w:cs="Arial"/>
              </w:rPr>
              <w:t xml:space="preserve"> (2021)</w:t>
            </w:r>
          </w:p>
        </w:tc>
        <w:tc>
          <w:tcPr>
            <w:tcW w:w="1803" w:type="dxa"/>
            <w:tcBorders>
              <w:top w:val="single" w:sz="4" w:space="0" w:color="auto"/>
              <w:left w:val="single" w:sz="4" w:space="0" w:color="auto"/>
              <w:bottom w:val="single" w:sz="4" w:space="0" w:color="auto"/>
              <w:right w:val="single" w:sz="4" w:space="0" w:color="auto"/>
            </w:tcBorders>
            <w:hideMark/>
          </w:tcPr>
          <w:p w14:paraId="4D597296" w14:textId="77777777" w:rsidR="00EF5B08" w:rsidRPr="00F05A93" w:rsidRDefault="00EF5B08" w:rsidP="00F05A93">
            <w:pPr>
              <w:spacing w:line="360" w:lineRule="auto"/>
              <w:jc w:val="both"/>
              <w:rPr>
                <w:rFonts w:ascii="Arial" w:hAnsi="Arial" w:cs="Arial"/>
              </w:rPr>
            </w:pPr>
            <w:r w:rsidRPr="00F05A93">
              <w:rPr>
                <w:rFonts w:ascii="Arial" w:hAnsi="Arial" w:cs="Arial"/>
              </w:rPr>
              <w:t>“Artificial intelligence applications in NHS clinical practice: a review of opportunities and barriers.” The Lancet Digital Health.</w:t>
            </w:r>
          </w:p>
        </w:tc>
        <w:tc>
          <w:tcPr>
            <w:tcW w:w="1803" w:type="dxa"/>
            <w:tcBorders>
              <w:top w:val="single" w:sz="4" w:space="0" w:color="auto"/>
              <w:left w:val="single" w:sz="4" w:space="0" w:color="auto"/>
              <w:bottom w:val="single" w:sz="4" w:space="0" w:color="auto"/>
              <w:right w:val="single" w:sz="4" w:space="0" w:color="auto"/>
            </w:tcBorders>
            <w:hideMark/>
          </w:tcPr>
          <w:p w14:paraId="7B8DC8F8" w14:textId="77777777" w:rsidR="00EF5B08" w:rsidRPr="00F05A93" w:rsidRDefault="00EF5B08" w:rsidP="00F05A93">
            <w:pPr>
              <w:spacing w:line="360" w:lineRule="auto"/>
              <w:jc w:val="both"/>
              <w:rPr>
                <w:rFonts w:ascii="Arial" w:hAnsi="Arial" w:cs="Arial"/>
              </w:rPr>
            </w:pPr>
            <w:r w:rsidRPr="00F05A93">
              <w:rPr>
                <w:rFonts w:ascii="Arial" w:hAnsi="Arial" w:cs="Arial"/>
              </w:rPr>
              <w:t>Artificial Intelligence (AI) diagnostics and analytics.</w:t>
            </w:r>
          </w:p>
        </w:tc>
        <w:tc>
          <w:tcPr>
            <w:tcW w:w="1803" w:type="dxa"/>
            <w:tcBorders>
              <w:top w:val="single" w:sz="4" w:space="0" w:color="auto"/>
              <w:left w:val="single" w:sz="4" w:space="0" w:color="auto"/>
              <w:bottom w:val="single" w:sz="4" w:space="0" w:color="auto"/>
              <w:right w:val="single" w:sz="4" w:space="0" w:color="auto"/>
            </w:tcBorders>
            <w:hideMark/>
          </w:tcPr>
          <w:p w14:paraId="0963C231" w14:textId="77777777" w:rsidR="00EF5B08" w:rsidRPr="00F05A93" w:rsidRDefault="00EF5B08" w:rsidP="00F05A93">
            <w:pPr>
              <w:spacing w:line="360" w:lineRule="auto"/>
              <w:jc w:val="both"/>
              <w:rPr>
                <w:rFonts w:ascii="Arial" w:hAnsi="Arial" w:cs="Arial"/>
              </w:rPr>
            </w:pPr>
            <w:r w:rsidRPr="00F05A93">
              <w:rPr>
                <w:rFonts w:ascii="Arial" w:hAnsi="Arial" w:cs="Arial"/>
              </w:rPr>
              <w:t>Reported that AI improves diagnostic accuracy and workflow efficiency but faces challenges related to clinician trust and data governance.</w:t>
            </w:r>
          </w:p>
        </w:tc>
        <w:tc>
          <w:tcPr>
            <w:tcW w:w="1804" w:type="dxa"/>
            <w:tcBorders>
              <w:top w:val="single" w:sz="4" w:space="0" w:color="auto"/>
              <w:left w:val="single" w:sz="4" w:space="0" w:color="auto"/>
              <w:bottom w:val="single" w:sz="4" w:space="0" w:color="auto"/>
              <w:right w:val="single" w:sz="4" w:space="0" w:color="auto"/>
            </w:tcBorders>
            <w:hideMark/>
          </w:tcPr>
          <w:p w14:paraId="531D7B16" w14:textId="77777777" w:rsidR="00EF5B08" w:rsidRPr="00F05A93" w:rsidRDefault="00EF5B08" w:rsidP="00F05A93">
            <w:pPr>
              <w:spacing w:line="360" w:lineRule="auto"/>
              <w:jc w:val="both"/>
              <w:rPr>
                <w:rFonts w:ascii="Arial" w:hAnsi="Arial" w:cs="Arial"/>
              </w:rPr>
            </w:pPr>
            <w:r w:rsidRPr="00F05A93">
              <w:rPr>
                <w:rFonts w:ascii="Arial" w:hAnsi="Arial" w:cs="Arial"/>
              </w:rPr>
              <w:t>Demonstrates the dual impact of AI enhanced efficiency but ongoing challenges in adoption and ethics.</w:t>
            </w:r>
          </w:p>
        </w:tc>
      </w:tr>
      <w:tr w:rsidR="00EF5B08" w:rsidRPr="00F05A93" w14:paraId="57EF9194" w14:textId="77777777" w:rsidTr="00EF5B08">
        <w:tc>
          <w:tcPr>
            <w:tcW w:w="1803" w:type="dxa"/>
            <w:tcBorders>
              <w:top w:val="single" w:sz="4" w:space="0" w:color="auto"/>
              <w:left w:val="single" w:sz="4" w:space="0" w:color="auto"/>
              <w:bottom w:val="single" w:sz="4" w:space="0" w:color="auto"/>
              <w:right w:val="single" w:sz="4" w:space="0" w:color="auto"/>
            </w:tcBorders>
            <w:hideMark/>
          </w:tcPr>
          <w:p w14:paraId="20F85B7E" w14:textId="77777777" w:rsidR="00EF5B08" w:rsidRPr="00F05A93" w:rsidRDefault="00EF5B08" w:rsidP="00F05A93">
            <w:pPr>
              <w:spacing w:line="360" w:lineRule="auto"/>
              <w:jc w:val="both"/>
              <w:rPr>
                <w:rFonts w:ascii="Arial" w:hAnsi="Arial" w:cs="Arial"/>
              </w:rPr>
            </w:pPr>
            <w:r w:rsidRPr="00F05A93">
              <w:rPr>
                <w:rFonts w:ascii="Arial" w:hAnsi="Arial" w:cs="Arial"/>
              </w:rPr>
              <w:t>Unadkat et al. (2024)</w:t>
            </w:r>
          </w:p>
        </w:tc>
        <w:tc>
          <w:tcPr>
            <w:tcW w:w="1803" w:type="dxa"/>
            <w:tcBorders>
              <w:top w:val="single" w:sz="4" w:space="0" w:color="auto"/>
              <w:left w:val="single" w:sz="4" w:space="0" w:color="auto"/>
              <w:bottom w:val="single" w:sz="4" w:space="0" w:color="auto"/>
              <w:right w:val="single" w:sz="4" w:space="0" w:color="auto"/>
            </w:tcBorders>
            <w:hideMark/>
          </w:tcPr>
          <w:p w14:paraId="72DAB268" w14:textId="77777777" w:rsidR="00EF5B08" w:rsidRPr="00F05A93" w:rsidRDefault="00EF5B08" w:rsidP="00F05A93">
            <w:pPr>
              <w:spacing w:line="360" w:lineRule="auto"/>
              <w:jc w:val="both"/>
              <w:rPr>
                <w:rFonts w:ascii="Arial" w:hAnsi="Arial" w:cs="Arial"/>
              </w:rPr>
            </w:pPr>
            <w:r w:rsidRPr="00F05A93">
              <w:rPr>
                <w:rFonts w:ascii="Arial" w:hAnsi="Arial" w:cs="Arial"/>
              </w:rPr>
              <w:t>“Telehealth in post-pandemic NHS: assessing patient experience and service outcomes.” BMJ Open.</w:t>
            </w:r>
          </w:p>
        </w:tc>
        <w:tc>
          <w:tcPr>
            <w:tcW w:w="1803" w:type="dxa"/>
            <w:tcBorders>
              <w:top w:val="single" w:sz="4" w:space="0" w:color="auto"/>
              <w:left w:val="single" w:sz="4" w:space="0" w:color="auto"/>
              <w:bottom w:val="single" w:sz="4" w:space="0" w:color="auto"/>
              <w:right w:val="single" w:sz="4" w:space="0" w:color="auto"/>
            </w:tcBorders>
            <w:hideMark/>
          </w:tcPr>
          <w:p w14:paraId="4AFB447B" w14:textId="77777777" w:rsidR="00EF5B08" w:rsidRPr="00F05A93" w:rsidRDefault="00EF5B08" w:rsidP="00F05A93">
            <w:pPr>
              <w:spacing w:line="360" w:lineRule="auto"/>
              <w:jc w:val="both"/>
              <w:rPr>
                <w:rFonts w:ascii="Arial" w:hAnsi="Arial" w:cs="Arial"/>
              </w:rPr>
            </w:pPr>
            <w:r w:rsidRPr="00F05A93">
              <w:rPr>
                <w:rFonts w:ascii="Arial" w:hAnsi="Arial" w:cs="Arial"/>
              </w:rPr>
              <w:t>Telehealth and remote consultation services.</w:t>
            </w:r>
          </w:p>
        </w:tc>
        <w:tc>
          <w:tcPr>
            <w:tcW w:w="1803" w:type="dxa"/>
            <w:tcBorders>
              <w:top w:val="single" w:sz="4" w:space="0" w:color="auto"/>
              <w:left w:val="single" w:sz="4" w:space="0" w:color="auto"/>
              <w:bottom w:val="single" w:sz="4" w:space="0" w:color="auto"/>
              <w:right w:val="single" w:sz="4" w:space="0" w:color="auto"/>
            </w:tcBorders>
            <w:hideMark/>
          </w:tcPr>
          <w:p w14:paraId="247EF089" w14:textId="77777777" w:rsidR="00EF5B08" w:rsidRPr="00F05A93" w:rsidRDefault="00EF5B08" w:rsidP="00F05A93">
            <w:pPr>
              <w:spacing w:line="360" w:lineRule="auto"/>
              <w:jc w:val="both"/>
              <w:rPr>
                <w:rFonts w:ascii="Arial" w:hAnsi="Arial" w:cs="Arial"/>
              </w:rPr>
            </w:pPr>
            <w:r w:rsidRPr="00F05A93">
              <w:rPr>
                <w:rFonts w:ascii="Arial" w:hAnsi="Arial" w:cs="Arial"/>
              </w:rPr>
              <w:t>Found that telehealth improved patient convenience and follow-up rates but required better digital literacy support for older patients.</w:t>
            </w:r>
          </w:p>
        </w:tc>
        <w:tc>
          <w:tcPr>
            <w:tcW w:w="1804" w:type="dxa"/>
            <w:tcBorders>
              <w:top w:val="single" w:sz="4" w:space="0" w:color="auto"/>
              <w:left w:val="single" w:sz="4" w:space="0" w:color="auto"/>
              <w:bottom w:val="single" w:sz="4" w:space="0" w:color="auto"/>
              <w:right w:val="single" w:sz="4" w:space="0" w:color="auto"/>
            </w:tcBorders>
            <w:hideMark/>
          </w:tcPr>
          <w:p w14:paraId="34DE870B" w14:textId="77777777" w:rsidR="00EF5B08" w:rsidRPr="00F05A93" w:rsidRDefault="00EF5B08" w:rsidP="00F05A93">
            <w:pPr>
              <w:spacing w:line="360" w:lineRule="auto"/>
              <w:jc w:val="both"/>
              <w:rPr>
                <w:rFonts w:ascii="Arial" w:hAnsi="Arial" w:cs="Arial"/>
              </w:rPr>
            </w:pPr>
            <w:r w:rsidRPr="00F05A93">
              <w:rPr>
                <w:rFonts w:ascii="Arial" w:hAnsi="Arial" w:cs="Arial"/>
              </w:rPr>
              <w:t>Reinforces that telehealth enhances accessibility and satisfaction but necessitates patient education.</w:t>
            </w:r>
          </w:p>
        </w:tc>
      </w:tr>
    </w:tbl>
    <w:p w14:paraId="394C83C4" w14:textId="77777777" w:rsidR="00EF0596" w:rsidRPr="00F05A93" w:rsidRDefault="00EF0596" w:rsidP="00F05A93">
      <w:pPr>
        <w:keepNext/>
        <w:keepLines/>
        <w:spacing w:before="40" w:after="0" w:line="360" w:lineRule="auto"/>
        <w:jc w:val="both"/>
        <w:outlineLvl w:val="1"/>
        <w:rPr>
          <w:rFonts w:ascii="Arial" w:eastAsia="Times New Roman" w:hAnsi="Arial" w:cs="Arial"/>
          <w:i/>
          <w:color w:val="000000"/>
          <w:kern w:val="2"/>
          <w14:ligatures w14:val="standardContextual"/>
        </w:rPr>
      </w:pPr>
      <w:bookmarkStart w:id="12" w:name="_Toc212436378"/>
    </w:p>
    <w:p w14:paraId="25E41ABD" w14:textId="22C6A249" w:rsidR="00EF5B08" w:rsidRPr="00F05A93" w:rsidRDefault="00EF5B08" w:rsidP="00F05A93">
      <w:pPr>
        <w:keepNext/>
        <w:keepLines/>
        <w:spacing w:before="40" w:after="0" w:line="360" w:lineRule="auto"/>
        <w:jc w:val="both"/>
        <w:outlineLvl w:val="1"/>
        <w:rPr>
          <w:rFonts w:ascii="Arial" w:eastAsia="Times New Roman" w:hAnsi="Arial" w:cs="Arial"/>
          <w:iCs/>
          <w:color w:val="000000"/>
          <w:kern w:val="2"/>
          <w14:ligatures w14:val="standardContextual"/>
        </w:rPr>
      </w:pPr>
      <w:r w:rsidRPr="00F05A93">
        <w:rPr>
          <w:rFonts w:ascii="Arial" w:eastAsia="Times New Roman" w:hAnsi="Arial" w:cs="Arial"/>
          <w:iCs/>
          <w:color w:val="000000"/>
          <w:kern w:val="2"/>
          <w14:ligatures w14:val="standardContextual"/>
        </w:rPr>
        <w:t>Synthesis of Key Findings</w:t>
      </w:r>
      <w:bookmarkEnd w:id="12"/>
    </w:p>
    <w:p w14:paraId="3AE28EEA" w14:textId="77777777" w:rsidR="00EF5B08" w:rsidRPr="00F05A93" w:rsidRDefault="00EF5B08" w:rsidP="00F05A93">
      <w:pPr>
        <w:keepNext/>
        <w:keepLines/>
        <w:spacing w:before="160" w:after="80" w:line="360" w:lineRule="auto"/>
        <w:ind w:left="720" w:hanging="720"/>
        <w:jc w:val="both"/>
        <w:outlineLvl w:val="2"/>
        <w:rPr>
          <w:rFonts w:ascii="Arial" w:eastAsia="Times New Roman" w:hAnsi="Arial" w:cs="Arial"/>
          <w:b/>
          <w:color w:val="000000"/>
          <w:kern w:val="2"/>
          <w14:ligatures w14:val="standardContextual"/>
        </w:rPr>
      </w:pPr>
      <w:bookmarkStart w:id="13" w:name="_Toc212436379"/>
      <w:r w:rsidRPr="00F05A93">
        <w:rPr>
          <w:rFonts w:ascii="Arial" w:eastAsia="Times New Roman" w:hAnsi="Arial" w:cs="Arial"/>
          <w:b/>
          <w:color w:val="000000"/>
          <w:kern w:val="2"/>
          <w14:ligatures w14:val="standardContextual"/>
        </w:rPr>
        <w:t>1. Telemedicine and Patient Access</w:t>
      </w:r>
      <w:bookmarkEnd w:id="13"/>
    </w:p>
    <w:p w14:paraId="20918113"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The papers we reviewed indicated telemedicine was one of the most significant new approaches to expand NHS services. Patients benefited from virtual consultations when face-to-face interactions were sparse due to the COVID-19 epidemic, according to Greenhalgh and Unadkat (2022, 2024). Patients praised the shorter wait times and </w:t>
      </w:r>
      <w:r w:rsidRPr="00F05A93">
        <w:rPr>
          <w:rFonts w:ascii="Arial" w:eastAsia="Calibri" w:hAnsi="Arial" w:cs="Arial"/>
          <w:kern w:val="2"/>
          <w14:ligatures w14:val="standardContextual"/>
        </w:rPr>
        <w:lastRenderedPageBreak/>
        <w:t xml:space="preserve">convenience, particularly for frequent or follow-up appointments. These findings demonstrate that telemedicine has overcome logistical and geographical barriers to therapy. This supports the NHS's goal to provide equitable healthcare. Digital exclusion, which happens when low-income or internet-inaccessible people lack digital skills, was also found in the study. </w:t>
      </w:r>
    </w:p>
    <w:p w14:paraId="0911761F" w14:textId="77777777" w:rsidR="00EF5B08" w:rsidRPr="00F05A93" w:rsidRDefault="00EF5B08" w:rsidP="00F05A93">
      <w:pPr>
        <w:keepNext/>
        <w:keepLines/>
        <w:spacing w:before="160" w:after="80" w:line="360" w:lineRule="auto"/>
        <w:ind w:left="720" w:hanging="720"/>
        <w:jc w:val="both"/>
        <w:outlineLvl w:val="2"/>
        <w:rPr>
          <w:rFonts w:ascii="Arial" w:eastAsia="Times New Roman" w:hAnsi="Arial" w:cs="Arial"/>
          <w:b/>
          <w:color w:val="000000"/>
          <w:kern w:val="2"/>
          <w14:ligatures w14:val="standardContextual"/>
        </w:rPr>
      </w:pPr>
      <w:bookmarkStart w:id="14" w:name="_Toc212436380"/>
      <w:r w:rsidRPr="00F05A93">
        <w:rPr>
          <w:rFonts w:ascii="Arial" w:eastAsia="Times New Roman" w:hAnsi="Arial" w:cs="Arial"/>
          <w:b/>
          <w:color w:val="000000"/>
          <w:kern w:val="2"/>
          <w14:ligatures w14:val="standardContextual"/>
        </w:rPr>
        <w:t>2. Electronic Health Records and Integrated Care</w:t>
      </w:r>
      <w:bookmarkEnd w:id="14"/>
    </w:p>
    <w:p w14:paraId="7DED29EC"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Due to EHRs, the NHS is more structured and efficient. Hospitals and primary care clinicians utilised electronic health records to treat complex patients more consistently, communicate faster, and reduce duplicate diagnostic procedures (Shah et al., 2022). The NHS Long Term Plan aims to create a "digital-first" system that makes patient records simpler for physicians to access from any department. EHRs make real-time patient information and test results simpler to access, helping evidence-based practice (Shah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2022).</w:t>
      </w:r>
    </w:p>
    <w:p w14:paraId="0E6E3873" w14:textId="77777777" w:rsidR="00EF5B08" w:rsidRPr="00F05A93" w:rsidRDefault="00EF5B08" w:rsidP="00F05A93">
      <w:pPr>
        <w:keepNext/>
        <w:keepLines/>
        <w:spacing w:before="160" w:after="80" w:line="360" w:lineRule="auto"/>
        <w:ind w:left="720" w:hanging="720"/>
        <w:jc w:val="both"/>
        <w:outlineLvl w:val="2"/>
        <w:rPr>
          <w:rFonts w:ascii="Arial" w:eastAsia="Times New Roman" w:hAnsi="Arial" w:cs="Arial"/>
          <w:b/>
          <w:color w:val="000000"/>
          <w:kern w:val="2"/>
          <w14:ligatures w14:val="standardContextual"/>
        </w:rPr>
      </w:pPr>
      <w:bookmarkStart w:id="15" w:name="_Toc212436381"/>
      <w:r w:rsidRPr="00F05A93">
        <w:rPr>
          <w:rFonts w:ascii="Arial" w:eastAsia="Times New Roman" w:hAnsi="Arial" w:cs="Arial"/>
          <w:b/>
          <w:color w:val="000000"/>
          <w:kern w:val="2"/>
          <w14:ligatures w14:val="standardContextual"/>
        </w:rPr>
        <w:t>3. Mobile Health and Patient Self-Management</w:t>
      </w:r>
      <w:bookmarkEnd w:id="15"/>
    </w:p>
    <w:p w14:paraId="3578550A"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Wearable and mobile technology may help patients manage chronic conditions more actively. Mobile applications that tracked blood sugar, blood pressure, and medication adherence improved clinical outcomes for diabetics and hypertensives (Budd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2023). Patient-</w:t>
      </w:r>
      <w:proofErr w:type="spellStart"/>
      <w:r w:rsidRPr="00F05A93">
        <w:rPr>
          <w:rFonts w:ascii="Arial" w:eastAsia="Calibri" w:hAnsi="Arial" w:cs="Arial"/>
          <w:kern w:val="2"/>
          <w14:ligatures w14:val="standardContextual"/>
        </w:rPr>
        <w:t>centered</w:t>
      </w:r>
      <w:proofErr w:type="spellEnd"/>
      <w:r w:rsidRPr="00F05A93">
        <w:rPr>
          <w:rFonts w:ascii="Arial" w:eastAsia="Calibri" w:hAnsi="Arial" w:cs="Arial"/>
          <w:kern w:val="2"/>
          <w14:ligatures w14:val="standardContextual"/>
        </w:rPr>
        <w:t xml:space="preserve"> treatment at the NHS helped patients feel more in control and motivated to improve their health. These results imply preventative health campaigns should include digital self-management tools. </w:t>
      </w:r>
    </w:p>
    <w:p w14:paraId="6463427D" w14:textId="77777777" w:rsidR="00EF5B08" w:rsidRPr="00F05A93" w:rsidRDefault="00EF5B08" w:rsidP="00F05A93">
      <w:pPr>
        <w:keepNext/>
        <w:keepLines/>
        <w:spacing w:before="160" w:after="80" w:line="360" w:lineRule="auto"/>
        <w:ind w:left="720" w:hanging="720"/>
        <w:jc w:val="both"/>
        <w:outlineLvl w:val="2"/>
        <w:rPr>
          <w:rFonts w:ascii="Arial" w:eastAsia="Times New Roman" w:hAnsi="Arial" w:cs="Arial"/>
          <w:b/>
          <w:color w:val="000000"/>
          <w:kern w:val="2"/>
          <w14:ligatures w14:val="standardContextual"/>
        </w:rPr>
      </w:pPr>
      <w:bookmarkStart w:id="16" w:name="_Toc212436382"/>
      <w:r w:rsidRPr="00F05A93">
        <w:rPr>
          <w:rFonts w:ascii="Arial" w:eastAsia="Times New Roman" w:hAnsi="Arial" w:cs="Arial"/>
          <w:b/>
          <w:color w:val="000000"/>
          <w:kern w:val="2"/>
          <w14:ligatures w14:val="standardContextual"/>
        </w:rPr>
        <w:t>4. Artificial Intelligence and Diagnostic Efficiency</w:t>
      </w:r>
      <w:bookmarkEnd w:id="16"/>
    </w:p>
    <w:p w14:paraId="4EFA97CA"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According to Agarwal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there has been an increasing use of AI in the diagnosis of radiology and pathology. The artificial intelligence </w:t>
      </w:r>
      <w:proofErr w:type="gramStart"/>
      <w:r w:rsidRPr="00F05A93">
        <w:rPr>
          <w:rFonts w:ascii="Arial" w:eastAsia="Calibri" w:hAnsi="Arial" w:cs="Arial"/>
          <w:kern w:val="2"/>
          <w14:ligatures w14:val="standardContextual"/>
        </w:rPr>
        <w:t>is able to</w:t>
      </w:r>
      <w:proofErr w:type="gramEnd"/>
      <w:r w:rsidRPr="00F05A93">
        <w:rPr>
          <w:rFonts w:ascii="Arial" w:eastAsia="Calibri" w:hAnsi="Arial" w:cs="Arial"/>
          <w:kern w:val="2"/>
          <w14:ligatures w14:val="standardContextual"/>
        </w:rPr>
        <w:t xml:space="preserve"> process high amounts of imaging data faster and more precisely thus assisting the physicians detect illnesses at earlier stages. These applications have made NHS simpler and fastened the tests. According to the authors, ethical and practical barriers to the use of AI are the scepticism of healthcare workers, openness to algorithms, and data security. </w:t>
      </w:r>
    </w:p>
    <w:p w14:paraId="7E9E0D2D" w14:textId="77777777" w:rsidR="00EF5B08" w:rsidRPr="00F05A93" w:rsidRDefault="00EF5B08" w:rsidP="00F05A93">
      <w:pPr>
        <w:keepNext/>
        <w:keepLines/>
        <w:spacing w:before="160" w:after="80" w:line="360" w:lineRule="auto"/>
        <w:ind w:left="720" w:hanging="720"/>
        <w:jc w:val="both"/>
        <w:outlineLvl w:val="2"/>
        <w:rPr>
          <w:rFonts w:ascii="Arial" w:eastAsia="Times New Roman" w:hAnsi="Arial" w:cs="Arial"/>
          <w:b/>
          <w:color w:val="000000"/>
          <w:kern w:val="2"/>
          <w14:ligatures w14:val="standardContextual"/>
        </w:rPr>
      </w:pPr>
      <w:bookmarkStart w:id="17" w:name="_Toc212436383"/>
      <w:r w:rsidRPr="00F05A93">
        <w:rPr>
          <w:rFonts w:ascii="Arial" w:eastAsia="Times New Roman" w:hAnsi="Arial" w:cs="Arial"/>
          <w:b/>
          <w:color w:val="000000"/>
          <w:kern w:val="2"/>
          <w14:ligatures w14:val="standardContextual"/>
        </w:rPr>
        <w:t>5. Patient Experience and System-Level Challenges</w:t>
      </w:r>
      <w:bookmarkEnd w:id="17"/>
    </w:p>
    <w:p w14:paraId="106C6DAA" w14:textId="1C937EC2" w:rsidR="00EF5B08" w:rsidRDefault="00494C36"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All</w:t>
      </w:r>
      <w:r w:rsidR="00EF5B08" w:rsidRPr="00F05A93">
        <w:rPr>
          <w:rFonts w:ascii="Arial" w:eastAsia="Calibri" w:hAnsi="Arial" w:cs="Arial"/>
          <w:kern w:val="2"/>
          <w14:ligatures w14:val="standardContextual"/>
        </w:rPr>
        <w:t xml:space="preserve"> the studies which we examined claimed that digital health technologies simplified, engaged, and humanized the healthcare. They demonstrate that the issue of privacy, the lack of training of healthcare professionals, and limitations of infrastructure persist. To maintain patient confidence and data integrity during digital transition, Greenhalgh and Shah (2022) suggest investing in technology, the development of workers, and ethical monitoring. Lastly, the digital health technology has improved the NHS patient care, rendering services </w:t>
      </w:r>
      <w:r w:rsidR="00EF5B08" w:rsidRPr="00F05A93">
        <w:rPr>
          <w:rFonts w:ascii="Arial" w:eastAsia="Calibri" w:hAnsi="Arial" w:cs="Arial"/>
          <w:kern w:val="2"/>
          <w14:ligatures w14:val="standardContextual"/>
        </w:rPr>
        <w:lastRenderedPageBreak/>
        <w:t xml:space="preserve">more available, interrelated, and providing patients with a greater amount of choice regarding their treatment. </w:t>
      </w:r>
    </w:p>
    <w:p w14:paraId="076B399C" w14:textId="77777777" w:rsidR="00657A3F" w:rsidRPr="00F05A93" w:rsidRDefault="00657A3F" w:rsidP="00657A3F">
      <w:pPr>
        <w:keepNext/>
        <w:keepLines/>
        <w:spacing w:before="40" w:after="0" w:line="360" w:lineRule="auto"/>
        <w:jc w:val="both"/>
        <w:outlineLvl w:val="1"/>
        <w:rPr>
          <w:rFonts w:ascii="Arial" w:eastAsia="Times New Roman" w:hAnsi="Arial" w:cs="Arial"/>
          <w:b/>
          <w:bCs/>
          <w:iCs/>
          <w:color w:val="000000"/>
          <w:kern w:val="2"/>
          <w14:ligatures w14:val="standardContextual"/>
        </w:rPr>
      </w:pPr>
      <w:r w:rsidRPr="00F05A93">
        <w:rPr>
          <w:rFonts w:ascii="Arial" w:eastAsia="Times New Roman" w:hAnsi="Arial" w:cs="Arial"/>
          <w:b/>
          <w:bCs/>
          <w:iCs/>
          <w:color w:val="000000"/>
          <w:kern w:val="2"/>
          <w14:ligatures w14:val="standardContextual"/>
        </w:rPr>
        <w:t>Themes Table</w:t>
      </w:r>
    </w:p>
    <w:tbl>
      <w:tblPr>
        <w:tblStyle w:val="TableGrid"/>
        <w:tblW w:w="0" w:type="auto"/>
        <w:tblInd w:w="0" w:type="dxa"/>
        <w:tblLook w:val="04A0" w:firstRow="1" w:lastRow="0" w:firstColumn="1" w:lastColumn="0" w:noHBand="0" w:noVBand="1"/>
      </w:tblPr>
      <w:tblGrid>
        <w:gridCol w:w="2254"/>
        <w:gridCol w:w="2254"/>
        <w:gridCol w:w="2254"/>
        <w:gridCol w:w="2254"/>
      </w:tblGrid>
      <w:tr w:rsidR="00657A3F" w:rsidRPr="00F05A93" w14:paraId="7B8A7BB7" w14:textId="77777777" w:rsidTr="005146A6">
        <w:tc>
          <w:tcPr>
            <w:tcW w:w="2254" w:type="dxa"/>
            <w:tcBorders>
              <w:top w:val="single" w:sz="4" w:space="0" w:color="auto"/>
              <w:left w:val="single" w:sz="4" w:space="0" w:color="auto"/>
              <w:bottom w:val="single" w:sz="4" w:space="0" w:color="auto"/>
              <w:right w:val="single" w:sz="4" w:space="0" w:color="auto"/>
            </w:tcBorders>
            <w:hideMark/>
          </w:tcPr>
          <w:p w14:paraId="378DCF71" w14:textId="77777777" w:rsidR="00657A3F" w:rsidRPr="00F05A93" w:rsidRDefault="00657A3F" w:rsidP="005146A6">
            <w:pPr>
              <w:spacing w:line="360" w:lineRule="auto"/>
              <w:jc w:val="both"/>
              <w:rPr>
                <w:rFonts w:ascii="Arial" w:hAnsi="Arial" w:cs="Arial"/>
                <w:b/>
                <w:bCs/>
              </w:rPr>
            </w:pPr>
            <w:r w:rsidRPr="00F05A93">
              <w:rPr>
                <w:rFonts w:ascii="Arial" w:hAnsi="Arial" w:cs="Arial"/>
                <w:b/>
                <w:bCs/>
              </w:rPr>
              <w:t>Domain</w:t>
            </w:r>
          </w:p>
        </w:tc>
        <w:tc>
          <w:tcPr>
            <w:tcW w:w="2254" w:type="dxa"/>
            <w:tcBorders>
              <w:top w:val="single" w:sz="4" w:space="0" w:color="auto"/>
              <w:left w:val="single" w:sz="4" w:space="0" w:color="auto"/>
              <w:bottom w:val="single" w:sz="4" w:space="0" w:color="auto"/>
              <w:right w:val="single" w:sz="4" w:space="0" w:color="auto"/>
            </w:tcBorders>
            <w:hideMark/>
          </w:tcPr>
          <w:p w14:paraId="565BFD9D" w14:textId="77777777" w:rsidR="00657A3F" w:rsidRPr="00F05A93" w:rsidRDefault="00657A3F" w:rsidP="005146A6">
            <w:pPr>
              <w:spacing w:line="360" w:lineRule="auto"/>
              <w:jc w:val="both"/>
              <w:rPr>
                <w:rFonts w:ascii="Arial" w:hAnsi="Arial" w:cs="Arial"/>
                <w:b/>
                <w:bCs/>
              </w:rPr>
            </w:pPr>
            <w:r w:rsidRPr="00F05A93">
              <w:rPr>
                <w:rFonts w:ascii="Arial" w:hAnsi="Arial" w:cs="Arial"/>
                <w:b/>
                <w:bCs/>
              </w:rPr>
              <w:t>Themes</w:t>
            </w:r>
          </w:p>
        </w:tc>
        <w:tc>
          <w:tcPr>
            <w:tcW w:w="2254" w:type="dxa"/>
            <w:tcBorders>
              <w:top w:val="single" w:sz="4" w:space="0" w:color="auto"/>
              <w:left w:val="single" w:sz="4" w:space="0" w:color="auto"/>
              <w:bottom w:val="single" w:sz="4" w:space="0" w:color="auto"/>
              <w:right w:val="single" w:sz="4" w:space="0" w:color="auto"/>
            </w:tcBorders>
            <w:hideMark/>
          </w:tcPr>
          <w:p w14:paraId="221D4887" w14:textId="77777777" w:rsidR="00657A3F" w:rsidRPr="00F05A93" w:rsidRDefault="00657A3F" w:rsidP="005146A6">
            <w:pPr>
              <w:spacing w:line="360" w:lineRule="auto"/>
              <w:jc w:val="both"/>
              <w:rPr>
                <w:rFonts w:ascii="Arial" w:hAnsi="Arial" w:cs="Arial"/>
                <w:b/>
                <w:bCs/>
              </w:rPr>
            </w:pPr>
            <w:r w:rsidRPr="00F05A93">
              <w:rPr>
                <w:rFonts w:ascii="Arial" w:hAnsi="Arial" w:cs="Arial"/>
                <w:b/>
                <w:bCs/>
              </w:rPr>
              <w:t>Sub-Themes</w:t>
            </w:r>
          </w:p>
        </w:tc>
        <w:tc>
          <w:tcPr>
            <w:tcW w:w="2254" w:type="dxa"/>
            <w:tcBorders>
              <w:top w:val="single" w:sz="4" w:space="0" w:color="auto"/>
              <w:left w:val="single" w:sz="4" w:space="0" w:color="auto"/>
              <w:bottom w:val="single" w:sz="4" w:space="0" w:color="auto"/>
              <w:right w:val="single" w:sz="4" w:space="0" w:color="auto"/>
            </w:tcBorders>
            <w:hideMark/>
          </w:tcPr>
          <w:p w14:paraId="58742A60" w14:textId="77777777" w:rsidR="00657A3F" w:rsidRPr="00F05A93" w:rsidRDefault="00657A3F" w:rsidP="005146A6">
            <w:pPr>
              <w:spacing w:line="360" w:lineRule="auto"/>
              <w:jc w:val="both"/>
              <w:rPr>
                <w:rFonts w:ascii="Arial" w:hAnsi="Arial" w:cs="Arial"/>
                <w:b/>
                <w:bCs/>
              </w:rPr>
            </w:pPr>
            <w:r w:rsidRPr="00F05A93">
              <w:rPr>
                <w:rFonts w:ascii="Arial" w:hAnsi="Arial" w:cs="Arial"/>
                <w:b/>
                <w:bCs/>
              </w:rPr>
              <w:t>Codes (Findings/Insights)</w:t>
            </w:r>
          </w:p>
        </w:tc>
      </w:tr>
      <w:tr w:rsidR="00657A3F" w:rsidRPr="00F05A93" w14:paraId="3FA79463" w14:textId="77777777" w:rsidTr="005146A6">
        <w:tc>
          <w:tcPr>
            <w:tcW w:w="2254" w:type="dxa"/>
            <w:tcBorders>
              <w:top w:val="single" w:sz="4" w:space="0" w:color="auto"/>
              <w:left w:val="single" w:sz="4" w:space="0" w:color="auto"/>
              <w:bottom w:val="single" w:sz="4" w:space="0" w:color="auto"/>
              <w:right w:val="single" w:sz="4" w:space="0" w:color="auto"/>
            </w:tcBorders>
            <w:hideMark/>
          </w:tcPr>
          <w:p w14:paraId="0AB90954" w14:textId="77777777" w:rsidR="00657A3F" w:rsidRPr="00F05A93" w:rsidRDefault="00657A3F" w:rsidP="005146A6">
            <w:pPr>
              <w:spacing w:line="360" w:lineRule="auto"/>
              <w:jc w:val="both"/>
              <w:rPr>
                <w:rFonts w:ascii="Arial" w:hAnsi="Arial" w:cs="Arial"/>
              </w:rPr>
            </w:pPr>
            <w:r w:rsidRPr="00F05A93">
              <w:rPr>
                <w:rFonts w:ascii="Arial" w:hAnsi="Arial" w:cs="Arial"/>
              </w:rPr>
              <w:t>Digital Health in the NHS</w:t>
            </w:r>
          </w:p>
        </w:tc>
        <w:tc>
          <w:tcPr>
            <w:tcW w:w="2254" w:type="dxa"/>
            <w:tcBorders>
              <w:top w:val="single" w:sz="4" w:space="0" w:color="auto"/>
              <w:left w:val="single" w:sz="4" w:space="0" w:color="auto"/>
              <w:bottom w:val="single" w:sz="4" w:space="0" w:color="auto"/>
              <w:right w:val="single" w:sz="4" w:space="0" w:color="auto"/>
            </w:tcBorders>
            <w:hideMark/>
          </w:tcPr>
          <w:p w14:paraId="77A79A14" w14:textId="77777777" w:rsidR="00657A3F" w:rsidRPr="00F05A93" w:rsidRDefault="00657A3F" w:rsidP="005146A6">
            <w:pPr>
              <w:spacing w:line="360" w:lineRule="auto"/>
              <w:jc w:val="both"/>
              <w:rPr>
                <w:rFonts w:ascii="Arial" w:hAnsi="Arial" w:cs="Arial"/>
              </w:rPr>
            </w:pPr>
            <w:r w:rsidRPr="00F05A93">
              <w:rPr>
                <w:rFonts w:ascii="Arial" w:hAnsi="Arial" w:cs="Arial"/>
              </w:rPr>
              <w:t>Theme 1: Telemedicine and Patient Accessibility</w:t>
            </w:r>
          </w:p>
        </w:tc>
        <w:tc>
          <w:tcPr>
            <w:tcW w:w="2254" w:type="dxa"/>
            <w:tcBorders>
              <w:top w:val="single" w:sz="4" w:space="0" w:color="auto"/>
              <w:left w:val="single" w:sz="4" w:space="0" w:color="auto"/>
              <w:bottom w:val="single" w:sz="4" w:space="0" w:color="auto"/>
              <w:right w:val="single" w:sz="4" w:space="0" w:color="auto"/>
            </w:tcBorders>
            <w:hideMark/>
          </w:tcPr>
          <w:p w14:paraId="73CEE4CD" w14:textId="77777777" w:rsidR="00657A3F" w:rsidRPr="00F05A93" w:rsidRDefault="00657A3F" w:rsidP="005146A6">
            <w:pPr>
              <w:spacing w:line="360" w:lineRule="auto"/>
              <w:jc w:val="both"/>
              <w:rPr>
                <w:rFonts w:ascii="Arial" w:hAnsi="Arial" w:cs="Arial"/>
              </w:rPr>
            </w:pPr>
            <w:r w:rsidRPr="00F05A93">
              <w:rPr>
                <w:rFonts w:ascii="Arial" w:hAnsi="Arial" w:cs="Arial"/>
              </w:rPr>
              <w:t>Increased access and continuity of care</w:t>
            </w:r>
          </w:p>
        </w:tc>
        <w:tc>
          <w:tcPr>
            <w:tcW w:w="2254" w:type="dxa"/>
            <w:tcBorders>
              <w:top w:val="single" w:sz="4" w:space="0" w:color="auto"/>
              <w:left w:val="single" w:sz="4" w:space="0" w:color="auto"/>
              <w:bottom w:val="single" w:sz="4" w:space="0" w:color="auto"/>
              <w:right w:val="single" w:sz="4" w:space="0" w:color="auto"/>
            </w:tcBorders>
            <w:hideMark/>
          </w:tcPr>
          <w:p w14:paraId="632C9045" w14:textId="77777777" w:rsidR="00657A3F" w:rsidRPr="00F05A93" w:rsidRDefault="00657A3F" w:rsidP="005146A6">
            <w:pPr>
              <w:spacing w:line="360" w:lineRule="auto"/>
              <w:jc w:val="both"/>
              <w:rPr>
                <w:rFonts w:ascii="Arial" w:hAnsi="Arial" w:cs="Arial"/>
              </w:rPr>
            </w:pPr>
            <w:r w:rsidRPr="00F05A93">
              <w:rPr>
                <w:rFonts w:ascii="Arial" w:hAnsi="Arial" w:cs="Arial"/>
              </w:rPr>
              <w:t>Virtual consultations, reduced waiting times, rural access, post-COVID adoption</w:t>
            </w:r>
          </w:p>
        </w:tc>
      </w:tr>
      <w:tr w:rsidR="00657A3F" w:rsidRPr="00F05A93" w14:paraId="5BA49F76" w14:textId="77777777" w:rsidTr="005146A6">
        <w:tc>
          <w:tcPr>
            <w:tcW w:w="2254" w:type="dxa"/>
            <w:tcBorders>
              <w:top w:val="single" w:sz="4" w:space="0" w:color="auto"/>
              <w:left w:val="single" w:sz="4" w:space="0" w:color="auto"/>
              <w:bottom w:val="single" w:sz="4" w:space="0" w:color="auto"/>
              <w:right w:val="single" w:sz="4" w:space="0" w:color="auto"/>
            </w:tcBorders>
          </w:tcPr>
          <w:p w14:paraId="1AF47455"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p w14:paraId="2F1F969B"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hideMark/>
          </w:tcPr>
          <w:p w14:paraId="69E174D9" w14:textId="77777777" w:rsidR="00657A3F" w:rsidRPr="00F05A93" w:rsidRDefault="00657A3F" w:rsidP="005146A6">
            <w:pPr>
              <w:spacing w:line="360" w:lineRule="auto"/>
              <w:jc w:val="both"/>
              <w:rPr>
                <w:rFonts w:ascii="Arial" w:hAnsi="Arial" w:cs="Arial"/>
              </w:rPr>
            </w:pPr>
            <w:r w:rsidRPr="00F05A93">
              <w:rPr>
                <w:rFonts w:ascii="Arial" w:hAnsi="Arial" w:cs="Arial"/>
              </w:rPr>
              <w:t>Digital inequality and exclusion</w:t>
            </w:r>
          </w:p>
        </w:tc>
        <w:tc>
          <w:tcPr>
            <w:tcW w:w="2254" w:type="dxa"/>
            <w:tcBorders>
              <w:top w:val="single" w:sz="4" w:space="0" w:color="auto"/>
              <w:left w:val="single" w:sz="4" w:space="0" w:color="auto"/>
              <w:bottom w:val="single" w:sz="4" w:space="0" w:color="auto"/>
              <w:right w:val="single" w:sz="4" w:space="0" w:color="auto"/>
            </w:tcBorders>
            <w:hideMark/>
          </w:tcPr>
          <w:p w14:paraId="094CA00C" w14:textId="77777777" w:rsidR="00657A3F" w:rsidRPr="00F05A93" w:rsidRDefault="00657A3F" w:rsidP="005146A6">
            <w:pPr>
              <w:spacing w:line="360" w:lineRule="auto"/>
              <w:jc w:val="both"/>
              <w:rPr>
                <w:rFonts w:ascii="Arial" w:hAnsi="Arial" w:cs="Arial"/>
              </w:rPr>
            </w:pPr>
            <w:r w:rsidRPr="00F05A93">
              <w:rPr>
                <w:rFonts w:ascii="Arial" w:hAnsi="Arial" w:cs="Arial"/>
              </w:rPr>
              <w:t>Digital inequality and exclusion</w:t>
            </w:r>
          </w:p>
        </w:tc>
      </w:tr>
      <w:tr w:rsidR="00657A3F" w:rsidRPr="00F05A93" w14:paraId="66149E1B" w14:textId="77777777" w:rsidTr="005146A6">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1B60F872" w14:textId="77777777" w:rsidTr="005146A6">
              <w:trPr>
                <w:tblCellSpacing w:w="15" w:type="dxa"/>
              </w:trPr>
              <w:tc>
                <w:tcPr>
                  <w:tcW w:w="0" w:type="auto"/>
                  <w:tcMar>
                    <w:top w:w="15" w:type="dxa"/>
                    <w:left w:w="15" w:type="dxa"/>
                    <w:bottom w:w="15" w:type="dxa"/>
                    <w:right w:w="15" w:type="dxa"/>
                  </w:tcMar>
                  <w:vAlign w:val="center"/>
                  <w:hideMark/>
                </w:tcPr>
                <w:p w14:paraId="5586470F"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b/>
                      <w:bCs/>
                      <w:kern w:val="2"/>
                      <w14:ligatures w14:val="standardContextual"/>
                    </w:rPr>
                    <w:t>Integrated Healthcare Systems</w:t>
                  </w:r>
                </w:p>
              </w:tc>
            </w:tr>
          </w:tbl>
          <w:p w14:paraId="7227F9C3"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2999C7BE" w14:textId="77777777" w:rsidTr="005146A6">
              <w:trPr>
                <w:tblCellSpacing w:w="15" w:type="dxa"/>
                <w:hidden/>
              </w:trPr>
              <w:tc>
                <w:tcPr>
                  <w:tcW w:w="0" w:type="auto"/>
                  <w:tcMar>
                    <w:top w:w="15" w:type="dxa"/>
                    <w:left w:w="15" w:type="dxa"/>
                    <w:bottom w:w="15" w:type="dxa"/>
                    <w:right w:w="15" w:type="dxa"/>
                  </w:tcMar>
                  <w:vAlign w:val="center"/>
                  <w:hideMark/>
                </w:tcPr>
                <w:p w14:paraId="02A5B191"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0B90831E"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031075BA" w14:textId="77777777" w:rsidTr="005146A6">
              <w:trPr>
                <w:tblCellSpacing w:w="15" w:type="dxa"/>
              </w:trPr>
              <w:tc>
                <w:tcPr>
                  <w:tcW w:w="0" w:type="auto"/>
                  <w:tcMar>
                    <w:top w:w="15" w:type="dxa"/>
                    <w:left w:w="15" w:type="dxa"/>
                    <w:bottom w:w="15" w:type="dxa"/>
                    <w:right w:w="15" w:type="dxa"/>
                  </w:tcMar>
                  <w:vAlign w:val="center"/>
                  <w:hideMark/>
                </w:tcPr>
                <w:p w14:paraId="4202DE21"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b/>
                      <w:bCs/>
                      <w:kern w:val="2"/>
                      <w14:ligatures w14:val="standardContextual"/>
                    </w:rPr>
                    <w:t>Theme 2: Electronic Health Records (EHRs) and Coordinated Care</w:t>
                  </w:r>
                </w:p>
              </w:tc>
            </w:tr>
          </w:tbl>
          <w:p w14:paraId="29811CF7"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2BA9764A" w14:textId="77777777" w:rsidTr="005146A6">
              <w:trPr>
                <w:tblCellSpacing w:w="15" w:type="dxa"/>
                <w:hidden/>
              </w:trPr>
              <w:tc>
                <w:tcPr>
                  <w:tcW w:w="0" w:type="auto"/>
                  <w:tcMar>
                    <w:top w:w="15" w:type="dxa"/>
                    <w:left w:w="15" w:type="dxa"/>
                    <w:bottom w:w="15" w:type="dxa"/>
                    <w:right w:w="15" w:type="dxa"/>
                  </w:tcMar>
                  <w:vAlign w:val="center"/>
                  <w:hideMark/>
                </w:tcPr>
                <w:p w14:paraId="5940F2A4"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1F2BC043"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5CC99C3A" w14:textId="77777777" w:rsidTr="005146A6">
              <w:trPr>
                <w:tblCellSpacing w:w="15" w:type="dxa"/>
              </w:trPr>
              <w:tc>
                <w:tcPr>
                  <w:tcW w:w="0" w:type="auto"/>
                  <w:tcMar>
                    <w:top w:w="15" w:type="dxa"/>
                    <w:left w:w="15" w:type="dxa"/>
                    <w:bottom w:w="15" w:type="dxa"/>
                    <w:right w:w="15" w:type="dxa"/>
                  </w:tcMar>
                  <w:vAlign w:val="center"/>
                  <w:hideMark/>
                </w:tcPr>
                <w:p w14:paraId="6C7B99D6"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Interoperability and integration</w:t>
                  </w:r>
                </w:p>
              </w:tc>
            </w:tr>
          </w:tbl>
          <w:p w14:paraId="3D7B5614"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4A5FC155" w14:textId="77777777" w:rsidTr="005146A6">
              <w:trPr>
                <w:tblCellSpacing w:w="15" w:type="dxa"/>
                <w:hidden/>
              </w:trPr>
              <w:tc>
                <w:tcPr>
                  <w:tcW w:w="0" w:type="auto"/>
                  <w:tcMar>
                    <w:top w:w="15" w:type="dxa"/>
                    <w:left w:w="15" w:type="dxa"/>
                    <w:bottom w:w="15" w:type="dxa"/>
                    <w:right w:w="15" w:type="dxa"/>
                  </w:tcMar>
                  <w:vAlign w:val="center"/>
                  <w:hideMark/>
                </w:tcPr>
                <w:p w14:paraId="3FA22484"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5688AA80"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664B9FCA" w14:textId="77777777" w:rsidTr="005146A6">
              <w:trPr>
                <w:tblCellSpacing w:w="15" w:type="dxa"/>
              </w:trPr>
              <w:tc>
                <w:tcPr>
                  <w:tcW w:w="0" w:type="auto"/>
                  <w:tcMar>
                    <w:top w:w="15" w:type="dxa"/>
                    <w:left w:w="15" w:type="dxa"/>
                    <w:bottom w:w="15" w:type="dxa"/>
                    <w:right w:w="15" w:type="dxa"/>
                  </w:tcMar>
                  <w:vAlign w:val="center"/>
                  <w:hideMark/>
                </w:tcPr>
                <w:p w14:paraId="5401DB6C"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Shared patient data, cross-department access, reduced duplication, improved decision-making</w:t>
                  </w:r>
                </w:p>
              </w:tc>
            </w:tr>
          </w:tbl>
          <w:p w14:paraId="7E3DF540"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73D350DA" w14:textId="77777777" w:rsidTr="005146A6">
              <w:trPr>
                <w:tblCellSpacing w:w="15" w:type="dxa"/>
                <w:hidden/>
              </w:trPr>
              <w:tc>
                <w:tcPr>
                  <w:tcW w:w="0" w:type="auto"/>
                  <w:tcMar>
                    <w:top w:w="15" w:type="dxa"/>
                    <w:left w:w="15" w:type="dxa"/>
                    <w:bottom w:w="15" w:type="dxa"/>
                    <w:right w:w="15" w:type="dxa"/>
                  </w:tcMar>
                  <w:vAlign w:val="center"/>
                  <w:hideMark/>
                </w:tcPr>
                <w:p w14:paraId="29F69588"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0CD1C238" w14:textId="77777777" w:rsidR="00657A3F" w:rsidRPr="00F05A93" w:rsidRDefault="00657A3F" w:rsidP="005146A6">
            <w:pPr>
              <w:spacing w:line="360" w:lineRule="auto"/>
              <w:jc w:val="both"/>
              <w:rPr>
                <w:rFonts w:ascii="Arial" w:hAnsi="Arial" w:cs="Arial"/>
              </w:rPr>
            </w:pPr>
          </w:p>
        </w:tc>
      </w:tr>
      <w:tr w:rsidR="00657A3F" w:rsidRPr="00F05A93" w14:paraId="0E62630B" w14:textId="77777777" w:rsidTr="005146A6">
        <w:tc>
          <w:tcPr>
            <w:tcW w:w="2254" w:type="dxa"/>
            <w:tcBorders>
              <w:top w:val="single" w:sz="4" w:space="0" w:color="auto"/>
              <w:left w:val="single" w:sz="4" w:space="0" w:color="auto"/>
              <w:bottom w:val="single" w:sz="4" w:space="0" w:color="auto"/>
              <w:right w:val="single" w:sz="4" w:space="0" w:color="auto"/>
            </w:tcBorders>
          </w:tcPr>
          <w:p w14:paraId="400261C0"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p w14:paraId="366CEAD4"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5014D1A8" w14:textId="77777777" w:rsidTr="005146A6">
              <w:trPr>
                <w:tblCellSpacing w:w="15" w:type="dxa"/>
              </w:trPr>
              <w:tc>
                <w:tcPr>
                  <w:tcW w:w="0" w:type="auto"/>
                  <w:tcMar>
                    <w:top w:w="15" w:type="dxa"/>
                    <w:left w:w="15" w:type="dxa"/>
                    <w:bottom w:w="15" w:type="dxa"/>
                    <w:right w:w="15" w:type="dxa"/>
                  </w:tcMar>
                  <w:vAlign w:val="center"/>
                  <w:hideMark/>
                </w:tcPr>
                <w:p w14:paraId="0B7985F5"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Efficiency and workflow improvement</w:t>
                  </w:r>
                </w:p>
              </w:tc>
            </w:tr>
          </w:tbl>
          <w:p w14:paraId="49BC0913"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33AAB906" w14:textId="77777777" w:rsidTr="005146A6">
              <w:trPr>
                <w:tblCellSpacing w:w="15" w:type="dxa"/>
                <w:hidden/>
              </w:trPr>
              <w:tc>
                <w:tcPr>
                  <w:tcW w:w="0" w:type="auto"/>
                  <w:tcMar>
                    <w:top w:w="15" w:type="dxa"/>
                    <w:left w:w="15" w:type="dxa"/>
                    <w:bottom w:w="15" w:type="dxa"/>
                    <w:right w:w="15" w:type="dxa"/>
                  </w:tcMar>
                  <w:vAlign w:val="center"/>
                  <w:hideMark/>
                </w:tcPr>
                <w:p w14:paraId="4DB4FF15"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3788E057"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111274FB" w14:textId="77777777" w:rsidTr="005146A6">
              <w:trPr>
                <w:tblCellSpacing w:w="15" w:type="dxa"/>
              </w:trPr>
              <w:tc>
                <w:tcPr>
                  <w:tcW w:w="0" w:type="auto"/>
                  <w:tcMar>
                    <w:top w:w="15" w:type="dxa"/>
                    <w:left w:w="15" w:type="dxa"/>
                    <w:bottom w:w="15" w:type="dxa"/>
                    <w:right w:w="15" w:type="dxa"/>
                  </w:tcMar>
                  <w:vAlign w:val="center"/>
                  <w:hideMark/>
                </w:tcPr>
                <w:p w14:paraId="1913362F"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Streamlined communication, </w:t>
                  </w:r>
                  <w:proofErr w:type="gramStart"/>
                  <w:r w:rsidRPr="00F05A93">
                    <w:rPr>
                      <w:rFonts w:ascii="Arial" w:eastAsia="Calibri" w:hAnsi="Arial" w:cs="Arial"/>
                      <w:kern w:val="2"/>
                      <w14:ligatures w14:val="standardContextual"/>
                    </w:rPr>
                    <w:t>time-saving</w:t>
                  </w:r>
                  <w:proofErr w:type="gramEnd"/>
                  <w:r w:rsidRPr="00F05A93">
                    <w:rPr>
                      <w:rFonts w:ascii="Arial" w:eastAsia="Calibri" w:hAnsi="Arial" w:cs="Arial"/>
                      <w:kern w:val="2"/>
                      <w14:ligatures w14:val="standardContextual"/>
                    </w:rPr>
                    <w:t>, paperless processes</w:t>
                  </w:r>
                </w:p>
              </w:tc>
            </w:tr>
          </w:tbl>
          <w:p w14:paraId="0C1E74BD"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1B3C5475" w14:textId="77777777" w:rsidTr="005146A6">
              <w:trPr>
                <w:tblCellSpacing w:w="15" w:type="dxa"/>
                <w:hidden/>
              </w:trPr>
              <w:tc>
                <w:tcPr>
                  <w:tcW w:w="0" w:type="auto"/>
                  <w:tcMar>
                    <w:top w:w="15" w:type="dxa"/>
                    <w:left w:w="15" w:type="dxa"/>
                    <w:bottom w:w="15" w:type="dxa"/>
                    <w:right w:w="15" w:type="dxa"/>
                  </w:tcMar>
                  <w:vAlign w:val="center"/>
                  <w:hideMark/>
                </w:tcPr>
                <w:p w14:paraId="077128F1"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7480DB1A" w14:textId="77777777" w:rsidR="00657A3F" w:rsidRPr="00F05A93" w:rsidRDefault="00657A3F" w:rsidP="005146A6">
            <w:pPr>
              <w:spacing w:line="360" w:lineRule="auto"/>
              <w:jc w:val="both"/>
              <w:rPr>
                <w:rFonts w:ascii="Arial" w:hAnsi="Arial" w:cs="Arial"/>
              </w:rPr>
            </w:pPr>
          </w:p>
        </w:tc>
      </w:tr>
      <w:tr w:rsidR="00657A3F" w:rsidRPr="00F05A93" w14:paraId="3544D3AF" w14:textId="77777777" w:rsidTr="005146A6">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5C777CE7" w14:textId="77777777" w:rsidTr="005146A6">
              <w:trPr>
                <w:tblCellSpacing w:w="15" w:type="dxa"/>
              </w:trPr>
              <w:tc>
                <w:tcPr>
                  <w:tcW w:w="0" w:type="auto"/>
                  <w:tcMar>
                    <w:top w:w="15" w:type="dxa"/>
                    <w:left w:w="15" w:type="dxa"/>
                    <w:bottom w:w="15" w:type="dxa"/>
                    <w:right w:w="15" w:type="dxa"/>
                  </w:tcMar>
                  <w:vAlign w:val="center"/>
                  <w:hideMark/>
                </w:tcPr>
                <w:p w14:paraId="6F7E545E"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b/>
                      <w:bCs/>
                      <w:kern w:val="2"/>
                      <w14:ligatures w14:val="standardContextual"/>
                    </w:rPr>
                    <w:t>Patient Empowerment and Engagement</w:t>
                  </w:r>
                </w:p>
              </w:tc>
            </w:tr>
          </w:tbl>
          <w:p w14:paraId="6EFF9357"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51AD439A" w14:textId="77777777" w:rsidTr="005146A6">
              <w:trPr>
                <w:tblCellSpacing w:w="15" w:type="dxa"/>
                <w:hidden/>
              </w:trPr>
              <w:tc>
                <w:tcPr>
                  <w:tcW w:w="0" w:type="auto"/>
                  <w:tcMar>
                    <w:top w:w="15" w:type="dxa"/>
                    <w:left w:w="15" w:type="dxa"/>
                    <w:bottom w:w="15" w:type="dxa"/>
                    <w:right w:w="15" w:type="dxa"/>
                  </w:tcMar>
                  <w:vAlign w:val="center"/>
                  <w:hideMark/>
                </w:tcPr>
                <w:p w14:paraId="5DC4603F"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7F07484D"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6E3664A0" w14:textId="77777777" w:rsidTr="005146A6">
              <w:trPr>
                <w:tblCellSpacing w:w="15" w:type="dxa"/>
              </w:trPr>
              <w:tc>
                <w:tcPr>
                  <w:tcW w:w="0" w:type="auto"/>
                  <w:tcMar>
                    <w:top w:w="15" w:type="dxa"/>
                    <w:left w:w="15" w:type="dxa"/>
                    <w:bottom w:w="15" w:type="dxa"/>
                    <w:right w:w="15" w:type="dxa"/>
                  </w:tcMar>
                  <w:vAlign w:val="center"/>
                  <w:hideMark/>
                </w:tcPr>
                <w:p w14:paraId="556DBE9D"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b/>
                      <w:bCs/>
                      <w:kern w:val="2"/>
                      <w14:ligatures w14:val="standardContextual"/>
                    </w:rPr>
                    <w:t>Theme 3: Mobile Health (mHealth) and Self-Management</w:t>
                  </w:r>
                </w:p>
              </w:tc>
            </w:tr>
          </w:tbl>
          <w:p w14:paraId="37BF34ED"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654AD7E4" w14:textId="77777777" w:rsidTr="005146A6">
              <w:trPr>
                <w:tblCellSpacing w:w="15" w:type="dxa"/>
                <w:hidden/>
              </w:trPr>
              <w:tc>
                <w:tcPr>
                  <w:tcW w:w="0" w:type="auto"/>
                  <w:tcMar>
                    <w:top w:w="15" w:type="dxa"/>
                    <w:left w:w="15" w:type="dxa"/>
                    <w:bottom w:w="15" w:type="dxa"/>
                    <w:right w:w="15" w:type="dxa"/>
                  </w:tcMar>
                  <w:vAlign w:val="center"/>
                  <w:hideMark/>
                </w:tcPr>
                <w:p w14:paraId="3D5E4A08"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03492E82"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28AA8F7E" w14:textId="77777777" w:rsidTr="005146A6">
              <w:trPr>
                <w:tblCellSpacing w:w="15" w:type="dxa"/>
              </w:trPr>
              <w:tc>
                <w:tcPr>
                  <w:tcW w:w="0" w:type="auto"/>
                  <w:tcMar>
                    <w:top w:w="15" w:type="dxa"/>
                    <w:left w:w="15" w:type="dxa"/>
                    <w:bottom w:w="15" w:type="dxa"/>
                    <w:right w:w="15" w:type="dxa"/>
                  </w:tcMar>
                  <w:vAlign w:val="center"/>
                  <w:hideMark/>
                </w:tcPr>
                <w:p w14:paraId="2989DB30"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Patient-centred digital tools</w:t>
                  </w:r>
                </w:p>
              </w:tc>
            </w:tr>
          </w:tbl>
          <w:p w14:paraId="324F9118"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4A129639" w14:textId="77777777" w:rsidTr="005146A6">
              <w:trPr>
                <w:tblCellSpacing w:w="15" w:type="dxa"/>
                <w:hidden/>
              </w:trPr>
              <w:tc>
                <w:tcPr>
                  <w:tcW w:w="0" w:type="auto"/>
                  <w:tcMar>
                    <w:top w:w="15" w:type="dxa"/>
                    <w:left w:w="15" w:type="dxa"/>
                    <w:bottom w:w="15" w:type="dxa"/>
                    <w:right w:w="15" w:type="dxa"/>
                  </w:tcMar>
                  <w:vAlign w:val="center"/>
                  <w:hideMark/>
                </w:tcPr>
                <w:p w14:paraId="317E01AA"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4619DCC7"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13AEEF38" w14:textId="77777777" w:rsidTr="005146A6">
              <w:trPr>
                <w:tblCellSpacing w:w="15" w:type="dxa"/>
              </w:trPr>
              <w:tc>
                <w:tcPr>
                  <w:tcW w:w="0" w:type="auto"/>
                  <w:tcMar>
                    <w:top w:w="15" w:type="dxa"/>
                    <w:left w:w="15" w:type="dxa"/>
                    <w:bottom w:w="15" w:type="dxa"/>
                    <w:right w:w="15" w:type="dxa"/>
                  </w:tcMar>
                  <w:vAlign w:val="center"/>
                  <w:hideMark/>
                </w:tcPr>
                <w:p w14:paraId="6937907D"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Health monitoring apps, wearable devices, medication reminders</w:t>
                  </w:r>
                </w:p>
              </w:tc>
            </w:tr>
          </w:tbl>
          <w:p w14:paraId="391BE8B9"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061760D2" w14:textId="77777777" w:rsidTr="005146A6">
              <w:trPr>
                <w:tblCellSpacing w:w="15" w:type="dxa"/>
                <w:hidden/>
              </w:trPr>
              <w:tc>
                <w:tcPr>
                  <w:tcW w:w="0" w:type="auto"/>
                  <w:tcMar>
                    <w:top w:w="15" w:type="dxa"/>
                    <w:left w:w="15" w:type="dxa"/>
                    <w:bottom w:w="15" w:type="dxa"/>
                    <w:right w:w="15" w:type="dxa"/>
                  </w:tcMar>
                  <w:vAlign w:val="center"/>
                  <w:hideMark/>
                </w:tcPr>
                <w:p w14:paraId="7EBBCF94"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49EA1C19" w14:textId="77777777" w:rsidR="00657A3F" w:rsidRPr="00F05A93" w:rsidRDefault="00657A3F" w:rsidP="005146A6">
            <w:pPr>
              <w:spacing w:line="360" w:lineRule="auto"/>
              <w:jc w:val="both"/>
              <w:rPr>
                <w:rFonts w:ascii="Arial" w:hAnsi="Arial" w:cs="Arial"/>
              </w:rPr>
            </w:pPr>
          </w:p>
        </w:tc>
      </w:tr>
      <w:tr w:rsidR="00657A3F" w:rsidRPr="00F05A93" w14:paraId="1644BAE2" w14:textId="77777777" w:rsidTr="005146A6">
        <w:tc>
          <w:tcPr>
            <w:tcW w:w="2254" w:type="dxa"/>
            <w:tcBorders>
              <w:top w:val="single" w:sz="4" w:space="0" w:color="auto"/>
              <w:left w:val="single" w:sz="4" w:space="0" w:color="auto"/>
              <w:bottom w:val="single" w:sz="4" w:space="0" w:color="auto"/>
              <w:right w:val="single" w:sz="4" w:space="0" w:color="auto"/>
            </w:tcBorders>
          </w:tcPr>
          <w:p w14:paraId="2C79A9EE" w14:textId="77777777" w:rsidR="00657A3F" w:rsidRPr="00F05A93" w:rsidRDefault="00657A3F" w:rsidP="005146A6">
            <w:pPr>
              <w:spacing w:line="360" w:lineRule="auto"/>
              <w:jc w:val="both"/>
              <w:rPr>
                <w:rFonts w:ascii="Arial" w:hAnsi="Arial" w:cs="Arial"/>
                <w:b/>
                <w:bCs/>
              </w:rPr>
            </w:pPr>
          </w:p>
        </w:tc>
        <w:tc>
          <w:tcPr>
            <w:tcW w:w="2254" w:type="dxa"/>
            <w:tcBorders>
              <w:top w:val="single" w:sz="4" w:space="0" w:color="auto"/>
              <w:left w:val="single" w:sz="4" w:space="0" w:color="auto"/>
              <w:bottom w:val="single" w:sz="4" w:space="0" w:color="auto"/>
              <w:right w:val="single" w:sz="4" w:space="0" w:color="auto"/>
            </w:tcBorders>
          </w:tcPr>
          <w:p w14:paraId="5278E2A1" w14:textId="77777777" w:rsidR="00657A3F" w:rsidRPr="00F05A93" w:rsidRDefault="00657A3F" w:rsidP="005146A6">
            <w:pPr>
              <w:spacing w:line="360" w:lineRule="auto"/>
              <w:jc w:val="both"/>
              <w:rPr>
                <w:rFonts w:ascii="Arial" w:hAnsi="Arial" w:cs="Arial"/>
                <w:b/>
                <w:bCs/>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15F9C311" w14:textId="77777777" w:rsidTr="005146A6">
              <w:trPr>
                <w:tblCellSpacing w:w="15" w:type="dxa"/>
              </w:trPr>
              <w:tc>
                <w:tcPr>
                  <w:tcW w:w="0" w:type="auto"/>
                  <w:tcMar>
                    <w:top w:w="15" w:type="dxa"/>
                    <w:left w:w="15" w:type="dxa"/>
                    <w:bottom w:w="15" w:type="dxa"/>
                    <w:right w:w="15" w:type="dxa"/>
                  </w:tcMar>
                  <w:vAlign w:val="center"/>
                  <w:hideMark/>
                </w:tcPr>
                <w:p w14:paraId="029B2C29"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Motivation and behaviour change</w:t>
                  </w:r>
                </w:p>
              </w:tc>
            </w:tr>
          </w:tbl>
          <w:p w14:paraId="29BD1010"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79DBB2E9" w14:textId="77777777" w:rsidTr="005146A6">
              <w:trPr>
                <w:tblCellSpacing w:w="15" w:type="dxa"/>
                <w:hidden/>
              </w:trPr>
              <w:tc>
                <w:tcPr>
                  <w:tcW w:w="0" w:type="auto"/>
                  <w:tcMar>
                    <w:top w:w="15" w:type="dxa"/>
                    <w:left w:w="15" w:type="dxa"/>
                    <w:bottom w:w="15" w:type="dxa"/>
                    <w:right w:w="15" w:type="dxa"/>
                  </w:tcMar>
                  <w:vAlign w:val="center"/>
                  <w:hideMark/>
                </w:tcPr>
                <w:p w14:paraId="551DF8B9"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7C6B8F73"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3A4CB812" w14:textId="77777777" w:rsidTr="005146A6">
              <w:trPr>
                <w:tblCellSpacing w:w="15" w:type="dxa"/>
              </w:trPr>
              <w:tc>
                <w:tcPr>
                  <w:tcW w:w="0" w:type="auto"/>
                  <w:tcMar>
                    <w:top w:w="15" w:type="dxa"/>
                    <w:left w:w="15" w:type="dxa"/>
                    <w:bottom w:w="15" w:type="dxa"/>
                    <w:right w:w="15" w:type="dxa"/>
                  </w:tcMar>
                  <w:vAlign w:val="center"/>
                  <w:hideMark/>
                </w:tcPr>
                <w:p w14:paraId="456B23E4"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Autonomy, self-care, adherence, lifestyle management</w:t>
                  </w:r>
                </w:p>
              </w:tc>
            </w:tr>
          </w:tbl>
          <w:p w14:paraId="2C3E6701"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7FEC7434" w14:textId="77777777" w:rsidTr="005146A6">
              <w:trPr>
                <w:tblCellSpacing w:w="15" w:type="dxa"/>
                <w:hidden/>
              </w:trPr>
              <w:tc>
                <w:tcPr>
                  <w:tcW w:w="0" w:type="auto"/>
                  <w:tcMar>
                    <w:top w:w="15" w:type="dxa"/>
                    <w:left w:w="15" w:type="dxa"/>
                    <w:bottom w:w="15" w:type="dxa"/>
                    <w:right w:w="15" w:type="dxa"/>
                  </w:tcMar>
                  <w:vAlign w:val="center"/>
                  <w:hideMark/>
                </w:tcPr>
                <w:p w14:paraId="71024A62"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2D32F098" w14:textId="77777777" w:rsidR="00657A3F" w:rsidRPr="00F05A93" w:rsidRDefault="00657A3F" w:rsidP="005146A6">
            <w:pPr>
              <w:spacing w:line="360" w:lineRule="auto"/>
              <w:jc w:val="both"/>
              <w:rPr>
                <w:rFonts w:ascii="Arial" w:hAnsi="Arial" w:cs="Arial"/>
              </w:rPr>
            </w:pPr>
          </w:p>
        </w:tc>
      </w:tr>
      <w:tr w:rsidR="00657A3F" w:rsidRPr="00F05A93" w14:paraId="5AD4A964" w14:textId="77777777" w:rsidTr="005146A6">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63FB5503" w14:textId="77777777" w:rsidTr="005146A6">
              <w:trPr>
                <w:tblCellSpacing w:w="15" w:type="dxa"/>
              </w:trPr>
              <w:tc>
                <w:tcPr>
                  <w:tcW w:w="0" w:type="auto"/>
                  <w:tcMar>
                    <w:top w:w="15" w:type="dxa"/>
                    <w:left w:w="15" w:type="dxa"/>
                    <w:bottom w:w="15" w:type="dxa"/>
                    <w:right w:w="15" w:type="dxa"/>
                  </w:tcMar>
                  <w:vAlign w:val="center"/>
                  <w:hideMark/>
                </w:tcPr>
                <w:p w14:paraId="65C22466" w14:textId="77777777" w:rsidR="00657A3F" w:rsidRPr="00F05A93" w:rsidRDefault="00657A3F" w:rsidP="005146A6">
                  <w:pPr>
                    <w:spacing w:after="0" w:line="360" w:lineRule="auto"/>
                    <w:jc w:val="both"/>
                    <w:rPr>
                      <w:rFonts w:ascii="Arial" w:eastAsia="Calibri" w:hAnsi="Arial" w:cs="Arial"/>
                      <w:b/>
                      <w:bCs/>
                      <w:kern w:val="2"/>
                      <w14:ligatures w14:val="standardContextual"/>
                    </w:rPr>
                  </w:pPr>
                  <w:r w:rsidRPr="00F05A93">
                    <w:rPr>
                      <w:rFonts w:ascii="Arial" w:eastAsia="Calibri" w:hAnsi="Arial" w:cs="Arial"/>
                      <w:b/>
                      <w:bCs/>
                      <w:kern w:val="2"/>
                      <w14:ligatures w14:val="standardContextual"/>
                    </w:rPr>
                    <w:t>Technological Innovation</w:t>
                  </w:r>
                </w:p>
              </w:tc>
            </w:tr>
          </w:tbl>
          <w:p w14:paraId="3BF94CE0" w14:textId="77777777" w:rsidR="00657A3F" w:rsidRPr="00F05A93" w:rsidRDefault="00657A3F" w:rsidP="005146A6">
            <w:pPr>
              <w:spacing w:line="360" w:lineRule="auto"/>
              <w:jc w:val="both"/>
              <w:rPr>
                <w:rFonts w:ascii="Arial" w:hAnsi="Arial" w:cs="Arial"/>
                <w:b/>
                <w:bCs/>
                <w:vanish/>
              </w:rPr>
            </w:pPr>
          </w:p>
          <w:tbl>
            <w:tblPr>
              <w:tblW w:w="0" w:type="auto"/>
              <w:tblCellSpacing w:w="15" w:type="dxa"/>
              <w:tblLook w:val="04A0" w:firstRow="1" w:lastRow="0" w:firstColumn="1" w:lastColumn="0" w:noHBand="0" w:noVBand="1"/>
            </w:tblPr>
            <w:tblGrid>
              <w:gridCol w:w="96"/>
            </w:tblGrid>
            <w:tr w:rsidR="00657A3F" w:rsidRPr="00F05A93" w14:paraId="358D2796" w14:textId="77777777" w:rsidTr="005146A6">
              <w:trPr>
                <w:tblCellSpacing w:w="15" w:type="dxa"/>
                <w:hidden/>
              </w:trPr>
              <w:tc>
                <w:tcPr>
                  <w:tcW w:w="0" w:type="auto"/>
                  <w:tcMar>
                    <w:top w:w="15" w:type="dxa"/>
                    <w:left w:w="15" w:type="dxa"/>
                    <w:bottom w:w="15" w:type="dxa"/>
                    <w:right w:w="15" w:type="dxa"/>
                  </w:tcMar>
                  <w:vAlign w:val="center"/>
                  <w:hideMark/>
                </w:tcPr>
                <w:p w14:paraId="6606FFB8" w14:textId="77777777" w:rsidR="00657A3F" w:rsidRPr="00F05A93" w:rsidRDefault="00657A3F" w:rsidP="005146A6">
                  <w:pPr>
                    <w:spacing w:after="160" w:line="360" w:lineRule="auto"/>
                    <w:ind w:firstLine="720"/>
                    <w:jc w:val="both"/>
                    <w:rPr>
                      <w:rFonts w:ascii="Arial" w:eastAsia="Calibri" w:hAnsi="Arial" w:cs="Arial"/>
                      <w:b/>
                      <w:bCs/>
                      <w:vanish/>
                      <w:kern w:val="2"/>
                      <w14:ligatures w14:val="standardContextual"/>
                    </w:rPr>
                  </w:pPr>
                </w:p>
              </w:tc>
            </w:tr>
          </w:tbl>
          <w:p w14:paraId="033474FF" w14:textId="77777777" w:rsidR="00657A3F" w:rsidRPr="00F05A93" w:rsidRDefault="00657A3F" w:rsidP="005146A6">
            <w:pPr>
              <w:spacing w:line="360" w:lineRule="auto"/>
              <w:jc w:val="both"/>
              <w:rPr>
                <w:rFonts w:ascii="Arial" w:hAnsi="Arial" w:cs="Arial"/>
                <w:b/>
                <w:bCs/>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538432B4" w14:textId="77777777" w:rsidTr="005146A6">
              <w:trPr>
                <w:tblCellSpacing w:w="15" w:type="dxa"/>
              </w:trPr>
              <w:tc>
                <w:tcPr>
                  <w:tcW w:w="0" w:type="auto"/>
                  <w:tcMar>
                    <w:top w:w="15" w:type="dxa"/>
                    <w:left w:w="15" w:type="dxa"/>
                    <w:bottom w:w="15" w:type="dxa"/>
                    <w:right w:w="15" w:type="dxa"/>
                  </w:tcMar>
                  <w:vAlign w:val="center"/>
                  <w:hideMark/>
                </w:tcPr>
                <w:p w14:paraId="0E790367" w14:textId="77777777" w:rsidR="00657A3F" w:rsidRPr="00F05A93" w:rsidRDefault="00657A3F" w:rsidP="005146A6">
                  <w:pPr>
                    <w:spacing w:after="0" w:line="360" w:lineRule="auto"/>
                    <w:jc w:val="both"/>
                    <w:rPr>
                      <w:rFonts w:ascii="Arial" w:eastAsia="Calibri" w:hAnsi="Arial" w:cs="Arial"/>
                      <w:b/>
                      <w:bCs/>
                      <w:kern w:val="2"/>
                      <w14:ligatures w14:val="standardContextual"/>
                    </w:rPr>
                  </w:pPr>
                  <w:r w:rsidRPr="00F05A93">
                    <w:rPr>
                      <w:rFonts w:ascii="Arial" w:eastAsia="Calibri" w:hAnsi="Arial" w:cs="Arial"/>
                      <w:b/>
                      <w:bCs/>
                      <w:kern w:val="2"/>
                      <w14:ligatures w14:val="standardContextual"/>
                    </w:rPr>
                    <w:t xml:space="preserve">Theme 4: Artificial Intelligence (AI) </w:t>
                  </w:r>
                  <w:r w:rsidRPr="00F05A93">
                    <w:rPr>
                      <w:rFonts w:ascii="Arial" w:eastAsia="Calibri" w:hAnsi="Arial" w:cs="Arial"/>
                      <w:b/>
                      <w:bCs/>
                      <w:kern w:val="2"/>
                      <w14:ligatures w14:val="standardContextual"/>
                    </w:rPr>
                    <w:lastRenderedPageBreak/>
                    <w:t>and Diagnostic Efficiency</w:t>
                  </w:r>
                </w:p>
              </w:tc>
            </w:tr>
          </w:tbl>
          <w:p w14:paraId="1199FB49" w14:textId="77777777" w:rsidR="00657A3F" w:rsidRPr="00F05A93" w:rsidRDefault="00657A3F" w:rsidP="005146A6">
            <w:pPr>
              <w:spacing w:line="360" w:lineRule="auto"/>
              <w:jc w:val="both"/>
              <w:rPr>
                <w:rFonts w:ascii="Arial" w:hAnsi="Arial" w:cs="Arial"/>
                <w:b/>
                <w:bCs/>
                <w:vanish/>
              </w:rPr>
            </w:pPr>
          </w:p>
          <w:tbl>
            <w:tblPr>
              <w:tblW w:w="0" w:type="auto"/>
              <w:tblCellSpacing w:w="15" w:type="dxa"/>
              <w:tblLook w:val="04A0" w:firstRow="1" w:lastRow="0" w:firstColumn="1" w:lastColumn="0" w:noHBand="0" w:noVBand="1"/>
            </w:tblPr>
            <w:tblGrid>
              <w:gridCol w:w="96"/>
            </w:tblGrid>
            <w:tr w:rsidR="00657A3F" w:rsidRPr="00F05A93" w14:paraId="3A8F2E0B" w14:textId="77777777" w:rsidTr="005146A6">
              <w:trPr>
                <w:tblCellSpacing w:w="15" w:type="dxa"/>
                <w:hidden/>
              </w:trPr>
              <w:tc>
                <w:tcPr>
                  <w:tcW w:w="0" w:type="auto"/>
                  <w:tcMar>
                    <w:top w:w="15" w:type="dxa"/>
                    <w:left w:w="15" w:type="dxa"/>
                    <w:bottom w:w="15" w:type="dxa"/>
                    <w:right w:w="15" w:type="dxa"/>
                  </w:tcMar>
                  <w:vAlign w:val="center"/>
                  <w:hideMark/>
                </w:tcPr>
                <w:p w14:paraId="5B49D577" w14:textId="77777777" w:rsidR="00657A3F" w:rsidRPr="00F05A93" w:rsidRDefault="00657A3F" w:rsidP="005146A6">
                  <w:pPr>
                    <w:spacing w:after="160" w:line="360" w:lineRule="auto"/>
                    <w:ind w:firstLine="720"/>
                    <w:jc w:val="both"/>
                    <w:rPr>
                      <w:rFonts w:ascii="Arial" w:eastAsia="Calibri" w:hAnsi="Arial" w:cs="Arial"/>
                      <w:b/>
                      <w:bCs/>
                      <w:vanish/>
                      <w:kern w:val="2"/>
                      <w14:ligatures w14:val="standardContextual"/>
                    </w:rPr>
                  </w:pPr>
                </w:p>
              </w:tc>
            </w:tr>
          </w:tbl>
          <w:p w14:paraId="21E6207C" w14:textId="77777777" w:rsidR="00657A3F" w:rsidRPr="00F05A93" w:rsidRDefault="00657A3F" w:rsidP="005146A6">
            <w:pPr>
              <w:spacing w:line="360" w:lineRule="auto"/>
              <w:jc w:val="both"/>
              <w:rPr>
                <w:rFonts w:ascii="Arial" w:hAnsi="Arial" w:cs="Arial"/>
                <w:b/>
                <w:bCs/>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7D99ED0E" w14:textId="77777777" w:rsidTr="005146A6">
              <w:trPr>
                <w:tblCellSpacing w:w="15" w:type="dxa"/>
              </w:trPr>
              <w:tc>
                <w:tcPr>
                  <w:tcW w:w="0" w:type="auto"/>
                  <w:tcMar>
                    <w:top w:w="15" w:type="dxa"/>
                    <w:left w:w="15" w:type="dxa"/>
                    <w:bottom w:w="15" w:type="dxa"/>
                    <w:right w:w="15" w:type="dxa"/>
                  </w:tcMar>
                  <w:vAlign w:val="center"/>
                  <w:hideMark/>
                </w:tcPr>
                <w:p w14:paraId="1478E946"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lastRenderedPageBreak/>
                    <w:t>Early disease detection</w:t>
                  </w:r>
                </w:p>
              </w:tc>
            </w:tr>
          </w:tbl>
          <w:p w14:paraId="15282EFF"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22A357A9" w14:textId="77777777" w:rsidTr="005146A6">
              <w:trPr>
                <w:tblCellSpacing w:w="15" w:type="dxa"/>
                <w:hidden/>
              </w:trPr>
              <w:tc>
                <w:tcPr>
                  <w:tcW w:w="0" w:type="auto"/>
                  <w:tcMar>
                    <w:top w:w="15" w:type="dxa"/>
                    <w:left w:w="15" w:type="dxa"/>
                    <w:bottom w:w="15" w:type="dxa"/>
                    <w:right w:w="15" w:type="dxa"/>
                  </w:tcMar>
                  <w:vAlign w:val="center"/>
                  <w:hideMark/>
                </w:tcPr>
                <w:p w14:paraId="419F9852"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6F66A803"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05DA3300" w14:textId="77777777" w:rsidTr="005146A6">
              <w:trPr>
                <w:tblCellSpacing w:w="15" w:type="dxa"/>
              </w:trPr>
              <w:tc>
                <w:tcPr>
                  <w:tcW w:w="0" w:type="auto"/>
                  <w:tcMar>
                    <w:top w:w="15" w:type="dxa"/>
                    <w:left w:w="15" w:type="dxa"/>
                    <w:bottom w:w="15" w:type="dxa"/>
                    <w:right w:w="15" w:type="dxa"/>
                  </w:tcMar>
                  <w:vAlign w:val="center"/>
                  <w:hideMark/>
                </w:tcPr>
                <w:p w14:paraId="50486F14"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Imaging analytics, pattern recognition, </w:t>
                  </w:r>
                  <w:r w:rsidRPr="00F05A93">
                    <w:rPr>
                      <w:rFonts w:ascii="Arial" w:eastAsia="Calibri" w:hAnsi="Arial" w:cs="Arial"/>
                      <w:kern w:val="2"/>
                      <w14:ligatures w14:val="standardContextual"/>
                    </w:rPr>
                    <w:lastRenderedPageBreak/>
                    <w:t>predictive analytics</w:t>
                  </w:r>
                </w:p>
              </w:tc>
            </w:tr>
          </w:tbl>
          <w:p w14:paraId="1EE34D96"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339302C8" w14:textId="77777777" w:rsidTr="005146A6">
              <w:trPr>
                <w:tblCellSpacing w:w="15" w:type="dxa"/>
                <w:hidden/>
              </w:trPr>
              <w:tc>
                <w:tcPr>
                  <w:tcW w:w="0" w:type="auto"/>
                  <w:tcMar>
                    <w:top w:w="15" w:type="dxa"/>
                    <w:left w:w="15" w:type="dxa"/>
                    <w:bottom w:w="15" w:type="dxa"/>
                    <w:right w:w="15" w:type="dxa"/>
                  </w:tcMar>
                  <w:vAlign w:val="center"/>
                  <w:hideMark/>
                </w:tcPr>
                <w:p w14:paraId="11242B04"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29DE93B1" w14:textId="77777777" w:rsidR="00657A3F" w:rsidRPr="00F05A93" w:rsidRDefault="00657A3F" w:rsidP="005146A6">
            <w:pPr>
              <w:spacing w:line="360" w:lineRule="auto"/>
              <w:jc w:val="both"/>
              <w:rPr>
                <w:rFonts w:ascii="Arial" w:hAnsi="Arial" w:cs="Arial"/>
              </w:rPr>
            </w:pPr>
          </w:p>
        </w:tc>
      </w:tr>
      <w:tr w:rsidR="00657A3F" w:rsidRPr="00F05A93" w14:paraId="24AB108F" w14:textId="77777777" w:rsidTr="005146A6">
        <w:tc>
          <w:tcPr>
            <w:tcW w:w="2254" w:type="dxa"/>
            <w:tcBorders>
              <w:top w:val="single" w:sz="4" w:space="0" w:color="auto"/>
              <w:left w:val="single" w:sz="4" w:space="0" w:color="auto"/>
              <w:bottom w:val="single" w:sz="4" w:space="0" w:color="auto"/>
              <w:right w:val="single" w:sz="4" w:space="0" w:color="auto"/>
            </w:tcBorders>
          </w:tcPr>
          <w:p w14:paraId="2B735518" w14:textId="77777777" w:rsidR="00657A3F" w:rsidRPr="00F05A93" w:rsidRDefault="00657A3F" w:rsidP="005146A6">
            <w:pPr>
              <w:spacing w:line="360" w:lineRule="auto"/>
              <w:jc w:val="both"/>
              <w:rPr>
                <w:rFonts w:ascii="Arial" w:hAnsi="Arial" w:cs="Arial"/>
                <w:b/>
                <w:bCs/>
              </w:rPr>
            </w:pPr>
          </w:p>
        </w:tc>
        <w:tc>
          <w:tcPr>
            <w:tcW w:w="2254" w:type="dxa"/>
            <w:tcBorders>
              <w:top w:val="single" w:sz="4" w:space="0" w:color="auto"/>
              <w:left w:val="single" w:sz="4" w:space="0" w:color="auto"/>
              <w:bottom w:val="single" w:sz="4" w:space="0" w:color="auto"/>
              <w:right w:val="single" w:sz="4" w:space="0" w:color="auto"/>
            </w:tcBorders>
          </w:tcPr>
          <w:p w14:paraId="0294458D" w14:textId="77777777" w:rsidR="00657A3F" w:rsidRPr="00F05A93" w:rsidRDefault="00657A3F" w:rsidP="005146A6">
            <w:pPr>
              <w:spacing w:line="360" w:lineRule="auto"/>
              <w:jc w:val="both"/>
              <w:rPr>
                <w:rFonts w:ascii="Arial" w:hAnsi="Arial" w:cs="Arial"/>
                <w:b/>
                <w:bCs/>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733C6199" w14:textId="77777777" w:rsidTr="005146A6">
              <w:trPr>
                <w:tblCellSpacing w:w="15" w:type="dxa"/>
              </w:trPr>
              <w:tc>
                <w:tcPr>
                  <w:tcW w:w="0" w:type="auto"/>
                  <w:tcMar>
                    <w:top w:w="15" w:type="dxa"/>
                    <w:left w:w="15" w:type="dxa"/>
                    <w:bottom w:w="15" w:type="dxa"/>
                    <w:right w:w="15" w:type="dxa"/>
                  </w:tcMar>
                  <w:vAlign w:val="center"/>
                  <w:hideMark/>
                </w:tcPr>
                <w:p w14:paraId="0D3CDECF"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Ethical and trust challenges</w:t>
                  </w:r>
                </w:p>
              </w:tc>
            </w:tr>
          </w:tbl>
          <w:p w14:paraId="6E791678"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16364FF4" w14:textId="77777777" w:rsidTr="005146A6">
              <w:trPr>
                <w:tblCellSpacing w:w="15" w:type="dxa"/>
                <w:hidden/>
              </w:trPr>
              <w:tc>
                <w:tcPr>
                  <w:tcW w:w="0" w:type="auto"/>
                  <w:tcMar>
                    <w:top w:w="15" w:type="dxa"/>
                    <w:left w:w="15" w:type="dxa"/>
                    <w:bottom w:w="15" w:type="dxa"/>
                    <w:right w:w="15" w:type="dxa"/>
                  </w:tcMar>
                  <w:vAlign w:val="center"/>
                  <w:hideMark/>
                </w:tcPr>
                <w:p w14:paraId="365FD9E1"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3CA5F47F"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5D563F41" w14:textId="77777777" w:rsidTr="005146A6">
              <w:trPr>
                <w:tblCellSpacing w:w="15" w:type="dxa"/>
              </w:trPr>
              <w:tc>
                <w:tcPr>
                  <w:tcW w:w="0" w:type="auto"/>
                  <w:tcMar>
                    <w:top w:w="15" w:type="dxa"/>
                    <w:left w:w="15" w:type="dxa"/>
                    <w:bottom w:w="15" w:type="dxa"/>
                    <w:right w:w="15" w:type="dxa"/>
                  </w:tcMar>
                  <w:vAlign w:val="center"/>
                  <w:hideMark/>
                </w:tcPr>
                <w:p w14:paraId="45A17019"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Algorithm transparency, clinician scepticism, data governance</w:t>
                  </w:r>
                </w:p>
              </w:tc>
            </w:tr>
          </w:tbl>
          <w:p w14:paraId="50C58817"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12E49E0E" w14:textId="77777777" w:rsidTr="005146A6">
              <w:trPr>
                <w:tblCellSpacing w:w="15" w:type="dxa"/>
                <w:hidden/>
              </w:trPr>
              <w:tc>
                <w:tcPr>
                  <w:tcW w:w="0" w:type="auto"/>
                  <w:tcMar>
                    <w:top w:w="15" w:type="dxa"/>
                    <w:left w:w="15" w:type="dxa"/>
                    <w:bottom w:w="15" w:type="dxa"/>
                    <w:right w:w="15" w:type="dxa"/>
                  </w:tcMar>
                  <w:vAlign w:val="center"/>
                  <w:hideMark/>
                </w:tcPr>
                <w:p w14:paraId="4502AE46"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679044C4" w14:textId="77777777" w:rsidR="00657A3F" w:rsidRPr="00F05A93" w:rsidRDefault="00657A3F" w:rsidP="005146A6">
            <w:pPr>
              <w:spacing w:line="360" w:lineRule="auto"/>
              <w:jc w:val="both"/>
              <w:rPr>
                <w:rFonts w:ascii="Arial" w:hAnsi="Arial" w:cs="Arial"/>
              </w:rPr>
            </w:pPr>
          </w:p>
        </w:tc>
      </w:tr>
      <w:tr w:rsidR="00657A3F" w:rsidRPr="00F05A93" w14:paraId="493CE890" w14:textId="77777777" w:rsidTr="005146A6">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119ED9B0" w14:textId="77777777" w:rsidTr="005146A6">
              <w:trPr>
                <w:tblCellSpacing w:w="15" w:type="dxa"/>
              </w:trPr>
              <w:tc>
                <w:tcPr>
                  <w:tcW w:w="0" w:type="auto"/>
                  <w:tcMar>
                    <w:top w:w="15" w:type="dxa"/>
                    <w:left w:w="15" w:type="dxa"/>
                    <w:bottom w:w="15" w:type="dxa"/>
                    <w:right w:w="15" w:type="dxa"/>
                  </w:tcMar>
                  <w:vAlign w:val="center"/>
                  <w:hideMark/>
                </w:tcPr>
                <w:p w14:paraId="51A7135E" w14:textId="77777777" w:rsidR="00657A3F" w:rsidRPr="00F05A93" w:rsidRDefault="00657A3F" w:rsidP="005146A6">
                  <w:pPr>
                    <w:spacing w:after="0" w:line="360" w:lineRule="auto"/>
                    <w:jc w:val="both"/>
                    <w:rPr>
                      <w:rFonts w:ascii="Arial" w:eastAsia="Calibri" w:hAnsi="Arial" w:cs="Arial"/>
                      <w:b/>
                      <w:bCs/>
                      <w:kern w:val="2"/>
                      <w14:ligatures w14:val="standardContextual"/>
                    </w:rPr>
                  </w:pPr>
                  <w:r w:rsidRPr="00F05A93">
                    <w:rPr>
                      <w:rFonts w:ascii="Arial" w:eastAsia="Calibri" w:hAnsi="Arial" w:cs="Arial"/>
                      <w:b/>
                      <w:bCs/>
                      <w:kern w:val="2"/>
                      <w14:ligatures w14:val="standardContextual"/>
                    </w:rPr>
                    <w:t>Digital Transformation Barriers</w:t>
                  </w:r>
                </w:p>
              </w:tc>
            </w:tr>
          </w:tbl>
          <w:p w14:paraId="1611F4EE" w14:textId="77777777" w:rsidR="00657A3F" w:rsidRPr="00F05A93" w:rsidRDefault="00657A3F" w:rsidP="005146A6">
            <w:pPr>
              <w:spacing w:line="360" w:lineRule="auto"/>
              <w:jc w:val="both"/>
              <w:rPr>
                <w:rFonts w:ascii="Arial" w:hAnsi="Arial" w:cs="Arial"/>
                <w:b/>
                <w:bCs/>
                <w:vanish/>
              </w:rPr>
            </w:pPr>
          </w:p>
          <w:tbl>
            <w:tblPr>
              <w:tblW w:w="0" w:type="auto"/>
              <w:tblCellSpacing w:w="15" w:type="dxa"/>
              <w:tblLook w:val="04A0" w:firstRow="1" w:lastRow="0" w:firstColumn="1" w:lastColumn="0" w:noHBand="0" w:noVBand="1"/>
            </w:tblPr>
            <w:tblGrid>
              <w:gridCol w:w="96"/>
            </w:tblGrid>
            <w:tr w:rsidR="00657A3F" w:rsidRPr="00F05A93" w14:paraId="4B7F5DD7" w14:textId="77777777" w:rsidTr="005146A6">
              <w:trPr>
                <w:tblCellSpacing w:w="15" w:type="dxa"/>
                <w:hidden/>
              </w:trPr>
              <w:tc>
                <w:tcPr>
                  <w:tcW w:w="0" w:type="auto"/>
                  <w:tcMar>
                    <w:top w:w="15" w:type="dxa"/>
                    <w:left w:w="15" w:type="dxa"/>
                    <w:bottom w:w="15" w:type="dxa"/>
                    <w:right w:w="15" w:type="dxa"/>
                  </w:tcMar>
                  <w:vAlign w:val="center"/>
                  <w:hideMark/>
                </w:tcPr>
                <w:p w14:paraId="49EE0695" w14:textId="77777777" w:rsidR="00657A3F" w:rsidRPr="00F05A93" w:rsidRDefault="00657A3F" w:rsidP="005146A6">
                  <w:pPr>
                    <w:spacing w:after="160" w:line="360" w:lineRule="auto"/>
                    <w:ind w:firstLine="720"/>
                    <w:jc w:val="both"/>
                    <w:rPr>
                      <w:rFonts w:ascii="Arial" w:eastAsia="Calibri" w:hAnsi="Arial" w:cs="Arial"/>
                      <w:b/>
                      <w:bCs/>
                      <w:vanish/>
                      <w:kern w:val="2"/>
                      <w14:ligatures w14:val="standardContextual"/>
                    </w:rPr>
                  </w:pPr>
                </w:p>
              </w:tc>
            </w:tr>
          </w:tbl>
          <w:p w14:paraId="703FE788" w14:textId="77777777" w:rsidR="00657A3F" w:rsidRPr="00F05A93" w:rsidRDefault="00657A3F" w:rsidP="005146A6">
            <w:pPr>
              <w:spacing w:line="360" w:lineRule="auto"/>
              <w:jc w:val="both"/>
              <w:rPr>
                <w:rFonts w:ascii="Arial" w:hAnsi="Arial" w:cs="Arial"/>
                <w:b/>
                <w:bCs/>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0F5F9CAB" w14:textId="77777777" w:rsidTr="005146A6">
              <w:trPr>
                <w:tblCellSpacing w:w="15" w:type="dxa"/>
              </w:trPr>
              <w:tc>
                <w:tcPr>
                  <w:tcW w:w="0" w:type="auto"/>
                  <w:tcMar>
                    <w:top w:w="15" w:type="dxa"/>
                    <w:left w:w="15" w:type="dxa"/>
                    <w:bottom w:w="15" w:type="dxa"/>
                    <w:right w:w="15" w:type="dxa"/>
                  </w:tcMar>
                  <w:vAlign w:val="center"/>
                  <w:hideMark/>
                </w:tcPr>
                <w:p w14:paraId="5EA231DC" w14:textId="77777777" w:rsidR="00657A3F" w:rsidRPr="00F05A93" w:rsidRDefault="00657A3F" w:rsidP="005146A6">
                  <w:pPr>
                    <w:spacing w:after="0" w:line="360" w:lineRule="auto"/>
                    <w:jc w:val="both"/>
                    <w:rPr>
                      <w:rFonts w:ascii="Arial" w:eastAsia="Calibri" w:hAnsi="Arial" w:cs="Arial"/>
                      <w:b/>
                      <w:bCs/>
                      <w:kern w:val="2"/>
                      <w14:ligatures w14:val="standardContextual"/>
                    </w:rPr>
                  </w:pPr>
                  <w:r w:rsidRPr="00F05A93">
                    <w:rPr>
                      <w:rFonts w:ascii="Arial" w:eastAsia="Calibri" w:hAnsi="Arial" w:cs="Arial"/>
                      <w:b/>
                      <w:bCs/>
                      <w:kern w:val="2"/>
                      <w14:ligatures w14:val="standardContextual"/>
                    </w:rPr>
                    <w:t>Theme 5: Staff Adoption and Professional Adaptation</w:t>
                  </w:r>
                </w:p>
              </w:tc>
            </w:tr>
          </w:tbl>
          <w:p w14:paraId="6209F422" w14:textId="77777777" w:rsidR="00657A3F" w:rsidRPr="00F05A93" w:rsidRDefault="00657A3F" w:rsidP="005146A6">
            <w:pPr>
              <w:spacing w:line="360" w:lineRule="auto"/>
              <w:jc w:val="both"/>
              <w:rPr>
                <w:rFonts w:ascii="Arial" w:hAnsi="Arial" w:cs="Arial"/>
                <w:b/>
                <w:bCs/>
                <w:vanish/>
              </w:rPr>
            </w:pPr>
          </w:p>
          <w:tbl>
            <w:tblPr>
              <w:tblW w:w="0" w:type="auto"/>
              <w:tblCellSpacing w:w="15" w:type="dxa"/>
              <w:tblLook w:val="04A0" w:firstRow="1" w:lastRow="0" w:firstColumn="1" w:lastColumn="0" w:noHBand="0" w:noVBand="1"/>
            </w:tblPr>
            <w:tblGrid>
              <w:gridCol w:w="96"/>
            </w:tblGrid>
            <w:tr w:rsidR="00657A3F" w:rsidRPr="00F05A93" w14:paraId="7973E7BA" w14:textId="77777777" w:rsidTr="005146A6">
              <w:trPr>
                <w:tblCellSpacing w:w="15" w:type="dxa"/>
                <w:hidden/>
              </w:trPr>
              <w:tc>
                <w:tcPr>
                  <w:tcW w:w="0" w:type="auto"/>
                  <w:tcMar>
                    <w:top w:w="15" w:type="dxa"/>
                    <w:left w:w="15" w:type="dxa"/>
                    <w:bottom w:w="15" w:type="dxa"/>
                    <w:right w:w="15" w:type="dxa"/>
                  </w:tcMar>
                  <w:vAlign w:val="center"/>
                  <w:hideMark/>
                </w:tcPr>
                <w:p w14:paraId="32E7960B" w14:textId="77777777" w:rsidR="00657A3F" w:rsidRPr="00F05A93" w:rsidRDefault="00657A3F" w:rsidP="005146A6">
                  <w:pPr>
                    <w:spacing w:after="160" w:line="360" w:lineRule="auto"/>
                    <w:ind w:firstLine="720"/>
                    <w:jc w:val="both"/>
                    <w:rPr>
                      <w:rFonts w:ascii="Arial" w:eastAsia="Calibri" w:hAnsi="Arial" w:cs="Arial"/>
                      <w:b/>
                      <w:bCs/>
                      <w:vanish/>
                      <w:kern w:val="2"/>
                      <w14:ligatures w14:val="standardContextual"/>
                    </w:rPr>
                  </w:pPr>
                </w:p>
              </w:tc>
            </w:tr>
          </w:tbl>
          <w:p w14:paraId="6E8DD290" w14:textId="77777777" w:rsidR="00657A3F" w:rsidRPr="00F05A93" w:rsidRDefault="00657A3F" w:rsidP="005146A6">
            <w:pPr>
              <w:spacing w:line="360" w:lineRule="auto"/>
              <w:jc w:val="both"/>
              <w:rPr>
                <w:rFonts w:ascii="Arial" w:hAnsi="Arial" w:cs="Arial"/>
                <w:b/>
                <w:bCs/>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4634D4E9" w14:textId="77777777" w:rsidTr="005146A6">
              <w:trPr>
                <w:tblCellSpacing w:w="15" w:type="dxa"/>
              </w:trPr>
              <w:tc>
                <w:tcPr>
                  <w:tcW w:w="0" w:type="auto"/>
                  <w:tcMar>
                    <w:top w:w="15" w:type="dxa"/>
                    <w:left w:w="15" w:type="dxa"/>
                    <w:bottom w:w="15" w:type="dxa"/>
                    <w:right w:w="15" w:type="dxa"/>
                  </w:tcMar>
                  <w:vAlign w:val="center"/>
                  <w:hideMark/>
                </w:tcPr>
                <w:p w14:paraId="51D3D23A"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Training and digital literacy</w:t>
                  </w:r>
                </w:p>
              </w:tc>
            </w:tr>
          </w:tbl>
          <w:p w14:paraId="73D8C050"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63966C39" w14:textId="77777777" w:rsidTr="005146A6">
              <w:trPr>
                <w:tblCellSpacing w:w="15" w:type="dxa"/>
                <w:hidden/>
              </w:trPr>
              <w:tc>
                <w:tcPr>
                  <w:tcW w:w="0" w:type="auto"/>
                  <w:tcMar>
                    <w:top w:w="15" w:type="dxa"/>
                    <w:left w:w="15" w:type="dxa"/>
                    <w:bottom w:w="15" w:type="dxa"/>
                    <w:right w:w="15" w:type="dxa"/>
                  </w:tcMar>
                  <w:vAlign w:val="center"/>
                  <w:hideMark/>
                </w:tcPr>
                <w:p w14:paraId="5D56BCD0"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1CC2BFCB"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40527334" w14:textId="77777777" w:rsidTr="005146A6">
              <w:trPr>
                <w:tblCellSpacing w:w="15" w:type="dxa"/>
              </w:trPr>
              <w:tc>
                <w:tcPr>
                  <w:tcW w:w="0" w:type="auto"/>
                  <w:tcMar>
                    <w:top w:w="15" w:type="dxa"/>
                    <w:left w:w="15" w:type="dxa"/>
                    <w:bottom w:w="15" w:type="dxa"/>
                    <w:right w:w="15" w:type="dxa"/>
                  </w:tcMar>
                  <w:vAlign w:val="center"/>
                  <w:hideMark/>
                </w:tcPr>
                <w:p w14:paraId="76449699"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Workforce readiness, professional support, confidence building</w:t>
                  </w:r>
                </w:p>
              </w:tc>
            </w:tr>
          </w:tbl>
          <w:p w14:paraId="361A630A"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61B93661" w14:textId="77777777" w:rsidTr="005146A6">
              <w:trPr>
                <w:tblCellSpacing w:w="15" w:type="dxa"/>
                <w:hidden/>
              </w:trPr>
              <w:tc>
                <w:tcPr>
                  <w:tcW w:w="0" w:type="auto"/>
                  <w:tcMar>
                    <w:top w:w="15" w:type="dxa"/>
                    <w:left w:w="15" w:type="dxa"/>
                    <w:bottom w:w="15" w:type="dxa"/>
                    <w:right w:w="15" w:type="dxa"/>
                  </w:tcMar>
                  <w:vAlign w:val="center"/>
                  <w:hideMark/>
                </w:tcPr>
                <w:p w14:paraId="2D56459C"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196816BC" w14:textId="77777777" w:rsidR="00657A3F" w:rsidRPr="00F05A93" w:rsidRDefault="00657A3F" w:rsidP="005146A6">
            <w:pPr>
              <w:spacing w:line="360" w:lineRule="auto"/>
              <w:jc w:val="both"/>
              <w:rPr>
                <w:rFonts w:ascii="Arial" w:hAnsi="Arial" w:cs="Arial"/>
              </w:rPr>
            </w:pPr>
          </w:p>
        </w:tc>
      </w:tr>
      <w:tr w:rsidR="00657A3F" w:rsidRPr="00F05A93" w14:paraId="1F5ED759" w14:textId="77777777" w:rsidTr="005146A6">
        <w:tc>
          <w:tcPr>
            <w:tcW w:w="2254" w:type="dxa"/>
            <w:tcBorders>
              <w:top w:val="single" w:sz="4" w:space="0" w:color="auto"/>
              <w:left w:val="single" w:sz="4" w:space="0" w:color="auto"/>
              <w:bottom w:val="single" w:sz="4" w:space="0" w:color="auto"/>
              <w:right w:val="single" w:sz="4" w:space="0" w:color="auto"/>
            </w:tcBorders>
          </w:tcPr>
          <w:p w14:paraId="40B2B3FB" w14:textId="77777777" w:rsidR="00657A3F" w:rsidRPr="00F05A93" w:rsidRDefault="00657A3F" w:rsidP="005146A6">
            <w:pPr>
              <w:spacing w:line="360" w:lineRule="auto"/>
              <w:jc w:val="both"/>
              <w:rPr>
                <w:rFonts w:ascii="Arial" w:hAnsi="Arial" w:cs="Arial"/>
                <w:b/>
                <w:bCs/>
              </w:rPr>
            </w:pPr>
          </w:p>
        </w:tc>
        <w:tc>
          <w:tcPr>
            <w:tcW w:w="2254" w:type="dxa"/>
            <w:tcBorders>
              <w:top w:val="single" w:sz="4" w:space="0" w:color="auto"/>
              <w:left w:val="single" w:sz="4" w:space="0" w:color="auto"/>
              <w:bottom w:val="single" w:sz="4" w:space="0" w:color="auto"/>
              <w:right w:val="single" w:sz="4" w:space="0" w:color="auto"/>
            </w:tcBorders>
          </w:tcPr>
          <w:p w14:paraId="22AF6B98" w14:textId="77777777" w:rsidR="00657A3F" w:rsidRPr="00F05A93" w:rsidRDefault="00657A3F" w:rsidP="005146A6">
            <w:pPr>
              <w:spacing w:line="360" w:lineRule="auto"/>
              <w:jc w:val="both"/>
              <w:rPr>
                <w:rFonts w:ascii="Arial" w:hAnsi="Arial" w:cs="Arial"/>
                <w:b/>
                <w:bCs/>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4E792C7B" w14:textId="77777777" w:rsidTr="005146A6">
              <w:trPr>
                <w:tblCellSpacing w:w="15" w:type="dxa"/>
              </w:trPr>
              <w:tc>
                <w:tcPr>
                  <w:tcW w:w="0" w:type="auto"/>
                  <w:tcMar>
                    <w:top w:w="15" w:type="dxa"/>
                    <w:left w:w="15" w:type="dxa"/>
                    <w:bottom w:w="15" w:type="dxa"/>
                    <w:right w:w="15" w:type="dxa"/>
                  </w:tcMar>
                  <w:vAlign w:val="center"/>
                  <w:hideMark/>
                </w:tcPr>
                <w:p w14:paraId="3EBF5DAB"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Resistance to change</w:t>
                  </w:r>
                </w:p>
              </w:tc>
            </w:tr>
          </w:tbl>
          <w:p w14:paraId="19AC4FD7"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762FBD92" w14:textId="77777777" w:rsidTr="005146A6">
              <w:trPr>
                <w:tblCellSpacing w:w="15" w:type="dxa"/>
                <w:hidden/>
              </w:trPr>
              <w:tc>
                <w:tcPr>
                  <w:tcW w:w="0" w:type="auto"/>
                  <w:tcMar>
                    <w:top w:w="15" w:type="dxa"/>
                    <w:left w:w="15" w:type="dxa"/>
                    <w:bottom w:w="15" w:type="dxa"/>
                    <w:right w:w="15" w:type="dxa"/>
                  </w:tcMar>
                  <w:vAlign w:val="center"/>
                  <w:hideMark/>
                </w:tcPr>
                <w:p w14:paraId="027FA6D4"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208890D7" w14:textId="77777777" w:rsidR="00657A3F" w:rsidRPr="00F05A93" w:rsidRDefault="00657A3F" w:rsidP="005146A6">
            <w:pPr>
              <w:spacing w:line="360" w:lineRule="auto"/>
              <w:jc w:val="both"/>
              <w:rPr>
                <w:rFonts w:ascii="Arial" w:hAnsi="Arial" w:cs="Arial"/>
              </w:rPr>
            </w:pPr>
          </w:p>
        </w:tc>
        <w:tc>
          <w:tcPr>
            <w:tcW w:w="2254"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2038"/>
            </w:tblGrid>
            <w:tr w:rsidR="00657A3F" w:rsidRPr="00F05A93" w14:paraId="7501BC3A" w14:textId="77777777" w:rsidTr="005146A6">
              <w:trPr>
                <w:tblCellSpacing w:w="15" w:type="dxa"/>
              </w:trPr>
              <w:tc>
                <w:tcPr>
                  <w:tcW w:w="0" w:type="auto"/>
                  <w:tcMar>
                    <w:top w:w="15" w:type="dxa"/>
                    <w:left w:w="15" w:type="dxa"/>
                    <w:bottom w:w="15" w:type="dxa"/>
                    <w:right w:w="15" w:type="dxa"/>
                  </w:tcMar>
                  <w:vAlign w:val="center"/>
                  <w:hideMark/>
                </w:tcPr>
                <w:p w14:paraId="322949D2" w14:textId="77777777" w:rsidR="00657A3F" w:rsidRPr="00F05A93" w:rsidRDefault="00657A3F" w:rsidP="005146A6">
                  <w:pPr>
                    <w:spacing w:after="0" w:line="360" w:lineRule="auto"/>
                    <w:jc w:val="both"/>
                    <w:rPr>
                      <w:rFonts w:ascii="Arial" w:eastAsia="Calibri" w:hAnsi="Arial" w:cs="Arial"/>
                      <w:kern w:val="2"/>
                      <w14:ligatures w14:val="standardContextual"/>
                    </w:rPr>
                  </w:pPr>
                  <w:r w:rsidRPr="00F05A93">
                    <w:rPr>
                      <w:rFonts w:ascii="Arial" w:eastAsia="Calibri" w:hAnsi="Arial" w:cs="Arial"/>
                      <w:kern w:val="2"/>
                      <w14:ligatures w14:val="standardContextual"/>
                    </w:rPr>
                    <w:t>Workload pressure, usability concerns, fear of replacement</w:t>
                  </w:r>
                </w:p>
              </w:tc>
            </w:tr>
          </w:tbl>
          <w:p w14:paraId="5E9EED16" w14:textId="77777777" w:rsidR="00657A3F" w:rsidRPr="00F05A93" w:rsidRDefault="00657A3F" w:rsidP="005146A6">
            <w:pPr>
              <w:spacing w:line="360" w:lineRule="auto"/>
              <w:jc w:val="both"/>
              <w:rPr>
                <w:rFonts w:ascii="Arial" w:hAnsi="Arial" w:cs="Arial"/>
                <w:vanish/>
              </w:rPr>
            </w:pPr>
          </w:p>
          <w:tbl>
            <w:tblPr>
              <w:tblW w:w="0" w:type="auto"/>
              <w:tblCellSpacing w:w="15" w:type="dxa"/>
              <w:tblLook w:val="04A0" w:firstRow="1" w:lastRow="0" w:firstColumn="1" w:lastColumn="0" w:noHBand="0" w:noVBand="1"/>
            </w:tblPr>
            <w:tblGrid>
              <w:gridCol w:w="96"/>
            </w:tblGrid>
            <w:tr w:rsidR="00657A3F" w:rsidRPr="00F05A93" w14:paraId="4B799E52" w14:textId="77777777" w:rsidTr="005146A6">
              <w:trPr>
                <w:tblCellSpacing w:w="15" w:type="dxa"/>
                <w:hidden/>
              </w:trPr>
              <w:tc>
                <w:tcPr>
                  <w:tcW w:w="0" w:type="auto"/>
                  <w:tcMar>
                    <w:top w:w="15" w:type="dxa"/>
                    <w:left w:w="15" w:type="dxa"/>
                    <w:bottom w:w="15" w:type="dxa"/>
                    <w:right w:w="15" w:type="dxa"/>
                  </w:tcMar>
                  <w:vAlign w:val="center"/>
                  <w:hideMark/>
                </w:tcPr>
                <w:p w14:paraId="11FA541D" w14:textId="77777777" w:rsidR="00657A3F" w:rsidRPr="00F05A93" w:rsidRDefault="00657A3F" w:rsidP="005146A6">
                  <w:pPr>
                    <w:spacing w:after="160" w:line="360" w:lineRule="auto"/>
                    <w:ind w:firstLine="720"/>
                    <w:jc w:val="both"/>
                    <w:rPr>
                      <w:rFonts w:ascii="Arial" w:eastAsia="Calibri" w:hAnsi="Arial" w:cs="Arial"/>
                      <w:vanish/>
                      <w:kern w:val="2"/>
                      <w14:ligatures w14:val="standardContextual"/>
                    </w:rPr>
                  </w:pPr>
                </w:p>
              </w:tc>
            </w:tr>
          </w:tbl>
          <w:p w14:paraId="13BB9C10" w14:textId="77777777" w:rsidR="00657A3F" w:rsidRPr="00F05A93" w:rsidRDefault="00657A3F" w:rsidP="005146A6">
            <w:pPr>
              <w:spacing w:line="360" w:lineRule="auto"/>
              <w:jc w:val="both"/>
              <w:rPr>
                <w:rFonts w:ascii="Arial" w:hAnsi="Arial" w:cs="Arial"/>
              </w:rPr>
            </w:pPr>
          </w:p>
        </w:tc>
      </w:tr>
    </w:tbl>
    <w:p w14:paraId="14783A64" w14:textId="77777777" w:rsidR="00657A3F" w:rsidRPr="00F05A93" w:rsidRDefault="00657A3F" w:rsidP="00657A3F">
      <w:pPr>
        <w:spacing w:after="160" w:line="360" w:lineRule="auto"/>
        <w:ind w:firstLine="720"/>
        <w:jc w:val="both"/>
        <w:rPr>
          <w:rFonts w:ascii="Arial" w:eastAsia="Calibri" w:hAnsi="Arial" w:cs="Arial"/>
          <w:kern w:val="2"/>
          <w14:ligatures w14:val="standardContextual"/>
        </w:rPr>
      </w:pPr>
    </w:p>
    <w:p w14:paraId="68E07EBE" w14:textId="77777777" w:rsidR="00657A3F" w:rsidRPr="00F05A93" w:rsidRDefault="00657A3F" w:rsidP="00F05A93">
      <w:pPr>
        <w:spacing w:after="160" w:line="360" w:lineRule="auto"/>
        <w:ind w:firstLine="720"/>
        <w:jc w:val="both"/>
        <w:rPr>
          <w:rFonts w:ascii="Arial" w:eastAsia="Calibri" w:hAnsi="Arial" w:cs="Arial"/>
          <w:kern w:val="2"/>
          <w14:ligatures w14:val="standardContextual"/>
        </w:rPr>
      </w:pPr>
    </w:p>
    <w:p w14:paraId="2AB7BF0B" w14:textId="77777777" w:rsidR="00EF5B08" w:rsidRPr="00884F98" w:rsidRDefault="00EF5B08" w:rsidP="00F05A93">
      <w:pPr>
        <w:keepNext/>
        <w:keepLines/>
        <w:spacing w:before="240" w:after="0" w:line="360" w:lineRule="auto"/>
        <w:jc w:val="both"/>
        <w:outlineLvl w:val="0"/>
        <w:rPr>
          <w:rFonts w:ascii="Arial" w:eastAsia="Times New Roman" w:hAnsi="Arial" w:cs="Arial"/>
          <w:b/>
          <w:iCs/>
          <w:color w:val="000000"/>
          <w:kern w:val="2"/>
          <w14:ligatures w14:val="standardContextual"/>
        </w:rPr>
      </w:pPr>
      <w:bookmarkStart w:id="18" w:name="_Toc212436384"/>
      <w:r w:rsidRPr="00884F98">
        <w:rPr>
          <w:rFonts w:ascii="Arial" w:eastAsia="Times New Roman" w:hAnsi="Arial" w:cs="Arial"/>
          <w:b/>
          <w:iCs/>
          <w:color w:val="000000"/>
          <w:kern w:val="2"/>
          <w14:ligatures w14:val="standardContextual"/>
        </w:rPr>
        <w:t>Discussion</w:t>
      </w:r>
      <w:bookmarkEnd w:id="18"/>
    </w:p>
    <w:p w14:paraId="6628C9E2"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The scoping research identified a few recurring themes such as the impact of digital health technologies on patient care at NHS. Digitisation has improved several care routes' accessibility, efficiency, and involvement, according to study. The results show persistent difficulties such digital access disparities, data security concerns, and the need for staff preparation and interoperability (</w:t>
      </w:r>
      <w:proofErr w:type="spellStart"/>
      <w:r w:rsidRPr="00F05A93">
        <w:rPr>
          <w:rFonts w:ascii="Arial" w:eastAsia="Calibri" w:hAnsi="Arial" w:cs="Arial"/>
          <w:kern w:val="2"/>
          <w14:ligatures w14:val="standardContextual"/>
        </w:rPr>
        <w:t>Wymant</w:t>
      </w:r>
      <w:proofErr w:type="spellEnd"/>
      <w:r w:rsidRPr="00F05A93">
        <w:rPr>
          <w:rFonts w:ascii="Arial" w:eastAsia="Calibri" w:hAnsi="Arial" w:cs="Arial"/>
          <w:kern w:val="2"/>
          <w14:ligatures w14:val="standardContextual"/>
        </w:rPr>
        <w:t xml:space="preserve">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w:t>
      </w:r>
    </w:p>
    <w:p w14:paraId="45D5C87B" w14:textId="77777777" w:rsidR="00EF5B08" w:rsidRPr="00884F98" w:rsidRDefault="00EF5B08" w:rsidP="00F05A93">
      <w:pPr>
        <w:keepNext/>
        <w:keepLines/>
        <w:spacing w:before="40" w:after="0" w:line="360" w:lineRule="auto"/>
        <w:jc w:val="both"/>
        <w:outlineLvl w:val="1"/>
        <w:rPr>
          <w:rFonts w:ascii="Arial" w:eastAsia="Times New Roman" w:hAnsi="Arial" w:cs="Arial"/>
          <w:b/>
          <w:bCs/>
          <w:iCs/>
          <w:color w:val="000000"/>
          <w:kern w:val="2"/>
          <w14:ligatures w14:val="standardContextual"/>
        </w:rPr>
      </w:pPr>
      <w:bookmarkStart w:id="19" w:name="_Toc212436385"/>
      <w:r w:rsidRPr="00884F98">
        <w:rPr>
          <w:rFonts w:ascii="Arial" w:eastAsia="Times New Roman" w:hAnsi="Arial" w:cs="Arial"/>
          <w:b/>
          <w:bCs/>
          <w:iCs/>
          <w:color w:val="000000"/>
          <w:kern w:val="2"/>
          <w14:ligatures w14:val="standardContextual"/>
        </w:rPr>
        <w:t>Patient Engagement and Empowerment</w:t>
      </w:r>
      <w:bookmarkEnd w:id="19"/>
    </w:p>
    <w:p w14:paraId="3578E74F"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All research suggests that digital health interventions may increase patient engagement. Patient portals, telemonitoring systems, and mHealth applications allow patients to manage their own health care (Budd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2023). Kang and </w:t>
      </w:r>
      <w:proofErr w:type="spellStart"/>
      <w:r w:rsidRPr="00F05A93">
        <w:rPr>
          <w:rFonts w:ascii="Arial" w:eastAsia="Calibri" w:hAnsi="Arial" w:cs="Arial"/>
          <w:kern w:val="2"/>
          <w14:ligatures w14:val="standardContextual"/>
        </w:rPr>
        <w:t>Exworthy</w:t>
      </w:r>
      <w:proofErr w:type="spellEnd"/>
      <w:r w:rsidRPr="00F05A93">
        <w:rPr>
          <w:rFonts w:ascii="Arial" w:eastAsia="Calibri" w:hAnsi="Arial" w:cs="Arial"/>
          <w:kern w:val="2"/>
          <w14:ligatures w14:val="standardContextual"/>
        </w:rPr>
        <w:t>, (2022), argue this strategy follow patient-</w:t>
      </w:r>
      <w:proofErr w:type="spellStart"/>
      <w:r w:rsidRPr="00F05A93">
        <w:rPr>
          <w:rFonts w:ascii="Arial" w:eastAsia="Calibri" w:hAnsi="Arial" w:cs="Arial"/>
          <w:kern w:val="2"/>
          <w14:ligatures w14:val="standardContextual"/>
        </w:rPr>
        <w:t>centered</w:t>
      </w:r>
      <w:proofErr w:type="spellEnd"/>
      <w:r w:rsidRPr="00F05A93">
        <w:rPr>
          <w:rFonts w:ascii="Arial" w:eastAsia="Calibri" w:hAnsi="Arial" w:cs="Arial"/>
          <w:kern w:val="2"/>
          <w14:ligatures w14:val="standardContextual"/>
        </w:rPr>
        <w:t xml:space="preserve"> care and self-determination theory, which states individuals should determine their health and happiness. The NHS's digital-first policy encourages patient engagement. Proactive prevention trumps reactive treatment. Digital platforms encourage interaction by simplifying, giving specialist knowledge, and reacting rapidly (</w:t>
      </w:r>
      <w:proofErr w:type="spellStart"/>
      <w:r w:rsidRPr="00F05A93">
        <w:rPr>
          <w:rFonts w:ascii="Arial" w:eastAsia="Calibri" w:hAnsi="Arial" w:cs="Arial"/>
          <w:kern w:val="2"/>
          <w14:ligatures w14:val="standardContextual"/>
        </w:rPr>
        <w:t>Kukoryte</w:t>
      </w:r>
      <w:proofErr w:type="spellEnd"/>
      <w:r w:rsidRPr="00F05A93">
        <w:rPr>
          <w:rFonts w:ascii="Arial" w:eastAsia="Calibri" w:hAnsi="Arial" w:cs="Arial"/>
          <w:kern w:val="2"/>
          <w14:ligatures w14:val="standardContextual"/>
        </w:rPr>
        <w:t xml:space="preserve">, 2022). Budd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(2023) suggest digital monitoring devices may assist diabetics follow their doctor's lifestyle and medication recommendations. Greenhalgh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(2022) show that digital inequality may exclude the elderly, handicapped, and those with </w:t>
      </w:r>
      <w:r w:rsidRPr="00F05A93">
        <w:rPr>
          <w:rFonts w:ascii="Arial" w:eastAsia="Calibri" w:hAnsi="Arial" w:cs="Arial"/>
          <w:kern w:val="2"/>
          <w14:ligatures w14:val="standardContextual"/>
        </w:rPr>
        <w:lastRenderedPageBreak/>
        <w:t xml:space="preserve">slow internet connections, even if more tech-savvy people participate. Ironically, variety-promoting devices may worsen existing health issues (Sheikh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w:t>
      </w:r>
    </w:p>
    <w:p w14:paraId="7A4E8641" w14:textId="77777777" w:rsidR="00EF5B08" w:rsidRPr="00884F98" w:rsidRDefault="00EF5B08" w:rsidP="00F05A93">
      <w:pPr>
        <w:keepNext/>
        <w:keepLines/>
        <w:spacing w:before="40" w:after="0" w:line="360" w:lineRule="auto"/>
        <w:jc w:val="both"/>
        <w:outlineLvl w:val="1"/>
        <w:rPr>
          <w:rFonts w:ascii="Arial" w:eastAsia="Times New Roman" w:hAnsi="Arial" w:cs="Arial"/>
          <w:b/>
          <w:bCs/>
          <w:iCs/>
          <w:color w:val="000000"/>
          <w:kern w:val="2"/>
          <w14:ligatures w14:val="standardContextual"/>
        </w:rPr>
      </w:pPr>
      <w:bookmarkStart w:id="20" w:name="_Toc212436386"/>
      <w:r w:rsidRPr="00884F98">
        <w:rPr>
          <w:rFonts w:ascii="Arial" w:eastAsia="Times New Roman" w:hAnsi="Arial" w:cs="Arial"/>
          <w:b/>
          <w:bCs/>
          <w:iCs/>
          <w:color w:val="000000"/>
          <w:kern w:val="2"/>
          <w14:ligatures w14:val="standardContextual"/>
        </w:rPr>
        <w:t>Efficiency and Coordination of Care</w:t>
      </w:r>
      <w:bookmarkEnd w:id="20"/>
    </w:p>
    <w:p w14:paraId="31817389"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The findings suggest that digital technologies have improved NHS service integration and delivery. EHRs simplify communication and collaboration between primary and secondary care providers. Reduces paperwork and saves time (Shah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2022). Systems theory views healthcare as a network of subsystems that require good communication to operate well (Von Bertalanffy, 1968). EHR integration lets clinicians examine </w:t>
      </w:r>
      <w:proofErr w:type="gramStart"/>
      <w:r w:rsidRPr="00F05A93">
        <w:rPr>
          <w:rFonts w:ascii="Arial" w:eastAsia="Calibri" w:hAnsi="Arial" w:cs="Arial"/>
          <w:kern w:val="2"/>
          <w14:ligatures w14:val="standardContextual"/>
        </w:rPr>
        <w:t>all of</w:t>
      </w:r>
      <w:proofErr w:type="gramEnd"/>
      <w:r w:rsidRPr="00F05A93">
        <w:rPr>
          <w:rFonts w:ascii="Arial" w:eastAsia="Calibri" w:hAnsi="Arial" w:cs="Arial"/>
          <w:kern w:val="2"/>
          <w14:ligatures w14:val="standardContextual"/>
        </w:rPr>
        <w:t xml:space="preserve"> a patient's medical history in one place, improving care coordination and decision-making. Telemedicine and AI-assisted diagnostics have simplified and optimised resource usage (Agarwal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Artificial intelligence systems may find harmful tendencies in massive datasets. This may speed response and reduce misdiagnoses. Some who dislike digital platforms worry that overuse may lead to technological determinism, the assumption that technology can cure all society's problems and replace human judgement and compassion in treatment (Unsworth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w:t>
      </w:r>
    </w:p>
    <w:p w14:paraId="4E3A156D" w14:textId="77777777" w:rsidR="00EF5B08" w:rsidRPr="00657A3F" w:rsidRDefault="00EF5B08" w:rsidP="00F05A93">
      <w:pPr>
        <w:keepNext/>
        <w:keepLines/>
        <w:spacing w:before="40" w:after="0" w:line="360" w:lineRule="auto"/>
        <w:jc w:val="both"/>
        <w:outlineLvl w:val="1"/>
        <w:rPr>
          <w:rFonts w:ascii="Arial" w:eastAsia="Times New Roman" w:hAnsi="Arial" w:cs="Arial"/>
          <w:b/>
          <w:bCs/>
          <w:iCs/>
          <w:color w:val="000000"/>
          <w:kern w:val="2"/>
          <w14:ligatures w14:val="standardContextual"/>
        </w:rPr>
      </w:pPr>
      <w:bookmarkStart w:id="21" w:name="_Toc212436387"/>
      <w:r w:rsidRPr="00657A3F">
        <w:rPr>
          <w:rFonts w:ascii="Arial" w:eastAsia="Times New Roman" w:hAnsi="Arial" w:cs="Arial"/>
          <w:b/>
          <w:bCs/>
          <w:iCs/>
          <w:color w:val="000000"/>
          <w:kern w:val="2"/>
          <w14:ligatures w14:val="standardContextual"/>
        </w:rPr>
        <w:t>Staff Adoption and Professional Adaptation</w:t>
      </w:r>
      <w:bookmarkEnd w:id="21"/>
    </w:p>
    <w:p w14:paraId="2554DB74"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People must be willing to assist and adaptable for a digital revolution to succeed. Greenhalgh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(2022) and Unadkat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(2024) found that healthcare professionals' digital technology usage greatly affects its outcomes. How much corporate help they receive, how effectively they use technology, how much work they </w:t>
      </w:r>
      <w:proofErr w:type="gramStart"/>
      <w:r w:rsidRPr="00F05A93">
        <w:rPr>
          <w:rFonts w:ascii="Arial" w:eastAsia="Calibri" w:hAnsi="Arial" w:cs="Arial"/>
          <w:kern w:val="2"/>
          <w14:ligatures w14:val="standardContextual"/>
        </w:rPr>
        <w:t>have to</w:t>
      </w:r>
      <w:proofErr w:type="gramEnd"/>
      <w:r w:rsidRPr="00F05A93">
        <w:rPr>
          <w:rFonts w:ascii="Arial" w:eastAsia="Calibri" w:hAnsi="Arial" w:cs="Arial"/>
          <w:kern w:val="2"/>
          <w14:ligatures w14:val="standardContextual"/>
        </w:rPr>
        <w:t xml:space="preserve"> do, and how useful they believe their employment is all determine how people feel about their careers. The Technology Adoption Model (TAM) </w:t>
      </w:r>
      <w:proofErr w:type="spellStart"/>
      <w:r w:rsidRPr="00F05A93">
        <w:rPr>
          <w:rFonts w:ascii="Arial" w:eastAsia="Calibri" w:hAnsi="Arial" w:cs="Arial"/>
          <w:kern w:val="2"/>
          <w14:ligatures w14:val="standardContextual"/>
        </w:rPr>
        <w:t>Ziebland</w:t>
      </w:r>
      <w:proofErr w:type="spellEnd"/>
      <w:r w:rsidRPr="00F05A93">
        <w:rPr>
          <w:rFonts w:ascii="Arial" w:eastAsia="Calibri" w:hAnsi="Arial" w:cs="Arial"/>
          <w:kern w:val="2"/>
          <w14:ligatures w14:val="standardContextual"/>
        </w:rPr>
        <w:t xml:space="preserve">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(2021), suggests that user adoption is driven by technology's perceived usefulness and simplicity of use. NHS workers are more inclined to use digital tools if they are trained and supported. However, troubles continue. When digital technologies are not user-friendly or interoperable, some doctors' administrative job is tougher. Job insecurity, imprecise data, and decreased patient interaction may cause resistance (</w:t>
      </w:r>
      <w:proofErr w:type="spellStart"/>
      <w:r w:rsidRPr="00F05A93">
        <w:rPr>
          <w:rFonts w:ascii="Arial" w:eastAsia="Calibri" w:hAnsi="Arial" w:cs="Arial"/>
          <w:kern w:val="2"/>
          <w14:ligatures w14:val="standardContextual"/>
        </w:rPr>
        <w:t>Ziebland</w:t>
      </w:r>
      <w:proofErr w:type="spellEnd"/>
      <w:r w:rsidRPr="00F05A93">
        <w:rPr>
          <w:rFonts w:ascii="Arial" w:eastAsia="Calibri" w:hAnsi="Arial" w:cs="Arial"/>
          <w:kern w:val="2"/>
          <w14:ligatures w14:val="standardContextual"/>
        </w:rPr>
        <w:t xml:space="preserve">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w:t>
      </w:r>
    </w:p>
    <w:p w14:paraId="4373B759" w14:textId="77777777" w:rsidR="00EF5B08" w:rsidRPr="00884F98" w:rsidRDefault="00EF5B08" w:rsidP="00F05A93">
      <w:pPr>
        <w:keepNext/>
        <w:keepLines/>
        <w:spacing w:before="40" w:after="0" w:line="360" w:lineRule="auto"/>
        <w:jc w:val="both"/>
        <w:outlineLvl w:val="1"/>
        <w:rPr>
          <w:rFonts w:ascii="Arial" w:eastAsia="Times New Roman" w:hAnsi="Arial" w:cs="Arial"/>
          <w:b/>
          <w:bCs/>
          <w:iCs/>
          <w:color w:val="000000"/>
          <w:kern w:val="2"/>
          <w14:ligatures w14:val="standardContextual"/>
        </w:rPr>
      </w:pPr>
      <w:bookmarkStart w:id="22" w:name="_Toc212436388"/>
      <w:r w:rsidRPr="00884F98">
        <w:rPr>
          <w:rFonts w:ascii="Arial" w:eastAsia="Times New Roman" w:hAnsi="Arial" w:cs="Arial"/>
          <w:b/>
          <w:bCs/>
          <w:iCs/>
          <w:color w:val="000000"/>
          <w:kern w:val="2"/>
          <w14:ligatures w14:val="standardContextual"/>
        </w:rPr>
        <w:t>Data Security, Privacy, and Trust</w:t>
      </w:r>
      <w:bookmarkEnd w:id="22"/>
    </w:p>
    <w:p w14:paraId="494DB2BD"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All studies stressed the need of preserving personally identifiable information. Telemedicine, AI technologies, and EHRs are becoming pervasive, making patient data security ethically and practically essential. Patient data protection is strictly regulated under the Health and Social Care Act of 2012, the GDPR of 2018, and the NHS Data Security and Protection Toolkit. The WannaCry intrusion (NHS Digital, 2023) and other 2017 hacks proved the NHS was vulnerable. Data misuse and algorithmic bias prevented AI from being employed in clinical decision-making, according to Agarwal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How confident they </w:t>
      </w:r>
      <w:r w:rsidRPr="00F05A93">
        <w:rPr>
          <w:rFonts w:ascii="Arial" w:eastAsia="Calibri" w:hAnsi="Arial" w:cs="Arial"/>
          <w:kern w:val="2"/>
          <w14:ligatures w14:val="standardContextual"/>
        </w:rPr>
        <w:lastRenderedPageBreak/>
        <w:t>are in its utilisation also affects patients' willingness to provide data. Ethical trust theory emphasises competence, openness, and responsibility (</w:t>
      </w:r>
      <w:proofErr w:type="spellStart"/>
      <w:r w:rsidRPr="00F05A93">
        <w:rPr>
          <w:rFonts w:ascii="Arial" w:eastAsia="Calibri" w:hAnsi="Arial" w:cs="Arial"/>
          <w:kern w:val="2"/>
          <w14:ligatures w14:val="standardContextual"/>
        </w:rPr>
        <w:t>Bakhai</w:t>
      </w:r>
      <w:proofErr w:type="spellEnd"/>
      <w:r w:rsidRPr="00F05A93">
        <w:rPr>
          <w:rFonts w:ascii="Arial" w:eastAsia="Calibri" w:hAnsi="Arial" w:cs="Arial"/>
          <w:kern w:val="2"/>
          <w14:ligatures w14:val="standardContextual"/>
        </w:rPr>
        <w:t xml:space="preserve">, 2021). </w:t>
      </w:r>
    </w:p>
    <w:p w14:paraId="44CEDB98" w14:textId="77777777" w:rsidR="00EF5B08" w:rsidRPr="00657A3F" w:rsidRDefault="00EF5B08" w:rsidP="00F05A93">
      <w:pPr>
        <w:keepNext/>
        <w:keepLines/>
        <w:spacing w:before="40" w:after="0" w:line="360" w:lineRule="auto"/>
        <w:jc w:val="both"/>
        <w:outlineLvl w:val="1"/>
        <w:rPr>
          <w:rFonts w:ascii="Arial" w:eastAsia="Times New Roman" w:hAnsi="Arial" w:cs="Arial"/>
          <w:b/>
          <w:bCs/>
          <w:iCs/>
          <w:color w:val="000000"/>
          <w:kern w:val="2"/>
          <w14:ligatures w14:val="standardContextual"/>
        </w:rPr>
      </w:pPr>
      <w:bookmarkStart w:id="23" w:name="_Toc212436389"/>
      <w:r w:rsidRPr="00657A3F">
        <w:rPr>
          <w:rFonts w:ascii="Arial" w:eastAsia="Times New Roman" w:hAnsi="Arial" w:cs="Arial"/>
          <w:b/>
          <w:bCs/>
          <w:iCs/>
          <w:color w:val="000000"/>
          <w:kern w:val="2"/>
          <w14:ligatures w14:val="standardContextual"/>
        </w:rPr>
        <w:t>Patient Satisfaction and Experience</w:t>
      </w:r>
      <w:bookmarkEnd w:id="23"/>
    </w:p>
    <w:p w14:paraId="4ECB3561"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Digital health technology is easier to access, interact with, and utilise, thus people like it, according to studies. Virtual consultations allow patients to get therapy without travelling or waiting (Unadkat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2024). This validates Donabedian's (1988) healthcare quality model, which asserts that structure, technique, and results determine customer satisfaction. Digital technology enables focused, fast therapy, boosting results. The effect on doctor-patient interactions is uncertain. Telemedicine saves time but may leave patients feeling uncared for (Greenhalgh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2022). </w:t>
      </w:r>
    </w:p>
    <w:p w14:paraId="64CB97F0" w14:textId="77777777" w:rsidR="00EF5B08" w:rsidRPr="00884F98" w:rsidRDefault="00EF5B08" w:rsidP="00F05A93">
      <w:pPr>
        <w:keepNext/>
        <w:keepLines/>
        <w:spacing w:before="40" w:after="0" w:line="360" w:lineRule="auto"/>
        <w:jc w:val="both"/>
        <w:outlineLvl w:val="1"/>
        <w:rPr>
          <w:rFonts w:ascii="Arial" w:eastAsia="Times New Roman" w:hAnsi="Arial" w:cs="Arial"/>
          <w:b/>
          <w:bCs/>
          <w:iCs/>
          <w:color w:val="000000"/>
          <w:kern w:val="2"/>
          <w14:ligatures w14:val="standardContextual"/>
        </w:rPr>
      </w:pPr>
      <w:bookmarkStart w:id="24" w:name="_Toc212436390"/>
      <w:r w:rsidRPr="00884F98">
        <w:rPr>
          <w:rFonts w:ascii="Arial" w:eastAsia="Times New Roman" w:hAnsi="Arial" w:cs="Arial"/>
          <w:b/>
          <w:bCs/>
          <w:iCs/>
          <w:color w:val="000000"/>
          <w:kern w:val="2"/>
          <w14:ligatures w14:val="standardContextual"/>
        </w:rPr>
        <w:t>Contradictions, Limitations, and Implications</w:t>
      </w:r>
      <w:bookmarkEnd w:id="24"/>
    </w:p>
    <w:p w14:paraId="7190B9E3"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There are benefits of digital health technology, though their outcomes are uneven. Example: EHRs. These technologies aid in coordination, but they are not used across all NHS Trusts; hence, interoperability is more difficult (Shah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2022). According to Agarwal </w:t>
      </w:r>
      <w:r w:rsidRPr="00F05A93">
        <w:rPr>
          <w:rFonts w:ascii="Arial" w:eastAsia="Calibri" w:hAnsi="Arial" w:cs="Arial"/>
          <w:i/>
          <w:iCs/>
          <w:kern w:val="2"/>
          <w14:ligatures w14:val="standardContextual"/>
        </w:rPr>
        <w:t>et</w:t>
      </w:r>
      <w:r w:rsidRPr="00F05A93">
        <w:rPr>
          <w:rFonts w:ascii="Arial" w:eastAsia="Calibri" w:hAnsi="Arial" w:cs="Arial"/>
          <w:kern w:val="2"/>
          <w14:ligatures w14:val="standardContextual"/>
        </w:rPr>
        <w:t xml:space="preserve"> </w:t>
      </w:r>
      <w:r w:rsidRPr="00F05A93">
        <w:rPr>
          <w:rFonts w:ascii="Arial" w:eastAsia="Calibri" w:hAnsi="Arial" w:cs="Arial"/>
          <w:i/>
          <w:iCs/>
          <w:kern w:val="2"/>
          <w14:ligatures w14:val="standardContextual"/>
        </w:rPr>
        <w:t>al.</w:t>
      </w:r>
      <w:r w:rsidRPr="00F05A93">
        <w:rPr>
          <w:rFonts w:ascii="Arial" w:eastAsia="Calibri" w:hAnsi="Arial" w:cs="Arial"/>
          <w:kern w:val="2"/>
          <w14:ligatures w14:val="standardContextual"/>
        </w:rPr>
        <w:t xml:space="preserve"> (2021), AI improves </w:t>
      </w:r>
      <w:proofErr w:type="gramStart"/>
      <w:r w:rsidRPr="00F05A93">
        <w:rPr>
          <w:rFonts w:ascii="Arial" w:eastAsia="Calibri" w:hAnsi="Arial" w:cs="Arial"/>
          <w:kern w:val="2"/>
          <w14:ligatures w14:val="standardContextual"/>
        </w:rPr>
        <w:t>diagnosis</w:t>
      </w:r>
      <w:proofErr w:type="gramEnd"/>
      <w:r w:rsidRPr="00F05A93">
        <w:rPr>
          <w:rFonts w:ascii="Arial" w:eastAsia="Calibri" w:hAnsi="Arial" w:cs="Arial"/>
          <w:kern w:val="2"/>
          <w14:ligatures w14:val="standardContextual"/>
        </w:rPr>
        <w:t xml:space="preserve"> but the moral and technological obstacles restrict the application of AI. These abnormalities show the impact of leadership, economics as well as employee engagement towards digital transformation. Include the review's caveats. Secondary qualitative research involves data that was obtained in the </w:t>
      </w:r>
      <w:proofErr w:type="gramStart"/>
      <w:r w:rsidRPr="00F05A93">
        <w:rPr>
          <w:rFonts w:ascii="Arial" w:eastAsia="Calibri" w:hAnsi="Arial" w:cs="Arial"/>
          <w:kern w:val="2"/>
          <w14:ligatures w14:val="standardContextual"/>
        </w:rPr>
        <w:t>past</w:t>
      </w:r>
      <w:proofErr w:type="gramEnd"/>
      <w:r w:rsidRPr="00F05A93">
        <w:rPr>
          <w:rFonts w:ascii="Arial" w:eastAsia="Calibri" w:hAnsi="Arial" w:cs="Arial"/>
          <w:kern w:val="2"/>
          <w14:ligatures w14:val="standardContextual"/>
        </w:rPr>
        <w:t xml:space="preserve"> and this data may not provide sufficient information about patient experiences or technological progress. Not include foreign literature restricts the outcomes that may be compared whilst ensuring relevance to UK practice (Saharan, 2024). Despite these limitations, the report explains NHS digitalisation. This greatly impacts policy and practice. Policymakers should prioritise staff training, digital infrastructure improvements, and equitable access to narrow the digital divide. Digital programs using evaluation techniques may also test new ideas often to ensure safety, efficacy, and usability (</w:t>
      </w:r>
      <w:proofErr w:type="spellStart"/>
      <w:r w:rsidRPr="00F05A93">
        <w:rPr>
          <w:rFonts w:ascii="Arial" w:eastAsia="Calibri" w:hAnsi="Arial" w:cs="Arial"/>
          <w:kern w:val="2"/>
          <w14:ligatures w14:val="standardContextual"/>
        </w:rPr>
        <w:t>Ziebland</w:t>
      </w:r>
      <w:proofErr w:type="spellEnd"/>
      <w:r w:rsidRPr="00F05A93">
        <w:rPr>
          <w:rFonts w:ascii="Arial" w:eastAsia="Calibri" w:hAnsi="Arial" w:cs="Arial"/>
          <w:kern w:val="2"/>
          <w14:ligatures w14:val="standardContextual"/>
        </w:rPr>
        <w:t xml:space="preserve"> et al., 2021). </w:t>
      </w:r>
    </w:p>
    <w:p w14:paraId="5838224A" w14:textId="77777777" w:rsidR="00EF5B08" w:rsidRPr="00884F98" w:rsidRDefault="00EF5B08" w:rsidP="00F05A93">
      <w:pPr>
        <w:keepNext/>
        <w:keepLines/>
        <w:spacing w:before="240" w:after="0" w:line="360" w:lineRule="auto"/>
        <w:jc w:val="both"/>
        <w:outlineLvl w:val="0"/>
        <w:rPr>
          <w:rFonts w:ascii="Arial" w:eastAsia="Times New Roman" w:hAnsi="Arial" w:cs="Arial"/>
          <w:b/>
          <w:iCs/>
          <w:color w:val="000000"/>
          <w:kern w:val="2"/>
          <w14:ligatures w14:val="standardContextual"/>
        </w:rPr>
      </w:pPr>
      <w:bookmarkStart w:id="25" w:name="_Toc212436391"/>
      <w:r w:rsidRPr="00884F98">
        <w:rPr>
          <w:rFonts w:ascii="Arial" w:eastAsia="Times New Roman" w:hAnsi="Arial" w:cs="Arial"/>
          <w:b/>
          <w:iCs/>
          <w:color w:val="000000"/>
          <w:kern w:val="2"/>
          <w14:ligatures w14:val="standardContextual"/>
        </w:rPr>
        <w:t>Conclusion and Recommendations</w:t>
      </w:r>
      <w:bookmarkEnd w:id="25"/>
    </w:p>
    <w:p w14:paraId="7C884F37"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An exploratory study found that digital health technology is transforming how the NHS manages and provides patient care. The NHS has embraced telemedicine, EHRs, mHealth, and AI to engage more people, improve services, and make them more accessible. The research found that digital innovation improves clinical outcomes and makes healthcare more patient-</w:t>
      </w:r>
      <w:proofErr w:type="spellStart"/>
      <w:r w:rsidRPr="00F05A93">
        <w:rPr>
          <w:rFonts w:ascii="Arial" w:eastAsia="Calibri" w:hAnsi="Arial" w:cs="Arial"/>
          <w:kern w:val="2"/>
          <w14:ligatures w14:val="standardContextual"/>
        </w:rPr>
        <w:t>centered</w:t>
      </w:r>
      <w:proofErr w:type="spellEnd"/>
      <w:r w:rsidRPr="00F05A93">
        <w:rPr>
          <w:rFonts w:ascii="Arial" w:eastAsia="Calibri" w:hAnsi="Arial" w:cs="Arial"/>
          <w:kern w:val="2"/>
          <w14:ligatures w14:val="standardContextual"/>
        </w:rPr>
        <w:t>. However, digital inequality, data privacy, worker adaptability, and system interoperability must be addressed to achieve fair and sustainable digital transformation.</w:t>
      </w:r>
    </w:p>
    <w:p w14:paraId="1453E51F"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Five studies (Unadkat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2024; Greenhalgh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2022) found that telemedicine and remote monitoring have made treatment more accessible for chronic illness patients and </w:t>
      </w:r>
      <w:r w:rsidRPr="00F05A93">
        <w:rPr>
          <w:rFonts w:ascii="Arial" w:eastAsia="Calibri" w:hAnsi="Arial" w:cs="Arial"/>
          <w:kern w:val="2"/>
          <w14:ligatures w14:val="standardContextual"/>
        </w:rPr>
        <w:lastRenderedPageBreak/>
        <w:t xml:space="preserve">those in rural or underserved areas. EHRs improve healthcare provider communication and coordination. This improves patient outcomes and resource efficiency (Shah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2022). Budd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(2023) offer mHealth and wearable technology as the mean that can help diabetics and hypertensives be more active in treatment. Clinical decisions and errors can be reduced by AI-based diagnostics and predictive analytics (Agarwal </w:t>
      </w:r>
      <w:r w:rsidRPr="00F05A93">
        <w:rPr>
          <w:rFonts w:ascii="Arial" w:eastAsia="Calibri" w:hAnsi="Arial" w:cs="Arial"/>
          <w:i/>
          <w:iCs/>
          <w:kern w:val="2"/>
          <w14:ligatures w14:val="standardContextual"/>
        </w:rPr>
        <w:t>et al.,</w:t>
      </w:r>
      <w:r w:rsidRPr="00F05A93">
        <w:rPr>
          <w:rFonts w:ascii="Arial" w:eastAsia="Calibri" w:hAnsi="Arial" w:cs="Arial"/>
          <w:kern w:val="2"/>
          <w14:ligatures w14:val="standardContextual"/>
        </w:rPr>
        <w:t xml:space="preserve"> 2021). Although these advances are taking place, the NHS has limited potential in terms of digital health, as there are digital inequalities, cybersecurity threats, and the reluctance of healthcare staff to change.</w:t>
      </w:r>
    </w:p>
    <w:p w14:paraId="71899EB7"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The NHS believe that the digital health work must be inclusive, user participatory, ethically governed and available. When planning digital transformation, policymakers should include the NHS Long Term Plan's integration, preventive, and patient empowerment aims. Making digital literacy programs more accessible helps bridge the digital divide and gain patients' and healthcare professionals' confidence in technology. The NHS Trusts and systems must be linked; thus, the government must invest equally in digital infrastructure and interoperability standards. Stricter cybersecurity standards and open data governance are needed to restore public confidence and preserve medical information.</w:t>
      </w:r>
    </w:p>
    <w:p w14:paraId="479AC51F" w14:textId="77777777" w:rsidR="00EF5B08" w:rsidRPr="00F05A93" w:rsidRDefault="00EF5B08" w:rsidP="00F05A93">
      <w:pPr>
        <w:spacing w:after="160" w:line="360" w:lineRule="auto"/>
        <w:ind w:firstLine="720"/>
        <w:jc w:val="both"/>
        <w:rPr>
          <w:rFonts w:ascii="Arial" w:eastAsia="Calibri" w:hAnsi="Arial" w:cs="Arial"/>
          <w:kern w:val="2"/>
          <w14:ligatures w14:val="standardContextual"/>
        </w:rPr>
      </w:pPr>
      <w:r w:rsidRPr="00F05A93">
        <w:rPr>
          <w:rFonts w:ascii="Arial" w:eastAsia="Calibri" w:hAnsi="Arial" w:cs="Arial"/>
          <w:kern w:val="2"/>
          <w14:ligatures w14:val="standardContextual"/>
        </w:rPr>
        <w:t xml:space="preserve">Companies providing digital solutions for consumers and healthcare practitioners should prioritise user demands. Training and expert assistance may help staff accept new technologies. The NHS must promote digital culture and innovation without sacrificing patient safety or fairness. Community organisations, IT corporations, and universities may cooperate on evidence-based policies. Monitoring digital initiatives is possible 24/7. </w:t>
      </w:r>
    </w:p>
    <w:p w14:paraId="7FBD0CCE" w14:textId="06BE50D0" w:rsidR="00EF5B08" w:rsidRPr="00884F98" w:rsidRDefault="00EF5B08" w:rsidP="00F05A93">
      <w:pPr>
        <w:spacing w:after="160" w:line="360" w:lineRule="auto"/>
        <w:rPr>
          <w:rFonts w:ascii="Arial" w:eastAsia="Times New Roman" w:hAnsi="Arial" w:cs="Arial"/>
          <w:b/>
          <w:iCs/>
          <w:color w:val="000000"/>
          <w:kern w:val="2"/>
          <w:sz w:val="24"/>
          <w:szCs w:val="32"/>
          <w14:ligatures w14:val="standardContextual"/>
        </w:rPr>
      </w:pPr>
      <w:r w:rsidRPr="00F05A93">
        <w:rPr>
          <w:rFonts w:ascii="Arial" w:eastAsia="Calibri" w:hAnsi="Arial" w:cs="Arial"/>
        </w:rPr>
        <w:br w:type="page"/>
      </w:r>
      <w:bookmarkStart w:id="26" w:name="_Toc212436392"/>
      <w:r w:rsidRPr="00884F98">
        <w:rPr>
          <w:rFonts w:ascii="Arial" w:eastAsia="Times New Roman" w:hAnsi="Arial" w:cs="Arial"/>
          <w:b/>
          <w:iCs/>
          <w:color w:val="000000"/>
          <w:kern w:val="2"/>
          <w:sz w:val="24"/>
          <w:szCs w:val="32"/>
          <w14:ligatures w14:val="standardContextual"/>
        </w:rPr>
        <w:lastRenderedPageBreak/>
        <w:t>References</w:t>
      </w:r>
      <w:bookmarkEnd w:id="26"/>
      <w:r w:rsidR="008967C6" w:rsidRPr="00884F98">
        <w:rPr>
          <w:rFonts w:ascii="Arial" w:eastAsia="Times New Roman" w:hAnsi="Arial" w:cs="Arial"/>
          <w:b/>
          <w:iCs/>
          <w:color w:val="000000"/>
          <w:kern w:val="2"/>
          <w:sz w:val="24"/>
          <w:szCs w:val="32"/>
          <w14:ligatures w14:val="standardContextual"/>
        </w:rPr>
        <w:t>:</w:t>
      </w:r>
    </w:p>
    <w:p w14:paraId="7944A7EC" w14:textId="77777777" w:rsidR="008967C6" w:rsidRPr="00884F98" w:rsidRDefault="008967C6" w:rsidP="008967C6">
      <w:pPr>
        <w:spacing w:after="160" w:line="256" w:lineRule="auto"/>
        <w:rPr>
          <w:rFonts w:ascii="Arial" w:eastAsia="Times New Roman" w:hAnsi="Arial" w:cs="Arial"/>
          <w:b/>
          <w:i/>
          <w:color w:val="000000"/>
          <w:kern w:val="2"/>
          <w14:ligatures w14:val="standardContextual"/>
        </w:rPr>
      </w:pPr>
    </w:p>
    <w:p w14:paraId="12A1301A"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Agarwal, R., (2021) ‘Artificial intelligence applications in NHS clinical practice: a review of opportunities and barriers’, The Lancet Digital Health, 3(11), pp. e740-e750. </w:t>
      </w:r>
      <w:hyperlink r:id="rId34" w:history="1">
        <w:r w:rsidRPr="00884F98">
          <w:rPr>
            <w:rFonts w:ascii="Arial" w:eastAsia="Calibri" w:hAnsi="Arial" w:cs="Arial"/>
            <w:color w:val="0563C1"/>
            <w:kern w:val="2"/>
            <w:u w:val="single"/>
            <w14:ligatures w14:val="standardContextual"/>
          </w:rPr>
          <w:t>https://10.1016/S2589-7500(21)00191-6</w:t>
        </w:r>
      </w:hyperlink>
      <w:r w:rsidRPr="00884F98">
        <w:rPr>
          <w:rFonts w:ascii="Arial" w:eastAsia="Calibri" w:hAnsi="Arial" w:cs="Arial"/>
          <w:kern w:val="2"/>
          <w14:ligatures w14:val="standardContextual"/>
        </w:rPr>
        <w:t xml:space="preserve"> </w:t>
      </w:r>
    </w:p>
    <w:p w14:paraId="4CBF1343"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Alderman, J.E., Palmer, J., Laws, E. (2024) ‘Tackling algorithmic bias and promoting transparency in health datasets: the STANDING Together consensus recommendations’, BMC Medicine / PubMed Central (STANDING Together consensus). </w:t>
      </w:r>
      <w:hyperlink r:id="rId35" w:history="1">
        <w:r w:rsidRPr="00884F98">
          <w:rPr>
            <w:rFonts w:ascii="Arial" w:eastAsia="Calibri" w:hAnsi="Arial" w:cs="Arial"/>
            <w:color w:val="0563C1"/>
            <w:kern w:val="2"/>
            <w:u w:val="single"/>
            <w14:ligatures w14:val="standardContextual"/>
          </w:rPr>
          <w:t>https://www.ncbi.nlm.nih.gov/pmc/articles/PMC11668905/</w:t>
        </w:r>
      </w:hyperlink>
      <w:r w:rsidRPr="00884F98">
        <w:rPr>
          <w:rFonts w:ascii="Arial" w:eastAsia="Calibri" w:hAnsi="Arial" w:cs="Arial"/>
          <w:kern w:val="2"/>
          <w14:ligatures w14:val="standardContextual"/>
        </w:rPr>
        <w:t xml:space="preserve"> </w:t>
      </w:r>
    </w:p>
    <w:p w14:paraId="5952C58F"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proofErr w:type="spellStart"/>
      <w:r w:rsidRPr="00884F98">
        <w:rPr>
          <w:rFonts w:ascii="Arial" w:eastAsia="Calibri" w:hAnsi="Arial" w:cs="Arial"/>
          <w:kern w:val="2"/>
          <w14:ligatures w14:val="standardContextual"/>
        </w:rPr>
        <w:t>Bakhai</w:t>
      </w:r>
      <w:proofErr w:type="spellEnd"/>
      <w:r w:rsidRPr="00884F98">
        <w:rPr>
          <w:rFonts w:ascii="Arial" w:eastAsia="Calibri" w:hAnsi="Arial" w:cs="Arial"/>
          <w:kern w:val="2"/>
          <w14:ligatures w14:val="standardContextual"/>
        </w:rPr>
        <w:t xml:space="preserve">, M., (2021) Digital-first primary care: NHS England and NHS Improvement guidance. London: NHS England. Available online: </w:t>
      </w:r>
      <w:hyperlink r:id="rId36" w:history="1">
        <w:r w:rsidRPr="00884F98">
          <w:rPr>
            <w:rFonts w:ascii="Arial" w:eastAsia="Calibri" w:hAnsi="Arial" w:cs="Arial"/>
            <w:color w:val="0563C1"/>
            <w:kern w:val="2"/>
            <w:u w:val="single"/>
            <w14:ligatures w14:val="standardContextual"/>
          </w:rPr>
          <w:t>https://www.england.nhs.uk/digital-first-primary-care-strategy/</w:t>
        </w:r>
      </w:hyperlink>
      <w:r w:rsidRPr="00884F98">
        <w:rPr>
          <w:rFonts w:ascii="Arial" w:eastAsia="Calibri" w:hAnsi="Arial" w:cs="Arial"/>
          <w:kern w:val="2"/>
          <w14:ligatures w14:val="standardContextual"/>
        </w:rPr>
        <w:t xml:space="preserve"> </w:t>
      </w:r>
    </w:p>
    <w:p w14:paraId="5771DF15"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Baum, A., Kaboli, P.J. and Schwartz, M.D. (2021) ‘Reduced in-person and increased telehealth outpatient visits during the COVID-19 pandemic’, Annals of Internal Medicine, 174(1), pp.129–131. </w:t>
      </w:r>
      <w:hyperlink r:id="rId37" w:history="1">
        <w:r w:rsidRPr="00884F98">
          <w:rPr>
            <w:rFonts w:ascii="Arial" w:eastAsia="Calibri" w:hAnsi="Arial" w:cs="Arial"/>
            <w:color w:val="0563C1"/>
            <w:kern w:val="2"/>
            <w:u w:val="single"/>
            <w14:ligatures w14:val="standardContextual"/>
          </w:rPr>
          <w:t>https://doi.org/10.7326/M20-3026</w:t>
        </w:r>
      </w:hyperlink>
      <w:r w:rsidRPr="00884F98">
        <w:rPr>
          <w:rFonts w:ascii="Arial" w:eastAsia="Calibri" w:hAnsi="Arial" w:cs="Arial"/>
          <w:kern w:val="2"/>
          <w14:ligatures w14:val="standardContextual"/>
        </w:rPr>
        <w:t xml:space="preserve"> </w:t>
      </w:r>
    </w:p>
    <w:p w14:paraId="46880431"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Budd, J., (2023) ‘Digital health interventions for chronic disease management in the UK’, Journal of Medical Internet Research, 25(2), p.e45689. </w:t>
      </w:r>
      <w:hyperlink r:id="rId38" w:history="1">
        <w:r w:rsidRPr="00884F98">
          <w:rPr>
            <w:rFonts w:ascii="Arial" w:eastAsia="Calibri" w:hAnsi="Arial" w:cs="Arial"/>
            <w:color w:val="0563C1"/>
            <w:kern w:val="2"/>
            <w:u w:val="single"/>
            <w14:ligatures w14:val="standardContextual"/>
          </w:rPr>
          <w:t>https://10.2196/45689</w:t>
        </w:r>
      </w:hyperlink>
      <w:r w:rsidRPr="00884F98">
        <w:rPr>
          <w:rFonts w:ascii="Arial" w:eastAsia="Calibri" w:hAnsi="Arial" w:cs="Arial"/>
          <w:kern w:val="2"/>
          <w14:ligatures w14:val="standardContextual"/>
        </w:rPr>
        <w:t xml:space="preserve"> </w:t>
      </w:r>
    </w:p>
    <w:p w14:paraId="6B15A44A"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Cresswell, K., Charles, K. and Sheikh, A. (2020) ‘Building workforce digital readiness: The key to sustaining health service transformation’, BMJ Health &amp; Care Informatics, 27(1), e100186. </w:t>
      </w:r>
      <w:hyperlink r:id="rId39" w:history="1">
        <w:r w:rsidRPr="00884F98">
          <w:rPr>
            <w:rFonts w:ascii="Arial" w:eastAsia="Calibri" w:hAnsi="Arial" w:cs="Arial"/>
            <w:color w:val="0563C1"/>
            <w:kern w:val="2"/>
            <w:u w:val="single"/>
            <w14:ligatures w14:val="standardContextual"/>
          </w:rPr>
          <w:t>https://10.1136/bmjhci-2019-100186</w:t>
        </w:r>
      </w:hyperlink>
      <w:r w:rsidRPr="00884F98">
        <w:rPr>
          <w:rFonts w:ascii="Arial" w:eastAsia="Calibri" w:hAnsi="Arial" w:cs="Arial"/>
          <w:kern w:val="2"/>
          <w14:ligatures w14:val="standardContextual"/>
        </w:rPr>
        <w:t xml:space="preserve"> </w:t>
      </w:r>
    </w:p>
    <w:p w14:paraId="384C9894"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proofErr w:type="spellStart"/>
      <w:r w:rsidRPr="00884F98">
        <w:rPr>
          <w:rFonts w:ascii="Arial" w:eastAsia="Calibri" w:hAnsi="Arial" w:cs="Arial"/>
          <w:kern w:val="2"/>
          <w14:ligatures w14:val="standardContextual"/>
        </w:rPr>
        <w:t>Dzwigol</w:t>
      </w:r>
      <w:proofErr w:type="spellEnd"/>
      <w:r w:rsidRPr="00884F98">
        <w:rPr>
          <w:rFonts w:ascii="Arial" w:eastAsia="Calibri" w:hAnsi="Arial" w:cs="Arial"/>
          <w:kern w:val="2"/>
          <w14:ligatures w14:val="standardContextual"/>
        </w:rPr>
        <w:t>, H. (2022) ‘Research methodology in management science: Triangulation’, Virtual Economics, 5(1), pp. 78–93.</w:t>
      </w:r>
    </w:p>
    <w:p w14:paraId="6D863C9B"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Eberle, C. and </w:t>
      </w:r>
      <w:proofErr w:type="spellStart"/>
      <w:r w:rsidRPr="00884F98">
        <w:rPr>
          <w:rFonts w:ascii="Arial" w:eastAsia="Calibri" w:hAnsi="Arial" w:cs="Arial"/>
          <w:kern w:val="2"/>
          <w14:ligatures w14:val="standardContextual"/>
        </w:rPr>
        <w:t>Stichling</w:t>
      </w:r>
      <w:proofErr w:type="spellEnd"/>
      <w:r w:rsidRPr="00884F98">
        <w:rPr>
          <w:rFonts w:ascii="Arial" w:eastAsia="Calibri" w:hAnsi="Arial" w:cs="Arial"/>
          <w:kern w:val="2"/>
          <w14:ligatures w14:val="standardContextual"/>
        </w:rPr>
        <w:t xml:space="preserve">, S. (2021) ‘Effectiveness of disease-specific mHealth apps in patients with diabetes mellitus: systematic review and meta-analysis’, JMIR mHealth and </w:t>
      </w:r>
      <w:proofErr w:type="spellStart"/>
      <w:r w:rsidRPr="00884F98">
        <w:rPr>
          <w:rFonts w:ascii="Arial" w:eastAsia="Calibri" w:hAnsi="Arial" w:cs="Arial"/>
          <w:kern w:val="2"/>
          <w14:ligatures w14:val="standardContextual"/>
        </w:rPr>
        <w:t>uHealth</w:t>
      </w:r>
      <w:proofErr w:type="spellEnd"/>
      <w:r w:rsidRPr="00884F98">
        <w:rPr>
          <w:rFonts w:ascii="Arial" w:eastAsia="Calibri" w:hAnsi="Arial" w:cs="Arial"/>
          <w:kern w:val="2"/>
          <w14:ligatures w14:val="standardContextual"/>
        </w:rPr>
        <w:t xml:space="preserve">, 9(2): e23477. Available: </w:t>
      </w:r>
      <w:hyperlink r:id="rId40" w:history="1">
        <w:r w:rsidRPr="00884F98">
          <w:rPr>
            <w:rFonts w:ascii="Arial" w:eastAsia="Calibri" w:hAnsi="Arial" w:cs="Arial"/>
            <w:color w:val="0563C1"/>
            <w:kern w:val="2"/>
            <w:u w:val="single"/>
            <w14:ligatures w14:val="standardContextual"/>
          </w:rPr>
          <w:t>https://mhealth.jmir.org/2021/2/e23477</w:t>
        </w:r>
      </w:hyperlink>
      <w:r w:rsidRPr="00884F98">
        <w:rPr>
          <w:rFonts w:ascii="Arial" w:eastAsia="Calibri" w:hAnsi="Arial" w:cs="Arial"/>
          <w:kern w:val="2"/>
          <w14:ligatures w14:val="standardContextual"/>
        </w:rPr>
        <w:t xml:space="preserve"> </w:t>
      </w:r>
    </w:p>
    <w:p w14:paraId="51CFF427"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Eddison, N., (2022) ‘The potential impact of allied health professional telehealth consultations on health inequities and burden of treatment: a UK study’, International Journal for Equity in Health, 21: 123. </w:t>
      </w:r>
      <w:hyperlink r:id="rId41" w:history="1">
        <w:r w:rsidRPr="00884F98">
          <w:rPr>
            <w:rFonts w:ascii="Arial" w:eastAsia="Calibri" w:hAnsi="Arial" w:cs="Arial"/>
            <w:color w:val="0563C1"/>
            <w:kern w:val="2"/>
            <w:u w:val="single"/>
            <w14:ligatures w14:val="standardContextual"/>
          </w:rPr>
          <w:t>https://equityhealthj.biomedcentral.com/articles/10.1186/s12939-022-01689-2</w:t>
        </w:r>
      </w:hyperlink>
      <w:r w:rsidRPr="00884F98">
        <w:rPr>
          <w:rFonts w:ascii="Arial" w:eastAsia="Calibri" w:hAnsi="Arial" w:cs="Arial"/>
          <w:kern w:val="2"/>
          <w14:ligatures w14:val="standardContextual"/>
        </w:rPr>
        <w:t xml:space="preserve"> </w:t>
      </w:r>
    </w:p>
    <w:p w14:paraId="31D66119"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Gagnon, M.-P., Ouellet, S., </w:t>
      </w:r>
      <w:proofErr w:type="spellStart"/>
      <w:r w:rsidRPr="00884F98">
        <w:rPr>
          <w:rFonts w:ascii="Arial" w:eastAsia="Calibri" w:hAnsi="Arial" w:cs="Arial"/>
          <w:kern w:val="2"/>
          <w14:ligatures w14:val="standardContextual"/>
        </w:rPr>
        <w:t>Attisso</w:t>
      </w:r>
      <w:proofErr w:type="spellEnd"/>
      <w:r w:rsidRPr="00884F98">
        <w:rPr>
          <w:rFonts w:ascii="Arial" w:eastAsia="Calibri" w:hAnsi="Arial" w:cs="Arial"/>
          <w:kern w:val="2"/>
          <w14:ligatures w14:val="standardContextual"/>
        </w:rPr>
        <w:t xml:space="preserve">, E. (2024) ‘Wearable devices for supporting chronic disease self-management: scoping review’, Interactive Journal of Medical Research, </w:t>
      </w:r>
      <w:proofErr w:type="gramStart"/>
      <w:r w:rsidRPr="00884F98">
        <w:rPr>
          <w:rFonts w:ascii="Arial" w:eastAsia="Calibri" w:hAnsi="Arial" w:cs="Arial"/>
          <w:kern w:val="2"/>
          <w14:ligatures w14:val="standardContextual"/>
        </w:rPr>
        <w:t>13:e</w:t>
      </w:r>
      <w:proofErr w:type="gramEnd"/>
      <w:r w:rsidRPr="00884F98">
        <w:rPr>
          <w:rFonts w:ascii="Arial" w:eastAsia="Calibri" w:hAnsi="Arial" w:cs="Arial"/>
          <w:kern w:val="2"/>
          <w14:ligatures w14:val="standardContextual"/>
        </w:rPr>
        <w:t xml:space="preserve">55925. </w:t>
      </w:r>
      <w:hyperlink r:id="rId42" w:history="1">
        <w:r w:rsidRPr="00884F98">
          <w:rPr>
            <w:rFonts w:ascii="Arial" w:eastAsia="Calibri" w:hAnsi="Arial" w:cs="Arial"/>
            <w:color w:val="0563C1"/>
            <w:kern w:val="2"/>
            <w:u w:val="single"/>
            <w14:ligatures w14:val="standardContextual"/>
          </w:rPr>
          <w:t>https://www.i-jmr.org/2024/1/e55925</w:t>
        </w:r>
      </w:hyperlink>
      <w:r w:rsidRPr="00884F98">
        <w:rPr>
          <w:rFonts w:ascii="Arial" w:eastAsia="Calibri" w:hAnsi="Arial" w:cs="Arial"/>
          <w:kern w:val="2"/>
          <w14:ligatures w14:val="standardContextual"/>
        </w:rPr>
        <w:t xml:space="preserve"> </w:t>
      </w:r>
    </w:p>
    <w:p w14:paraId="0857C943"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lastRenderedPageBreak/>
        <w:t xml:space="preserve">Greenhalgh, T., </w:t>
      </w:r>
      <w:proofErr w:type="spellStart"/>
      <w:r w:rsidRPr="00884F98">
        <w:rPr>
          <w:rFonts w:ascii="Arial" w:eastAsia="Calibri" w:hAnsi="Arial" w:cs="Arial"/>
          <w:kern w:val="2"/>
          <w14:ligatures w14:val="standardContextual"/>
        </w:rPr>
        <w:t>Wherton</w:t>
      </w:r>
      <w:proofErr w:type="spellEnd"/>
      <w:r w:rsidRPr="00884F98">
        <w:rPr>
          <w:rFonts w:ascii="Arial" w:eastAsia="Calibri" w:hAnsi="Arial" w:cs="Arial"/>
          <w:kern w:val="2"/>
          <w14:ligatures w14:val="standardContextual"/>
        </w:rPr>
        <w:t xml:space="preserve">, J., Shaw, S. and Morrison, C. (2022) ‘Evaluating digital health innovations: a critical review of the evidence base’, BMC Medicine, 20(1), pp. 1-10. </w:t>
      </w:r>
      <w:hyperlink r:id="rId43" w:history="1">
        <w:r w:rsidRPr="00884F98">
          <w:rPr>
            <w:rFonts w:ascii="Arial" w:eastAsia="Calibri" w:hAnsi="Arial" w:cs="Arial"/>
            <w:color w:val="0563C1"/>
            <w:kern w:val="2"/>
            <w:u w:val="single"/>
            <w14:ligatures w14:val="standardContextual"/>
          </w:rPr>
          <w:t>https://10.1186/s12916-022-02270-1</w:t>
        </w:r>
      </w:hyperlink>
      <w:r w:rsidRPr="00884F98">
        <w:rPr>
          <w:rFonts w:ascii="Arial" w:eastAsia="Calibri" w:hAnsi="Arial" w:cs="Arial"/>
          <w:kern w:val="2"/>
          <w14:ligatures w14:val="standardContextual"/>
        </w:rPr>
        <w:t xml:space="preserve"> </w:t>
      </w:r>
    </w:p>
    <w:p w14:paraId="2AD0C644"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Harju, A., (2022) ‘Telehealth utilization during the COVID-19 pandemic’, Telemedicine Reports, 3(1), pp.??</w:t>
      </w:r>
      <w:proofErr w:type="gramStart"/>
      <w:r w:rsidRPr="00884F98">
        <w:rPr>
          <w:rFonts w:ascii="Arial" w:eastAsia="Calibri" w:hAnsi="Arial" w:cs="Arial"/>
          <w:kern w:val="2"/>
          <w14:ligatures w14:val="standardContextual"/>
        </w:rPr>
        <w:t>–??.</w:t>
      </w:r>
      <w:proofErr w:type="gramEnd"/>
      <w:r w:rsidRPr="00884F98">
        <w:rPr>
          <w:rFonts w:ascii="Arial" w:eastAsia="Calibri" w:hAnsi="Arial" w:cs="Arial"/>
          <w:kern w:val="2"/>
          <w14:ligatures w14:val="standardContextual"/>
        </w:rPr>
        <w:t xml:space="preserve"> </w:t>
      </w:r>
      <w:hyperlink r:id="rId44" w:history="1">
        <w:r w:rsidRPr="00884F98">
          <w:rPr>
            <w:rFonts w:ascii="Arial" w:eastAsia="Calibri" w:hAnsi="Arial" w:cs="Arial"/>
            <w:color w:val="0563C1"/>
            <w:kern w:val="2"/>
            <w:u w:val="single"/>
            <w14:ligatures w14:val="standardContextual"/>
          </w:rPr>
          <w:t>https://www.liebertpub.com/doi/full/10.1089/tmr.2021.0040</w:t>
        </w:r>
      </w:hyperlink>
      <w:r w:rsidRPr="00884F98">
        <w:rPr>
          <w:rFonts w:ascii="Arial" w:eastAsia="Calibri" w:hAnsi="Arial" w:cs="Arial"/>
          <w:kern w:val="2"/>
          <w14:ligatures w14:val="standardContextual"/>
        </w:rPr>
        <w:t xml:space="preserve"> </w:t>
      </w:r>
    </w:p>
    <w:p w14:paraId="2652D7A7"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Kang, H.S. and </w:t>
      </w:r>
      <w:proofErr w:type="spellStart"/>
      <w:r w:rsidRPr="00884F98">
        <w:rPr>
          <w:rFonts w:ascii="Arial" w:eastAsia="Calibri" w:hAnsi="Arial" w:cs="Arial"/>
          <w:kern w:val="2"/>
          <w14:ligatures w14:val="standardContextual"/>
        </w:rPr>
        <w:t>Exworthy</w:t>
      </w:r>
      <w:proofErr w:type="spellEnd"/>
      <w:r w:rsidRPr="00884F98">
        <w:rPr>
          <w:rFonts w:ascii="Arial" w:eastAsia="Calibri" w:hAnsi="Arial" w:cs="Arial"/>
          <w:kern w:val="2"/>
          <w14:ligatures w14:val="standardContextual"/>
        </w:rPr>
        <w:t xml:space="preserve">, M. (2022) ‘Wearing the future — wearables to empower users to take greater responsibility for their health and care: scoping review’, JMIR mHealth and </w:t>
      </w:r>
      <w:proofErr w:type="spellStart"/>
      <w:r w:rsidRPr="00884F98">
        <w:rPr>
          <w:rFonts w:ascii="Arial" w:eastAsia="Calibri" w:hAnsi="Arial" w:cs="Arial"/>
          <w:kern w:val="2"/>
          <w14:ligatures w14:val="standardContextual"/>
        </w:rPr>
        <w:t>uHealth</w:t>
      </w:r>
      <w:proofErr w:type="spellEnd"/>
      <w:r w:rsidRPr="00884F98">
        <w:rPr>
          <w:rFonts w:ascii="Arial" w:eastAsia="Calibri" w:hAnsi="Arial" w:cs="Arial"/>
          <w:kern w:val="2"/>
          <w14:ligatures w14:val="standardContextual"/>
        </w:rPr>
        <w:t xml:space="preserve">, 10(7): e35684. </w:t>
      </w:r>
      <w:hyperlink r:id="rId45" w:history="1">
        <w:r w:rsidRPr="00884F98">
          <w:rPr>
            <w:rFonts w:ascii="Arial" w:eastAsia="Calibri" w:hAnsi="Arial" w:cs="Arial"/>
            <w:color w:val="0563C1"/>
            <w:kern w:val="2"/>
            <w:u w:val="single"/>
            <w14:ligatures w14:val="standardContextual"/>
          </w:rPr>
          <w:t>https://mhealth.jmir.org/2022/7/e35684</w:t>
        </w:r>
      </w:hyperlink>
      <w:r w:rsidRPr="00884F98">
        <w:rPr>
          <w:rFonts w:ascii="Arial" w:eastAsia="Calibri" w:hAnsi="Arial" w:cs="Arial"/>
          <w:kern w:val="2"/>
          <w14:ligatures w14:val="standardContextual"/>
        </w:rPr>
        <w:t xml:space="preserve"> </w:t>
      </w:r>
    </w:p>
    <w:p w14:paraId="5327D6F1"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Koonin, L.M., Hoots, B., Tsang, C.A. (2020) ‘Trends in the use of telehealth during the emergence of the COVID-19 pandemic — United States, January–March 2020’, MMWR Morbidity and Mortality Weekly Report, 69(43), pp.1595–1599. </w:t>
      </w:r>
      <w:hyperlink r:id="rId46" w:history="1">
        <w:r w:rsidRPr="00884F98">
          <w:rPr>
            <w:rFonts w:ascii="Arial" w:eastAsia="Calibri" w:hAnsi="Arial" w:cs="Arial"/>
            <w:color w:val="0563C1"/>
            <w:kern w:val="2"/>
            <w:u w:val="single"/>
            <w14:ligatures w14:val="standardContextual"/>
          </w:rPr>
          <w:t>https://www.cdc.gov/mmwr/volumes/69/wr/mm6943a3.htm</w:t>
        </w:r>
      </w:hyperlink>
      <w:r w:rsidRPr="00884F98">
        <w:rPr>
          <w:rFonts w:ascii="Arial" w:eastAsia="Calibri" w:hAnsi="Arial" w:cs="Arial"/>
          <w:kern w:val="2"/>
          <w14:ligatures w14:val="standardContextual"/>
        </w:rPr>
        <w:t xml:space="preserve"> </w:t>
      </w:r>
    </w:p>
    <w:p w14:paraId="3A6DBB03"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proofErr w:type="spellStart"/>
      <w:r w:rsidRPr="00884F98">
        <w:rPr>
          <w:rFonts w:ascii="Arial" w:eastAsia="Calibri" w:hAnsi="Arial" w:cs="Arial"/>
          <w:kern w:val="2"/>
          <w14:ligatures w14:val="standardContextual"/>
        </w:rPr>
        <w:t>Kukoryte</w:t>
      </w:r>
      <w:proofErr w:type="spellEnd"/>
      <w:r w:rsidRPr="00884F98">
        <w:rPr>
          <w:rFonts w:ascii="Arial" w:eastAsia="Calibri" w:hAnsi="Arial" w:cs="Arial"/>
          <w:kern w:val="2"/>
          <w14:ligatures w14:val="standardContextual"/>
        </w:rPr>
        <w:t>, E. (2022) The impact of digital technologies on the UK Healthcare: A Human-</w:t>
      </w:r>
      <w:proofErr w:type="spellStart"/>
      <w:r w:rsidRPr="00884F98">
        <w:rPr>
          <w:rFonts w:ascii="Arial" w:eastAsia="Calibri" w:hAnsi="Arial" w:cs="Arial"/>
          <w:kern w:val="2"/>
          <w14:ligatures w14:val="standardContextual"/>
        </w:rPr>
        <w:t>Centered</w:t>
      </w:r>
      <w:proofErr w:type="spellEnd"/>
      <w:r w:rsidRPr="00884F98">
        <w:rPr>
          <w:rFonts w:ascii="Arial" w:eastAsia="Calibri" w:hAnsi="Arial" w:cs="Arial"/>
          <w:kern w:val="2"/>
          <w14:ligatures w14:val="standardContextual"/>
        </w:rPr>
        <w:t xml:space="preserve"> Study. Bachelor’s thesis. </w:t>
      </w:r>
      <w:hyperlink r:id="rId47" w:history="1">
        <w:r w:rsidRPr="00884F98">
          <w:rPr>
            <w:rFonts w:ascii="Arial" w:eastAsia="Calibri" w:hAnsi="Arial" w:cs="Arial"/>
            <w:color w:val="0563C1"/>
            <w:kern w:val="2"/>
            <w:u w:val="single"/>
            <w14:ligatures w14:val="standardContextual"/>
          </w:rPr>
          <w:t>https://theseus.fi/bitstream/handle/10024/749542/Kukoryte_Erika.pdf?sequence=2</w:t>
        </w:r>
      </w:hyperlink>
      <w:r w:rsidRPr="00884F98">
        <w:rPr>
          <w:rFonts w:ascii="Arial" w:eastAsia="Calibri" w:hAnsi="Arial" w:cs="Arial"/>
          <w:kern w:val="2"/>
          <w14:ligatures w14:val="standardContextual"/>
        </w:rPr>
        <w:t xml:space="preserve"> </w:t>
      </w:r>
    </w:p>
    <w:p w14:paraId="1EAC254E"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Li, E., Clarke, J., McNulty, D. (2022) ‘The impact of electronic health record interoperability on safety and quality of care in high-income countries: systematic review’, Journal of Medical Internet Research, 24(9): e38144. </w:t>
      </w:r>
      <w:hyperlink r:id="rId48" w:history="1">
        <w:r w:rsidRPr="00884F98">
          <w:rPr>
            <w:rFonts w:ascii="Arial" w:eastAsia="Calibri" w:hAnsi="Arial" w:cs="Arial"/>
            <w:color w:val="0563C1"/>
            <w:kern w:val="2"/>
            <w:u w:val="single"/>
            <w14:ligatures w14:val="standardContextual"/>
          </w:rPr>
          <w:t>https://www.jmir.org/2022/9/e38144</w:t>
        </w:r>
      </w:hyperlink>
      <w:r w:rsidRPr="00884F98">
        <w:rPr>
          <w:rFonts w:ascii="Arial" w:eastAsia="Calibri" w:hAnsi="Arial" w:cs="Arial"/>
          <w:kern w:val="2"/>
          <w14:ligatures w14:val="standardContextual"/>
        </w:rPr>
        <w:t xml:space="preserve"> </w:t>
      </w:r>
    </w:p>
    <w:p w14:paraId="4D1FD230"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NDG (2022) National Data Guardian for Health and Social Care Annual Report. London: UK Government. Available online at: </w:t>
      </w:r>
      <w:hyperlink r:id="rId49" w:history="1">
        <w:r w:rsidRPr="00884F98">
          <w:rPr>
            <w:rFonts w:ascii="Arial" w:eastAsia="Calibri" w:hAnsi="Arial" w:cs="Arial"/>
            <w:color w:val="0563C1"/>
            <w:kern w:val="2"/>
            <w:u w:val="single"/>
            <w14:ligatures w14:val="standardContextual"/>
          </w:rPr>
          <w:t>https://www.gov.uk/government/organisations/national-data-guardian</w:t>
        </w:r>
      </w:hyperlink>
      <w:r w:rsidRPr="00884F98">
        <w:rPr>
          <w:rFonts w:ascii="Arial" w:eastAsia="Calibri" w:hAnsi="Arial" w:cs="Arial"/>
          <w:kern w:val="2"/>
          <w14:ligatures w14:val="standardContextual"/>
        </w:rPr>
        <w:t xml:space="preserve"> </w:t>
      </w:r>
    </w:p>
    <w:p w14:paraId="58CF65C2" w14:textId="77777777" w:rsidR="00EF5B08" w:rsidRPr="00884F98" w:rsidRDefault="00EF5B08" w:rsidP="00EF5B08">
      <w:pPr>
        <w:spacing w:after="160" w:line="360" w:lineRule="auto"/>
        <w:ind w:left="720" w:hanging="720"/>
        <w:jc w:val="both"/>
        <w:rPr>
          <w:rFonts w:ascii="Arial" w:eastAsia="Calibri" w:hAnsi="Arial" w:cs="Arial"/>
          <w:kern w:val="2"/>
          <w:lang w:val="fr-FR"/>
          <w14:ligatures w14:val="standardContextual"/>
        </w:rPr>
      </w:pPr>
      <w:r w:rsidRPr="00884F98">
        <w:rPr>
          <w:rFonts w:ascii="Arial" w:eastAsia="Calibri" w:hAnsi="Arial" w:cs="Arial"/>
          <w:kern w:val="2"/>
          <w14:ligatures w14:val="standardContextual"/>
        </w:rPr>
        <w:t xml:space="preserve">NHS Digital (2023) Data Security and Protection Toolkit. </w:t>
      </w:r>
      <w:proofErr w:type="spellStart"/>
      <w:proofErr w:type="gramStart"/>
      <w:r w:rsidRPr="00884F98">
        <w:rPr>
          <w:rFonts w:ascii="Arial" w:eastAsia="Calibri" w:hAnsi="Arial" w:cs="Arial"/>
          <w:kern w:val="2"/>
          <w:lang w:val="fr-FR"/>
          <w14:ligatures w14:val="standardContextual"/>
        </w:rPr>
        <w:t>Available</w:t>
      </w:r>
      <w:proofErr w:type="spellEnd"/>
      <w:r w:rsidRPr="00884F98">
        <w:rPr>
          <w:rFonts w:ascii="Arial" w:eastAsia="Calibri" w:hAnsi="Arial" w:cs="Arial"/>
          <w:kern w:val="2"/>
          <w:lang w:val="fr-FR"/>
          <w14:ligatures w14:val="standardContextual"/>
        </w:rPr>
        <w:t>:</w:t>
      </w:r>
      <w:proofErr w:type="gramEnd"/>
      <w:r w:rsidRPr="00884F98">
        <w:rPr>
          <w:rFonts w:ascii="Arial" w:eastAsia="Calibri" w:hAnsi="Arial" w:cs="Arial"/>
          <w:kern w:val="2"/>
          <w:lang w:val="fr-FR"/>
          <w14:ligatures w14:val="standardContextual"/>
        </w:rPr>
        <w:t xml:space="preserve"> </w:t>
      </w:r>
      <w:hyperlink r:id="rId50" w:history="1">
        <w:r w:rsidRPr="00884F98">
          <w:rPr>
            <w:rFonts w:ascii="Arial" w:eastAsia="Calibri" w:hAnsi="Arial" w:cs="Arial"/>
            <w:color w:val="0563C1"/>
            <w:kern w:val="2"/>
            <w:u w:val="single"/>
            <w:lang w:val="fr-FR"/>
            <w14:ligatures w14:val="standardContextual"/>
          </w:rPr>
          <w:t>https://digital.nhs.uk/data-and-information/looking-after-information/data-security-and-information-governance/data-security-and-protection-toolkit</w:t>
        </w:r>
      </w:hyperlink>
      <w:r w:rsidRPr="00884F98">
        <w:rPr>
          <w:rFonts w:ascii="Arial" w:eastAsia="Calibri" w:hAnsi="Arial" w:cs="Arial"/>
          <w:kern w:val="2"/>
          <w:lang w:val="fr-FR"/>
          <w14:ligatures w14:val="standardContextual"/>
        </w:rPr>
        <w:t xml:space="preserve"> </w:t>
      </w:r>
    </w:p>
    <w:p w14:paraId="277FBA04"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NHS Digital (2023) Data Security and Protection Toolkit. London: NHS. Available online at: </w:t>
      </w:r>
      <w:hyperlink r:id="rId51" w:history="1">
        <w:r w:rsidRPr="00884F98">
          <w:rPr>
            <w:rFonts w:ascii="Arial" w:eastAsia="Calibri" w:hAnsi="Arial" w:cs="Arial"/>
            <w:color w:val="0563C1"/>
            <w:kern w:val="2"/>
            <w:u w:val="single"/>
            <w14:ligatures w14:val="standardContextual"/>
          </w:rPr>
          <w:t>https://digital.nhs.uk/data-security-and-protection-toolkit</w:t>
        </w:r>
      </w:hyperlink>
      <w:r w:rsidRPr="00884F98">
        <w:rPr>
          <w:rFonts w:ascii="Arial" w:eastAsia="Calibri" w:hAnsi="Arial" w:cs="Arial"/>
          <w:kern w:val="2"/>
          <w14:ligatures w14:val="standardContextual"/>
        </w:rPr>
        <w:t xml:space="preserve"> </w:t>
      </w:r>
    </w:p>
    <w:p w14:paraId="6A0FEC90"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Saharan, V. A., (2024) Principles of Research Methodology and Ethics in Pharmaceutical Sciences. Boca Raton: CRC Press.</w:t>
      </w:r>
    </w:p>
    <w:p w14:paraId="7FF34A98"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Shah, B., (2022) ‘The role of digital health in the future of integrated care’, Clinics in Integrated Care, 15, p.100131. </w:t>
      </w:r>
      <w:hyperlink r:id="rId52" w:history="1">
        <w:r w:rsidRPr="00884F98">
          <w:rPr>
            <w:rFonts w:ascii="Arial" w:eastAsia="Calibri" w:hAnsi="Arial" w:cs="Arial"/>
            <w:color w:val="0563C1"/>
            <w:kern w:val="2"/>
            <w:u w:val="single"/>
            <w14:ligatures w14:val="standardContextual"/>
          </w:rPr>
          <w:t>https://10.1016/j.clicom.2022.100131</w:t>
        </w:r>
      </w:hyperlink>
      <w:r w:rsidRPr="00884F98">
        <w:rPr>
          <w:rFonts w:ascii="Arial" w:eastAsia="Calibri" w:hAnsi="Arial" w:cs="Arial"/>
          <w:kern w:val="2"/>
          <w14:ligatures w14:val="standardContextual"/>
        </w:rPr>
        <w:t xml:space="preserve">  </w:t>
      </w:r>
    </w:p>
    <w:p w14:paraId="338193D8"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lastRenderedPageBreak/>
        <w:t xml:space="preserve">Sheikh, A., (2021) ‘Health information technology and digital innovation for national learning health and care systems’, The Lancet Digital Health, 3(6), pp. e383–e396. </w:t>
      </w:r>
      <w:hyperlink r:id="rId53" w:history="1">
        <w:r w:rsidRPr="00884F98">
          <w:rPr>
            <w:rFonts w:ascii="Arial" w:eastAsia="Calibri" w:hAnsi="Arial" w:cs="Arial"/>
            <w:color w:val="0563C1"/>
            <w:kern w:val="2"/>
            <w:u w:val="single"/>
            <w14:ligatures w14:val="standardContextual"/>
          </w:rPr>
          <w:t>https://10.1016/S2589-7500(21)00092-8</w:t>
        </w:r>
      </w:hyperlink>
      <w:r w:rsidRPr="00884F98">
        <w:rPr>
          <w:rFonts w:ascii="Arial" w:eastAsia="Calibri" w:hAnsi="Arial" w:cs="Arial"/>
          <w:kern w:val="2"/>
          <w14:ligatures w14:val="standardContextual"/>
        </w:rPr>
        <w:t xml:space="preserve"> </w:t>
      </w:r>
    </w:p>
    <w:p w14:paraId="0D118B3B"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Tyler, J., Pratt, A., Wooster, J., Vasilakis, C. and Wood, R. (2021) ‘The impact of increased outpatient telehealth during COVID-19: retrospective analysis of patient survey and routine activity data from a major healthcare system in England’, International Journal of Health Planning and Management, 36(4), pp.1338–1345. </w:t>
      </w:r>
      <w:hyperlink r:id="rId54" w:history="1">
        <w:r w:rsidRPr="00884F98">
          <w:rPr>
            <w:rFonts w:ascii="Arial" w:eastAsia="Calibri" w:hAnsi="Arial" w:cs="Arial"/>
            <w:color w:val="0563C1"/>
            <w:kern w:val="2"/>
            <w:u w:val="single"/>
            <w14:ligatures w14:val="standardContextual"/>
          </w:rPr>
          <w:t>https://doi.org/10.1002/hpm.3185</w:t>
        </w:r>
      </w:hyperlink>
      <w:r w:rsidRPr="00884F98">
        <w:rPr>
          <w:rFonts w:ascii="Arial" w:eastAsia="Calibri" w:hAnsi="Arial" w:cs="Arial"/>
          <w:kern w:val="2"/>
          <w14:ligatures w14:val="standardContextual"/>
        </w:rPr>
        <w:t xml:space="preserve"> </w:t>
      </w:r>
    </w:p>
    <w:p w14:paraId="75170E07"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Unadkat, V.A., (2024) ‘Telehealth in post-pandemic NHS: assessing patient experience and service outcomes’, BMJ Open, 14(3), p.e064891. </w:t>
      </w:r>
      <w:hyperlink r:id="rId55" w:history="1">
        <w:r w:rsidRPr="00884F98">
          <w:rPr>
            <w:rFonts w:ascii="Arial" w:eastAsia="Calibri" w:hAnsi="Arial" w:cs="Arial"/>
            <w:color w:val="0563C1"/>
            <w:kern w:val="2"/>
            <w:u w:val="single"/>
            <w14:ligatures w14:val="standardContextual"/>
          </w:rPr>
          <w:t>https://10.1136/bmjopen-2022-064891</w:t>
        </w:r>
      </w:hyperlink>
      <w:r w:rsidRPr="00884F98">
        <w:rPr>
          <w:rFonts w:ascii="Arial" w:eastAsia="Calibri" w:hAnsi="Arial" w:cs="Arial"/>
          <w:kern w:val="2"/>
          <w14:ligatures w14:val="standardContextual"/>
        </w:rPr>
        <w:t xml:space="preserve"> </w:t>
      </w:r>
    </w:p>
    <w:p w14:paraId="10821A35"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Unsworth, H., Dillon, B., Collinson, L., Powell, H., Salmon, M., Oladapo, T., </w:t>
      </w:r>
      <w:proofErr w:type="spellStart"/>
      <w:r w:rsidRPr="00884F98">
        <w:rPr>
          <w:rFonts w:ascii="Arial" w:eastAsia="Calibri" w:hAnsi="Arial" w:cs="Arial"/>
          <w:kern w:val="2"/>
          <w14:ligatures w14:val="standardContextual"/>
        </w:rPr>
        <w:t>Ayiku</w:t>
      </w:r>
      <w:proofErr w:type="spellEnd"/>
      <w:r w:rsidRPr="00884F98">
        <w:rPr>
          <w:rFonts w:ascii="Arial" w:eastAsia="Calibri" w:hAnsi="Arial" w:cs="Arial"/>
          <w:kern w:val="2"/>
          <w14:ligatures w14:val="standardContextual"/>
        </w:rPr>
        <w:t xml:space="preserve">, L., Shield, G., Holden, J., Patel, N., Campbell, M., Greaves, F., Joshi, I., &amp; Tonelli, A. (2021) ‘The NICE Evidence Standards Framework for digital health and care technologies – Developing and maintaining an innovative evidence framework with global impact’, Digital Health, 7, p. </w:t>
      </w:r>
      <w:hyperlink r:id="rId56" w:history="1">
        <w:r w:rsidRPr="00884F98">
          <w:rPr>
            <w:rFonts w:ascii="Arial" w:eastAsia="Calibri" w:hAnsi="Arial" w:cs="Arial"/>
            <w:color w:val="0563C1"/>
            <w:kern w:val="2"/>
            <w:u w:val="single"/>
            <w14:ligatures w14:val="standardContextual"/>
          </w:rPr>
          <w:t>https://10.1177/20552076211018617</w:t>
        </w:r>
      </w:hyperlink>
      <w:r w:rsidRPr="00884F98">
        <w:rPr>
          <w:rFonts w:ascii="Arial" w:eastAsia="Calibri" w:hAnsi="Arial" w:cs="Arial"/>
          <w:kern w:val="2"/>
          <w14:ligatures w14:val="standardContextual"/>
        </w:rPr>
        <w:t xml:space="preserve"> </w:t>
      </w:r>
    </w:p>
    <w:p w14:paraId="6A3419E0"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r w:rsidRPr="00884F98">
        <w:rPr>
          <w:rFonts w:ascii="Arial" w:eastAsia="Calibri" w:hAnsi="Arial" w:cs="Arial"/>
          <w:kern w:val="2"/>
          <w14:ligatures w14:val="standardContextual"/>
        </w:rPr>
        <w:t xml:space="preserve">Winward, S., Patel, T., Al-Saffar, M. and Noble, M. (2021) ‘The effect of 24/7, digital-first, NHS primary care on acute hospital spending: retrospective observational analysis’, Journal of Medical Internet Research, 23(7): e24917. </w:t>
      </w:r>
      <w:hyperlink r:id="rId57" w:history="1">
        <w:r w:rsidRPr="00884F98">
          <w:rPr>
            <w:rFonts w:ascii="Arial" w:eastAsia="Calibri" w:hAnsi="Arial" w:cs="Arial"/>
            <w:color w:val="0563C1"/>
            <w:kern w:val="2"/>
            <w:u w:val="single"/>
            <w14:ligatures w14:val="standardContextual"/>
          </w:rPr>
          <w:t>https://www.jmir.org/2021/7/e24917</w:t>
        </w:r>
      </w:hyperlink>
      <w:r w:rsidRPr="00884F98">
        <w:rPr>
          <w:rFonts w:ascii="Arial" w:eastAsia="Calibri" w:hAnsi="Arial" w:cs="Arial"/>
          <w:kern w:val="2"/>
          <w14:ligatures w14:val="standardContextual"/>
        </w:rPr>
        <w:t xml:space="preserve"> </w:t>
      </w:r>
    </w:p>
    <w:p w14:paraId="6BD1902C"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proofErr w:type="spellStart"/>
      <w:r w:rsidRPr="00884F98">
        <w:rPr>
          <w:rFonts w:ascii="Arial" w:eastAsia="Calibri" w:hAnsi="Arial" w:cs="Arial"/>
          <w:kern w:val="2"/>
          <w14:ligatures w14:val="standardContextual"/>
        </w:rPr>
        <w:t>Wymant</w:t>
      </w:r>
      <w:proofErr w:type="spellEnd"/>
      <w:r w:rsidRPr="00884F98">
        <w:rPr>
          <w:rFonts w:ascii="Arial" w:eastAsia="Calibri" w:hAnsi="Arial" w:cs="Arial"/>
          <w:kern w:val="2"/>
          <w14:ligatures w14:val="standardContextual"/>
        </w:rPr>
        <w:t xml:space="preserve">, C., Ferretti, L., </w:t>
      </w:r>
      <w:proofErr w:type="spellStart"/>
      <w:r w:rsidRPr="00884F98">
        <w:rPr>
          <w:rFonts w:ascii="Arial" w:eastAsia="Calibri" w:hAnsi="Arial" w:cs="Arial"/>
          <w:kern w:val="2"/>
          <w14:ligatures w14:val="standardContextual"/>
        </w:rPr>
        <w:t>Tsallis</w:t>
      </w:r>
      <w:proofErr w:type="spellEnd"/>
      <w:r w:rsidRPr="00884F98">
        <w:rPr>
          <w:rFonts w:ascii="Arial" w:eastAsia="Calibri" w:hAnsi="Arial" w:cs="Arial"/>
          <w:kern w:val="2"/>
          <w14:ligatures w14:val="standardContextual"/>
        </w:rPr>
        <w:t xml:space="preserve">, D. (2021) ‘The epidemiological impact of the NHS COVID-19 app’, Nature, 594, pp.408–412. </w:t>
      </w:r>
      <w:hyperlink r:id="rId58" w:history="1">
        <w:r w:rsidRPr="00884F98">
          <w:rPr>
            <w:rFonts w:ascii="Arial" w:eastAsia="Calibri" w:hAnsi="Arial" w:cs="Arial"/>
            <w:color w:val="0563C1"/>
            <w:kern w:val="2"/>
            <w:u w:val="single"/>
            <w14:ligatures w14:val="standardContextual"/>
          </w:rPr>
          <w:t>https://www.nature.com/articles/s41586-021-03606-z</w:t>
        </w:r>
      </w:hyperlink>
      <w:r w:rsidRPr="00884F98">
        <w:rPr>
          <w:rFonts w:ascii="Arial" w:eastAsia="Calibri" w:hAnsi="Arial" w:cs="Arial"/>
          <w:kern w:val="2"/>
          <w14:ligatures w14:val="standardContextual"/>
        </w:rPr>
        <w:t xml:space="preserve"> </w:t>
      </w:r>
    </w:p>
    <w:p w14:paraId="6194D41B" w14:textId="77777777" w:rsidR="00EF5B08" w:rsidRPr="00884F98" w:rsidRDefault="00EF5B08" w:rsidP="00EF5B08">
      <w:pPr>
        <w:spacing w:after="160" w:line="360" w:lineRule="auto"/>
        <w:ind w:left="720" w:hanging="720"/>
        <w:jc w:val="both"/>
        <w:rPr>
          <w:rFonts w:ascii="Arial" w:eastAsia="Calibri" w:hAnsi="Arial" w:cs="Arial"/>
          <w:kern w:val="2"/>
          <w14:ligatures w14:val="standardContextual"/>
        </w:rPr>
      </w:pPr>
      <w:proofErr w:type="spellStart"/>
      <w:r w:rsidRPr="00884F98">
        <w:rPr>
          <w:rFonts w:ascii="Arial" w:eastAsia="Calibri" w:hAnsi="Arial" w:cs="Arial"/>
          <w:kern w:val="2"/>
          <w14:ligatures w14:val="standardContextual"/>
        </w:rPr>
        <w:t>Ziebland</w:t>
      </w:r>
      <w:proofErr w:type="spellEnd"/>
      <w:r w:rsidRPr="00884F98">
        <w:rPr>
          <w:rFonts w:ascii="Arial" w:eastAsia="Calibri" w:hAnsi="Arial" w:cs="Arial"/>
          <w:kern w:val="2"/>
          <w14:ligatures w14:val="standardContextual"/>
        </w:rPr>
        <w:t xml:space="preserve">, S., Hyde, E. and Powell, J. (2021) ‘Power, paradox and pessimism: On the unintended consequences of digital health technologies in primary care’, Social Science &amp; Medicine, 289, p. 114419. </w:t>
      </w:r>
      <w:hyperlink r:id="rId59" w:history="1">
        <w:r w:rsidRPr="00884F98">
          <w:rPr>
            <w:rFonts w:ascii="Arial" w:eastAsia="Calibri" w:hAnsi="Arial" w:cs="Arial"/>
            <w:color w:val="0563C1"/>
            <w:kern w:val="2"/>
            <w:u w:val="single"/>
            <w14:ligatures w14:val="standardContextual"/>
          </w:rPr>
          <w:t>https://10.1016/j.socscimed.2021.114419</w:t>
        </w:r>
      </w:hyperlink>
      <w:r w:rsidRPr="00884F98">
        <w:rPr>
          <w:rFonts w:ascii="Arial" w:eastAsia="Calibri" w:hAnsi="Arial" w:cs="Arial"/>
          <w:kern w:val="2"/>
          <w14:ligatures w14:val="standardContextual"/>
        </w:rPr>
        <w:t xml:space="preserve"> </w:t>
      </w:r>
    </w:p>
    <w:p w14:paraId="5DA6E5A3" w14:textId="77777777" w:rsidR="00025D10" w:rsidRDefault="00025D10"/>
    <w:sectPr w:rsidR="00025D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26FD2"/>
    <w:multiLevelType w:val="hybridMultilevel"/>
    <w:tmpl w:val="4642C9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05D1DED"/>
    <w:multiLevelType w:val="hybridMultilevel"/>
    <w:tmpl w:val="2C4CD002"/>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657C0053"/>
    <w:multiLevelType w:val="hybridMultilevel"/>
    <w:tmpl w:val="5BA647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F792C63"/>
    <w:multiLevelType w:val="hybridMultilevel"/>
    <w:tmpl w:val="FFDC5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51092437">
    <w:abstractNumId w:val="3"/>
  </w:num>
  <w:num w:numId="2" w16cid:durableId="174830447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2377661">
    <w:abstractNumId w:val="0"/>
  </w:num>
  <w:num w:numId="4" w16cid:durableId="942998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F5B08"/>
    <w:rsid w:val="00025D10"/>
    <w:rsid w:val="000745BF"/>
    <w:rsid w:val="000D53FE"/>
    <w:rsid w:val="001B3653"/>
    <w:rsid w:val="003411F3"/>
    <w:rsid w:val="003C5A0A"/>
    <w:rsid w:val="003D0109"/>
    <w:rsid w:val="00494C36"/>
    <w:rsid w:val="00657A3F"/>
    <w:rsid w:val="007B70AC"/>
    <w:rsid w:val="00884F98"/>
    <w:rsid w:val="008967C6"/>
    <w:rsid w:val="00913160"/>
    <w:rsid w:val="00C0334F"/>
    <w:rsid w:val="00CC7CA0"/>
    <w:rsid w:val="00D913B2"/>
    <w:rsid w:val="00E9510F"/>
    <w:rsid w:val="00EF0596"/>
    <w:rsid w:val="00EF5B08"/>
    <w:rsid w:val="00F05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59D8"/>
  <w15:chartTrackingRefBased/>
  <w15:docId w15:val="{D5B97002-FAC2-4AC1-B188-CBA849EF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B0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EF5B0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F5B0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F5B0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F5B0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F5B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5B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5B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5B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B0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EF5B0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F5B0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F5B08"/>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F5B08"/>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F5B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5B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5B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5B08"/>
    <w:rPr>
      <w:rFonts w:eastAsiaTheme="majorEastAsia" w:cstheme="majorBidi"/>
      <w:color w:val="272727" w:themeColor="text1" w:themeTint="D8"/>
    </w:rPr>
  </w:style>
  <w:style w:type="paragraph" w:styleId="Title">
    <w:name w:val="Title"/>
    <w:basedOn w:val="Normal"/>
    <w:next w:val="Normal"/>
    <w:link w:val="TitleChar"/>
    <w:uiPriority w:val="10"/>
    <w:qFormat/>
    <w:rsid w:val="00EF5B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B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5B0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5B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5B0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5B08"/>
    <w:rPr>
      <w:i/>
      <w:iCs/>
      <w:color w:val="404040" w:themeColor="text1" w:themeTint="BF"/>
    </w:rPr>
  </w:style>
  <w:style w:type="paragraph" w:styleId="ListParagraph">
    <w:name w:val="List Paragraph"/>
    <w:basedOn w:val="Normal"/>
    <w:uiPriority w:val="34"/>
    <w:qFormat/>
    <w:rsid w:val="00EF5B08"/>
    <w:pPr>
      <w:ind w:left="720"/>
      <w:contextualSpacing/>
    </w:pPr>
  </w:style>
  <w:style w:type="character" w:styleId="IntenseEmphasis">
    <w:name w:val="Intense Emphasis"/>
    <w:basedOn w:val="DefaultParagraphFont"/>
    <w:uiPriority w:val="21"/>
    <w:qFormat/>
    <w:rsid w:val="00EF5B08"/>
    <w:rPr>
      <w:i/>
      <w:iCs/>
      <w:color w:val="365F91" w:themeColor="accent1" w:themeShade="BF"/>
    </w:rPr>
  </w:style>
  <w:style w:type="paragraph" w:styleId="IntenseQuote">
    <w:name w:val="Intense Quote"/>
    <w:basedOn w:val="Normal"/>
    <w:next w:val="Normal"/>
    <w:link w:val="IntenseQuoteChar"/>
    <w:uiPriority w:val="30"/>
    <w:qFormat/>
    <w:rsid w:val="00EF5B0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F5B08"/>
    <w:rPr>
      <w:i/>
      <w:iCs/>
      <w:color w:val="365F91" w:themeColor="accent1" w:themeShade="BF"/>
    </w:rPr>
  </w:style>
  <w:style w:type="character" w:styleId="IntenseReference">
    <w:name w:val="Intense Reference"/>
    <w:basedOn w:val="DefaultParagraphFont"/>
    <w:uiPriority w:val="32"/>
    <w:qFormat/>
    <w:rsid w:val="00EF5B08"/>
    <w:rPr>
      <w:b/>
      <w:bCs/>
      <w:smallCaps/>
      <w:color w:val="365F91" w:themeColor="accent1" w:themeShade="BF"/>
      <w:spacing w:val="5"/>
    </w:rPr>
  </w:style>
  <w:style w:type="table" w:styleId="TableGrid">
    <w:name w:val="Table Grid"/>
    <w:basedOn w:val="TableNormal"/>
    <w:uiPriority w:val="39"/>
    <w:rsid w:val="00EF5B08"/>
    <w:pPr>
      <w:spacing w:after="0" w:line="240" w:lineRule="auto"/>
    </w:pPr>
    <w:rPr>
      <w:rFonts w:ascii="Calibri" w:eastAsia="Calibri" w:hAnsi="Calibri"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9510F"/>
    <w:rPr>
      <w:sz w:val="16"/>
      <w:szCs w:val="16"/>
    </w:rPr>
  </w:style>
  <w:style w:type="paragraph" w:styleId="CommentText">
    <w:name w:val="annotation text"/>
    <w:basedOn w:val="Normal"/>
    <w:link w:val="CommentTextChar"/>
    <w:uiPriority w:val="99"/>
    <w:unhideWhenUsed/>
    <w:rsid w:val="00E9510F"/>
    <w:pPr>
      <w:spacing w:line="240" w:lineRule="auto"/>
    </w:pPr>
    <w:rPr>
      <w:sz w:val="20"/>
      <w:szCs w:val="20"/>
    </w:rPr>
  </w:style>
  <w:style w:type="character" w:customStyle="1" w:styleId="CommentTextChar">
    <w:name w:val="Comment Text Char"/>
    <w:basedOn w:val="DefaultParagraphFont"/>
    <w:link w:val="CommentText"/>
    <w:uiPriority w:val="99"/>
    <w:rsid w:val="00E9510F"/>
    <w:rPr>
      <w:sz w:val="20"/>
      <w:szCs w:val="20"/>
    </w:rPr>
  </w:style>
  <w:style w:type="paragraph" w:styleId="CommentSubject">
    <w:name w:val="annotation subject"/>
    <w:basedOn w:val="CommentText"/>
    <w:next w:val="CommentText"/>
    <w:link w:val="CommentSubjectChar"/>
    <w:uiPriority w:val="99"/>
    <w:semiHidden/>
    <w:unhideWhenUsed/>
    <w:rsid w:val="00E9510F"/>
    <w:rPr>
      <w:b/>
      <w:bCs/>
    </w:rPr>
  </w:style>
  <w:style w:type="character" w:customStyle="1" w:styleId="CommentSubjectChar">
    <w:name w:val="Comment Subject Char"/>
    <w:basedOn w:val="CommentTextChar"/>
    <w:link w:val="CommentSubject"/>
    <w:uiPriority w:val="99"/>
    <w:semiHidden/>
    <w:rsid w:val="00E951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36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18"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26"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39" Type="http://schemas.openxmlformats.org/officeDocument/2006/relationships/hyperlink" Target="https://10.1136/bmjhci-2019-100186" TargetMode="External"/><Relationship Id="rId21"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34" Type="http://schemas.openxmlformats.org/officeDocument/2006/relationships/hyperlink" Target="https://10.1016/S2589-7500(21)00191-6" TargetMode="External"/><Relationship Id="rId42" Type="http://schemas.openxmlformats.org/officeDocument/2006/relationships/hyperlink" Target="https://www.i-jmr.org/2024/1/e55925" TargetMode="External"/><Relationship Id="rId47" Type="http://schemas.openxmlformats.org/officeDocument/2006/relationships/hyperlink" Target="https://theseus.fi/bitstream/handle/10024/749542/Kukoryte_Erika.pdf?sequence=2" TargetMode="External"/><Relationship Id="rId50" Type="http://schemas.openxmlformats.org/officeDocument/2006/relationships/hyperlink" Target="https://digital.nhs.uk/data-and-information/looking-after-information/data-security-and-information-governance/data-security-and-protection-toolkit" TargetMode="External"/><Relationship Id="rId55" Type="http://schemas.openxmlformats.org/officeDocument/2006/relationships/hyperlink" Target="https://10.1136/bmjopen-2022-064891" TargetMode="External"/><Relationship Id="rId7"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2" Type="http://schemas.openxmlformats.org/officeDocument/2006/relationships/numbering" Target="numbering.xml"/><Relationship Id="rId16"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29"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11"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24"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32"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37" Type="http://schemas.openxmlformats.org/officeDocument/2006/relationships/hyperlink" Target="https://doi.org/10.7326/M20-3026" TargetMode="External"/><Relationship Id="rId40" Type="http://schemas.openxmlformats.org/officeDocument/2006/relationships/hyperlink" Target="https://mhealth.jmir.org/2021/2/e23477" TargetMode="External"/><Relationship Id="rId45" Type="http://schemas.openxmlformats.org/officeDocument/2006/relationships/hyperlink" Target="https://mhealth.jmir.org/2022/7/e35684" TargetMode="External"/><Relationship Id="rId53" Type="http://schemas.openxmlformats.org/officeDocument/2006/relationships/hyperlink" Target="https://10.1016/S2589-7500(21)00092-8" TargetMode="External"/><Relationship Id="rId58" Type="http://schemas.openxmlformats.org/officeDocument/2006/relationships/hyperlink" Target="https://www.nature.com/articles/s41586-021-03606-z"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14"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22"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27"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30"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35" Type="http://schemas.openxmlformats.org/officeDocument/2006/relationships/hyperlink" Target="https://www.ncbi.nlm.nih.gov/pmc/articles/PMC11668905/" TargetMode="External"/><Relationship Id="rId43" Type="http://schemas.openxmlformats.org/officeDocument/2006/relationships/hyperlink" Target="https://10.1186/s12916-022-02270-1" TargetMode="External"/><Relationship Id="rId48" Type="http://schemas.openxmlformats.org/officeDocument/2006/relationships/hyperlink" Target="https://www.jmir.org/2022/9/e38144" TargetMode="External"/><Relationship Id="rId56" Type="http://schemas.openxmlformats.org/officeDocument/2006/relationships/hyperlink" Target="https://10.1177/20552076211018617" TargetMode="External"/><Relationship Id="rId8"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51" Type="http://schemas.openxmlformats.org/officeDocument/2006/relationships/hyperlink" Target="https://digital.nhs.uk/data-security-and-protection-toolkit" TargetMode="External"/><Relationship Id="rId3" Type="http://schemas.openxmlformats.org/officeDocument/2006/relationships/styles" Target="styles.xml"/><Relationship Id="rId12"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17"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25"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33"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38" Type="http://schemas.openxmlformats.org/officeDocument/2006/relationships/hyperlink" Target="https://10.2196/45689" TargetMode="External"/><Relationship Id="rId46" Type="http://schemas.openxmlformats.org/officeDocument/2006/relationships/hyperlink" Target="https://www.cdc.gov/mmwr/volumes/69/wr/mm6943a3.htm" TargetMode="External"/><Relationship Id="rId59" Type="http://schemas.openxmlformats.org/officeDocument/2006/relationships/hyperlink" Target="https://10.1016/j.socscimed.2021.114419" TargetMode="External"/><Relationship Id="rId20"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41" Type="http://schemas.openxmlformats.org/officeDocument/2006/relationships/hyperlink" Target="https://equityhealthj.biomedcentral.com/articles/10.1186/s12939-022-01689-2" TargetMode="External"/><Relationship Id="rId54" Type="http://schemas.openxmlformats.org/officeDocument/2006/relationships/hyperlink" Target="https://doi.org/10.1002/hpm.3185"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23"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28"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36" Type="http://schemas.openxmlformats.org/officeDocument/2006/relationships/hyperlink" Target="https://www.england.nhs.uk/digital-first-primary-care-strategy/" TargetMode="External"/><Relationship Id="rId49" Type="http://schemas.openxmlformats.org/officeDocument/2006/relationships/hyperlink" Target="https://www.gov.uk/government/organisations/national-data-guardian" TargetMode="External"/><Relationship Id="rId57" Type="http://schemas.openxmlformats.org/officeDocument/2006/relationships/hyperlink" Target="https://www.jmir.org/2021/7/e24917" TargetMode="External"/><Relationship Id="rId10"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31"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 Id="rId44" Type="http://schemas.openxmlformats.org/officeDocument/2006/relationships/hyperlink" Target="https://www.liebertpub.com/doi/full/10.1089/tmr.2021.0040" TargetMode="External"/><Relationship Id="rId52" Type="http://schemas.openxmlformats.org/officeDocument/2006/relationships/hyperlink" Target="https://10.1016/j.clicom.2022.100131"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44749\AppData\Local\Microsoft\Olk\Attachments\ooa-1af3ed29-24f5-409f-b44d-c3f352db01d3\4d09de71cdf6a434609a2d36405dfbba9878cbb27c3c7b048b6c3ecc1b07dc94\9827.edited%20(1)%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BF6EE-F06D-4714-92EA-2202E7AF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6701</Words>
  <Characters>38202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Aissatu Embalo (Student)</dc:creator>
  <cp:keywords/>
  <dc:description/>
  <cp:lastModifiedBy>Genabu Barri (2328229)</cp:lastModifiedBy>
  <cp:revision>2</cp:revision>
  <dcterms:created xsi:type="dcterms:W3CDTF">2025-12-01T15:28:00Z</dcterms:created>
  <dcterms:modified xsi:type="dcterms:W3CDTF">2025-12-01T15:28:00Z</dcterms:modified>
</cp:coreProperties>
</file>