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5"/>
        <w:spacing w:beforeAutospacing="0" w:afterAutospacing="0"/>
        <w:ind w:left="-180" w:right="-334"/>
      </w:pPr>
      <w:bookmarkStart w:id="0" w:name="OLE_LINK6"/>
      <w:r>
        <w:rPr>
          <w:lang w:eastAsia="en-GB"/>
        </w:rPr>
        <w:drawing>
          <wp:inline distT="0" distB="0" distL="114300" distR="114300">
            <wp:extent cx="2058035" cy="856615"/>
            <wp:effectExtent l="0" t="0" r="14605" b="12065"/>
            <wp:docPr id="5" name="图片 5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5" descr="C:\Users\ablettm\AppData\Local\Microsoft\Windows\Temporary Internet Files\Content.Outlook\R41HOZLM\UWTSD Logo.jpg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058035" cy="856615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</w:p>
    <w:p>
      <w:pPr>
        <w:pStyle w:val="5"/>
        <w:spacing w:beforeAutospacing="0" w:afterAutospacing="0"/>
        <w:ind w:left="-180" w:right="-334"/>
      </w:pPr>
    </w:p>
    <w:p>
      <w:pPr>
        <w:pStyle w:val="5"/>
        <w:spacing w:beforeAutospacing="0" w:afterAutospacing="0"/>
        <w:ind w:left="-180" w:right="-334"/>
      </w:pPr>
    </w:p>
    <w:p>
      <w:pPr>
        <w:pStyle w:val="5"/>
        <w:spacing w:beforeAutospacing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>
      <w:pPr>
        <w:pStyle w:val="5"/>
        <w:spacing w:beforeAutospacing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>
      <w:pPr>
        <w:rPr>
          <w:rFonts w:ascii="Arial" w:hAnsi="Arial" w:cs="Arial"/>
          <w:sz w:val="28"/>
          <w:szCs w:val="28"/>
          <w:lang w:val="cy-GB"/>
        </w:rPr>
      </w:pPr>
    </w:p>
    <w:p>
      <w:pPr>
        <w:pStyle w:val="2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>
      <w:pPr>
        <w:pStyle w:val="2"/>
        <w:jc w:val="center"/>
        <w:rPr>
          <w:rFonts w:ascii="Trebuchet MS" w:hAnsi="Trebuchet MS"/>
        </w:rPr>
      </w:pPr>
    </w:p>
    <w:tbl>
      <w:tblPr>
        <w:tblStyle w:val="8"/>
        <w:tblW w:w="8856" w:type="dxa"/>
        <w:tblInd w:w="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4788"/>
        <w:gridCol w:w="423"/>
        <w:gridCol w:w="1557"/>
        <w:gridCol w:w="286"/>
        <w:gridCol w:w="1802"/>
      </w:tblGrid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614" w:hRule="atLeast"/>
        </w:trPr>
        <w:tc>
          <w:tcPr>
            <w:tcW w:w="8856" w:type="dxa"/>
            <w:gridSpan w:val="5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18" w:hRule="atLeast"/>
        </w:trPr>
        <w:tc>
          <w:tcPr>
            <w:tcW w:w="8856" w:type="dxa"/>
            <w:gridSpan w:val="5"/>
          </w:tcPr>
          <w:p>
            <w:pPr>
              <w:pStyle w:val="5"/>
              <w:spacing w:beforeAutospacing="0" w:afterAutospacing="0"/>
              <w:ind w:right="34"/>
              <w:rPr>
                <w:rFonts w:hint="eastAsia" w:ascii="Arial" w:hAnsi="Arial" w:eastAsia="宋体" w:cs="Arial"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Guozhi Wang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849" w:hRule="atLeast"/>
        </w:trPr>
        <w:tc>
          <w:tcPr>
            <w:tcW w:w="4788" w:type="dxa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hint="eastAsia" w:ascii="Arial" w:hAnsi="Arial" w:cs="Arial"/>
                <w:sz w:val="22"/>
                <w:szCs w:val="22"/>
              </w:rPr>
              <w:t>SICH3003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title: Explaining and memorizing the classical Chinese text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>
            <w:pPr>
              <w:pStyle w:val="5"/>
              <w:spacing w:beforeAutospacing="0" w:afterAutospacing="0"/>
              <w:ind w:right="34"/>
              <w:rPr>
                <w:rFonts w:hint="eastAsia" w:ascii="Arial" w:hAnsi="Arial" w:eastAsia="宋体" w:cs="Arial"/>
                <w:sz w:val="22"/>
                <w:szCs w:val="22"/>
                <w:lang w:val="en-US" w:eastAsia="zh-CN"/>
              </w:rPr>
            </w:pPr>
            <w:r>
              <w:rPr>
                <w:rFonts w:hint="eastAsia" w:ascii="Arial" w:hAnsi="Arial" w:cs="Arial"/>
                <w:sz w:val="22"/>
                <w:szCs w:val="22"/>
              </w:rPr>
              <w:t>1804</w:t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816</w:t>
            </w:r>
          </w:p>
        </w:tc>
        <w:tc>
          <w:tcPr>
            <w:tcW w:w="1802" w:type="dxa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trike/>
                <w:sz w:val="22"/>
                <w:szCs w:val="22"/>
              </w:rPr>
              <w:t>Yes</w:t>
            </w:r>
            <w:r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1139" w:hRule="atLeast"/>
        </w:trPr>
        <w:tc>
          <w:tcPr>
            <w:tcW w:w="8856" w:type="dxa"/>
            <w:gridSpan w:val="5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  <w:r>
              <w:rPr>
                <w:rFonts w:hint="eastAsia" w:ascii="Arial" w:hAnsi="Arial" w:cs="Arial"/>
                <w:sz w:val="22"/>
                <w:szCs w:val="22"/>
              </w:rPr>
              <w:t xml:space="preserve"> Professor Chia-Feng Hsieh 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due date:11</w:t>
            </w:r>
            <w:r>
              <w:rPr>
                <w:rFonts w:hint="eastAsia" w:ascii="Arial" w:hAnsi="Arial" w:cs="Arial"/>
                <w:sz w:val="22"/>
                <w:szCs w:val="22"/>
              </w:rPr>
              <w:t>th January, 2019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978" w:hRule="atLeast"/>
        </w:trPr>
        <w:tc>
          <w:tcPr>
            <w:tcW w:w="8856" w:type="dxa"/>
            <w:gridSpan w:val="5"/>
            <w:tcBorders>
              <w:bottom w:val="single" w:color="000000" w:sz="4" w:space="0"/>
            </w:tcBorders>
          </w:tcPr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your module has multiple submissions please indicate which piece of work this is.</w:t>
            </w:r>
          </w:p>
          <w:p>
            <w:pPr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13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>
              <w:rPr>
                <w:rFonts w:hint="eastAsia" w:ascii="Arial" w:hAnsi="Arial" w:cs="Arial"/>
                <w:sz w:val="22"/>
                <w:szCs w:val="22"/>
              </w:rPr>
              <w:t xml:space="preserve">   </w:t>
            </w:r>
            <w:r>
              <w:rPr>
                <w:rFonts w:ascii="Arial" w:hAnsi="Arial" w:cs="Arial"/>
                <w:sz w:val="22"/>
                <w:szCs w:val="22"/>
              </w:rPr>
              <w:t>2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2" w:name="Check14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>
              <w:rPr>
                <w:rFonts w:ascii="Arial" w:hAnsi="Arial" w:cs="Arial"/>
                <w:sz w:val="22"/>
                <w:szCs w:val="22"/>
              </w:rPr>
              <w:t xml:space="preserve"> √    3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3" w:name="Check15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4" w:name="Check16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5" w:name="Check17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6" w:name="Check18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6"/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978" w:hRule="atLeast"/>
        </w:trPr>
        <w:tc>
          <w:tcPr>
            <w:tcW w:w="8856" w:type="dxa"/>
            <w:gridSpan w:val="5"/>
            <w:shd w:val="clear" w:color="auto" w:fill="D9D9D9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Guozhi Wang</w:t>
            </w:r>
            <w:r>
              <w:rPr>
                <w:rFonts w:ascii="Arial" w:hAnsi="Arial" w:cs="Arial"/>
                <w:sz w:val="22"/>
                <w:szCs w:val="22"/>
              </w:rPr>
              <w:t>……………………………………………………………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>
              <w:rPr>
                <w:rFonts w:ascii="Calibri" w:hAnsi="Calibri" w:cs="Tahoma"/>
                <w:b/>
              </w:rPr>
              <w:t>Email submission: if you are submitting this form via email, please tick this box</w:t>
            </w:r>
            <w:r>
              <w:rPr>
                <w:rFonts w:ascii="Calibri" w:hAnsi="Calibri" w:cs="Tahoma"/>
                <w:b/>
                <w:sz w:val="36"/>
                <w:szCs w:val="36"/>
              </w:rPr>
              <w:sym w:font="Wingdings" w:char="00FE"/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3972" w:hRule="atLeast"/>
        </w:trPr>
        <w:tc>
          <w:tcPr>
            <w:tcW w:w="8856" w:type="dxa"/>
            <w:gridSpan w:val="5"/>
          </w:tcPr>
          <w:p>
            <w:pPr>
              <w:rPr>
                <w:rFonts w:ascii="Arial" w:hAnsi="Arial"/>
                <w:b/>
              </w:rPr>
            </w:pPr>
          </w:p>
          <w:p>
            <w:pPr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Style w:val="8"/>
              <w:tblW w:w="8630" w:type="dxa"/>
              <w:tblInd w:w="0" w:type="dxa"/>
              <w:tblBorders>
                <w:top w:val="single" w:color="auto" w:sz="4" w:space="0"/>
                <w:left w:val="single" w:color="auto" w:sz="4" w:space="0"/>
                <w:bottom w:val="single" w:color="auto" w:sz="4" w:space="0"/>
                <w:right w:val="single" w:color="auto" w:sz="4" w:space="0"/>
                <w:insideH w:val="single" w:color="auto" w:sz="4" w:space="0"/>
                <w:insideV w:val="single" w:color="auto" w:sz="4" w:space="0"/>
              </w:tblBorders>
              <w:tblLayout w:type="fixed"/>
              <w:tblCellMar>
                <w:top w:w="0" w:type="dxa"/>
                <w:left w:w="108" w:type="dxa"/>
                <w:bottom w:w="0" w:type="dxa"/>
                <w:right w:w="108" w:type="dxa"/>
              </w:tblCellMar>
            </w:tblPr>
            <w:tblGrid>
              <w:gridCol w:w="6970"/>
              <w:gridCol w:w="1660"/>
            </w:tblGrid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  <w:tblCellMar>
                  <w:top w:w="0" w:type="dxa"/>
                  <w:left w:w="108" w:type="dxa"/>
                  <w:bottom w:w="0" w:type="dxa"/>
                  <w:right w:w="108" w:type="dxa"/>
                </w:tblCellMar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  <w:tblCellMar>
                  <w:top w:w="0" w:type="dxa"/>
                  <w:left w:w="108" w:type="dxa"/>
                  <w:bottom w:w="0" w:type="dxa"/>
                  <w:right w:w="108" w:type="dxa"/>
                </w:tblCellMar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Agreed Internal Mark: </w:t>
                  </w:r>
                </w:p>
                <w:p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  <w:tblCellMar>
                  <w:top w:w="0" w:type="dxa"/>
                  <w:left w:w="108" w:type="dxa"/>
                  <w:bottom w:w="0" w:type="dxa"/>
                  <w:right w:w="108" w:type="dxa"/>
                </w:tblCellMar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  <w:tblCellMar>
                  <w:top w:w="0" w:type="dxa"/>
                  <w:left w:w="108" w:type="dxa"/>
                  <w:bottom w:w="0" w:type="dxa"/>
                  <w:right w:w="108" w:type="dxa"/>
                </w:tblCellMar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>
            <w:pPr>
              <w:pStyle w:val="5"/>
              <w:spacing w:beforeAutospacing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NB.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>
            <w:pPr>
              <w:pStyle w:val="5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Comments:</w:t>
            </w:r>
          </w:p>
          <w:p>
            <w:pPr>
              <w:pStyle w:val="5"/>
              <w:rPr>
                <w:rFonts w:ascii="Arial" w:hAnsi="Arial" w:cs="Arial"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92" w:hRule="atLeast"/>
        </w:trPr>
        <w:tc>
          <w:tcPr>
            <w:tcW w:w="6768" w:type="dxa"/>
            <w:gridSpan w:val="3"/>
          </w:tcPr>
          <w:p>
            <w:pPr>
              <w:pStyle w:val="5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</w:tcPr>
          <w:p>
            <w:pPr>
              <w:pStyle w:val="5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56" w:type="dxa"/>
            <w:gridSpan w:val="5"/>
          </w:tcPr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</w:trPr>
        <w:tc>
          <w:tcPr>
            <w:tcW w:w="5211" w:type="dxa"/>
            <w:gridSpan w:val="2"/>
          </w:tcPr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</w:tcPr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</w:trPr>
        <w:tc>
          <w:tcPr>
            <w:tcW w:w="8856" w:type="dxa"/>
            <w:gridSpan w:val="5"/>
          </w:tcPr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Comment on process on arriving at agreed mark:</w:t>
            </w:r>
          </w:p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</w:trPr>
        <w:tc>
          <w:tcPr>
            <w:tcW w:w="8856" w:type="dxa"/>
            <w:gridSpan w:val="5"/>
          </w:tcPr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</w:trPr>
        <w:tc>
          <w:tcPr>
            <w:tcW w:w="5211" w:type="dxa"/>
            <w:gridSpan w:val="2"/>
          </w:tcPr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bookmarkEnd w:id="0"/>
    </w:tbl>
    <w:p>
      <w:pPr>
        <w:jc w:val="center"/>
        <w:rPr>
          <w:rFonts w:ascii="DFKai-SB" w:hAnsi="DFKai-SB" w:eastAsia="DFKai-SB" w:cs="DFKai-SB"/>
          <w:sz w:val="36"/>
          <w:szCs w:val="36"/>
        </w:rPr>
      </w:pPr>
    </w:p>
    <w:p>
      <w:pPr>
        <w:rPr>
          <w:rFonts w:ascii="微软雅黑" w:hAnsi="微软雅黑" w:eastAsia="微软雅黑"/>
        </w:rPr>
      </w:pPr>
    </w:p>
    <w:p>
      <w:pPr>
        <w:ind w:firstLine="420"/>
        <w:rPr>
          <w:rFonts w:ascii="微软雅黑" w:hAnsi="微软雅黑" w:eastAsia="微软雅黑"/>
        </w:rPr>
      </w:pPr>
    </w:p>
    <w:p>
      <w:pPr>
        <w:ind w:firstLine="420"/>
        <w:rPr>
          <w:rFonts w:ascii="微软雅黑" w:hAnsi="微软雅黑" w:eastAsia="微软雅黑"/>
        </w:rPr>
      </w:pPr>
    </w:p>
    <w:p>
      <w:pPr>
        <w:ind w:firstLine="420"/>
        <w:rPr>
          <w:rFonts w:ascii="微软雅黑" w:hAnsi="微软雅黑" w:eastAsia="微软雅黑"/>
        </w:rPr>
      </w:pPr>
    </w:p>
    <w:p>
      <w:pPr>
        <w:ind w:firstLine="420"/>
        <w:rPr>
          <w:rFonts w:ascii="微软雅黑" w:hAnsi="微软雅黑" w:eastAsia="微软雅黑"/>
        </w:rPr>
      </w:pPr>
    </w:p>
    <w:p>
      <w:pPr>
        <w:ind w:firstLine="420"/>
        <w:rPr>
          <w:rFonts w:ascii="微软雅黑" w:hAnsi="微软雅黑" w:eastAsia="微软雅黑"/>
        </w:rPr>
      </w:pPr>
    </w:p>
    <w:p>
      <w:pPr>
        <w:ind w:firstLine="420"/>
        <w:rPr>
          <w:rFonts w:ascii="微软雅黑" w:hAnsi="微软雅黑" w:eastAsia="微软雅黑"/>
        </w:rPr>
      </w:pPr>
    </w:p>
    <w:p>
      <w:pPr>
        <w:ind w:firstLine="420"/>
        <w:rPr>
          <w:rFonts w:ascii="微软雅黑" w:hAnsi="微软雅黑" w:eastAsia="微软雅黑"/>
        </w:rPr>
      </w:pPr>
    </w:p>
    <w:p>
      <w:pPr>
        <w:ind w:firstLine="420"/>
        <w:rPr>
          <w:rFonts w:ascii="微软雅黑" w:hAnsi="微软雅黑" w:eastAsia="微软雅黑"/>
        </w:rPr>
      </w:pPr>
    </w:p>
    <w:p>
      <w:pPr>
        <w:ind w:firstLine="420"/>
        <w:rPr>
          <w:rFonts w:ascii="微软雅黑" w:hAnsi="微软雅黑" w:eastAsia="微软雅黑"/>
        </w:rPr>
      </w:pPr>
    </w:p>
    <w:p>
      <w:pPr>
        <w:ind w:firstLine="420"/>
        <w:rPr>
          <w:rFonts w:ascii="微软雅黑" w:hAnsi="微软雅黑" w:eastAsia="微软雅黑"/>
        </w:rPr>
      </w:pPr>
    </w:p>
    <w:p>
      <w:pPr>
        <w:spacing w:line="360" w:lineRule="auto"/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  <w:r>
        <w:rPr>
          <w:rFonts w:hint="eastAsia" w:ascii="DFKai-SB" w:hAnsi="DFKai-SB" w:eastAsia="DFKai-SB" w:cs="DFKai-SB"/>
          <w:sz w:val="36"/>
          <w:szCs w:val="36"/>
          <w:lang w:eastAsia="zh-TW"/>
        </w:rPr>
        <w:t>背誦內容</w:t>
      </w:r>
    </w:p>
    <w:p>
      <w:pPr>
        <w:spacing w:line="360" w:lineRule="auto"/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spacing w:line="360" w:lineRule="auto"/>
        <w:rPr>
          <w:rFonts w:hint="eastAsia" w:ascii="PMingLiU" w:hAnsi="PMingLiU" w:eastAsia="PMingLiU" w:cs="PMingLiU"/>
          <w:b w:val="0"/>
          <w:bCs w:val="0"/>
          <w:sz w:val="28"/>
          <w:szCs w:val="28"/>
          <w:lang w:val="en-US" w:eastAsia="zh-CN"/>
        </w:rPr>
      </w:pPr>
      <w:r>
        <w:rPr>
          <w:rFonts w:hint="eastAsia" w:ascii="PMingLiU" w:hAnsi="PMingLiU" w:eastAsia="PMingLiU" w:cs="PMingLiU"/>
          <w:b w:val="0"/>
          <w:bCs w:val="0"/>
          <w:sz w:val="28"/>
          <w:szCs w:val="28"/>
          <w:lang w:val="en-US" w:eastAsia="zh-CN"/>
        </w:rPr>
        <w:t>注：</w:t>
      </w:r>
    </w:p>
    <w:p>
      <w:pPr>
        <w:spacing w:line="360" w:lineRule="auto"/>
        <w:rPr>
          <w:rFonts w:hint="eastAsia" w:ascii="PMingLiU" w:hAnsi="PMingLiU" w:eastAsia="PMingLiU" w:cs="PMingLiU"/>
          <w:b w:val="0"/>
          <w:bCs w:val="0"/>
          <w:sz w:val="28"/>
          <w:szCs w:val="28"/>
          <w:highlight w:val="red"/>
          <w:lang w:val="en-US" w:eastAsia="zh-CN"/>
        </w:rPr>
      </w:pPr>
      <w:r>
        <w:rPr>
          <w:rFonts w:hint="eastAsia" w:ascii="PMingLiU" w:hAnsi="PMingLiU" w:eastAsia="PMingLiU" w:cs="PMingLiU"/>
          <w:b w:val="0"/>
          <w:bCs w:val="0"/>
          <w:sz w:val="28"/>
          <w:szCs w:val="28"/>
          <w:highlight w:val="red"/>
          <w:lang w:val="en-US" w:eastAsia="zh-CN"/>
        </w:rPr>
        <w:t>紅色：背錯</w:t>
      </w:r>
    </w:p>
    <w:p>
      <w:pPr>
        <w:spacing w:line="360" w:lineRule="auto"/>
        <w:rPr>
          <w:rFonts w:hint="eastAsia" w:ascii="PMingLiU" w:hAnsi="PMingLiU" w:eastAsia="PMingLiU" w:cs="PMingLiU"/>
          <w:b w:val="0"/>
          <w:bCs w:val="0"/>
          <w:sz w:val="28"/>
          <w:szCs w:val="28"/>
          <w:highlight w:val="yellow"/>
          <w:lang w:val="en-US" w:eastAsia="zh-CN"/>
        </w:rPr>
      </w:pPr>
      <w:bookmarkStart w:id="7" w:name="_GoBack"/>
      <w:bookmarkEnd w:id="7"/>
      <w:r>
        <w:rPr>
          <w:rFonts w:hint="eastAsia" w:ascii="PMingLiU" w:hAnsi="PMingLiU" w:eastAsia="PMingLiU" w:cs="PMingLiU"/>
          <w:b w:val="0"/>
          <w:bCs w:val="0"/>
          <w:sz w:val="28"/>
          <w:szCs w:val="28"/>
          <w:highlight w:val="yellow"/>
          <w:lang w:val="en-US" w:eastAsia="zh-CN"/>
        </w:rPr>
        <w:t>黃色：卡頓</w:t>
      </w:r>
    </w:p>
    <w:p>
      <w:pPr>
        <w:spacing w:line="360" w:lineRule="auto"/>
        <w:rPr>
          <w:rFonts w:ascii="PMingLiU" w:hAnsi="PMingLiU" w:eastAsia="PMingLiU" w:cs="PMingLiU"/>
          <w:sz w:val="28"/>
          <w:szCs w:val="28"/>
          <w:lang w:eastAsia="zh-TW"/>
        </w:rPr>
      </w:pPr>
    </w:p>
    <w:p>
      <w:pPr>
        <w:spacing w:line="360" w:lineRule="auto"/>
        <w:rPr>
          <w:rFonts w:hint="eastAsia" w:ascii="PMingLiU" w:hAnsi="PMingLiU" w:eastAsia="PMingLiU" w:cs="PMingLiU"/>
          <w:sz w:val="28"/>
          <w:szCs w:val="28"/>
          <w:lang w:eastAsia="zh-CN"/>
        </w:rPr>
      </w:pPr>
      <w:r>
        <w:rPr>
          <w:rFonts w:hint="eastAsia" w:ascii="PMingLiU" w:hAnsi="PMingLiU" w:eastAsia="PMingLiU" w:cs="PMingLiU"/>
          <w:sz w:val="28"/>
          <w:szCs w:val="28"/>
          <w:lang w:eastAsia="zh-TW"/>
        </w:rPr>
        <w:t>《大學》背誦</w:t>
      </w:r>
      <w:r>
        <w:rPr>
          <w:rFonts w:hint="eastAsia" w:ascii="PMingLiU" w:hAnsi="PMingLiU" w:eastAsia="PMingLiU" w:cs="PMingLiU"/>
          <w:sz w:val="28"/>
          <w:szCs w:val="28"/>
          <w:lang w:eastAsia="zh-CN"/>
        </w:rPr>
        <w:t>：</w:t>
      </w:r>
    </w:p>
    <w:p>
      <w:pPr>
        <w:numPr>
          <w:ilvl w:val="0"/>
          <w:numId w:val="0"/>
        </w:numPr>
        <w:spacing w:line="360" w:lineRule="auto"/>
        <w:rPr>
          <w:rFonts w:hint="eastAsia" w:ascii="DFKai-SB" w:hAnsi="DFKai-SB" w:eastAsia="DFKai-SB" w:cs="DFKai-SB"/>
          <w:sz w:val="28"/>
          <w:szCs w:val="28"/>
        </w:rPr>
      </w:pPr>
      <w:r>
        <w:rPr>
          <w:rFonts w:hint="eastAsia" w:ascii="DFKai-SB" w:hAnsi="DFKai-SB" w:eastAsia="DFKai-SB" w:cs="DFKai-SB"/>
          <w:sz w:val="28"/>
          <w:szCs w:val="28"/>
          <w:lang w:val="en-US" w:eastAsia="zh-CN"/>
        </w:rPr>
        <w:t>1、</w:t>
      </w:r>
      <w:r>
        <w:rPr>
          <w:rFonts w:hint="eastAsia" w:ascii="DFKai-SB" w:hAnsi="DFKai-SB" w:eastAsia="DFKai-SB" w:cs="DFKai-SB"/>
          <w:sz w:val="28"/>
          <w:szCs w:val="28"/>
        </w:rPr>
        <w:t>大學之道，在明明德，在親民，在止於至善。知止而后有定，定而后能靜，靜而后能安，安而后能慮，慮而后能得。物有本末，事有終始，知所先後，則近道矣。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sz w:val="28"/>
          <w:szCs w:val="28"/>
        </w:rPr>
      </w:pPr>
      <w:r>
        <w:rPr>
          <w:rFonts w:hint="eastAsia" w:ascii="DFKai-SB" w:hAnsi="DFKai-SB" w:eastAsia="DFKai-SB" w:cs="DFKai-SB"/>
          <w:sz w:val="28"/>
          <w:szCs w:val="28"/>
        </w:rPr>
        <w:t>古之欲明明德於天下者，先治其國；欲治其國者，先齊其家；欲齊其家者，先脩其身；欲脩其身者，先正其心；欲正其心者，先誠其意；欲誠其意者，先致其知</w:t>
      </w:r>
      <w:r>
        <w:rPr>
          <w:rFonts w:hint="eastAsia" w:ascii="DFKai-SB" w:hAnsi="DFKai-SB" w:eastAsia="DFKai-SB" w:cs="DFKai-SB"/>
          <w:sz w:val="28"/>
          <w:szCs w:val="28"/>
          <w:lang w:eastAsia="zh-CN"/>
        </w:rPr>
        <w:t>；</w:t>
      </w:r>
      <w:r>
        <w:rPr>
          <w:rFonts w:hint="eastAsia" w:ascii="DFKai-SB" w:hAnsi="DFKai-SB" w:eastAsia="DFKai-SB" w:cs="DFKai-SB"/>
          <w:sz w:val="28"/>
          <w:szCs w:val="28"/>
        </w:rPr>
        <w:t>致知在格物。物格而后知至，知至而后意誠，意誠而后心正，心正而后身脩，身脩而后家齊，家齊而后國治，國治而后天下平。</w:t>
      </w:r>
    </w:p>
    <w:p>
      <w:pPr>
        <w:spacing w:line="360" w:lineRule="auto"/>
        <w:ind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</w:rPr>
        <w:t>自天子以至於庶人，壹是皆以脩身為本。其本亂而末治者，否矣；其所厚者薄，而其所薄者厚，未之有也！此謂知本，此謂知之至也</w:t>
      </w:r>
      <w:r>
        <w:rPr>
          <w:rFonts w:hint="eastAsia" w:ascii="DFKai-SB" w:hAnsi="DFKai-SB" w:eastAsia="DFKai-SB" w:cs="DFKai-SB"/>
          <w:sz w:val="28"/>
          <w:szCs w:val="28"/>
          <w:lang w:eastAsia="zh-CN"/>
        </w:rPr>
        <w:t>。</w:t>
      </w:r>
    </w:p>
    <w:p>
      <w:pPr>
        <w:spacing w:line="360" w:lineRule="auto"/>
        <w:ind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</w:p>
    <w:p>
      <w:pPr>
        <w:numPr>
          <w:ilvl w:val="0"/>
          <w:numId w:val="0"/>
        </w:numPr>
        <w:spacing w:line="360" w:lineRule="auto"/>
        <w:ind w:leftChars="0"/>
        <w:rPr>
          <w:rFonts w:hint="eastAsia" w:ascii="DFKai-SB" w:hAnsi="DFKai-SB" w:eastAsia="DFKai-SB" w:cs="DFKai-SB"/>
          <w:sz w:val="28"/>
          <w:szCs w:val="28"/>
        </w:rPr>
      </w:pPr>
      <w:r>
        <w:rPr>
          <w:rFonts w:hint="eastAsia" w:ascii="DFKai-SB" w:hAnsi="DFKai-SB" w:eastAsia="DFKai-SB" w:cs="DFKai-SB"/>
          <w:sz w:val="28"/>
          <w:szCs w:val="28"/>
          <w:lang w:val="en-US" w:eastAsia="zh-CN"/>
        </w:rPr>
        <w:t>2、</w:t>
      </w:r>
      <w:r>
        <w:rPr>
          <w:rFonts w:hint="eastAsia" w:ascii="DFKai-SB" w:hAnsi="DFKai-SB" w:eastAsia="DFKai-SB" w:cs="DFKai-SB"/>
          <w:sz w:val="28"/>
          <w:szCs w:val="28"/>
        </w:rPr>
        <w:t>所謂誠其意者，毋自欺也。如惡惡臭，如好好色，此之謂自謙。故君子必慎其獨也。小人閒居為不善，無所不至；見君子而後厭然，揜其不善，而著其善。人之視己，如見其肺肝然，則何益矣？此謂誠於中，形於外，故君子必慎其獨也。曾子曰：「十目所視，十手所指，其嚴乎！」富潤屋，德潤身，心廣體胖，故君子必誠其意。</w:t>
      </w:r>
    </w:p>
    <w:p>
      <w:pPr>
        <w:spacing w:line="360" w:lineRule="auto"/>
        <w:ind w:firstLine="560" w:firstLineChars="200"/>
        <w:rPr>
          <w:rFonts w:hint="eastAsia" w:ascii="DFKai-SB" w:hAnsi="DFKai-SB" w:eastAsia="DFKai-SB" w:cs="DFKai-SB"/>
          <w:sz w:val="28"/>
          <w:szCs w:val="28"/>
        </w:rPr>
      </w:pPr>
    </w:p>
    <w:p>
      <w:pPr>
        <w:numPr>
          <w:ilvl w:val="0"/>
          <w:numId w:val="0"/>
        </w:numPr>
        <w:spacing w:line="360" w:lineRule="auto"/>
        <w:ind w:leftChars="0"/>
        <w:rPr>
          <w:rFonts w:hint="eastAsia" w:ascii="DFKai-SB" w:hAnsi="DFKai-SB" w:eastAsia="DFKai-SB" w:cs="DFKai-SB"/>
          <w:sz w:val="28"/>
          <w:szCs w:val="28"/>
        </w:rPr>
      </w:pPr>
      <w:r>
        <w:rPr>
          <w:rFonts w:hint="eastAsia" w:ascii="DFKai-SB" w:hAnsi="DFKai-SB" w:eastAsia="DFKai-SB" w:cs="DFKai-SB"/>
          <w:sz w:val="28"/>
          <w:szCs w:val="28"/>
          <w:lang w:val="en-US" w:eastAsia="zh-CN"/>
        </w:rPr>
        <w:t>3、</w:t>
      </w:r>
      <w:r>
        <w:rPr>
          <w:rFonts w:hint="eastAsia" w:ascii="DFKai-SB" w:hAnsi="DFKai-SB" w:eastAsia="DFKai-SB" w:cs="DFKai-SB"/>
          <w:sz w:val="28"/>
          <w:szCs w:val="28"/>
        </w:rPr>
        <w:t>所謂治國必先齊其家者，其家不可教而能教人者，無之。故君子不出家而成教於國：孝者，所以事</w:t>
      </w:r>
      <w:r>
        <w:rPr>
          <w:rFonts w:hint="eastAsia" w:ascii="DFKai-SB" w:hAnsi="DFKai-SB" w:eastAsia="DFKai-SB" w:cs="DFKai-SB"/>
          <w:color w:val="auto"/>
          <w:sz w:val="28"/>
          <w:szCs w:val="28"/>
          <w:lang w:val="en-US" w:eastAsia="zh-CN"/>
        </w:rPr>
        <w:t>君</w:t>
      </w:r>
      <w:r>
        <w:rPr>
          <w:rFonts w:hint="eastAsia" w:ascii="DFKai-SB" w:hAnsi="DFKai-SB" w:eastAsia="DFKai-SB" w:cs="DFKai-SB"/>
          <w:color w:val="auto"/>
          <w:sz w:val="28"/>
          <w:szCs w:val="28"/>
          <w:highlight w:val="red"/>
          <w:lang w:val="en-US" w:eastAsia="zh-CN"/>
        </w:rPr>
        <w:t>（親）</w:t>
      </w:r>
      <w:r>
        <w:rPr>
          <w:rFonts w:hint="eastAsia" w:ascii="DFKai-SB" w:hAnsi="DFKai-SB" w:eastAsia="DFKai-SB" w:cs="DFKai-SB"/>
          <w:sz w:val="28"/>
          <w:szCs w:val="28"/>
        </w:rPr>
        <w:t>也；弟者，所以事長也；慈者，所以使眾也。《康誥》「如保赤子」，心誠求之，雖不中，不遠矣。未有學養子而後嫁者也！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sz w:val="28"/>
          <w:szCs w:val="28"/>
        </w:rPr>
      </w:pPr>
      <w:r>
        <w:rPr>
          <w:rFonts w:hint="eastAsia" w:ascii="DFKai-SB" w:hAnsi="DFKai-SB" w:eastAsia="DFKai-SB" w:cs="DFKai-SB"/>
          <w:sz w:val="28"/>
          <w:szCs w:val="28"/>
        </w:rPr>
        <w:t>一家仁，一國興仁；一家讓，一國興讓；一人貪戾，一國作亂。其機如此。此謂一言僨事，一人定國。堯、舜帥天下以仁，而民從之；桀、紂帥天下以暴，而民從之。其所令反其所好，而民不從。是故君子有諸己而後求諸人，無諸己，而後非諸人。所藏乎身不恕，而能喻諸人者，未之有也。故治國在齊其家。</w:t>
      </w:r>
    </w:p>
    <w:p>
      <w:pPr>
        <w:spacing w:line="360" w:lineRule="auto"/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</w:pPr>
    </w:p>
    <w:p>
      <w:pPr>
        <w:spacing w:line="360" w:lineRule="auto"/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  <w:t>《中庸》背誦：</w:t>
      </w:r>
    </w:p>
    <w:p>
      <w:pPr>
        <w:numPr>
          <w:ilvl w:val="0"/>
          <w:numId w:val="0"/>
        </w:numPr>
        <w:spacing w:line="360" w:lineRule="auto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val="en-US" w:eastAsia="zh-CN"/>
        </w:rPr>
        <w:t>1、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子曰：「愚而好自用，賤而好自專，生乎今之世，反古之道。如此者，烖及其身者也。」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非天子，不議禮，不制度，不考文。今天下車同軌，書同文，行同倫。雖有其位，苟無其德，不敢作禮樂焉；雖有其德，苟無其位，亦不敢作禮樂焉。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子曰：「吾說夏禮，杞不足徵也。吾學殷禮，有宋存焉；吾學周禮，今用之，吾從周。」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</w:pPr>
    </w:p>
    <w:p>
      <w:pPr>
        <w:numPr>
          <w:ilvl w:val="0"/>
          <w:numId w:val="0"/>
        </w:numPr>
        <w:spacing w:line="360" w:lineRule="auto"/>
        <w:ind w:leftChars="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val="en-US" w:eastAsia="zh-CN"/>
        </w:rPr>
        <w:t>2、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子曰：「好學近乎知，力行近乎仁，知恥近乎勇。知斯三者，則知所以修身；知所以修身，則知所以治人；知所以治人，則知所以治天下國家矣。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凡為天下國家有九經，曰：修身也，尊賢也，親親也，敬大臣也，體群臣也，子庶民也，來百工也，柔遠人也，懷諸侯也。修身，則道立；尊賢，則不惑；親親，則諸父昆弟不怨；敬大臣，則不眩；體群臣，則士之報禮重；子庶民，則百姓勸；來百工，則財用足；柔遠人，則四方歸之；懷諸侯，則天下畏之。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齊明盛服，非禮不動，所以修身也；去讒遠色，賤貨而貴德，所以勸賢也；尊其位，重其祿，同其好惡，所以勸親親也；官盛任使，所以勸大臣也；忠信重祿，所以勸士也；時使薄斂，所以勸百姓也；日省月試，既廩稱事，所以勸百工也；送往迎來，嘉善而矜不能，所以柔遠人也；繼絕世，舉廢國，治亂持危，朝聘以時，厚往而薄來，所以懷諸侯也。凡為天下國家有九經，所以行之者一也。」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</w:pPr>
    </w:p>
    <w:p>
      <w:pPr>
        <w:numPr>
          <w:ilvl w:val="0"/>
          <w:numId w:val="0"/>
        </w:numPr>
        <w:spacing w:line="360" w:lineRule="auto"/>
        <w:ind w:leftChars="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val="en-US" w:eastAsia="zh-CN"/>
        </w:rPr>
        <w:t>3、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天命之謂性，率性之謂道，修道之謂教。道也者，不可須臾離也，可離非道也。是故君子戒慎乎其所不睹，恐懼乎其所不聞。莫見乎隱，莫顯乎微。故君子慎其獨也。喜怒哀樂之未發，謂之中；發而皆中節，謂之和；中也者，天下之大本也；和也者，天下之達道也。致中和，天地位焉，萬物育焉。</w:t>
      </w:r>
    </w:p>
    <w:p>
      <w:pPr>
        <w:numPr>
          <w:ilvl w:val="0"/>
          <w:numId w:val="0"/>
        </w:numPr>
        <w:spacing w:line="360" w:lineRule="auto"/>
        <w:ind w:leftChars="0" w:firstLine="56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仲尼曰：「君子中庸，小人反中庸。君子之中庸也，君子而時中；小人之中庸也，小人而無忌憚也。」</w:t>
      </w:r>
    </w:p>
    <w:p>
      <w:pPr>
        <w:spacing w:line="360" w:lineRule="auto"/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  <w:t>《論語》背誦：</w:t>
      </w:r>
    </w:p>
    <w:p>
      <w:pPr>
        <w:numPr>
          <w:ilvl w:val="0"/>
          <w:numId w:val="0"/>
        </w:numPr>
        <w:spacing w:line="360" w:lineRule="auto"/>
        <w:rPr>
          <w:rFonts w:hint="eastAsia" w:ascii="DFKai-SB" w:hAnsi="DFKai-SB" w:eastAsia="DFKai-SB" w:cs="DFKai-SB"/>
          <w:b w:val="0"/>
          <w:bCs w:val="0"/>
          <w:sz w:val="28"/>
          <w:szCs w:val="28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1、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〈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季氏第十六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〉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</w:rPr>
        <w:t>孔子曰：「益者三友，損者三友。友直，友諒，友多聞，益矣。友便辟，友善柔，友便佞，損矣。」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</w:rPr>
        <w:t>孔子曰：「益者三樂，損者三樂。樂節禮樂，樂道人之善，樂多賢友，益矣。樂驕樂，樂佚遊</w:t>
      </w:r>
      <w:r>
        <w:rPr>
          <w:rFonts w:hint="eastAsia" w:ascii="DFKai-SB" w:hAnsi="DFKai-SB" w:eastAsia="DFKai-SB" w:cs="DFKai-SB"/>
          <w:b w:val="0"/>
          <w:bCs w:val="0"/>
          <w:sz w:val="28"/>
          <w:szCs w:val="28"/>
          <w:highlight w:val="red"/>
          <w:lang w:eastAsia="zh-CN"/>
        </w:rPr>
        <w:t>（</w:t>
      </w:r>
      <w:r>
        <w:rPr>
          <w:rFonts w:hint="eastAsia" w:ascii="DFKai-SB" w:hAnsi="DFKai-SB" w:eastAsia="DFKai-SB" w:cs="DFKai-SB"/>
          <w:b w:val="0"/>
          <w:bCs w:val="0"/>
          <w:sz w:val="28"/>
          <w:szCs w:val="28"/>
          <w:highlight w:val="red"/>
          <w:lang w:val="en-US" w:eastAsia="zh-CN"/>
        </w:rPr>
        <w:t>流，滑口</w:t>
      </w:r>
      <w:r>
        <w:rPr>
          <w:rFonts w:hint="eastAsia" w:ascii="DFKai-SB" w:hAnsi="DFKai-SB" w:eastAsia="DFKai-SB" w:cs="DFKai-SB"/>
          <w:b w:val="0"/>
          <w:bCs w:val="0"/>
          <w:sz w:val="28"/>
          <w:szCs w:val="28"/>
          <w:highlight w:val="red"/>
          <w:lang w:eastAsia="zh-CN"/>
        </w:rPr>
        <w:t>）</w:t>
      </w:r>
      <w:r>
        <w:rPr>
          <w:rFonts w:hint="eastAsia" w:ascii="DFKai-SB" w:hAnsi="DFKai-SB" w:eastAsia="DFKai-SB" w:cs="DFKai-SB"/>
          <w:b w:val="0"/>
          <w:bCs w:val="0"/>
          <w:sz w:val="28"/>
          <w:szCs w:val="28"/>
        </w:rPr>
        <w:t>，樂宴樂，損矣。」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</w:rPr>
        <w:t>孔子曰：「侍於君子有三愆。言未及之而言</w:t>
      </w: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，</w:t>
      </w:r>
      <w:r>
        <w:rPr>
          <w:rFonts w:hint="eastAsia" w:ascii="DFKai-SB" w:hAnsi="DFKai-SB" w:eastAsia="DFKai-SB" w:cs="DFKai-SB"/>
          <w:b w:val="0"/>
          <w:bCs w:val="0"/>
          <w:sz w:val="28"/>
          <w:szCs w:val="28"/>
        </w:rPr>
        <w:t>謂之躁，言及之而不言</w:t>
      </w: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，</w:t>
      </w:r>
      <w:r>
        <w:rPr>
          <w:rFonts w:hint="eastAsia" w:ascii="DFKai-SB" w:hAnsi="DFKai-SB" w:eastAsia="DFKai-SB" w:cs="DFKai-SB"/>
          <w:b w:val="0"/>
          <w:bCs w:val="0"/>
          <w:sz w:val="28"/>
          <w:szCs w:val="28"/>
        </w:rPr>
        <w:t>謂之隱，未見顏色而言</w:t>
      </w: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，</w:t>
      </w:r>
      <w:r>
        <w:rPr>
          <w:rFonts w:hint="eastAsia" w:ascii="DFKai-SB" w:hAnsi="DFKai-SB" w:eastAsia="DFKai-SB" w:cs="DFKai-SB"/>
          <w:b w:val="0"/>
          <w:bCs w:val="0"/>
          <w:sz w:val="28"/>
          <w:szCs w:val="28"/>
        </w:rPr>
        <w:t>謂之瞽。」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</w:rPr>
        <w:t>孔子曰：「君子有三戒。少之時，血氣未定，戒之在色；及其壯也，血氣方剛，戒之在鬥；及其老也，血氣既衰，戒之在得。」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</w:rPr>
        <w:t>孔子曰：「君子有三畏：畏天命，畏大人，畏聖人之言。小人不知天命而不畏也，狎大人，侮聖人之言。」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</w:rPr>
        <w:t>孔子曰：「生而知之者，上也；學而知之者，次也；困而學之，又其次也。困而不學，民斯為下矣！」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</w:rPr>
        <w:t>孔子曰：「君子有九思：視思明，聽思聰，色思溫，貌思恭，言思忠，事思敬，疑思問，忿思難，見得思義。」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</w:rPr>
      </w:pPr>
    </w:p>
    <w:p>
      <w:pPr>
        <w:numPr>
          <w:ilvl w:val="0"/>
          <w:numId w:val="0"/>
        </w:numPr>
        <w:spacing w:line="360" w:lineRule="auto"/>
        <w:ind w:leftChars="0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2、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〈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泰伯第八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〉</w:t>
      </w: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val="en-US" w:eastAsia="zh-CN"/>
        </w:rPr>
        <w:t xml:space="preserve"> 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曾子有疾，孟敬子問之。曾子言曰：「鳥之將死，其鳴也哀；人之將死，其言也善。君子所貴乎道者三：動容貌，斯遠暴慢矣；正顏色，斯近信矣；出辭氣，斯遠鄙倍矣。籩豆之事，則有司存。」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曾子曰：「以能問於不能，以多問於寡，有若無，實若虛，犯而不校，昔者吾友，嘗從事於斯矣。」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曾子曰：「可以託六尺之孤，可以寄百里之命，臨大節而不可奪也，君子人與？君子人也。」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曾子曰：「士不可以不弘毅，任重而道遠。仁以為己任，不亦重乎，死而後已，不亦遠乎。」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 xml:space="preserve">子曰：「興於詩。立於禮。成於樂。」   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子曰：「民可使由之，不可使知之。」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子曰：「好勇疾貧，亂也。人而不仁，疾之已甚，亂也。」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子曰：「如有周公之才之美，使驕且吝，其餘不足觀也已。」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</w:p>
    <w:p>
      <w:pPr>
        <w:numPr>
          <w:ilvl w:val="0"/>
          <w:numId w:val="0"/>
        </w:numPr>
        <w:adjustRightInd w:val="0"/>
        <w:snapToGrid w:val="0"/>
        <w:spacing w:line="360" w:lineRule="auto"/>
        <w:ind w:leftChars="0"/>
        <w:jc w:val="left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3、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〈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子罕第九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〉</w:t>
      </w:r>
    </w:p>
    <w:p>
      <w:pPr>
        <w:numPr>
          <w:ilvl w:val="0"/>
          <w:numId w:val="0"/>
        </w:numPr>
        <w:adjustRightInd w:val="0"/>
        <w:snapToGrid w:val="0"/>
        <w:spacing w:line="360" w:lineRule="auto"/>
        <w:ind w:leftChars="0" w:firstLine="560" w:firstLineChars="200"/>
        <w:jc w:val="left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子曰：「法語之言，能無從乎？改之為貴！巽與之言，能無說乎？繹之為貴！說而不繹，從而不改，吾末如之何也已矣！」</w:t>
      </w:r>
    </w:p>
    <w:p>
      <w:pPr>
        <w:numPr>
          <w:ilvl w:val="0"/>
          <w:numId w:val="0"/>
        </w:numPr>
        <w:adjustRightInd w:val="0"/>
        <w:snapToGrid w:val="0"/>
        <w:spacing w:line="360" w:lineRule="auto"/>
        <w:ind w:leftChars="0" w:firstLine="560" w:firstLineChars="200"/>
        <w:jc w:val="left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子曰：「主忠信。毋友不如己者。過則勿憚改。」</w:t>
      </w:r>
    </w:p>
    <w:p>
      <w:pPr>
        <w:numPr>
          <w:ilvl w:val="0"/>
          <w:numId w:val="0"/>
        </w:numPr>
        <w:adjustRightInd w:val="0"/>
        <w:snapToGrid w:val="0"/>
        <w:spacing w:line="360" w:lineRule="auto"/>
        <w:ind w:leftChars="0" w:firstLine="560" w:firstLineChars="200"/>
        <w:jc w:val="left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子曰：「三軍可奪帥也，匹夫不可奪志也。」</w:t>
      </w:r>
    </w:p>
    <w:p>
      <w:pPr>
        <w:numPr>
          <w:ilvl w:val="0"/>
          <w:numId w:val="0"/>
        </w:numPr>
        <w:adjustRightInd w:val="0"/>
        <w:snapToGrid w:val="0"/>
        <w:spacing w:line="360" w:lineRule="auto"/>
        <w:ind w:leftChars="0" w:firstLine="560" w:firstLineChars="200"/>
        <w:jc w:val="left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子曰：「衣敝縕袍，與衣狐貉者立，而不恥者，其由也與！『不忮不求，何用不臧？』」子路終身誦之。子曰：「是道也，何足以臧！」</w:t>
      </w:r>
    </w:p>
    <w:p>
      <w:pPr>
        <w:numPr>
          <w:ilvl w:val="0"/>
          <w:numId w:val="0"/>
        </w:numPr>
        <w:adjustRightInd w:val="0"/>
        <w:snapToGrid w:val="0"/>
        <w:spacing w:line="360" w:lineRule="auto"/>
        <w:ind w:leftChars="0" w:firstLine="560" w:firstLineChars="200"/>
        <w:jc w:val="left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子曰：「歲寒，然後知松柏之後彫也。」子曰：「知者不惑；仁者不憂；勇者不懼。」</w:t>
      </w:r>
    </w:p>
    <w:p>
      <w:pPr>
        <w:numPr>
          <w:ilvl w:val="0"/>
          <w:numId w:val="0"/>
        </w:numPr>
        <w:adjustRightInd w:val="0"/>
        <w:snapToGrid w:val="0"/>
        <w:spacing w:line="360" w:lineRule="auto"/>
        <w:ind w:leftChars="0" w:firstLine="560" w:firstLineChars="200"/>
        <w:jc w:val="left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  <w:t>子曰：「可與共學，未可與適道；可與適道，未可與立；可與立，未可與權。」</w:t>
      </w:r>
    </w:p>
    <w:p>
      <w:pPr>
        <w:numPr>
          <w:ilvl w:val="0"/>
          <w:numId w:val="0"/>
        </w:numPr>
        <w:adjustRightInd w:val="0"/>
        <w:snapToGrid w:val="0"/>
        <w:spacing w:line="360" w:lineRule="auto"/>
        <w:ind w:leftChars="0" w:firstLine="560" w:firstLineChars="200"/>
        <w:jc w:val="left"/>
        <w:rPr>
          <w:rFonts w:hint="eastAsia" w:ascii="DFKai-SB" w:hAnsi="DFKai-SB" w:eastAsia="DFKai-SB" w:cs="DFKai-SB"/>
          <w:b w:val="0"/>
          <w:bCs w:val="0"/>
          <w:sz w:val="28"/>
          <w:szCs w:val="28"/>
          <w:lang w:eastAsia="zh-TW"/>
        </w:rPr>
      </w:pPr>
    </w:p>
    <w:p>
      <w:pP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  <w:t>《孟子》背誦：</w:t>
      </w:r>
    </w:p>
    <w:p>
      <w:pPr>
        <w:numPr>
          <w:ilvl w:val="0"/>
          <w:numId w:val="0"/>
        </w:numPr>
        <w:spacing w:line="360" w:lineRule="auto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1、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 xml:space="preserve">〈盡心上〉 </w:t>
      </w:r>
    </w:p>
    <w:p>
      <w:pPr>
        <w:spacing w:line="360" w:lineRule="auto"/>
        <w:ind w:firstLine="560" w:firstLineChars="20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  <w:t>孟子曰：「孔子登東山而小魯，登太山而小天下。故觀於海者難為水，遊於聖人之門者難為言。觀水有術，必觀其瀾。日月有明，容光必照焉。流水之為物也，不盈科不行；君子之志於道也，不成章不達。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」</w:t>
      </w:r>
    </w:p>
    <w:p>
      <w:pPr>
        <w:spacing w:line="360" w:lineRule="auto"/>
        <w:ind w:firstLine="977" w:firstLineChars="349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</w:pPr>
    </w:p>
    <w:p>
      <w:pPr>
        <w:numPr>
          <w:ilvl w:val="0"/>
          <w:numId w:val="0"/>
        </w:numPr>
        <w:spacing w:line="360" w:lineRule="auto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</w:pPr>
      <w:r>
        <w:rPr>
          <w:rFonts w:hint="eastAsia" w:ascii="DFKai-SB" w:hAnsi="DFKai-SB" w:eastAsia="宋体" w:cs="DFKai-SB"/>
          <w:color w:val="000000"/>
          <w:sz w:val="28"/>
          <w:szCs w:val="28"/>
          <w:shd w:val="clear" w:color="auto" w:fill="FFFFFF"/>
          <w:lang w:val="en-US" w:eastAsia="zh-CN"/>
        </w:rPr>
        <w:t>2、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〈告子上〉</w:t>
      </w:r>
    </w:p>
    <w:p>
      <w:pPr>
        <w:spacing w:line="360" w:lineRule="auto"/>
        <w:ind w:firstLine="560" w:firstLineChars="200"/>
        <w:rPr>
          <w:rFonts w:ascii="DFKai-SB" w:hAnsi="DFKai-SB" w:eastAsia="DFKai-SB" w:cs="DFKai-SB"/>
          <w:color w:val="000000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  <w:t>孟子曰：「無或乎王之不智也，雖有天下易生之物也，一日暴之、十日寒之，未有能生者也。吾見亦罕矣，吾退而寒之者至矣，吾如有萌焉何哉？今夫弈之為數，小數也；不專心致志，則不得也。弈秋，通國之善弈者也。使弈秋誨二人弈，其一人專心致志，惟弈秋之為聽。一人雖聽之，一心以為有鴻鵠將至，思援弓繳而射之，雖與之俱學，弗若之矣。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為是其智弗若與？曰：非然也。」</w:t>
      </w:r>
    </w:p>
    <w:p>
      <w:pPr>
        <w:spacing w:line="360" w:lineRule="auto"/>
        <w:rPr>
          <w:rFonts w:ascii="PMingLiU" w:hAnsi="PMingLiU" w:eastAsia="PMingLiU" w:cs="PMingLiU"/>
          <w:color w:val="000000"/>
          <w:sz w:val="28"/>
          <w:szCs w:val="28"/>
          <w:shd w:val="clear" w:color="auto" w:fill="FFFFFF"/>
        </w:rPr>
      </w:pPr>
    </w:p>
    <w:p>
      <w:pPr>
        <w:numPr>
          <w:ilvl w:val="0"/>
          <w:numId w:val="0"/>
        </w:numPr>
        <w:spacing w:line="360" w:lineRule="auto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3、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〈離婁上〉</w:t>
      </w:r>
    </w:p>
    <w:p>
      <w:pPr>
        <w:spacing w:line="360" w:lineRule="auto"/>
        <w:ind w:firstLine="560" w:firstLineChars="20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  <w:t>孟子曰：「不仁者可與言哉？安其危而利其菑。</w:t>
      </w:r>
      <w:r>
        <w:rPr>
          <w:rFonts w:hint="eastAsia" w:ascii="DFKai-SB" w:hAnsi="DFKai-SB" w:eastAsia="DFKai-SB" w:cs="DFKai-SB"/>
          <w:color w:val="000000"/>
          <w:sz w:val="28"/>
          <w:szCs w:val="28"/>
          <w:highlight w:val="yellow"/>
          <w:shd w:val="clear" w:color="auto" w:fill="FFFFFF"/>
          <w:lang w:eastAsia="zh-CN"/>
        </w:rPr>
        <w:t>（</w:t>
      </w:r>
      <w:r>
        <w:rPr>
          <w:rFonts w:hint="eastAsia" w:ascii="DFKai-SB" w:hAnsi="DFKai-SB" w:eastAsia="DFKai-SB" w:cs="DFKai-SB"/>
          <w:color w:val="000000"/>
          <w:sz w:val="28"/>
          <w:szCs w:val="28"/>
          <w:highlight w:val="yellow"/>
          <w:shd w:val="clear" w:color="auto" w:fill="FFFFFF"/>
          <w:lang w:val="en-US" w:eastAsia="zh-CN"/>
        </w:rPr>
        <w:t>卡頓</w:t>
      </w:r>
      <w:r>
        <w:rPr>
          <w:rFonts w:hint="eastAsia" w:ascii="DFKai-SB" w:hAnsi="DFKai-SB" w:eastAsia="DFKai-SB" w:cs="DFKai-SB"/>
          <w:color w:val="000000"/>
          <w:sz w:val="28"/>
          <w:szCs w:val="28"/>
          <w:highlight w:val="yellow"/>
          <w:shd w:val="clear" w:color="auto" w:fill="FFFFFF"/>
          <w:lang w:eastAsia="zh-CN"/>
        </w:rPr>
        <w:t>）</w:t>
      </w:r>
      <w:r>
        <w:rPr>
          <w:rFonts w:hint="eastAsia" w:ascii="DFKai-SB" w:hAnsi="DFKai-SB" w:eastAsia="DFKai-SB" w:cs="DFKai-SB"/>
          <w:sz w:val="28"/>
          <w:szCs w:val="28"/>
          <w:highlight w:val="none"/>
          <w:shd w:val="clear" w:color="auto" w:fill="FFFFFF"/>
          <w:lang w:eastAsia="zh-TW"/>
        </w:rPr>
        <w:t>樂其所以亡者，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  <w:t>不仁而可與言，則何亡國敗家之有？有孺子歌曰：『滄浪之水清兮，可以濯我纓；滄浪之水濁兮，可以濯我足。』孔子曰：『小子聽之！清斯濯纓，濁斯濯足矣，自取之也。』夫人必自侮，然後人侮之；家必自毀，而後人毀之；國必自伐，而後人伐之。《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fldChar w:fldCharType="begin"/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  <w:instrText xml:space="preserve"> HYPERLINK "https://ctext.org/text.pl?node=37557&amp;if=gb&amp;en=off" </w:instrTex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fldChar w:fldCharType="separate"/>
      </w:r>
      <w:r>
        <w:rPr>
          <w:rStyle w:val="7"/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  <w:t>太甲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fldChar w:fldCharType="end"/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  <w:t>》曰：『天作孽，猶可違；自作孽，不可活。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』此之謂也。」</w:t>
      </w:r>
    </w:p>
    <w:p>
      <w:pPr>
        <w:spacing w:line="360" w:lineRule="auto"/>
        <w:ind w:firstLine="560" w:firstLineChars="20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</w:pPr>
    </w:p>
    <w:p>
      <w:pPr>
        <w:numPr>
          <w:ilvl w:val="0"/>
          <w:numId w:val="0"/>
        </w:numPr>
        <w:spacing w:line="360" w:lineRule="auto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4、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〈公孫醜上〉</w:t>
      </w:r>
    </w:p>
    <w:p>
      <w:pPr>
        <w:spacing w:line="360" w:lineRule="auto"/>
        <w:ind w:firstLine="560" w:firstLineChars="200"/>
        <w:rPr>
          <w:rFonts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孟子曰：「人皆有不忍人之心。先王有不忍人之心，斯有不忍人之政矣。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  <w:t>以不忍人之心，行不忍人之政，治天下可運之掌上。</w:t>
      </w:r>
    </w:p>
    <w:p>
      <w:pPr>
        <w:spacing w:line="360" w:lineRule="auto"/>
        <w:ind w:firstLine="560" w:firstLineChars="20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  <w:t>所以謂人皆有不忍人之心者，今人乍見孺子將入於井，皆有怵惕惻隱之心。非所以內交於孺子之父母也，非所以要譽於鄉黨朋友也，非惡其聲而然也。由是觀之，無惻隱之心，非人也；無羞惡之心，非人也；無辭讓之心，非人也；無是非之心，非人也。惻隱之心，仁之端也；羞惡之心，義之端也；辭讓之心，禮之端也；是非之心，智之端也。人之有是四端也，猶其有四體也。有是四端，而自謂不能者，自賊者也；謂其君不能者，賊其君者也。</w:t>
      </w:r>
    </w:p>
    <w:p>
      <w:pPr>
        <w:spacing w:line="360" w:lineRule="auto"/>
        <w:ind w:firstLine="560" w:firstLineChars="200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color w:val="000000"/>
          <w:sz w:val="36"/>
          <w:szCs w:val="36"/>
          <w:shd w:val="clear" w:color="auto" w:fill="FFFFFF"/>
          <w:lang w:eastAsia="zh-TW"/>
        </w:rPr>
      </w:pPr>
      <w:r>
        <w:rPr>
          <w:rFonts w:hint="eastAsia" w:ascii="DFKai-SB" w:hAnsi="DFKai-SB" w:eastAsia="DFKai-SB" w:cs="DFKai-SB"/>
          <w:color w:val="000000"/>
          <w:sz w:val="36"/>
          <w:szCs w:val="36"/>
          <w:shd w:val="clear" w:color="auto" w:fill="FFFFFF"/>
          <w:lang w:eastAsia="zh-TW"/>
        </w:rPr>
        <w:t>經文淺釋</w:t>
      </w:r>
    </w:p>
    <w:p>
      <w:pPr>
        <w:jc w:val="center"/>
        <w:rPr>
          <w:rFonts w:hint="eastAsia" w:ascii="DFKai-SB" w:hAnsi="DFKai-SB" w:eastAsia="DFKai-SB" w:cs="DFKai-SB"/>
          <w:color w:val="000000"/>
          <w:sz w:val="36"/>
          <w:szCs w:val="36"/>
          <w:shd w:val="clear" w:color="auto" w:fill="FFFFFF"/>
          <w:lang w:eastAsia="zh-TW"/>
        </w:rPr>
      </w:pPr>
    </w:p>
    <w:p>
      <w:pPr>
        <w:rPr>
          <w:rFonts w:ascii="PMingLiU" w:hAnsi="PMingLiU" w:eastAsia="PMingLiU" w:cs="PMingLiU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  <w:lang w:eastAsia="zh-TW"/>
        </w:rPr>
        <w:t>經文：</w:t>
      </w:r>
    </w:p>
    <w:p>
      <w:pPr>
        <w:ind w:firstLine="560" w:firstLineChars="200"/>
        <w:rPr>
          <w:rFonts w:hint="eastAsia" w:ascii="DFKai-SB" w:hAnsi="DFKai-SB" w:eastAsia="DFKai-SB" w:cs="DFKai-SB"/>
          <w:b w:val="0"/>
          <w:bCs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hint="eastAsia" w:ascii="DFKai-SB" w:hAnsi="DFKai-SB" w:eastAsia="DFKai-SB" w:cs="DFKai-SB"/>
          <w:b w:val="0"/>
          <w:bCs/>
          <w:sz w:val="28"/>
          <w:szCs w:val="28"/>
        </w:rPr>
        <w:t>孔子曰：「君子有九思：視思明，聽思聰，色思溫，貌思恭，言思忠，事思敬，疑思問，忿思難，見得思義。」</w:t>
      </w:r>
    </w:p>
    <w:p>
      <w:pP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  <w:lang w:eastAsia="zh-TW"/>
        </w:rPr>
      </w:pPr>
    </w:p>
    <w:p>
      <w:pPr>
        <w:spacing w:line="360" w:lineRule="auto"/>
        <w:rPr>
          <w:rFonts w:hint="eastAsia" w:ascii="DFKai-SB" w:hAnsi="DFKai-SB" w:eastAsia="宋体" w:cs="DFKai-SB"/>
          <w:b w:val="0"/>
          <w:bCs/>
          <w:sz w:val="28"/>
          <w:szCs w:val="28"/>
          <w:lang w:val="en-US" w:eastAsia="zh-CN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  <w:lang w:eastAsia="zh-TW"/>
        </w:rPr>
        <w:t>淺釋：</w:t>
      </w:r>
    </w:p>
    <w:p>
      <w:pPr>
        <w:spacing w:line="360" w:lineRule="auto"/>
        <w:ind w:firstLine="560" w:firstLineChars="200"/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</w:pP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夫子說：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「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君子做一件事情的時候，他會考慮九個方面。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」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根據講要的說法，這九個方面分成四個階段。</w:t>
      </w:r>
    </w:p>
    <w:p>
      <w:pPr>
        <w:spacing w:line="360" w:lineRule="auto"/>
        <w:ind w:firstLine="560" w:firstLineChars="200"/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</w:pP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首先是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「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對境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」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，面對一件事情來的時候，就有一個境界出現。最先有反應的是眼睛和耳朵。君子在接觸事情之後，首先會考慮自己所看的是否明晰，自己所聽的是否清楚。所以是</w:t>
      </w:r>
      <w:r>
        <w:rPr>
          <w:rFonts w:hint="eastAsia" w:ascii="DFKai-SB" w:hAnsi="DFKai-SB" w:eastAsia="DFKai-SB" w:cs="DFKai-SB"/>
          <w:b w:val="0"/>
          <w:bCs/>
          <w:sz w:val="28"/>
          <w:szCs w:val="28"/>
        </w:rPr>
        <w:t>「視思明，聽思聰」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eastAsia="zh-CN"/>
        </w:rPr>
        <w:t>。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在《論語》中也有記載，夫子在衛國擊磬，</w:t>
      </w:r>
      <w:r>
        <w:rPr>
          <w:rFonts w:hint="eastAsia" w:ascii="DFKai-SB" w:hAnsi="DFKai-SB" w:eastAsia="DFKai-SB" w:cs="DFKai-SB"/>
          <w:b w:val="0"/>
          <w:bCs/>
          <w:sz w:val="28"/>
          <w:szCs w:val="28"/>
        </w:rPr>
        <w:t>「</w:t>
      </w:r>
      <w:r>
        <w:rPr>
          <w:rFonts w:hint="eastAsia" w:ascii="DFKai-SB" w:hAnsi="DFKai-SB" w:eastAsia="DFKai-SB" w:cs="DFKai-SB"/>
          <w:b w:val="0"/>
          <w:bCs/>
          <w:sz w:val="28"/>
          <w:szCs w:val="28"/>
          <w:lang w:val="en-US" w:eastAsia="zh-CN"/>
        </w:rPr>
        <w:t>有荷蕢而過孔氏之門者</w:t>
      </w:r>
      <w:r>
        <w:rPr>
          <w:rFonts w:hint="eastAsia" w:ascii="DFKai-SB" w:hAnsi="DFKai-SB" w:eastAsia="DFKai-SB" w:cs="DFKai-SB"/>
          <w:b w:val="0"/>
          <w:bCs/>
          <w:sz w:val="28"/>
          <w:szCs w:val="28"/>
        </w:rPr>
        <w:t>」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eastAsia="zh-CN"/>
        </w:rPr>
        <w:t>，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有個人挑著個什麼東西，經過夫子的門前。聽到夫子的聲音，立馬就知道孔子的心思，這便是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「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耳聰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」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。</w:t>
      </w:r>
    </w:p>
    <w:p>
      <w:pPr>
        <w:numPr>
          <w:ilvl w:val="0"/>
          <w:numId w:val="1"/>
        </w:numPr>
        <w:spacing w:line="360" w:lineRule="auto"/>
        <w:ind w:firstLine="560" w:firstLineChars="200"/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</w:pP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有了對境，就有了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「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態度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」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。態度主要由容貌體現。比如生氣時臉會發青。感到羞恥時，臉就會發紅。喜悅時，臉龐會展開。膽怯時，容貌便會緊縮。因此君子會反省自己，在表達態度時，容貌是否溫和、謙恭。</w:t>
      </w:r>
    </w:p>
    <w:p>
      <w:pPr>
        <w:numPr>
          <w:ilvl w:val="0"/>
          <w:numId w:val="0"/>
        </w:numPr>
        <w:spacing w:line="360" w:lineRule="auto"/>
        <w:ind w:firstLine="560" w:firstLineChars="200"/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</w:pP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第三個階段，表達行為會產生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「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影響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」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。君子會反省自己，所說出去的話，是否忠誠。辦事情，是否盡心盡力。</w:t>
      </w:r>
    </w:p>
    <w:p>
      <w:pPr>
        <w:numPr>
          <w:ilvl w:val="0"/>
          <w:numId w:val="0"/>
        </w:numPr>
        <w:spacing w:line="360" w:lineRule="auto"/>
        <w:ind w:firstLine="560"/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</w:pP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第四個階段被稱為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「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防非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」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eastAsia="zh-CN"/>
        </w:rPr>
        <w:t>，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做完一件事情，還會有很多後果。君子會防範三個方面。第一個方面是</w:t>
      </w:r>
      <w:r>
        <w:rPr>
          <w:rFonts w:hint="eastAsia" w:ascii="DFKai-SB" w:hAnsi="DFKai-SB" w:eastAsia="DFKai-SB" w:cs="DFKai-SB"/>
          <w:b w:val="0"/>
          <w:bCs/>
          <w:sz w:val="28"/>
          <w:szCs w:val="28"/>
        </w:rPr>
        <w:t>「疑思問」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eastAsia="zh-CN"/>
        </w:rPr>
        <w:t>，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疑所對應的是愚癡，有疑而不問，即是愚癡。所以君子會反省自己，當自己面臨棘手的問題、不能處理時，是否自己有及時去請教別人。第二個方面是</w:t>
      </w:r>
      <w:r>
        <w:rPr>
          <w:rFonts w:hint="eastAsia" w:ascii="DFKai-SB" w:hAnsi="DFKai-SB" w:eastAsia="DFKai-SB" w:cs="DFKai-SB"/>
          <w:b w:val="0"/>
          <w:bCs/>
          <w:sz w:val="28"/>
          <w:szCs w:val="28"/>
        </w:rPr>
        <w:t>「忿思難」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eastAsia="zh-CN"/>
        </w:rPr>
        <w:t>，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這是指當事情有不順心時，或者出現了一個憤怒的情景。君子會反省自己是否有克制住這個憤怒，不將憤怒散發出去。如果隨意發怒，或者將自己憤怒的情緒散播出去，就容易招人怨恨。而憤怒對應的是自己的瞋恚。</w:t>
      </w:r>
      <w:r>
        <w:rPr>
          <w:rFonts w:hint="eastAsia" w:ascii="DFKai-SB" w:hAnsi="DFKai-SB" w:eastAsia="DFKai-SB" w:cs="DFKai-SB"/>
          <w:b w:val="0"/>
          <w:bCs/>
          <w:sz w:val="28"/>
          <w:szCs w:val="28"/>
        </w:rPr>
        <w:t>「見得思義」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所對應的是自己的貪心，君子在得到利益和名譽時，會反省自己得來這些東西是否合於道義；如果不合於道義，那麼就不受。這就是對治自己的貪心。以上是九思的解釋。</w:t>
      </w:r>
    </w:p>
    <w:p>
      <w:pPr>
        <w:numPr>
          <w:ilvl w:val="0"/>
          <w:numId w:val="0"/>
        </w:numPr>
        <w:spacing w:line="360" w:lineRule="auto"/>
        <w:ind w:firstLine="560"/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</w:pP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補充一點，九思的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「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思</w:t>
      </w:r>
      <w:r>
        <w:rPr>
          <w:rFonts w:hint="eastAsia" w:ascii="PMingLiU" w:hAnsi="PMingLiU" w:eastAsia="PMingLiU" w:cs="PMingLiU"/>
          <w:b w:val="0"/>
          <w:bCs/>
          <w:sz w:val="28"/>
          <w:szCs w:val="28"/>
        </w:rPr>
        <w:t>」</w:t>
      </w:r>
      <w:r>
        <w:rPr>
          <w:rFonts w:hint="eastAsia" w:ascii="PMingLiU" w:hAnsi="PMingLiU" w:eastAsia="PMingLiU" w:cs="PMingLiU"/>
          <w:b w:val="0"/>
          <w:bCs/>
          <w:sz w:val="28"/>
          <w:szCs w:val="28"/>
          <w:lang w:val="en-US" w:eastAsia="zh-CN"/>
        </w:rPr>
        <w:t>，指的是，經過詳細地思維和明辨之後，所得出的一個合理的結果。</w:t>
      </w:r>
    </w:p>
    <w:sectPr>
      <w:footerReference r:id="rId3" w:type="default"/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2AFF" w:usb1="C000247B" w:usb2="00000009" w:usb3="00000000" w:csb0="200001FF" w:csb1="0000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default"/>
    <w:sig w:usb0="E1002EFF" w:usb1="C000605B" w:usb2="00000029" w:usb3="00000000" w:csb0="200101FF" w:csb1="20280000"/>
  </w:font>
  <w:font w:name="Trebuchet MS">
    <w:panose1 w:val="020B0603020202020204"/>
    <w:charset w:val="00"/>
    <w:family w:val="swiss"/>
    <w:pitch w:val="default"/>
    <w:sig w:usb0="00000687" w:usb1="00000000" w:usb2="00000000" w:usb3="00000000" w:csb0="2000009F" w:csb1="00000000"/>
  </w:font>
  <w:font w:name="DFKai-SB">
    <w:panose1 w:val="03000509000000000000"/>
    <w:charset w:val="88"/>
    <w:family w:val="script"/>
    <w:pitch w:val="default"/>
    <w:sig w:usb0="00000003" w:usb1="082E0000" w:usb2="00000016" w:usb3="00000000" w:csb0="00100001" w:csb1="00000000"/>
  </w:font>
  <w:font w:name="微软雅黑">
    <w:panose1 w:val="020B0503020204020204"/>
    <w:charset w:val="86"/>
    <w:family w:val="swiss"/>
    <w:pitch w:val="default"/>
    <w:sig w:usb0="80000287" w:usb1="2ACF3C50" w:usb2="00000016" w:usb3="00000000" w:csb0="0004001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"/>
    </w:pPr>
    <w:r>
      <w:rPr>
        <w:sz w:val="18"/>
      </w:rPr>
      <mc:AlternateContent>
        <mc:Choice Requires="wps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margin">
                <wp:align>center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1" name="文本框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>
                          <w:pPr>
                            <w:pStyle w:val="3"/>
                            <w:rPr>
                              <w:rFonts w:hint="eastAsia" w:eastAsiaTheme="minorEastAsia"/>
                              <w:lang w:eastAsia="zh-CN"/>
                            </w:rPr>
                          </w:pP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begin"/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instrText xml:space="preserve"> PAGE  \* MERGEFORMAT </w:instrText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separate"/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t>1</w:t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upright="0" compatLnSpc="1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 id="_x0000_s1026" o:spid="_x0000_s1026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 o:gfxdata="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">
              <v:fill on="f" focussize="0,0"/>
              <v:stroke on="f" weight="0.5pt"/>
              <v:imagedata o:title=""/>
              <o:lock v:ext="edit" aspectratio="f"/>
              <v:textbox inset="0mm,0mm,0mm,0mm" style="mso-fit-shape-to-text:t;">
                <w:txbxContent>
                  <w:p>
                    <w:pPr>
                      <w:pStyle w:val="3"/>
                      <w:rPr>
                        <w:rFonts w:hint="eastAsia" w:eastAsiaTheme="minorEastAsia"/>
                        <w:lang w:eastAsia="zh-CN"/>
                      </w:rPr>
                    </w:pPr>
                    <w:r>
                      <w:rPr>
                        <w:rFonts w:hint="eastAsia"/>
                        <w:lang w:eastAsia="zh-CN"/>
                      </w:rPr>
                      <w:fldChar w:fldCharType="begin"/>
                    </w:r>
                    <w:r>
                      <w:rPr>
                        <w:rFonts w:hint="eastAsia"/>
                        <w:lang w:eastAsia="zh-CN"/>
                      </w:rPr>
                      <w:instrText xml:space="preserve"> PAGE  \* MERGEFORMAT </w:instrText>
                    </w:r>
                    <w:r>
                      <w:rPr>
                        <w:rFonts w:hint="eastAsia"/>
                        <w:lang w:eastAsia="zh-CN"/>
                      </w:rPr>
                      <w:fldChar w:fldCharType="separate"/>
                    </w:r>
                    <w:r>
                      <w:rPr>
                        <w:rFonts w:hint="eastAsia"/>
                        <w:lang w:eastAsia="zh-CN"/>
                      </w:rPr>
                      <w:t>1</w:t>
                    </w:r>
                    <w:r>
                      <w:rPr>
                        <w:rFonts w:hint="eastAsia"/>
                        <w:lang w:eastAsia="zh-CN"/>
                      </w:rPr>
                      <w:fldChar w:fldCharType="end"/>
                    </w:r>
                  </w:p>
                </w:txbxContent>
              </v:textbox>
            </v:shape>
          </w:pict>
        </mc:Fallback>
      </mc:AlternateContent>
    </w: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5E8E39F"/>
    <w:multiLevelType w:val="singleLevel"/>
    <w:tmpl w:val="45E8E39F"/>
    <w:lvl w:ilvl="0" w:tentative="0">
      <w:start w:val="2"/>
      <w:numFmt w:val="chineseCounting"/>
      <w:suff w:val="nothing"/>
      <w:lvlText w:val="第%1，"/>
      <w:lvlJc w:val="left"/>
      <w:rPr>
        <w:rFonts w:hint="eastAsi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43E1"/>
    <w:rsid w:val="000B43E1"/>
    <w:rsid w:val="0027774A"/>
    <w:rsid w:val="004C2040"/>
    <w:rsid w:val="005E7FDF"/>
    <w:rsid w:val="006C7C97"/>
    <w:rsid w:val="007D68F9"/>
    <w:rsid w:val="00CA7F17"/>
    <w:rsid w:val="00D31F74"/>
    <w:rsid w:val="00EA2130"/>
    <w:rsid w:val="00F75814"/>
    <w:rsid w:val="0310278E"/>
    <w:rsid w:val="068B7085"/>
    <w:rsid w:val="0A903622"/>
    <w:rsid w:val="22D70326"/>
    <w:rsid w:val="24A07AEC"/>
    <w:rsid w:val="26190C62"/>
    <w:rsid w:val="359A5414"/>
    <w:rsid w:val="36181AD5"/>
    <w:rsid w:val="38964F0E"/>
    <w:rsid w:val="552D0987"/>
    <w:rsid w:val="554D0B1D"/>
    <w:rsid w:val="62696C90"/>
    <w:rsid w:val="6347031D"/>
    <w:rsid w:val="67AA5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nhideWhenUsed="0" w:uiPriority="99" w:semiHidden="0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nhideWhenUsed="0" w:uiPriority="0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semiHidden="0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2"/>
      <w:lang w:val="en-US" w:eastAsia="zh-CN" w:bidi="ar-SA"/>
    </w:rPr>
  </w:style>
  <w:style w:type="paragraph" w:styleId="2">
    <w:name w:val="heading 3"/>
    <w:basedOn w:val="1"/>
    <w:next w:val="1"/>
    <w:link w:val="11"/>
    <w:qFormat/>
    <w:uiPriority w:val="99"/>
    <w:pPr>
      <w:keepNext/>
      <w:spacing w:before="100" w:beforeAutospacing="1" w:after="160" w:line="256" w:lineRule="auto"/>
      <w:ind w:left="720"/>
      <w:outlineLvl w:val="2"/>
    </w:pPr>
    <w:rPr>
      <w:rFonts w:ascii="Tahoma" w:hAnsi="Tahoma" w:eastAsia="宋体" w:cs="Tahoma"/>
      <w:b/>
      <w:bCs/>
      <w:sz w:val="20"/>
      <w:szCs w:val="20"/>
    </w:rPr>
  </w:style>
  <w:style w:type="character" w:default="1" w:styleId="6">
    <w:name w:val="Default Paragraph Font"/>
    <w:semiHidden/>
    <w:unhideWhenUsed/>
    <w:uiPriority w:val="1"/>
  </w:style>
  <w:style w:type="table" w:default="1" w:styleId="8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3">
    <w:name w:val="footer"/>
    <w:basedOn w:val="1"/>
    <w:link w:val="10"/>
    <w:unhideWhenUsed/>
    <w:qFormat/>
    <w:uiPriority w:val="99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paragraph" w:styleId="4">
    <w:name w:val="header"/>
    <w:basedOn w:val="1"/>
    <w:link w:val="9"/>
    <w:unhideWhenUsed/>
    <w:uiPriority w:val="99"/>
    <w:pPr>
      <w:pBdr>
        <w:bottom w:val="single" w:color="auto" w:sz="6" w:space="1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5">
    <w:name w:val="Normal (Web)"/>
    <w:basedOn w:val="1"/>
    <w:unhideWhenUsed/>
    <w:uiPriority w:val="99"/>
    <w:pPr>
      <w:spacing w:before="100" w:beforeAutospacing="1" w:after="100" w:afterAutospacing="1" w:line="256" w:lineRule="auto"/>
      <w:jc w:val="left"/>
    </w:pPr>
    <w:rPr>
      <w:rFonts w:ascii="Calibri" w:hAnsi="Calibri" w:eastAsia="宋体" w:cs="Times New Roman"/>
      <w:kern w:val="0"/>
      <w:sz w:val="24"/>
      <w:szCs w:val="24"/>
    </w:rPr>
  </w:style>
  <w:style w:type="character" w:styleId="7">
    <w:name w:val="Hyperlink"/>
    <w:basedOn w:val="6"/>
    <w:qFormat/>
    <w:uiPriority w:val="0"/>
    <w:rPr>
      <w:color w:val="0000FF"/>
      <w:u w:val="single"/>
    </w:rPr>
  </w:style>
  <w:style w:type="character" w:customStyle="1" w:styleId="9">
    <w:name w:val="页眉 字符"/>
    <w:basedOn w:val="6"/>
    <w:link w:val="4"/>
    <w:uiPriority w:val="99"/>
    <w:rPr>
      <w:sz w:val="18"/>
      <w:szCs w:val="18"/>
    </w:rPr>
  </w:style>
  <w:style w:type="character" w:customStyle="1" w:styleId="10">
    <w:name w:val="页脚 字符"/>
    <w:basedOn w:val="6"/>
    <w:link w:val="3"/>
    <w:qFormat/>
    <w:uiPriority w:val="99"/>
    <w:rPr>
      <w:sz w:val="18"/>
      <w:szCs w:val="18"/>
    </w:rPr>
  </w:style>
  <w:style w:type="character" w:customStyle="1" w:styleId="11">
    <w:name w:val="标题 3 字符"/>
    <w:basedOn w:val="6"/>
    <w:link w:val="2"/>
    <w:uiPriority w:val="99"/>
    <w:rPr>
      <w:rFonts w:ascii="Tahoma" w:hAnsi="Tahoma" w:eastAsia="宋体" w:cs="Tahoma"/>
      <w:b/>
      <w:bCs/>
      <w:sz w:val="20"/>
      <w:szCs w:val="20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numbering" Target="numbering.xml"/><Relationship Id="rId6" Type="http://schemas.openxmlformats.org/officeDocument/2006/relationships/customXml" Target="../customXml/item1.xml"/><Relationship Id="rId5" Type="http://schemas.openxmlformats.org/officeDocument/2006/relationships/image" Target="media/image1.jpeg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等线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216</Words>
  <Characters>1233</Characters>
  <Lines>10</Lines>
  <Paragraphs>2</Paragraphs>
  <TotalTime>4</TotalTime>
  <ScaleCrop>false</ScaleCrop>
  <LinksUpToDate>false</LinksUpToDate>
  <CharactersWithSpaces>1447</CharactersWithSpaces>
  <Application>WPS Office_11.1.0.8203_F1E327BC-269C-435d-A152-05C5408002CA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2019-01-09T08:54:00Z</dcterms:created>
  <dc:creator>碧 空</dc:creator>
  <cp:lastModifiedBy>Ann</cp:lastModifiedBy>
  <dcterms:modified xsi:type="dcterms:W3CDTF">2019-01-10T11:45:29Z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2052-11.1.0.8203</vt:lpwstr>
  </property>
  <property fmtid="{D5CDD505-2E9C-101B-9397-08002B2CF9AE}" pid="3" name="KSORubyTemplateID" linkTarget="0">
    <vt:lpwstr>6</vt:lpwstr>
  </property>
</Properties>
</file>