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F9C35C" w14:textId="77777777" w:rsidR="00D25164" w:rsidRDefault="00D25164" w:rsidP="00D25164">
      <w:r>
        <w:rPr>
          <w:noProof/>
        </w:rPr>
        <w:drawing>
          <wp:inline distT="0" distB="0" distL="0" distR="0" wp14:anchorId="4D3CA149" wp14:editId="2A043DFF">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72C8A3FF" w14:textId="77777777" w:rsidR="00D25164" w:rsidRPr="00A47621" w:rsidRDefault="00D25164" w:rsidP="00D25164">
      <w:pPr>
        <w:rPr>
          <w:rFonts w:ascii="Times New Roman" w:hAnsi="Times New Roman" w:cs="Times New Roman"/>
          <w:sz w:val="24"/>
          <w:szCs w:val="24"/>
        </w:rPr>
      </w:pPr>
    </w:p>
    <w:p w14:paraId="16485D0F" w14:textId="77777777" w:rsidR="00D25164" w:rsidRPr="00F927A1" w:rsidRDefault="00D25164" w:rsidP="00D25164">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7126BFD2" w14:textId="77777777" w:rsidR="00D25164" w:rsidRPr="00DC2924" w:rsidRDefault="00D25164" w:rsidP="00D25164">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7699BE0B" w14:textId="77777777" w:rsidR="00D25164" w:rsidRPr="0085230E" w:rsidRDefault="00D25164" w:rsidP="00D25164">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031C956D" w14:textId="77777777" w:rsidR="00D25164" w:rsidRDefault="00D25164" w:rsidP="00D25164">
      <w:pPr>
        <w:overflowPunct/>
        <w:autoSpaceDE/>
        <w:autoSpaceDN/>
        <w:adjustRightInd/>
        <w:ind w:right="-957"/>
        <w:textAlignment w:val="auto"/>
        <w:rPr>
          <w:rFonts w:ascii="Times New Roman" w:hAnsi="Times New Roman" w:cs="Times New Roman"/>
          <w:b/>
          <w:color w:val="auto"/>
          <w:sz w:val="48"/>
        </w:rPr>
      </w:pPr>
    </w:p>
    <w:p w14:paraId="7A9D1996" w14:textId="77777777" w:rsidR="00D25164" w:rsidRPr="00FE5F90" w:rsidRDefault="00D25164" w:rsidP="00D25164">
      <w:pPr>
        <w:overflowPunct/>
        <w:autoSpaceDE/>
        <w:autoSpaceDN/>
        <w:adjustRightInd/>
        <w:ind w:right="-957"/>
        <w:textAlignment w:val="auto"/>
        <w:rPr>
          <w:rFonts w:ascii="Times New Roman" w:hAnsi="Times New Roman" w:cs="Times New Roman"/>
          <w:b/>
          <w:color w:val="auto"/>
          <w:sz w:val="18"/>
          <w:szCs w:val="2"/>
        </w:rPr>
      </w:pPr>
    </w:p>
    <w:p w14:paraId="77EB8906" w14:textId="77777777" w:rsidR="00D25164" w:rsidRPr="00F927A1" w:rsidRDefault="00D25164" w:rsidP="00D2516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21F4B3ED" w14:textId="77777777" w:rsidR="00D25164" w:rsidRPr="00706BB5" w:rsidRDefault="00D25164" w:rsidP="00D25164">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43A7519B" w14:textId="77777777" w:rsidR="00D25164" w:rsidRPr="00FE5F90" w:rsidRDefault="00D25164" w:rsidP="00D25164">
      <w:pPr>
        <w:overflowPunct/>
        <w:autoSpaceDE/>
        <w:autoSpaceDN/>
        <w:adjustRightInd/>
        <w:ind w:right="-957"/>
        <w:textAlignment w:val="auto"/>
        <w:rPr>
          <w:rFonts w:ascii="Times New Roman" w:hAnsi="Times New Roman" w:cs="Times New Roman"/>
          <w:b/>
          <w:color w:val="auto"/>
          <w:sz w:val="14"/>
          <w:szCs w:val="2"/>
        </w:rPr>
      </w:pPr>
    </w:p>
    <w:p w14:paraId="04F27E3B" w14:textId="77777777" w:rsidR="00D25164" w:rsidRPr="00F927A1" w:rsidRDefault="00D25164" w:rsidP="00D25164">
      <w:pPr>
        <w:overflowPunct/>
        <w:autoSpaceDE/>
        <w:autoSpaceDN/>
        <w:adjustRightInd/>
        <w:ind w:right="-957"/>
        <w:textAlignment w:val="auto"/>
        <w:rPr>
          <w:rFonts w:ascii="Times New Roman" w:hAnsi="Times New Roman" w:cs="Times New Roman"/>
          <w:b/>
          <w:color w:val="auto"/>
          <w:sz w:val="48"/>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D25164" w:rsidRPr="005D3F07" w14:paraId="7057057B" w14:textId="77777777" w:rsidTr="00D25164">
        <w:tc>
          <w:tcPr>
            <w:tcW w:w="9493" w:type="dxa"/>
            <w:shd w:val="clear" w:color="auto" w:fill="auto"/>
          </w:tcPr>
          <w:p w14:paraId="65E14585" w14:textId="77777777" w:rsidR="00D25164" w:rsidRDefault="00D25164" w:rsidP="001F417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w:t>
            </w:r>
          </w:p>
          <w:p w14:paraId="0E34DFFA" w14:textId="77777777" w:rsidR="00D25164" w:rsidRDefault="00D25164" w:rsidP="001F4176">
            <w:pPr>
              <w:overflowPunct/>
              <w:autoSpaceDE/>
              <w:autoSpaceDN/>
              <w:adjustRightInd/>
              <w:ind w:right="-957"/>
              <w:textAlignment w:val="auto"/>
              <w:rPr>
                <w:rFonts w:ascii="Times New Roman" w:hAnsi="Times New Roman" w:cs="Times New Roman"/>
                <w:b/>
                <w:color w:val="auto"/>
                <w:sz w:val="48"/>
              </w:rPr>
            </w:pPr>
          </w:p>
          <w:p w14:paraId="1D813970" w14:textId="77777777" w:rsidR="00D25164" w:rsidRDefault="00D25164" w:rsidP="001F417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Sioned Williams</w:t>
            </w:r>
          </w:p>
          <w:p w14:paraId="01853956" w14:textId="77777777" w:rsidR="00D25164" w:rsidRDefault="00D25164" w:rsidP="001F4176">
            <w:pPr>
              <w:overflowPunct/>
              <w:autoSpaceDE/>
              <w:autoSpaceDN/>
              <w:adjustRightInd/>
              <w:ind w:right="-957"/>
              <w:textAlignment w:val="auto"/>
              <w:rPr>
                <w:rFonts w:ascii="Times New Roman" w:hAnsi="Times New Roman" w:cs="Times New Roman"/>
                <w:b/>
                <w:color w:val="auto"/>
                <w:sz w:val="48"/>
              </w:rPr>
            </w:pPr>
          </w:p>
          <w:p w14:paraId="6EF53BD5" w14:textId="77777777" w:rsidR="00D25164" w:rsidRDefault="00D25164" w:rsidP="001F4176">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p>
          <w:p w14:paraId="51053EEF" w14:textId="77777777" w:rsidR="00D25164" w:rsidRDefault="00D25164" w:rsidP="001F4176">
            <w:pPr>
              <w:overflowPunct/>
              <w:autoSpaceDE/>
              <w:autoSpaceDN/>
              <w:adjustRightInd/>
              <w:ind w:right="-957"/>
              <w:textAlignment w:val="auto"/>
              <w:rPr>
                <w:rFonts w:ascii="Times New Roman" w:hAnsi="Times New Roman" w:cs="Times New Roman"/>
                <w:b/>
                <w:color w:val="auto"/>
                <w:sz w:val="48"/>
              </w:rPr>
            </w:pPr>
          </w:p>
          <w:p w14:paraId="514C330F" w14:textId="77777777" w:rsidR="00D25164" w:rsidRPr="005D3F07" w:rsidRDefault="00D25164" w:rsidP="001F4176">
            <w:pPr>
              <w:overflowPunct/>
              <w:autoSpaceDE/>
              <w:autoSpaceDN/>
              <w:adjustRightInd/>
              <w:ind w:right="-957"/>
              <w:textAlignment w:val="auto"/>
              <w:rPr>
                <w:rFonts w:ascii="Times New Roman" w:hAnsi="Times New Roman" w:cs="Times New Roman"/>
                <w:b/>
                <w:color w:val="auto"/>
                <w:sz w:val="48"/>
              </w:rPr>
            </w:pPr>
            <w:r w:rsidRPr="00610A8B">
              <w:rPr>
                <w:rFonts w:ascii="Times New Roman" w:hAnsi="Times New Roman" w:cs="Times New Roman"/>
                <w:b/>
                <w:color w:val="auto"/>
                <w:sz w:val="48"/>
              </w:rPr>
              <w:t>2127455</w:t>
            </w:r>
          </w:p>
          <w:p w14:paraId="734FB74A" w14:textId="77777777" w:rsidR="00D25164" w:rsidRPr="005D3F07" w:rsidRDefault="00D25164" w:rsidP="001F4176">
            <w:pPr>
              <w:overflowPunct/>
              <w:autoSpaceDE/>
              <w:autoSpaceDN/>
              <w:adjustRightInd/>
              <w:ind w:right="-957"/>
              <w:textAlignment w:val="auto"/>
              <w:rPr>
                <w:rFonts w:ascii="Times New Roman" w:hAnsi="Times New Roman" w:cs="Times New Roman"/>
                <w:b/>
                <w:color w:val="auto"/>
                <w:sz w:val="48"/>
              </w:rPr>
            </w:pPr>
          </w:p>
          <w:p w14:paraId="543780DA" w14:textId="77777777" w:rsidR="00D25164" w:rsidRPr="005D3F07" w:rsidRDefault="00D25164" w:rsidP="001F4176">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Pr>
                <w:rFonts w:ascii="Times New Roman" w:hAnsi="Times New Roman" w:cs="Times New Roman"/>
                <w:b/>
                <w:color w:val="auto"/>
                <w:sz w:val="48"/>
              </w:rPr>
              <w:t xml:space="preserve"> onwards</w:t>
            </w:r>
          </w:p>
        </w:tc>
      </w:tr>
    </w:tbl>
    <w:p w14:paraId="557A3B2A" w14:textId="77777777" w:rsidR="00D25164" w:rsidRPr="00F927A1" w:rsidRDefault="00D25164" w:rsidP="00D2516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183C3B1" w14:textId="77777777" w:rsidR="00D25164" w:rsidRDefault="00D25164" w:rsidP="00540FBC">
      <w:pPr>
        <w:jc w:val="center"/>
        <w:rPr>
          <w:b/>
          <w:sz w:val="28"/>
          <w:szCs w:val="28"/>
        </w:rPr>
      </w:pPr>
    </w:p>
    <w:p w14:paraId="036A6482" w14:textId="77777777" w:rsidR="00D25164" w:rsidRDefault="00D25164" w:rsidP="00540FBC">
      <w:pPr>
        <w:jc w:val="center"/>
        <w:rPr>
          <w:b/>
          <w:sz w:val="28"/>
          <w:szCs w:val="28"/>
        </w:rPr>
      </w:pPr>
    </w:p>
    <w:p w14:paraId="108AE1C7" w14:textId="77777777" w:rsidR="00D25164" w:rsidRDefault="00D25164" w:rsidP="00540FBC">
      <w:pPr>
        <w:jc w:val="center"/>
        <w:rPr>
          <w:b/>
          <w:sz w:val="28"/>
          <w:szCs w:val="28"/>
        </w:rPr>
      </w:pPr>
    </w:p>
    <w:p w14:paraId="2C90DC1A" w14:textId="77777777" w:rsidR="00D25164" w:rsidRDefault="00D25164" w:rsidP="00540FBC">
      <w:pPr>
        <w:jc w:val="center"/>
        <w:rPr>
          <w:b/>
          <w:sz w:val="28"/>
          <w:szCs w:val="28"/>
        </w:rPr>
      </w:pPr>
    </w:p>
    <w:p w14:paraId="00C1206B" w14:textId="77777777" w:rsidR="00D25164" w:rsidRDefault="00D25164" w:rsidP="00540FBC">
      <w:pPr>
        <w:jc w:val="center"/>
        <w:rPr>
          <w:b/>
          <w:sz w:val="28"/>
          <w:szCs w:val="28"/>
        </w:rPr>
      </w:pPr>
    </w:p>
    <w:p w14:paraId="46AE7D3E" w14:textId="77777777" w:rsidR="00D25164" w:rsidRDefault="00D25164" w:rsidP="00540FBC">
      <w:pPr>
        <w:jc w:val="center"/>
        <w:rPr>
          <w:b/>
          <w:sz w:val="28"/>
          <w:szCs w:val="28"/>
        </w:rPr>
      </w:pPr>
    </w:p>
    <w:p w14:paraId="51F8F136" w14:textId="77777777" w:rsidR="00D25164" w:rsidRDefault="00D25164" w:rsidP="00540FBC">
      <w:pPr>
        <w:jc w:val="center"/>
        <w:rPr>
          <w:b/>
          <w:sz w:val="28"/>
          <w:szCs w:val="28"/>
        </w:rPr>
      </w:pPr>
    </w:p>
    <w:p w14:paraId="03551B02" w14:textId="77777777" w:rsidR="00D25164" w:rsidRDefault="00D25164" w:rsidP="00540FBC">
      <w:pPr>
        <w:jc w:val="center"/>
        <w:rPr>
          <w:b/>
          <w:sz w:val="28"/>
          <w:szCs w:val="28"/>
        </w:rPr>
      </w:pPr>
    </w:p>
    <w:p w14:paraId="24E99C8A" w14:textId="564A8174" w:rsidR="00540FBC" w:rsidRPr="00EE5BC3" w:rsidRDefault="00540FBC" w:rsidP="00540FBC">
      <w:pPr>
        <w:jc w:val="center"/>
        <w:rPr>
          <w:b/>
          <w:sz w:val="28"/>
          <w:szCs w:val="28"/>
        </w:rPr>
      </w:pPr>
      <w:r w:rsidRPr="00EE5BC3">
        <w:rPr>
          <w:b/>
          <w:sz w:val="28"/>
          <w:szCs w:val="28"/>
        </w:rPr>
        <w:t>Task 4</w:t>
      </w:r>
    </w:p>
    <w:p w14:paraId="312716E7" w14:textId="77777777" w:rsidR="00540FBC" w:rsidRPr="00EE5BC3" w:rsidRDefault="00540FBC" w:rsidP="00540FBC">
      <w:pPr>
        <w:jc w:val="center"/>
        <w:rPr>
          <w:b/>
          <w:sz w:val="28"/>
          <w:szCs w:val="28"/>
        </w:rPr>
      </w:pPr>
    </w:p>
    <w:p w14:paraId="43A65B4F" w14:textId="77777777" w:rsidR="00540FBC" w:rsidRPr="00EE5BC3" w:rsidRDefault="00540FBC" w:rsidP="00540FBC">
      <w:pPr>
        <w:jc w:val="center"/>
        <w:rPr>
          <w:b/>
          <w:sz w:val="28"/>
          <w:szCs w:val="28"/>
        </w:rPr>
      </w:pPr>
      <w:r w:rsidRPr="00EE5BC3">
        <w:rPr>
          <w:b/>
          <w:sz w:val="28"/>
          <w:szCs w:val="28"/>
        </w:rPr>
        <w:t>Safeguarding</w:t>
      </w:r>
      <w:r>
        <w:rPr>
          <w:b/>
          <w:sz w:val="28"/>
          <w:szCs w:val="28"/>
        </w:rPr>
        <w:t xml:space="preserve"> in an area which is not your main area of work</w:t>
      </w:r>
    </w:p>
    <w:p w14:paraId="6009B2CC" w14:textId="77777777" w:rsidR="00540FBC" w:rsidRPr="008B28E7" w:rsidRDefault="00540FBC" w:rsidP="00540FBC">
      <w:pPr>
        <w:jc w:val="both"/>
        <w:rPr>
          <w:b/>
          <w:sz w:val="24"/>
          <w:szCs w:val="24"/>
        </w:rPr>
      </w:pPr>
    </w:p>
    <w:p w14:paraId="6F1D38CA" w14:textId="77777777" w:rsidR="00540FBC" w:rsidRPr="00EE5BC3" w:rsidRDefault="00540FBC" w:rsidP="00540FBC">
      <w:pPr>
        <w:ind w:left="-90"/>
        <w:jc w:val="both"/>
        <w:rPr>
          <w:b/>
          <w:i/>
          <w:sz w:val="24"/>
          <w:szCs w:val="24"/>
        </w:rPr>
      </w:pPr>
      <w:r w:rsidRPr="00EE5BC3">
        <w:rPr>
          <w:b/>
          <w:i/>
          <w:sz w:val="24"/>
          <w:szCs w:val="24"/>
        </w:rPr>
        <w:t xml:space="preserve">Guidance: </w:t>
      </w:r>
    </w:p>
    <w:p w14:paraId="4F1880D0" w14:textId="77777777" w:rsidR="00540FBC" w:rsidRPr="00706BB5" w:rsidRDefault="00540FBC" w:rsidP="00540FBC">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children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14:paraId="7A1286E6" w14:textId="77777777" w:rsidR="00540FBC" w:rsidRPr="008B28E7" w:rsidRDefault="00540FBC" w:rsidP="00540FBC">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40FBC" w:rsidRPr="008B28E7" w14:paraId="625614B2" w14:textId="77777777" w:rsidTr="001F4176">
        <w:tc>
          <w:tcPr>
            <w:tcW w:w="10188" w:type="dxa"/>
            <w:shd w:val="clear" w:color="auto" w:fill="auto"/>
          </w:tcPr>
          <w:p w14:paraId="33CE0F81" w14:textId="77777777" w:rsidR="00540FBC" w:rsidRPr="00EB695F" w:rsidRDefault="00540FBC" w:rsidP="001F4176">
            <w:pPr>
              <w:jc w:val="both"/>
              <w:rPr>
                <w:b/>
                <w:sz w:val="24"/>
                <w:szCs w:val="24"/>
              </w:rPr>
            </w:pPr>
            <w:r w:rsidRPr="00EB695F">
              <w:rPr>
                <w:b/>
                <w:sz w:val="24"/>
                <w:szCs w:val="24"/>
              </w:rPr>
              <w:t>Question</w:t>
            </w:r>
            <w:r>
              <w:rPr>
                <w:b/>
                <w:sz w:val="24"/>
                <w:szCs w:val="24"/>
              </w:rPr>
              <w:t xml:space="preserve"> a:</w:t>
            </w:r>
          </w:p>
          <w:p w14:paraId="03359BB6" w14:textId="77777777" w:rsidR="00540FBC" w:rsidRDefault="00540FBC" w:rsidP="001F4176">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14:paraId="3AA35269" w14:textId="77777777" w:rsidR="00540FBC" w:rsidRDefault="00540FBC" w:rsidP="001F4176">
            <w:pPr>
              <w:jc w:val="both"/>
              <w:rPr>
                <w:i/>
                <w:sz w:val="24"/>
                <w:szCs w:val="24"/>
              </w:rPr>
            </w:pPr>
          </w:p>
          <w:p w14:paraId="269D4FF4" w14:textId="77777777" w:rsidR="00540FBC" w:rsidRDefault="00540FBC" w:rsidP="001F4176">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7C110AE5" w14:textId="77777777" w:rsidR="00540FBC" w:rsidRDefault="00540FBC" w:rsidP="001F4176">
            <w:pPr>
              <w:jc w:val="both"/>
              <w:rPr>
                <w:b/>
                <w:sz w:val="24"/>
                <w:szCs w:val="24"/>
              </w:rPr>
            </w:pPr>
          </w:p>
          <w:p w14:paraId="34DBE96E" w14:textId="77777777" w:rsidR="00540FBC" w:rsidRDefault="00540FBC" w:rsidP="001F4176">
            <w:pPr>
              <w:jc w:val="both"/>
              <w:rPr>
                <w:sz w:val="24"/>
                <w:szCs w:val="24"/>
              </w:rPr>
            </w:pPr>
            <w:r w:rsidRPr="00E85721">
              <w:rPr>
                <w:sz w:val="24"/>
                <w:szCs w:val="24"/>
              </w:rPr>
              <w:t xml:space="preserve">Safeguarding is an overarching theme </w:t>
            </w:r>
            <w:r>
              <w:rPr>
                <w:sz w:val="24"/>
                <w:szCs w:val="24"/>
              </w:rPr>
              <w:t>enshrined throughout</w:t>
            </w:r>
            <w:r w:rsidRPr="00E85721">
              <w:rPr>
                <w:sz w:val="24"/>
                <w:szCs w:val="24"/>
              </w:rPr>
              <w:t xml:space="preserve"> the </w:t>
            </w:r>
            <w:r>
              <w:rPr>
                <w:sz w:val="24"/>
                <w:szCs w:val="24"/>
              </w:rPr>
              <w:t xml:space="preserve">Social Services and Wellbeing (Wales) </w:t>
            </w:r>
            <w:r w:rsidRPr="00E85721">
              <w:rPr>
                <w:sz w:val="24"/>
                <w:szCs w:val="24"/>
              </w:rPr>
              <w:t>Act</w:t>
            </w:r>
            <w:r>
              <w:rPr>
                <w:sz w:val="24"/>
                <w:szCs w:val="24"/>
              </w:rPr>
              <w:t xml:space="preserve"> (SSWWA) 2014; </w:t>
            </w:r>
            <w:r w:rsidRPr="00E85721">
              <w:rPr>
                <w:sz w:val="24"/>
                <w:szCs w:val="24"/>
              </w:rPr>
              <w:t>“</w:t>
            </w:r>
            <w:r>
              <w:rPr>
                <w:i/>
                <w:sz w:val="24"/>
                <w:szCs w:val="24"/>
              </w:rPr>
              <w:t>p</w:t>
            </w:r>
            <w:r w:rsidRPr="00883D98">
              <w:rPr>
                <w:i/>
                <w:sz w:val="24"/>
                <w:szCs w:val="24"/>
              </w:rPr>
              <w:t>rotection from harm and abuse”</w:t>
            </w:r>
            <w:r w:rsidRPr="00E85721">
              <w:rPr>
                <w:sz w:val="24"/>
                <w:szCs w:val="24"/>
              </w:rPr>
              <w:t xml:space="preserve"> is defined as a key element of “</w:t>
            </w:r>
            <w:r w:rsidRPr="00883D98">
              <w:rPr>
                <w:i/>
                <w:sz w:val="24"/>
                <w:szCs w:val="24"/>
              </w:rPr>
              <w:t>wellbeing</w:t>
            </w:r>
            <w:r w:rsidRPr="00E85721">
              <w:rPr>
                <w:sz w:val="24"/>
                <w:szCs w:val="24"/>
              </w:rPr>
              <w:t>” (s</w:t>
            </w:r>
            <w:r>
              <w:rPr>
                <w:sz w:val="24"/>
                <w:szCs w:val="24"/>
              </w:rPr>
              <w:t>ection</w:t>
            </w:r>
            <w:r w:rsidRPr="00E85721">
              <w:rPr>
                <w:sz w:val="24"/>
                <w:szCs w:val="24"/>
              </w:rPr>
              <w:t xml:space="preserve"> 2 (b))</w:t>
            </w:r>
            <w:r>
              <w:rPr>
                <w:sz w:val="24"/>
                <w:szCs w:val="24"/>
              </w:rPr>
              <w:t xml:space="preserve">. </w:t>
            </w:r>
          </w:p>
          <w:p w14:paraId="7396ECB6" w14:textId="77777777" w:rsidR="00540FBC" w:rsidRDefault="00540FBC" w:rsidP="001F4176">
            <w:pPr>
              <w:jc w:val="both"/>
              <w:rPr>
                <w:sz w:val="24"/>
                <w:szCs w:val="24"/>
              </w:rPr>
            </w:pPr>
          </w:p>
          <w:p w14:paraId="0003F476" w14:textId="77777777" w:rsidR="00540FBC" w:rsidRDefault="00540FBC" w:rsidP="001F4176">
            <w:pPr>
              <w:jc w:val="both"/>
              <w:rPr>
                <w:sz w:val="24"/>
                <w:szCs w:val="24"/>
              </w:rPr>
            </w:pPr>
            <w:r w:rsidRPr="00E85721">
              <w:rPr>
                <w:sz w:val="24"/>
                <w:szCs w:val="24"/>
              </w:rPr>
              <w:t xml:space="preserve">Section 7 deals specifically with safeguarding and provides a legal definition for </w:t>
            </w:r>
            <w:r>
              <w:rPr>
                <w:sz w:val="24"/>
                <w:szCs w:val="24"/>
              </w:rPr>
              <w:t>‘</w:t>
            </w:r>
            <w:r w:rsidRPr="00E85721">
              <w:rPr>
                <w:sz w:val="24"/>
                <w:szCs w:val="24"/>
              </w:rPr>
              <w:t>an adult at risk</w:t>
            </w:r>
            <w:r>
              <w:rPr>
                <w:sz w:val="24"/>
                <w:szCs w:val="24"/>
              </w:rPr>
              <w:t>’</w:t>
            </w:r>
            <w:r w:rsidRPr="00E85721">
              <w:rPr>
                <w:sz w:val="24"/>
                <w:szCs w:val="24"/>
              </w:rPr>
              <w:t xml:space="preserve"> as </w:t>
            </w:r>
            <w:r>
              <w:rPr>
                <w:sz w:val="24"/>
                <w:szCs w:val="24"/>
              </w:rPr>
              <w:t>someone</w:t>
            </w:r>
            <w:r w:rsidRPr="00E85721">
              <w:rPr>
                <w:sz w:val="24"/>
                <w:szCs w:val="24"/>
              </w:rPr>
              <w:t xml:space="preserve"> who:</w:t>
            </w:r>
            <w:r>
              <w:rPr>
                <w:i/>
                <w:sz w:val="24"/>
                <w:szCs w:val="24"/>
              </w:rPr>
              <w:t xml:space="preserve"> “(a) i</w:t>
            </w:r>
            <w:r w:rsidRPr="00CB4BCD">
              <w:rPr>
                <w:i/>
                <w:sz w:val="24"/>
                <w:szCs w:val="24"/>
              </w:rPr>
              <w:t>s experiencing or is at risk of abuse or neglect</w:t>
            </w:r>
            <w:r>
              <w:rPr>
                <w:sz w:val="24"/>
                <w:szCs w:val="24"/>
              </w:rPr>
              <w:t>; (b)</w:t>
            </w:r>
            <w:r>
              <w:rPr>
                <w:i/>
                <w:sz w:val="24"/>
                <w:szCs w:val="24"/>
              </w:rPr>
              <w:t xml:space="preserve"> h</w:t>
            </w:r>
            <w:r w:rsidRPr="00CB4BCD">
              <w:rPr>
                <w:i/>
                <w:sz w:val="24"/>
                <w:szCs w:val="24"/>
              </w:rPr>
              <w:t>as needs for care and support (whether or not the authority is meeting any of those needs) and</w:t>
            </w:r>
            <w:r>
              <w:rPr>
                <w:sz w:val="24"/>
                <w:szCs w:val="24"/>
              </w:rPr>
              <w:t xml:space="preserve">; (c) </w:t>
            </w:r>
            <w:r>
              <w:rPr>
                <w:i/>
                <w:sz w:val="24"/>
                <w:szCs w:val="24"/>
              </w:rPr>
              <w:t>a</w:t>
            </w:r>
            <w:r w:rsidRPr="00CB4BCD">
              <w:rPr>
                <w:i/>
                <w:sz w:val="24"/>
                <w:szCs w:val="24"/>
              </w:rPr>
              <w:t>s a result of those needs in unable to protect himself or herself against the abuse or neglect or the risk of it</w:t>
            </w:r>
            <w:r>
              <w:rPr>
                <w:i/>
                <w:sz w:val="24"/>
                <w:szCs w:val="24"/>
              </w:rPr>
              <w:t xml:space="preserve">” </w:t>
            </w:r>
            <w:r>
              <w:rPr>
                <w:sz w:val="24"/>
                <w:szCs w:val="24"/>
              </w:rPr>
              <w:t xml:space="preserve">(SSWWA 2014: section 126 (1)). </w:t>
            </w:r>
          </w:p>
          <w:p w14:paraId="32C60D8A" w14:textId="77777777" w:rsidR="00540FBC" w:rsidRPr="00883D98" w:rsidRDefault="00540FBC" w:rsidP="001F4176">
            <w:pPr>
              <w:jc w:val="both"/>
              <w:rPr>
                <w:sz w:val="24"/>
                <w:szCs w:val="24"/>
              </w:rPr>
            </w:pPr>
          </w:p>
          <w:p w14:paraId="73022339" w14:textId="77777777" w:rsidR="00540FBC" w:rsidRDefault="00540FBC" w:rsidP="001F4176">
            <w:pPr>
              <w:jc w:val="both"/>
              <w:rPr>
                <w:sz w:val="24"/>
                <w:szCs w:val="24"/>
              </w:rPr>
            </w:pPr>
            <w:r w:rsidRPr="00E85721">
              <w:rPr>
                <w:sz w:val="24"/>
                <w:szCs w:val="24"/>
              </w:rPr>
              <w:t xml:space="preserve">‘Abuse’ is defined a physical, sexual, psychological, </w:t>
            </w:r>
            <w:proofErr w:type="gramStart"/>
            <w:r w:rsidRPr="00E85721">
              <w:rPr>
                <w:sz w:val="24"/>
                <w:szCs w:val="24"/>
              </w:rPr>
              <w:t>emotional</w:t>
            </w:r>
            <w:proofErr w:type="gramEnd"/>
            <w:r w:rsidRPr="00E85721">
              <w:rPr>
                <w:sz w:val="24"/>
                <w:szCs w:val="24"/>
              </w:rPr>
              <w:t xml:space="preserve"> or financial abuse and can </w:t>
            </w:r>
            <w:r>
              <w:rPr>
                <w:sz w:val="24"/>
                <w:szCs w:val="24"/>
              </w:rPr>
              <w:t>occur</w:t>
            </w:r>
            <w:r w:rsidRPr="00E85721">
              <w:rPr>
                <w:sz w:val="24"/>
                <w:szCs w:val="24"/>
              </w:rPr>
              <w:t xml:space="preserve"> in any setting. ‘Neglect’ is defined as “</w:t>
            </w:r>
            <w:r w:rsidRPr="00E85721">
              <w:rPr>
                <w:i/>
                <w:sz w:val="24"/>
                <w:szCs w:val="24"/>
              </w:rPr>
              <w:t xml:space="preserve">a failure to meet a person’s basic physical, emotional, social </w:t>
            </w:r>
            <w:r>
              <w:rPr>
                <w:i/>
                <w:sz w:val="24"/>
                <w:szCs w:val="24"/>
              </w:rPr>
              <w:t>o</w:t>
            </w:r>
            <w:r w:rsidRPr="00E85721">
              <w:rPr>
                <w:i/>
                <w:sz w:val="24"/>
                <w:szCs w:val="24"/>
              </w:rPr>
              <w:t>r psychological needs which is likely to result in an impairment of the person’s well-being</w:t>
            </w:r>
            <w:r w:rsidRPr="00E85721">
              <w:rPr>
                <w:sz w:val="24"/>
                <w:szCs w:val="24"/>
              </w:rPr>
              <w:t xml:space="preserve">” (SSWWA 2014, </w:t>
            </w:r>
            <w:r>
              <w:rPr>
                <w:sz w:val="24"/>
                <w:szCs w:val="24"/>
              </w:rPr>
              <w:t>s.</w:t>
            </w:r>
            <w:r w:rsidRPr="00E85721">
              <w:rPr>
                <w:sz w:val="24"/>
                <w:szCs w:val="24"/>
              </w:rPr>
              <w:t xml:space="preserve">197 (1)). </w:t>
            </w:r>
          </w:p>
          <w:p w14:paraId="340E434C" w14:textId="77777777" w:rsidR="00540FBC" w:rsidRDefault="00540FBC" w:rsidP="001F4176">
            <w:pPr>
              <w:jc w:val="both"/>
              <w:rPr>
                <w:sz w:val="24"/>
                <w:szCs w:val="24"/>
              </w:rPr>
            </w:pPr>
          </w:p>
          <w:p w14:paraId="223886F7" w14:textId="77777777" w:rsidR="00540FBC" w:rsidRDefault="00540FBC" w:rsidP="001F4176">
            <w:pPr>
              <w:jc w:val="both"/>
              <w:rPr>
                <w:sz w:val="24"/>
                <w:szCs w:val="24"/>
              </w:rPr>
            </w:pPr>
            <w:r>
              <w:rPr>
                <w:sz w:val="24"/>
                <w:szCs w:val="24"/>
              </w:rPr>
              <w:t>Local Authorities (LA) and relevant partners are duty bound to report adults at risk of harm to the LA if there are reasonable causes to suspect that an adult is at risk (SSWWA 2014, s. 128). Moreover, LAs has a duty to make enquiries and act appropriately if there is an identified adult at risk within their area (SSWWA 2014, s. 126 (b)).</w:t>
            </w:r>
            <w:r w:rsidRPr="00E85721">
              <w:rPr>
                <w:sz w:val="24"/>
                <w:szCs w:val="24"/>
              </w:rPr>
              <w:t xml:space="preserve"> </w:t>
            </w:r>
          </w:p>
          <w:p w14:paraId="6D9E68BA" w14:textId="77777777" w:rsidR="00540FBC" w:rsidRDefault="00540FBC" w:rsidP="001F4176">
            <w:pPr>
              <w:jc w:val="both"/>
              <w:rPr>
                <w:sz w:val="24"/>
                <w:szCs w:val="24"/>
              </w:rPr>
            </w:pPr>
          </w:p>
          <w:p w14:paraId="71248DD8" w14:textId="77777777" w:rsidR="00540FBC" w:rsidRDefault="00540FBC" w:rsidP="001F4176">
            <w:pPr>
              <w:jc w:val="both"/>
              <w:rPr>
                <w:sz w:val="24"/>
                <w:szCs w:val="24"/>
              </w:rPr>
            </w:pPr>
            <w:r>
              <w:rPr>
                <w:sz w:val="24"/>
                <w:szCs w:val="24"/>
              </w:rPr>
              <w:t>Section 132 of the Act establishes a statutory framework for regional safeguarding boards in Wales. There are currently six operating in Wales; responsible for scrutinising and monitoring safeguarding policies and procedures, ensuring they are fit for purpose.</w:t>
            </w:r>
          </w:p>
          <w:p w14:paraId="2262956D" w14:textId="77777777" w:rsidR="00540FBC" w:rsidRDefault="00540FBC" w:rsidP="001F4176">
            <w:pPr>
              <w:jc w:val="both"/>
              <w:rPr>
                <w:sz w:val="24"/>
                <w:szCs w:val="24"/>
              </w:rPr>
            </w:pPr>
          </w:p>
          <w:p w14:paraId="3B0B371D" w14:textId="77777777" w:rsidR="00540FBC" w:rsidRDefault="00540FBC" w:rsidP="001F4176">
            <w:pPr>
              <w:jc w:val="both"/>
              <w:rPr>
                <w:sz w:val="24"/>
                <w:szCs w:val="24"/>
              </w:rPr>
            </w:pPr>
            <w:r>
              <w:rPr>
                <w:sz w:val="24"/>
                <w:szCs w:val="24"/>
              </w:rPr>
              <w:t xml:space="preserve">Professionals are required to consider statutory guidance underpinning the Act. Volumes 1,3, 4 and 6 of the ‘Working Together to Safeguard People’ provides a framework to prevent, identify and respond to the abuse of vulnerable adults. The Act is also the legal framework for the Wales Safeguarding Procedures (2020), which strengthen and clarifies the responsibilities of professionals involved in safeguarding adults. </w:t>
            </w:r>
          </w:p>
          <w:p w14:paraId="384E1613" w14:textId="77777777" w:rsidR="00540FBC" w:rsidRDefault="00540FBC" w:rsidP="001F4176">
            <w:pPr>
              <w:jc w:val="both"/>
              <w:rPr>
                <w:sz w:val="24"/>
                <w:szCs w:val="24"/>
              </w:rPr>
            </w:pPr>
          </w:p>
          <w:p w14:paraId="26B195C5" w14:textId="77777777" w:rsidR="00540FBC" w:rsidRDefault="00540FBC" w:rsidP="001F4176">
            <w:pPr>
              <w:jc w:val="both"/>
              <w:rPr>
                <w:sz w:val="24"/>
                <w:szCs w:val="24"/>
              </w:rPr>
            </w:pPr>
            <w:r>
              <w:rPr>
                <w:sz w:val="24"/>
                <w:szCs w:val="24"/>
              </w:rPr>
              <w:t>Under the SSWWA 2014, professionals have a duty to promote and respect people’s human rights. Thus, the United Nations Principles for Older Persons, the Equality Act 2010, and the Human Rights Act 1988 must be adhered to; specifically, Article 3 (not to be subjected to inhuman or degrading treatment) and Article 8 (right to enjoy private, family and home life without interference).</w:t>
            </w:r>
          </w:p>
          <w:p w14:paraId="05CB6942" w14:textId="77777777" w:rsidR="00540FBC" w:rsidRDefault="00540FBC" w:rsidP="001F4176">
            <w:pPr>
              <w:jc w:val="both"/>
              <w:rPr>
                <w:sz w:val="24"/>
                <w:szCs w:val="24"/>
              </w:rPr>
            </w:pPr>
          </w:p>
          <w:p w14:paraId="6791AF6A" w14:textId="77777777" w:rsidR="00540FBC" w:rsidRDefault="00540FBC" w:rsidP="001F4176">
            <w:pPr>
              <w:jc w:val="both"/>
              <w:rPr>
                <w:sz w:val="24"/>
                <w:szCs w:val="24"/>
              </w:rPr>
            </w:pPr>
            <w:r>
              <w:rPr>
                <w:sz w:val="24"/>
                <w:szCs w:val="24"/>
              </w:rPr>
              <w:t xml:space="preserve">Under Article 3, adults have the right to refuse assessment or intervention from social services. However, section 127 of the SSWWA 2014 </w:t>
            </w:r>
            <w:r w:rsidRPr="00E85721">
              <w:rPr>
                <w:sz w:val="24"/>
                <w:szCs w:val="24"/>
              </w:rPr>
              <w:t>enables an application to be made to magistrates’ courts for an Adult Protection and Support Order; to enable a person suspected of being an ‘adult at risk’ to be spoken with in private to ascertain whether they can make decision</w:t>
            </w:r>
            <w:r>
              <w:rPr>
                <w:sz w:val="24"/>
                <w:szCs w:val="24"/>
              </w:rPr>
              <w:t>s</w:t>
            </w:r>
            <w:r w:rsidRPr="00E85721">
              <w:rPr>
                <w:sz w:val="24"/>
                <w:szCs w:val="24"/>
              </w:rPr>
              <w:t xml:space="preserve"> freely, assess if they are an </w:t>
            </w:r>
            <w:r>
              <w:rPr>
                <w:sz w:val="24"/>
                <w:szCs w:val="24"/>
              </w:rPr>
              <w:t>‘</w:t>
            </w:r>
            <w:r w:rsidRPr="00E85721">
              <w:rPr>
                <w:sz w:val="24"/>
                <w:szCs w:val="24"/>
              </w:rPr>
              <w:t>adult at risk</w:t>
            </w:r>
            <w:r>
              <w:rPr>
                <w:sz w:val="24"/>
                <w:szCs w:val="24"/>
              </w:rPr>
              <w:t>’</w:t>
            </w:r>
            <w:r w:rsidRPr="00E85721">
              <w:rPr>
                <w:sz w:val="24"/>
                <w:szCs w:val="24"/>
              </w:rPr>
              <w:t>, and establish if</w:t>
            </w:r>
            <w:r>
              <w:rPr>
                <w:sz w:val="24"/>
                <w:szCs w:val="24"/>
              </w:rPr>
              <w:t xml:space="preserve"> / </w:t>
            </w:r>
            <w:r w:rsidRPr="00E85721">
              <w:rPr>
                <w:sz w:val="24"/>
                <w:szCs w:val="24"/>
              </w:rPr>
              <w:t>what action should be taken</w:t>
            </w:r>
            <w:r>
              <w:rPr>
                <w:sz w:val="24"/>
                <w:szCs w:val="24"/>
              </w:rPr>
              <w:t xml:space="preserve"> to safeguard.</w:t>
            </w:r>
          </w:p>
          <w:p w14:paraId="5B035650" w14:textId="77777777" w:rsidR="00540FBC" w:rsidRDefault="00540FBC" w:rsidP="001F4176">
            <w:pPr>
              <w:jc w:val="both"/>
              <w:rPr>
                <w:sz w:val="24"/>
                <w:szCs w:val="24"/>
              </w:rPr>
            </w:pPr>
          </w:p>
          <w:p w14:paraId="2A132EFA" w14:textId="77777777" w:rsidR="00540FBC" w:rsidRDefault="00540FBC" w:rsidP="001F4176">
            <w:pPr>
              <w:jc w:val="both"/>
              <w:rPr>
                <w:sz w:val="24"/>
                <w:szCs w:val="24"/>
              </w:rPr>
            </w:pPr>
            <w:r>
              <w:rPr>
                <w:sz w:val="24"/>
                <w:szCs w:val="24"/>
              </w:rPr>
              <w:t xml:space="preserve">Mental capacity must always be considered when safeguarding adults. Under the Mental Capacity Act (MCA) 2005, we must assume that all adults have capacity unless proved otherwise. For adults who lack capacity, an Independent Mental Capacity Advocate (MCA) is appointed, which is a statutory advocacy service under the MCA 2005. The IMCA must act in the ‘best interest’ of the person they are representing.  The MCA 2005 is underpinned by a Code of Practice (2007) to guide professionals when working with adults who lack capacity.  </w:t>
            </w:r>
          </w:p>
          <w:p w14:paraId="3CFE0696" w14:textId="77777777" w:rsidR="00540FBC" w:rsidRDefault="00540FBC" w:rsidP="001F4176">
            <w:pPr>
              <w:jc w:val="both"/>
              <w:rPr>
                <w:sz w:val="24"/>
                <w:szCs w:val="24"/>
              </w:rPr>
            </w:pPr>
          </w:p>
          <w:p w14:paraId="784F7331" w14:textId="77777777" w:rsidR="00540FBC" w:rsidRDefault="00540FBC" w:rsidP="001F4176">
            <w:pPr>
              <w:jc w:val="both"/>
              <w:rPr>
                <w:sz w:val="24"/>
                <w:szCs w:val="24"/>
              </w:rPr>
            </w:pPr>
            <w:r>
              <w:rPr>
                <w:sz w:val="24"/>
                <w:szCs w:val="24"/>
              </w:rPr>
              <w:t>(Word Count: 550)</w:t>
            </w:r>
          </w:p>
          <w:p w14:paraId="1B0322AD" w14:textId="77777777" w:rsidR="00540FBC" w:rsidRPr="008B28E7" w:rsidRDefault="00540FBC" w:rsidP="001F4176">
            <w:pPr>
              <w:jc w:val="both"/>
              <w:rPr>
                <w:b/>
                <w:sz w:val="24"/>
                <w:szCs w:val="24"/>
              </w:rPr>
            </w:pPr>
          </w:p>
        </w:tc>
      </w:tr>
    </w:tbl>
    <w:p w14:paraId="1B64E64E" w14:textId="77777777" w:rsidR="00540FBC" w:rsidRPr="008B28E7" w:rsidRDefault="00540FBC" w:rsidP="00540FBC">
      <w:pPr>
        <w:jc w:val="both"/>
        <w:rPr>
          <w:sz w:val="24"/>
          <w:szCs w:val="24"/>
        </w:rPr>
      </w:pPr>
    </w:p>
    <w:p w14:paraId="08E3F88F" w14:textId="77777777" w:rsidR="00540FBC" w:rsidRPr="008B28E7" w:rsidRDefault="00540FBC" w:rsidP="00540FBC">
      <w:pPr>
        <w:jc w:val="both"/>
        <w:rPr>
          <w:sz w:val="24"/>
          <w:szCs w:val="24"/>
        </w:rPr>
      </w:pPr>
    </w:p>
    <w:p w14:paraId="2CC33E99" w14:textId="77777777" w:rsidR="00540FBC" w:rsidRDefault="00540FBC" w:rsidP="00540FBC">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40FBC" w:rsidRPr="008B28E7" w14:paraId="524C5CF9" w14:textId="77777777" w:rsidTr="001F4176">
        <w:tc>
          <w:tcPr>
            <w:tcW w:w="10278" w:type="dxa"/>
            <w:shd w:val="clear" w:color="auto" w:fill="auto"/>
          </w:tcPr>
          <w:p w14:paraId="59453358" w14:textId="77777777" w:rsidR="00540FBC" w:rsidRDefault="00540FBC" w:rsidP="001F4176">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4ECFA6E9" w14:textId="77777777" w:rsidR="00540FBC" w:rsidRPr="00EB695F" w:rsidRDefault="00540FBC" w:rsidP="001F4176">
            <w:pPr>
              <w:jc w:val="both"/>
              <w:rPr>
                <w:b/>
                <w:sz w:val="24"/>
                <w:szCs w:val="24"/>
              </w:rPr>
            </w:pPr>
          </w:p>
          <w:p w14:paraId="0F4320B9" w14:textId="77777777" w:rsidR="00540FBC" w:rsidRDefault="00540FBC" w:rsidP="001F4176">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work</w:t>
            </w:r>
          </w:p>
          <w:p w14:paraId="1D4B1826" w14:textId="77777777" w:rsidR="00540FBC" w:rsidRDefault="00540FBC" w:rsidP="001F4176">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64EA3375" w14:textId="77777777" w:rsidR="00540FBC" w:rsidRDefault="00540FBC" w:rsidP="001F4176">
            <w:pPr>
              <w:jc w:val="both"/>
              <w:rPr>
                <w:i/>
                <w:sz w:val="24"/>
                <w:szCs w:val="24"/>
              </w:rPr>
            </w:pPr>
          </w:p>
          <w:p w14:paraId="07C4FE8D" w14:textId="77777777" w:rsidR="00540FBC" w:rsidRDefault="00540FBC" w:rsidP="001F4176">
            <w:pPr>
              <w:jc w:val="both"/>
              <w:rPr>
                <w:sz w:val="24"/>
                <w:szCs w:val="24"/>
              </w:rPr>
            </w:pPr>
            <w:r>
              <w:rPr>
                <w:sz w:val="24"/>
                <w:szCs w:val="24"/>
              </w:rPr>
              <w:t xml:space="preserve">A difference between safeguarding adults and safeguarding children is an adult’s right to self-determination and autonomy. </w:t>
            </w:r>
          </w:p>
          <w:p w14:paraId="2B66220B" w14:textId="77777777" w:rsidR="00540FBC" w:rsidRDefault="00540FBC" w:rsidP="001F4176">
            <w:pPr>
              <w:jc w:val="both"/>
              <w:rPr>
                <w:sz w:val="24"/>
                <w:szCs w:val="24"/>
              </w:rPr>
            </w:pPr>
          </w:p>
          <w:p w14:paraId="0834CA07" w14:textId="77777777" w:rsidR="00540FBC" w:rsidRDefault="00540FBC" w:rsidP="001F4176">
            <w:pPr>
              <w:jc w:val="both"/>
              <w:rPr>
                <w:sz w:val="24"/>
                <w:szCs w:val="24"/>
              </w:rPr>
            </w:pPr>
            <w:r>
              <w:rPr>
                <w:sz w:val="24"/>
                <w:szCs w:val="24"/>
              </w:rPr>
              <w:t xml:space="preserve">Mental capacity is a crucial consideration within adult safeguarding. The Mental Capacity Act (MCA) 2005 applies to everyone over the age of 16 and establishes the principle of presumption of capacity; we must assume that an adult has mental capacity to make decisions for themselves unless it can be established that they lack capacity. Accordingly, it is presumed that adults can make their own decisions to promote and protect their wellbeing. Under the MCA 2005, adults are permitted to make unwise decisions, as this does not necessarily mean that a person lacks capacity. Therefore, when an adult who is assessed as having capacity but is making decisions that place themselves at risk of harm and refuses intervention, their right to private life (Human Rights Act 1988) must be respected. If there are doubts regarding an adult’s capacity, a mental capacity assessment must be conducted (MCA, 2005). </w:t>
            </w:r>
          </w:p>
          <w:p w14:paraId="6C3733B3" w14:textId="77777777" w:rsidR="00540FBC" w:rsidRDefault="00540FBC" w:rsidP="001F4176">
            <w:pPr>
              <w:jc w:val="both"/>
              <w:rPr>
                <w:sz w:val="24"/>
                <w:szCs w:val="24"/>
              </w:rPr>
            </w:pPr>
            <w:r>
              <w:rPr>
                <w:sz w:val="24"/>
                <w:szCs w:val="24"/>
              </w:rPr>
              <w:t xml:space="preserve">Children cannot make their own decisions about their care; therefore, those who exercise Parental Responsibility (PR) have a duty to make decisions on their behalf. </w:t>
            </w:r>
          </w:p>
          <w:p w14:paraId="1CC74CF8" w14:textId="77777777" w:rsidR="00540FBC" w:rsidRDefault="00540FBC" w:rsidP="001F4176">
            <w:pPr>
              <w:jc w:val="both"/>
              <w:rPr>
                <w:sz w:val="24"/>
                <w:szCs w:val="24"/>
              </w:rPr>
            </w:pPr>
          </w:p>
          <w:p w14:paraId="24E09226" w14:textId="77777777" w:rsidR="00540FBC" w:rsidRDefault="00540FBC" w:rsidP="001F4176">
            <w:pPr>
              <w:jc w:val="both"/>
              <w:rPr>
                <w:sz w:val="24"/>
                <w:szCs w:val="24"/>
              </w:rPr>
            </w:pPr>
            <w:r>
              <w:rPr>
                <w:sz w:val="24"/>
                <w:szCs w:val="24"/>
              </w:rPr>
              <w:t xml:space="preserve">The principle of Gillick competence can be applied to assess legal capacity in children under the age of 16 years. In assessing competency, professionals need to consider the child’s level of maturity, understanding of issues, and the risks and implications (NSPCC, 2022). </w:t>
            </w:r>
          </w:p>
          <w:p w14:paraId="56537D4A" w14:textId="77777777" w:rsidR="00540FBC" w:rsidRDefault="00540FBC" w:rsidP="001F4176">
            <w:pPr>
              <w:jc w:val="both"/>
              <w:rPr>
                <w:sz w:val="24"/>
                <w:szCs w:val="24"/>
              </w:rPr>
            </w:pPr>
          </w:p>
          <w:p w14:paraId="5BFA76A5" w14:textId="77777777" w:rsidR="00540FBC" w:rsidRDefault="00540FBC" w:rsidP="001F4176">
            <w:pPr>
              <w:jc w:val="both"/>
              <w:rPr>
                <w:sz w:val="24"/>
                <w:szCs w:val="24"/>
              </w:rPr>
            </w:pPr>
            <w:r>
              <w:rPr>
                <w:sz w:val="24"/>
                <w:szCs w:val="24"/>
              </w:rPr>
              <w:t xml:space="preserve">Children Act (CA) 1989 is the definitive piece of legislation for child protection in Wales, which established the legal principle that ‘the welfare of the child is paramount’; meaning that children, without exception, have the right to be protected from harm and abuse. The Act sets out clear expectations and requirements regarding Local Authorities (LA) duties of care to all children in their area. The Act sets clear thresholds for implementing statutory intervention or applying for a Court Order when a child is considered at risk of significant harm. Section 47 of the Act gives LA duty to investigate suspected risk to a child without consent of those who exercise PR. No equivalent legislation exists within adult safeguarding and the ‘welfare principle’ does not apply. Moreover, the LA must always obtain an adults’ consent to assess if they are risk of harm. </w:t>
            </w:r>
          </w:p>
          <w:p w14:paraId="32A66DF6" w14:textId="77777777" w:rsidR="00540FBC" w:rsidRDefault="00540FBC" w:rsidP="001F4176">
            <w:pPr>
              <w:jc w:val="both"/>
              <w:rPr>
                <w:sz w:val="24"/>
                <w:szCs w:val="24"/>
              </w:rPr>
            </w:pPr>
          </w:p>
          <w:p w14:paraId="35D53DED" w14:textId="77777777" w:rsidR="00540FBC" w:rsidRDefault="00540FBC" w:rsidP="001F4176">
            <w:pPr>
              <w:jc w:val="both"/>
              <w:rPr>
                <w:sz w:val="24"/>
                <w:szCs w:val="24"/>
              </w:rPr>
            </w:pPr>
            <w:r>
              <w:rPr>
                <w:sz w:val="24"/>
                <w:szCs w:val="24"/>
              </w:rPr>
              <w:t>The United Nations Conventions of the Rights of the Child (1988) is central within children’s safeguarding to ensure children reach their full potential and live fulfilled lives. It requires for children to be seen and their wishes and feelings are taken into consideration. Within adult safeguarding, there is a duty on professionals to adhere to Human Rights Act 1989 and to promote and protect these rights at all costs.</w:t>
            </w:r>
          </w:p>
          <w:p w14:paraId="50B5727B" w14:textId="77777777" w:rsidR="00540FBC" w:rsidRDefault="00540FBC" w:rsidP="001F4176">
            <w:pPr>
              <w:jc w:val="both"/>
              <w:rPr>
                <w:sz w:val="24"/>
                <w:szCs w:val="24"/>
              </w:rPr>
            </w:pPr>
          </w:p>
          <w:p w14:paraId="5BF5BA2A" w14:textId="77777777" w:rsidR="00540FBC" w:rsidRPr="00BC206F" w:rsidRDefault="00540FBC" w:rsidP="001F4176">
            <w:pPr>
              <w:jc w:val="both"/>
              <w:rPr>
                <w:i/>
                <w:sz w:val="24"/>
                <w:szCs w:val="24"/>
              </w:rPr>
            </w:pPr>
            <w:r w:rsidRPr="00BC206F">
              <w:rPr>
                <w:i/>
                <w:sz w:val="24"/>
                <w:szCs w:val="24"/>
              </w:rPr>
              <w:t>(Word Count: 440)</w:t>
            </w:r>
          </w:p>
          <w:p w14:paraId="7CF3C328" w14:textId="77777777" w:rsidR="00540FBC" w:rsidRDefault="00540FBC" w:rsidP="001F4176">
            <w:pPr>
              <w:jc w:val="both"/>
              <w:rPr>
                <w:i/>
                <w:sz w:val="24"/>
                <w:szCs w:val="24"/>
              </w:rPr>
            </w:pPr>
          </w:p>
          <w:p w14:paraId="2E92D6EF" w14:textId="77777777" w:rsidR="00540FBC" w:rsidRPr="006108C9" w:rsidRDefault="00540FBC" w:rsidP="001F4176">
            <w:pPr>
              <w:jc w:val="both"/>
              <w:rPr>
                <w:sz w:val="24"/>
                <w:szCs w:val="24"/>
              </w:rPr>
            </w:pPr>
          </w:p>
        </w:tc>
      </w:tr>
    </w:tbl>
    <w:p w14:paraId="5697A79A" w14:textId="77777777" w:rsidR="00540FBC" w:rsidRDefault="00540FBC" w:rsidP="00540FBC">
      <w:pPr>
        <w:jc w:val="both"/>
        <w:rPr>
          <w:sz w:val="24"/>
          <w:szCs w:val="24"/>
        </w:rPr>
      </w:pPr>
    </w:p>
    <w:p w14:paraId="1305B569" w14:textId="77777777" w:rsidR="00540FBC" w:rsidRDefault="00540FBC" w:rsidP="00540FBC">
      <w:pPr>
        <w:jc w:val="both"/>
        <w:rPr>
          <w:sz w:val="24"/>
          <w:szCs w:val="24"/>
        </w:rPr>
      </w:pPr>
    </w:p>
    <w:p w14:paraId="5D0D374A" w14:textId="77777777" w:rsidR="00540FBC" w:rsidRDefault="00540FBC" w:rsidP="00540FBC">
      <w:pPr>
        <w:rPr>
          <w:sz w:val="24"/>
          <w:szCs w:val="24"/>
        </w:rPr>
      </w:pPr>
    </w:p>
    <w:p w14:paraId="5F0EE9EC" w14:textId="77777777" w:rsidR="00540FBC" w:rsidRDefault="00540FBC" w:rsidP="00540FBC">
      <w:pPr>
        <w:rPr>
          <w:sz w:val="24"/>
          <w:szCs w:val="24"/>
        </w:rPr>
      </w:pPr>
    </w:p>
    <w:p w14:paraId="5A30ECFB" w14:textId="77777777" w:rsidR="00540FBC" w:rsidRDefault="00540FBC" w:rsidP="00540FBC">
      <w:pPr>
        <w:rPr>
          <w:sz w:val="24"/>
          <w:szCs w:val="24"/>
        </w:rPr>
      </w:pPr>
    </w:p>
    <w:p w14:paraId="220048C1" w14:textId="77777777" w:rsidR="00540FBC" w:rsidRDefault="00540FBC" w:rsidP="00540FBC">
      <w:pPr>
        <w:rPr>
          <w:sz w:val="24"/>
          <w:szCs w:val="24"/>
        </w:rPr>
      </w:pPr>
    </w:p>
    <w:p w14:paraId="1D6D8B59" w14:textId="59F847DC" w:rsidR="0017206E" w:rsidRPr="0017206E" w:rsidRDefault="0017206E" w:rsidP="00362FFD">
      <w:pPr>
        <w:jc w:val="both"/>
        <w:rPr>
          <w:b/>
          <w:sz w:val="24"/>
          <w:szCs w:val="24"/>
        </w:rPr>
      </w:pPr>
      <w:r w:rsidRPr="0017206E">
        <w:rPr>
          <w:b/>
          <w:sz w:val="24"/>
          <w:szCs w:val="24"/>
        </w:rPr>
        <w:t xml:space="preserve"> </w:t>
      </w:r>
    </w:p>
    <w:sectPr w:rsidR="0017206E" w:rsidRPr="001720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E6DF9"/>
    <w:multiLevelType w:val="hybridMultilevel"/>
    <w:tmpl w:val="112C1212"/>
    <w:lvl w:ilvl="0" w:tplc="311A044C">
      <w:start w:val="1"/>
      <w:numFmt w:val="lowerLetter"/>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 w15:restartNumberingAfterBreak="0">
    <w:nsid w:val="7A026044"/>
    <w:multiLevelType w:val="hybridMultilevel"/>
    <w:tmpl w:val="976C9CA4"/>
    <w:lvl w:ilvl="0" w:tplc="04520019">
      <w:start w:val="1"/>
      <w:numFmt w:val="lowerLetter"/>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 w15:restartNumberingAfterBreak="0">
    <w:nsid w:val="7E8A5998"/>
    <w:multiLevelType w:val="hybridMultilevel"/>
    <w:tmpl w:val="64D4A2FA"/>
    <w:lvl w:ilvl="0" w:tplc="04520019">
      <w:start w:val="1"/>
      <w:numFmt w:val="lowerLetter"/>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8C7"/>
    <w:rsid w:val="00004EF6"/>
    <w:rsid w:val="000259E5"/>
    <w:rsid w:val="000338B8"/>
    <w:rsid w:val="00035714"/>
    <w:rsid w:val="000562D0"/>
    <w:rsid w:val="00070ACB"/>
    <w:rsid w:val="000A67E7"/>
    <w:rsid w:val="000C3F46"/>
    <w:rsid w:val="000F7EC1"/>
    <w:rsid w:val="00145B7C"/>
    <w:rsid w:val="0017206E"/>
    <w:rsid w:val="001C07CB"/>
    <w:rsid w:val="001C39DB"/>
    <w:rsid w:val="001C6E58"/>
    <w:rsid w:val="001F4F8E"/>
    <w:rsid w:val="001F5494"/>
    <w:rsid w:val="001F721A"/>
    <w:rsid w:val="00211E78"/>
    <w:rsid w:val="00211FE4"/>
    <w:rsid w:val="00220B5B"/>
    <w:rsid w:val="00225086"/>
    <w:rsid w:val="0023139A"/>
    <w:rsid w:val="0023553B"/>
    <w:rsid w:val="002670DF"/>
    <w:rsid w:val="00277905"/>
    <w:rsid w:val="00307DEB"/>
    <w:rsid w:val="00311FDC"/>
    <w:rsid w:val="003176E3"/>
    <w:rsid w:val="00352B34"/>
    <w:rsid w:val="00362FFD"/>
    <w:rsid w:val="00363374"/>
    <w:rsid w:val="003721B1"/>
    <w:rsid w:val="00382814"/>
    <w:rsid w:val="003A5199"/>
    <w:rsid w:val="003C027B"/>
    <w:rsid w:val="003F52B5"/>
    <w:rsid w:val="00417B34"/>
    <w:rsid w:val="0042766A"/>
    <w:rsid w:val="0047006D"/>
    <w:rsid w:val="0049284B"/>
    <w:rsid w:val="004A7DF9"/>
    <w:rsid w:val="004B72F5"/>
    <w:rsid w:val="004C2AA4"/>
    <w:rsid w:val="004C5A3A"/>
    <w:rsid w:val="004D0642"/>
    <w:rsid w:val="004E1746"/>
    <w:rsid w:val="00502C4F"/>
    <w:rsid w:val="005100BA"/>
    <w:rsid w:val="00540FBC"/>
    <w:rsid w:val="00544889"/>
    <w:rsid w:val="00553926"/>
    <w:rsid w:val="005B7E77"/>
    <w:rsid w:val="005C561B"/>
    <w:rsid w:val="005E1435"/>
    <w:rsid w:val="006007AA"/>
    <w:rsid w:val="00603D08"/>
    <w:rsid w:val="006822B4"/>
    <w:rsid w:val="006852E5"/>
    <w:rsid w:val="006A680D"/>
    <w:rsid w:val="006F0133"/>
    <w:rsid w:val="00713E49"/>
    <w:rsid w:val="00737AD7"/>
    <w:rsid w:val="00737D09"/>
    <w:rsid w:val="00790F9E"/>
    <w:rsid w:val="007969A2"/>
    <w:rsid w:val="007A4286"/>
    <w:rsid w:val="007A5D67"/>
    <w:rsid w:val="007C0DD9"/>
    <w:rsid w:val="007F5125"/>
    <w:rsid w:val="00805AE1"/>
    <w:rsid w:val="008079D1"/>
    <w:rsid w:val="008323AD"/>
    <w:rsid w:val="00841DE8"/>
    <w:rsid w:val="00880BB1"/>
    <w:rsid w:val="00883D98"/>
    <w:rsid w:val="008E782C"/>
    <w:rsid w:val="009011E7"/>
    <w:rsid w:val="00905C0C"/>
    <w:rsid w:val="009235C8"/>
    <w:rsid w:val="00977911"/>
    <w:rsid w:val="00982E1C"/>
    <w:rsid w:val="00A057BD"/>
    <w:rsid w:val="00A2767E"/>
    <w:rsid w:val="00A666F0"/>
    <w:rsid w:val="00A76E35"/>
    <w:rsid w:val="00B00E9F"/>
    <w:rsid w:val="00B014A2"/>
    <w:rsid w:val="00B16743"/>
    <w:rsid w:val="00B30797"/>
    <w:rsid w:val="00B52440"/>
    <w:rsid w:val="00B65FB5"/>
    <w:rsid w:val="00BB0ECE"/>
    <w:rsid w:val="00C06E4F"/>
    <w:rsid w:val="00C3341F"/>
    <w:rsid w:val="00C92968"/>
    <w:rsid w:val="00CB4BCD"/>
    <w:rsid w:val="00CC77B5"/>
    <w:rsid w:val="00D10137"/>
    <w:rsid w:val="00D25164"/>
    <w:rsid w:val="00D354AB"/>
    <w:rsid w:val="00D42BAE"/>
    <w:rsid w:val="00D538B9"/>
    <w:rsid w:val="00D67C33"/>
    <w:rsid w:val="00D90752"/>
    <w:rsid w:val="00DA1EB4"/>
    <w:rsid w:val="00DD46F6"/>
    <w:rsid w:val="00DE76A3"/>
    <w:rsid w:val="00DF0142"/>
    <w:rsid w:val="00DF0645"/>
    <w:rsid w:val="00E46C07"/>
    <w:rsid w:val="00E543E3"/>
    <w:rsid w:val="00E71EED"/>
    <w:rsid w:val="00E7635C"/>
    <w:rsid w:val="00E8298D"/>
    <w:rsid w:val="00E85721"/>
    <w:rsid w:val="00E948C7"/>
    <w:rsid w:val="00EA3892"/>
    <w:rsid w:val="00ED2875"/>
    <w:rsid w:val="00EF30C5"/>
    <w:rsid w:val="00F13D07"/>
    <w:rsid w:val="00F1627F"/>
    <w:rsid w:val="00F55057"/>
    <w:rsid w:val="00F972E8"/>
    <w:rsid w:val="00FC663F"/>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DF877"/>
  <w15:chartTrackingRefBased/>
  <w15:docId w15:val="{E46EA0F5-A1D4-42DE-B107-209FB196C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0FBC"/>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val="en-GB" w:eastAsia="en-GB"/>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aragraffRhestr">
    <w:name w:val="List Paragraph"/>
    <w:basedOn w:val="Normal"/>
    <w:uiPriority w:val="34"/>
    <w:qFormat/>
    <w:rsid w:val="00E948C7"/>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1905</TotalTime>
  <Pages>4</Pages>
  <Words>1118</Words>
  <Characters>6375</Characters>
  <Application>Microsoft Office Word</Application>
  <DocSecurity>0</DocSecurity>
  <Lines>53</Lines>
  <Paragraphs>14</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7479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Williams</dc:creator>
  <cp:keywords/>
  <dc:description/>
  <cp:lastModifiedBy>Sioned Haf Williams (PLANT)</cp:lastModifiedBy>
  <cp:revision>25</cp:revision>
  <dcterms:created xsi:type="dcterms:W3CDTF">2023-01-31T09:20:00Z</dcterms:created>
  <dcterms:modified xsi:type="dcterms:W3CDTF">2023-02-14T15:15:00Z</dcterms:modified>
</cp:coreProperties>
</file>