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52061" w:rsidRDefault="00613A1F" w:rsidP="00613A1F">
      <w:pPr>
        <w:pStyle w:val="Title"/>
        <w:rPr>
          <w:rFonts w:eastAsia="Times New Roman"/>
          <w:lang w:val="en-GB"/>
        </w:rPr>
      </w:pPr>
      <w:r>
        <w:rPr>
          <w:rFonts w:eastAsia="Times New Roman"/>
          <w:lang w:val="en-GB"/>
        </w:rPr>
        <w:t xml:space="preserve"> </w:t>
      </w:r>
      <w:r w:rsidR="00DE770E">
        <w:rPr>
          <w:rFonts w:eastAsia="Times New Roman"/>
          <w:lang w:val="en-GB"/>
        </w:rPr>
        <w:t>LCBB5003 MANAGEMENT</w:t>
      </w:r>
      <w:r w:rsidR="007A1C68">
        <w:rPr>
          <w:rFonts w:eastAsia="Times New Roman"/>
          <w:lang w:val="en-GB"/>
        </w:rPr>
        <w:t xml:space="preserve"> ECONOMICS </w:t>
      </w:r>
    </w:p>
    <w:p w:rsidR="00613A1F" w:rsidRDefault="00613A1F" w:rsidP="00613A1F">
      <w:pPr>
        <w:rPr>
          <w:lang w:val="en-GB"/>
        </w:rPr>
      </w:pPr>
    </w:p>
    <w:p w:rsidR="00613A1F" w:rsidRDefault="00613A1F" w:rsidP="00613A1F">
      <w:pPr>
        <w:rPr>
          <w:lang w:val="en-GB"/>
        </w:rPr>
      </w:pPr>
    </w:p>
    <w:p w:rsidR="00613A1F" w:rsidRDefault="00613A1F" w:rsidP="00613A1F">
      <w:pPr>
        <w:rPr>
          <w:lang w:val="en-GB"/>
        </w:rPr>
      </w:pPr>
    </w:p>
    <w:p w:rsidR="00613A1F" w:rsidRDefault="000D1FD2" w:rsidP="00613A1F">
      <w:pPr>
        <w:rPr>
          <w:lang w:val="en-GB"/>
        </w:rPr>
      </w:pPr>
      <w:r>
        <w:rPr>
          <w:lang w:val="en-GB"/>
        </w:rPr>
        <w:t>STUDENT NAME:</w:t>
      </w:r>
      <w:r w:rsidR="005044BA">
        <w:rPr>
          <w:lang w:val="en-GB"/>
        </w:rPr>
        <w:t xml:space="preserve">        MARIUS NEGOESCU </w:t>
      </w:r>
    </w:p>
    <w:p w:rsidR="00613A1F" w:rsidRDefault="000D1FD2" w:rsidP="00613A1F">
      <w:pPr>
        <w:rPr>
          <w:lang w:val="en-GB"/>
        </w:rPr>
      </w:pPr>
      <w:r>
        <w:rPr>
          <w:lang w:val="en-GB"/>
        </w:rPr>
        <w:t>STUDENT NUMBER:</w:t>
      </w:r>
      <w:r w:rsidR="00B467EF">
        <w:rPr>
          <w:lang w:val="en-GB"/>
        </w:rPr>
        <w:t xml:space="preserve">  191</w:t>
      </w:r>
      <w:r w:rsidR="005044BA">
        <w:rPr>
          <w:lang w:val="en-GB"/>
        </w:rPr>
        <w:t>7715</w:t>
      </w:r>
    </w:p>
    <w:p w:rsidR="00613A1F" w:rsidRDefault="0030430F" w:rsidP="00613A1F">
      <w:pPr>
        <w:rPr>
          <w:lang w:val="en-GB"/>
        </w:rPr>
      </w:pPr>
      <w:r>
        <w:rPr>
          <w:lang w:val="en-GB"/>
        </w:rPr>
        <w:t xml:space="preserve">MODULE NAME:         MANAGEMENT ECONOMICS </w:t>
      </w:r>
    </w:p>
    <w:p w:rsidR="0030430F" w:rsidRDefault="00C00998" w:rsidP="00613A1F">
      <w:pPr>
        <w:rPr>
          <w:lang w:val="en-GB"/>
        </w:rPr>
      </w:pPr>
      <w:r>
        <w:rPr>
          <w:lang w:val="en-GB"/>
        </w:rPr>
        <w:t xml:space="preserve">ASSESSMENT 2:        </w:t>
      </w:r>
      <w:r w:rsidR="0001299E">
        <w:rPr>
          <w:lang w:val="en-GB"/>
        </w:rPr>
        <w:t>FEBRUARY 2022(RESIT)</w:t>
      </w:r>
    </w:p>
    <w:p w:rsidR="001D74D1" w:rsidRDefault="001D74D1" w:rsidP="00613A1F">
      <w:pPr>
        <w:rPr>
          <w:lang w:val="en-GB"/>
        </w:rPr>
      </w:pPr>
      <w:r>
        <w:rPr>
          <w:lang w:val="en-GB"/>
        </w:rPr>
        <w:t xml:space="preserve">LECTURER:                </w:t>
      </w:r>
      <w:r w:rsidR="00756814">
        <w:rPr>
          <w:lang w:val="en-GB"/>
        </w:rPr>
        <w:t xml:space="preserve">Dr.EMAD </w:t>
      </w:r>
      <w:r w:rsidR="00002943">
        <w:rPr>
          <w:lang w:val="en-GB"/>
        </w:rPr>
        <w:t>ELKHASHEN</w:t>
      </w:r>
    </w:p>
    <w:p w:rsidR="00613A1F" w:rsidRDefault="00613A1F" w:rsidP="00613A1F">
      <w:pPr>
        <w:rPr>
          <w:lang w:val="en-GB"/>
        </w:rPr>
      </w:pPr>
      <w:r>
        <w:rPr>
          <w:lang w:val="en-GB"/>
        </w:rPr>
        <w:t xml:space="preserve"> </w:t>
      </w:r>
    </w:p>
    <w:p w:rsidR="00613A1F" w:rsidRDefault="00613A1F" w:rsidP="00613A1F">
      <w:pPr>
        <w:rPr>
          <w:lang w:val="en-GB"/>
        </w:rPr>
      </w:pPr>
    </w:p>
    <w:p w:rsidR="00613A1F" w:rsidRDefault="00613A1F" w:rsidP="00613A1F">
      <w:pPr>
        <w:rPr>
          <w:lang w:val="en-GB"/>
        </w:rPr>
      </w:pPr>
    </w:p>
    <w:p w:rsidR="00613A1F" w:rsidRDefault="00613A1F" w:rsidP="00613A1F">
      <w:pPr>
        <w:rPr>
          <w:lang w:val="en-GB"/>
        </w:rPr>
      </w:pPr>
    </w:p>
    <w:p w:rsidR="00613A1F" w:rsidRDefault="00613A1F" w:rsidP="00613A1F">
      <w:pPr>
        <w:rPr>
          <w:lang w:val="en-GB"/>
        </w:rPr>
      </w:pPr>
    </w:p>
    <w:p w:rsidR="00613A1F" w:rsidRDefault="00613A1F" w:rsidP="00613A1F">
      <w:pPr>
        <w:rPr>
          <w:lang w:val="en-GB"/>
        </w:rPr>
      </w:pPr>
    </w:p>
    <w:p w:rsidR="00613A1F" w:rsidRDefault="00613A1F" w:rsidP="00613A1F">
      <w:pPr>
        <w:rPr>
          <w:lang w:val="en-GB"/>
        </w:rPr>
      </w:pPr>
    </w:p>
    <w:p w:rsidR="00613A1F" w:rsidRDefault="00613A1F" w:rsidP="00613A1F">
      <w:pPr>
        <w:rPr>
          <w:lang w:val="en-GB"/>
        </w:rPr>
      </w:pPr>
    </w:p>
    <w:p w:rsidR="00613A1F" w:rsidRDefault="00613A1F" w:rsidP="00613A1F">
      <w:pPr>
        <w:rPr>
          <w:lang w:val="en-GB"/>
        </w:rPr>
      </w:pPr>
    </w:p>
    <w:p w:rsidR="00613A1F" w:rsidRDefault="00613A1F" w:rsidP="00613A1F">
      <w:pPr>
        <w:rPr>
          <w:lang w:val="en-GB"/>
        </w:rPr>
      </w:pPr>
    </w:p>
    <w:p w:rsidR="00613A1F" w:rsidRDefault="00613A1F" w:rsidP="00613A1F">
      <w:pPr>
        <w:rPr>
          <w:lang w:val="en-GB"/>
        </w:rPr>
      </w:pPr>
    </w:p>
    <w:p w:rsidR="00613A1F" w:rsidRDefault="00613A1F" w:rsidP="00613A1F">
      <w:pPr>
        <w:rPr>
          <w:lang w:val="en-GB"/>
        </w:rPr>
      </w:pPr>
    </w:p>
    <w:p w:rsidR="00613A1F" w:rsidRPr="00613A1F" w:rsidRDefault="00613A1F" w:rsidP="00613A1F">
      <w:pPr>
        <w:rPr>
          <w:lang w:val="en-GB"/>
        </w:rPr>
      </w:pPr>
    </w:p>
    <w:sdt>
      <w:sdtPr>
        <w:rPr>
          <w:rFonts w:ascii="Times New Roman" w:eastAsiaTheme="minorHAnsi" w:hAnsi="Times New Roman" w:cstheme="minorBidi"/>
          <w:b w:val="0"/>
          <w:bCs w:val="0"/>
          <w:color w:val="auto"/>
          <w:sz w:val="24"/>
          <w:szCs w:val="22"/>
          <w:lang w:val="en-GB"/>
        </w:rPr>
        <w:id w:val="18940502"/>
        <w:docPartObj>
          <w:docPartGallery w:val="Table of Contents"/>
          <w:docPartUnique/>
        </w:docPartObj>
      </w:sdtPr>
      <w:sdtEndPr/>
      <w:sdtContent>
        <w:p w:rsidR="00A52061" w:rsidRPr="00F7589E" w:rsidRDefault="00A52061" w:rsidP="00A52061">
          <w:pPr>
            <w:pStyle w:val="TOCHeading"/>
            <w:jc w:val="center"/>
            <w:rPr>
              <w:lang w:val="en-GB"/>
            </w:rPr>
          </w:pPr>
          <w:r w:rsidRPr="00F7589E">
            <w:rPr>
              <w:rFonts w:ascii="Times New Roman" w:hAnsi="Times New Roman" w:cs="Times New Roman"/>
              <w:color w:val="auto"/>
              <w:sz w:val="24"/>
              <w:szCs w:val="24"/>
              <w:lang w:val="en-GB"/>
            </w:rPr>
            <w:t>Table of Contents</w:t>
          </w:r>
        </w:p>
        <w:p w:rsidR="00A52061" w:rsidRPr="00F7589E" w:rsidRDefault="00905359">
          <w:pPr>
            <w:pStyle w:val="TOC1"/>
            <w:tabs>
              <w:tab w:val="right" w:leader="dot" w:pos="9350"/>
            </w:tabs>
            <w:rPr>
              <w:rFonts w:asciiTheme="minorHAnsi" w:eastAsiaTheme="minorEastAsia" w:hAnsiTheme="minorHAnsi"/>
              <w:noProof/>
              <w:sz w:val="22"/>
              <w:lang w:val="en-GB"/>
            </w:rPr>
          </w:pPr>
          <w:r w:rsidRPr="00F7589E">
            <w:rPr>
              <w:lang w:val="en-GB"/>
            </w:rPr>
            <w:fldChar w:fldCharType="begin"/>
          </w:r>
          <w:r w:rsidR="00A52061" w:rsidRPr="00F7589E">
            <w:rPr>
              <w:lang w:val="en-GB"/>
            </w:rPr>
            <w:instrText xml:space="preserve"> TOC \o "1-3" \h \z \u </w:instrText>
          </w:r>
          <w:r w:rsidRPr="00F7589E">
            <w:rPr>
              <w:lang w:val="en-GB"/>
            </w:rPr>
            <w:fldChar w:fldCharType="separate"/>
          </w:r>
          <w:hyperlink w:anchor="_Toc89454670" w:history="1">
            <w:r w:rsidR="00A52061" w:rsidRPr="00F7589E">
              <w:rPr>
                <w:rStyle w:val="Hyperlink"/>
                <w:noProof/>
                <w:lang w:val="en-GB"/>
              </w:rPr>
              <w:t>Introduction</w:t>
            </w:r>
            <w:r w:rsidR="00A52061" w:rsidRPr="00F7589E">
              <w:rPr>
                <w:noProof/>
                <w:webHidden/>
                <w:lang w:val="en-GB"/>
              </w:rPr>
              <w:tab/>
            </w:r>
            <w:r w:rsidRPr="00F7589E">
              <w:rPr>
                <w:noProof/>
                <w:webHidden/>
                <w:lang w:val="en-GB"/>
              </w:rPr>
              <w:fldChar w:fldCharType="begin"/>
            </w:r>
            <w:r w:rsidR="00A52061" w:rsidRPr="00F7589E">
              <w:rPr>
                <w:noProof/>
                <w:webHidden/>
                <w:lang w:val="en-GB"/>
              </w:rPr>
              <w:instrText xml:space="preserve"> PAGEREF _Toc89454670 \h </w:instrText>
            </w:r>
            <w:r w:rsidRPr="00F7589E">
              <w:rPr>
                <w:noProof/>
                <w:webHidden/>
                <w:lang w:val="en-GB"/>
              </w:rPr>
            </w:r>
            <w:r w:rsidRPr="00F7589E">
              <w:rPr>
                <w:noProof/>
                <w:webHidden/>
                <w:lang w:val="en-GB"/>
              </w:rPr>
              <w:fldChar w:fldCharType="separate"/>
            </w:r>
            <w:r w:rsidR="00A52061" w:rsidRPr="00F7589E">
              <w:rPr>
                <w:noProof/>
                <w:webHidden/>
                <w:lang w:val="en-GB"/>
              </w:rPr>
              <w:t>3</w:t>
            </w:r>
            <w:r w:rsidRPr="00F7589E">
              <w:rPr>
                <w:noProof/>
                <w:webHidden/>
                <w:lang w:val="en-GB"/>
              </w:rPr>
              <w:fldChar w:fldCharType="end"/>
            </w:r>
          </w:hyperlink>
        </w:p>
        <w:p w:rsidR="00A52061" w:rsidRPr="00F7589E" w:rsidRDefault="00587EDD">
          <w:pPr>
            <w:pStyle w:val="TOC1"/>
            <w:tabs>
              <w:tab w:val="right" w:leader="dot" w:pos="9350"/>
            </w:tabs>
            <w:rPr>
              <w:rFonts w:asciiTheme="minorHAnsi" w:eastAsiaTheme="minorEastAsia" w:hAnsiTheme="minorHAnsi"/>
              <w:noProof/>
              <w:sz w:val="22"/>
              <w:lang w:val="en-GB"/>
            </w:rPr>
          </w:pPr>
          <w:hyperlink w:anchor="_Toc89454671" w:history="1">
            <w:r w:rsidR="00A52061" w:rsidRPr="00F7589E">
              <w:rPr>
                <w:rStyle w:val="Hyperlink"/>
                <w:noProof/>
                <w:lang w:val="en-GB"/>
              </w:rPr>
              <w:t>Mainbody</w:t>
            </w:r>
            <w:r w:rsidR="00A52061" w:rsidRPr="00F7589E">
              <w:rPr>
                <w:noProof/>
                <w:webHidden/>
                <w:lang w:val="en-GB"/>
              </w:rPr>
              <w:tab/>
            </w:r>
            <w:r w:rsidR="00905359" w:rsidRPr="00F7589E">
              <w:rPr>
                <w:noProof/>
                <w:webHidden/>
                <w:lang w:val="en-GB"/>
              </w:rPr>
              <w:fldChar w:fldCharType="begin"/>
            </w:r>
            <w:r w:rsidR="00A52061" w:rsidRPr="00F7589E">
              <w:rPr>
                <w:noProof/>
                <w:webHidden/>
                <w:lang w:val="en-GB"/>
              </w:rPr>
              <w:instrText xml:space="preserve"> PAGEREF _Toc89454671 \h </w:instrText>
            </w:r>
            <w:r w:rsidR="00905359" w:rsidRPr="00F7589E">
              <w:rPr>
                <w:noProof/>
                <w:webHidden/>
                <w:lang w:val="en-GB"/>
              </w:rPr>
            </w:r>
            <w:r w:rsidR="00905359" w:rsidRPr="00F7589E">
              <w:rPr>
                <w:noProof/>
                <w:webHidden/>
                <w:lang w:val="en-GB"/>
              </w:rPr>
              <w:fldChar w:fldCharType="separate"/>
            </w:r>
            <w:r w:rsidR="00A52061" w:rsidRPr="00F7589E">
              <w:rPr>
                <w:noProof/>
                <w:webHidden/>
                <w:lang w:val="en-GB"/>
              </w:rPr>
              <w:t>4</w:t>
            </w:r>
            <w:r w:rsidR="00905359" w:rsidRPr="00F7589E">
              <w:rPr>
                <w:noProof/>
                <w:webHidden/>
                <w:lang w:val="en-GB"/>
              </w:rPr>
              <w:fldChar w:fldCharType="end"/>
            </w:r>
          </w:hyperlink>
        </w:p>
        <w:p w:rsidR="00A52061" w:rsidRPr="00F7589E" w:rsidRDefault="00587EDD">
          <w:pPr>
            <w:pStyle w:val="TOC1"/>
            <w:tabs>
              <w:tab w:val="right" w:leader="dot" w:pos="9350"/>
            </w:tabs>
            <w:rPr>
              <w:rFonts w:asciiTheme="minorHAnsi" w:eastAsiaTheme="minorEastAsia" w:hAnsiTheme="minorHAnsi"/>
              <w:noProof/>
              <w:sz w:val="22"/>
              <w:lang w:val="en-GB"/>
            </w:rPr>
          </w:pPr>
          <w:hyperlink w:anchor="_Toc89454672" w:history="1">
            <w:r w:rsidR="00A52061" w:rsidRPr="00F7589E">
              <w:rPr>
                <w:rStyle w:val="Hyperlink"/>
                <w:noProof/>
                <w:lang w:val="en-GB"/>
              </w:rPr>
              <w:t>Conclusion</w:t>
            </w:r>
            <w:r w:rsidR="00A52061" w:rsidRPr="00F7589E">
              <w:rPr>
                <w:noProof/>
                <w:webHidden/>
                <w:lang w:val="en-GB"/>
              </w:rPr>
              <w:tab/>
            </w:r>
            <w:r w:rsidR="00905359" w:rsidRPr="00F7589E">
              <w:rPr>
                <w:noProof/>
                <w:webHidden/>
                <w:lang w:val="en-GB"/>
              </w:rPr>
              <w:fldChar w:fldCharType="begin"/>
            </w:r>
            <w:r w:rsidR="00A52061" w:rsidRPr="00F7589E">
              <w:rPr>
                <w:noProof/>
                <w:webHidden/>
                <w:lang w:val="en-GB"/>
              </w:rPr>
              <w:instrText xml:space="preserve"> PAGEREF _Toc89454672 \h </w:instrText>
            </w:r>
            <w:r w:rsidR="00905359" w:rsidRPr="00F7589E">
              <w:rPr>
                <w:noProof/>
                <w:webHidden/>
                <w:lang w:val="en-GB"/>
              </w:rPr>
            </w:r>
            <w:r w:rsidR="00905359" w:rsidRPr="00F7589E">
              <w:rPr>
                <w:noProof/>
                <w:webHidden/>
                <w:lang w:val="en-GB"/>
              </w:rPr>
              <w:fldChar w:fldCharType="separate"/>
            </w:r>
            <w:r w:rsidR="00A52061" w:rsidRPr="00F7589E">
              <w:rPr>
                <w:noProof/>
                <w:webHidden/>
                <w:lang w:val="en-GB"/>
              </w:rPr>
              <w:t>10</w:t>
            </w:r>
            <w:r w:rsidR="00905359" w:rsidRPr="00F7589E">
              <w:rPr>
                <w:noProof/>
                <w:webHidden/>
                <w:lang w:val="en-GB"/>
              </w:rPr>
              <w:fldChar w:fldCharType="end"/>
            </w:r>
          </w:hyperlink>
        </w:p>
        <w:p w:rsidR="00A52061" w:rsidRPr="00F7589E" w:rsidRDefault="00587EDD">
          <w:pPr>
            <w:pStyle w:val="TOC1"/>
            <w:tabs>
              <w:tab w:val="right" w:leader="dot" w:pos="9350"/>
            </w:tabs>
            <w:rPr>
              <w:rFonts w:asciiTheme="minorHAnsi" w:eastAsiaTheme="minorEastAsia" w:hAnsiTheme="minorHAnsi"/>
              <w:noProof/>
              <w:sz w:val="22"/>
              <w:lang w:val="en-GB"/>
            </w:rPr>
          </w:pPr>
          <w:hyperlink w:anchor="_Toc89454673" w:history="1">
            <w:r w:rsidR="00A52061" w:rsidRPr="00F7589E">
              <w:rPr>
                <w:rStyle w:val="Hyperlink"/>
                <w:noProof/>
                <w:lang w:val="en-GB"/>
              </w:rPr>
              <w:t>References</w:t>
            </w:r>
            <w:r w:rsidR="00A52061" w:rsidRPr="00F7589E">
              <w:rPr>
                <w:noProof/>
                <w:webHidden/>
                <w:lang w:val="en-GB"/>
              </w:rPr>
              <w:tab/>
            </w:r>
            <w:r w:rsidR="00905359" w:rsidRPr="00F7589E">
              <w:rPr>
                <w:noProof/>
                <w:webHidden/>
                <w:lang w:val="en-GB"/>
              </w:rPr>
              <w:fldChar w:fldCharType="begin"/>
            </w:r>
            <w:r w:rsidR="00A52061" w:rsidRPr="00F7589E">
              <w:rPr>
                <w:noProof/>
                <w:webHidden/>
                <w:lang w:val="en-GB"/>
              </w:rPr>
              <w:instrText xml:space="preserve"> PAGEREF _Toc89454673 \h </w:instrText>
            </w:r>
            <w:r w:rsidR="00905359" w:rsidRPr="00F7589E">
              <w:rPr>
                <w:noProof/>
                <w:webHidden/>
                <w:lang w:val="en-GB"/>
              </w:rPr>
            </w:r>
            <w:r w:rsidR="00905359" w:rsidRPr="00F7589E">
              <w:rPr>
                <w:noProof/>
                <w:webHidden/>
                <w:lang w:val="en-GB"/>
              </w:rPr>
              <w:fldChar w:fldCharType="separate"/>
            </w:r>
            <w:r w:rsidR="00A52061" w:rsidRPr="00F7589E">
              <w:rPr>
                <w:noProof/>
                <w:webHidden/>
                <w:lang w:val="en-GB"/>
              </w:rPr>
              <w:t>11</w:t>
            </w:r>
            <w:r w:rsidR="00905359" w:rsidRPr="00F7589E">
              <w:rPr>
                <w:noProof/>
                <w:webHidden/>
                <w:lang w:val="en-GB"/>
              </w:rPr>
              <w:fldChar w:fldCharType="end"/>
            </w:r>
          </w:hyperlink>
        </w:p>
        <w:p w:rsidR="00A52061" w:rsidRPr="00F7589E" w:rsidRDefault="00905359">
          <w:pPr>
            <w:rPr>
              <w:lang w:val="en-GB"/>
            </w:rPr>
          </w:pPr>
          <w:r w:rsidRPr="00F7589E">
            <w:rPr>
              <w:lang w:val="en-GB"/>
            </w:rPr>
            <w:fldChar w:fldCharType="end"/>
          </w:r>
        </w:p>
      </w:sdtContent>
    </w:sdt>
    <w:p w:rsidR="00A52061" w:rsidRPr="00F7589E" w:rsidRDefault="00A52061">
      <w:pPr>
        <w:spacing w:line="276" w:lineRule="auto"/>
        <w:jc w:val="left"/>
        <w:rPr>
          <w:rFonts w:eastAsia="Times New Roman" w:cs="Times New Roman"/>
          <w:b/>
          <w:bCs/>
          <w:szCs w:val="24"/>
          <w:shd w:val="clear" w:color="auto" w:fill="FFFFFF"/>
          <w:lang w:val="en-GB"/>
        </w:rPr>
      </w:pPr>
      <w:r w:rsidRPr="00F7589E">
        <w:rPr>
          <w:rFonts w:eastAsia="Times New Roman" w:cs="Times New Roman"/>
          <w:b/>
          <w:bCs/>
          <w:szCs w:val="24"/>
          <w:shd w:val="clear" w:color="auto" w:fill="FFFFFF"/>
          <w:lang w:val="en-GB"/>
        </w:rPr>
        <w:br w:type="page"/>
      </w:r>
    </w:p>
    <w:p w:rsidR="00A52061" w:rsidRPr="00F7589E" w:rsidRDefault="00A52061" w:rsidP="00A52061">
      <w:pPr>
        <w:pStyle w:val="Heading1"/>
        <w:rPr>
          <w:lang w:val="en-GB"/>
        </w:rPr>
      </w:pPr>
      <w:bookmarkStart w:id="0" w:name="_Toc89454670"/>
      <w:r w:rsidRPr="00F7589E">
        <w:rPr>
          <w:lang w:val="en-GB"/>
        </w:rPr>
        <w:lastRenderedPageBreak/>
        <w:t>Introduction</w:t>
      </w:r>
      <w:bookmarkEnd w:id="0"/>
    </w:p>
    <w:p w:rsidR="00A52061" w:rsidRPr="00F7589E" w:rsidRDefault="00A52061" w:rsidP="00A52061">
      <w:pPr>
        <w:spacing w:after="0"/>
        <w:rPr>
          <w:rFonts w:eastAsia="Times New Roman" w:cs="Times New Roman"/>
          <w:szCs w:val="24"/>
          <w:shd w:val="clear" w:color="auto" w:fill="FFFFFF"/>
          <w:lang w:val="en-GB"/>
        </w:rPr>
      </w:pPr>
      <w:r w:rsidRPr="00F7589E">
        <w:rPr>
          <w:rFonts w:eastAsia="Times New Roman" w:cs="Times New Roman"/>
          <w:szCs w:val="24"/>
          <w:shd w:val="clear" w:color="auto" w:fill="FFFFFF"/>
          <w:lang w:val="en-GB"/>
        </w:rPr>
        <w:t>The following essay involves a brief history of Nike Inc, how they operated in the past, and their overall acquisitions and products which made them one of the leading sportswear company. Thereafter market analysis of Nike Inc since they operated has been illustrated below. It can further be found that the firm operates in an oligopoly structure which has kept them competitive in the market throughout their business journey. Further, their revenue and shares have been provided below. Government intervention and its role in keeping society safe have been described below.</w:t>
      </w:r>
    </w:p>
    <w:p w:rsidR="00A52061" w:rsidRPr="00F7589E" w:rsidRDefault="00A52061">
      <w:pPr>
        <w:spacing w:line="276" w:lineRule="auto"/>
        <w:jc w:val="left"/>
        <w:rPr>
          <w:rFonts w:eastAsia="Times New Roman" w:cs="Times New Roman"/>
          <w:szCs w:val="24"/>
          <w:shd w:val="clear" w:color="auto" w:fill="FFFFFF"/>
          <w:lang w:val="en-GB"/>
        </w:rPr>
      </w:pPr>
      <w:r w:rsidRPr="00F7589E">
        <w:rPr>
          <w:rFonts w:eastAsia="Times New Roman" w:cs="Times New Roman"/>
          <w:szCs w:val="24"/>
          <w:shd w:val="clear" w:color="auto" w:fill="FFFFFF"/>
          <w:lang w:val="en-GB"/>
        </w:rPr>
        <w:br w:type="page"/>
      </w:r>
    </w:p>
    <w:p w:rsidR="00A52061" w:rsidRPr="00F7589E" w:rsidRDefault="008B481D" w:rsidP="00A52061">
      <w:pPr>
        <w:pStyle w:val="Heading1"/>
        <w:rPr>
          <w:lang w:val="en-GB"/>
        </w:rPr>
      </w:pPr>
      <w:r w:rsidRPr="00F7589E">
        <w:rPr>
          <w:szCs w:val="24"/>
          <w:lang w:val="en-GB"/>
        </w:rPr>
        <w:lastRenderedPageBreak/>
        <w:t>Main body</w:t>
      </w:r>
    </w:p>
    <w:p w:rsidR="00A52061" w:rsidRPr="00F7589E" w:rsidRDefault="00A52061" w:rsidP="00A52061">
      <w:pPr>
        <w:spacing w:after="0"/>
        <w:rPr>
          <w:rFonts w:eastAsia="Times New Roman" w:cs="Times New Roman"/>
          <w:szCs w:val="24"/>
          <w:lang w:val="en-GB"/>
        </w:rPr>
      </w:pPr>
      <w:r w:rsidRPr="00F7589E">
        <w:rPr>
          <w:rFonts w:eastAsia="Times New Roman" w:cs="Times New Roman"/>
          <w:szCs w:val="24"/>
          <w:shd w:val="clear" w:color="auto" w:fill="FFFFFF"/>
          <w:lang w:val="en-GB"/>
        </w:rPr>
        <w:t>Nike Inc. which was named after the Greek goddess of victory is currently the leading global designer, manufacturer, marketer, and distributor of genuine footwear, equipment, apparel, sportswear for various sports and fitness activities. The firm offers its products in 6 categories as Jordan brand, running, training, football, basketball, and sportswear (Nayak, 2017). Nike Inc. also provides a variety of products designed especially for kids, and for other sporting events and uses like cricket, American football, tennis, lacrosse, golf, volleyball, wrestling, and other outdoor activities. Along with this line of products the company offers protective equipment for sports activities and delivers plastic products to other manufacturers. The company holds license agreements that permit other unaffiliated manufactures to sell their products under trademarks owned by Nike Inc. The company was founded by “Bill Bowerman” in the year 1964 under the name “Blue Ribbon Sports” headquartered in Beaverton, Oregon. Mr. Bowerman opened the firm’s first retail store in 1966 and further launched the shoe with the brand name Nike in 1972 (Merikanto, 2019). Thereafter in 1978, the company was named Nike Inc and was made available to the public in 1980. At the beginning of the 21st century, Nike Inc had its retail outlets, stores, and distributors in more than 165 countries, with a logo “a curved checkmark” called the swoosh which recognized the brand around the globe. However, the company steadily expanded its business from the late 1980s and added numerous products,s and bought companies like “Cole Haan” and “Converse Inc”. Nike ACG was created in 1969 which offered products for extreme level sports like mountain biking and snowboarding.  By the beginning of the 21st century, Nike Inc. started selling technical sports accessories such as wrist compasses for high-altitude and portable heart rate monitors (Yao and Chen, 2019). </w:t>
      </w:r>
    </w:p>
    <w:p w:rsidR="00A52061" w:rsidRPr="00F7589E" w:rsidRDefault="00A52061" w:rsidP="00A52061">
      <w:pPr>
        <w:spacing w:after="0"/>
        <w:rPr>
          <w:rFonts w:eastAsia="Times New Roman" w:cs="Times New Roman"/>
          <w:szCs w:val="24"/>
          <w:lang w:val="en-GB"/>
        </w:rPr>
      </w:pPr>
      <w:r w:rsidRPr="00F7589E">
        <w:rPr>
          <w:rFonts w:eastAsia="Times New Roman" w:cs="Times New Roman"/>
          <w:szCs w:val="24"/>
          <w:shd w:val="clear" w:color="auto" w:fill="FFFFFF"/>
          <w:lang w:val="en-GB"/>
        </w:rPr>
        <w:t xml:space="preserve">Nike started its operations on 25th January 1964 as “Blue Ribbon Sports” and renamed itself on 30th May 1971 as Nike Inc. The company introduced its first shoe in 1972 under Nike Inc (Moeller, 2018). Thereafter it became a great success for the company having great customer feedback and experience. Nike Inc built its impression in the sportswear industry with its authentic finish and long-lasting attributes in its products with the use of quality materials. The firm entered the market with a strategy of offering quality shoes to its consumers. There already remained brands like Adidas and Puma who were </w:t>
      </w:r>
      <w:r w:rsidRPr="00F7589E">
        <w:rPr>
          <w:rFonts w:eastAsia="Times New Roman" w:cs="Times New Roman"/>
          <w:szCs w:val="24"/>
          <w:shd w:val="clear" w:color="auto" w:fill="FFFFFF"/>
          <w:lang w:val="en-GB"/>
        </w:rPr>
        <w:lastRenderedPageBreak/>
        <w:t xml:space="preserve">developing themselves in the sportswear industry. According to the studies it has been found that every business operates under a specific market structure. The different market structure includes oligopoly, monopoly, and duopoly. Nike Inc has been operating in an oligopolistic market since its inception. The market structure where there has been a few competitors who dominate the industry completely. As the fewer number leading firm is present there remains a greater chance for the oligopolistic firm to have a competitive advantage with greater market share. Nike Inc has been operating with an oligopoly structure due to the presence of only a few firms dominating along with them in the sportswear industry like Adidas, Puma, and under armor (Анво and Туль, 2021). Each oligopolistic firm can recognize that taking any new action within their business and marketing will annoy the competitors. However, these actions often hamper the original firm because competitors recognize independence from other firms within the same industry.  The oligopolistic structure has been significant for Nike Inc, to gain strong market power and avoid small enterprises and firms to enter their market. Thereafter oligopoly market structure increases the return to scale. It determines that firms' rate of increase in output is definitely higher than the rate f increase in their inputs. Nike Inc is a larger firm that is benefited through this factor as smaller firms could not take full advantage because of their low productivity. However, product differentiation is not essential for oligopolistic companies, but f a company engages itself in product differentiation it increases its chances of being highly dominant in the industry. Nike Inc believes in product differentiation thus has added benefits to its competitive advantage among other leading firms. For example, Nike offers products in the various sports sectors with different attributes and performance which proves to be advantageous for them. As Nike Inc remains one of the established companies their oligopoly power restricts new firms or competitors to get involved in their market area. The oligopoly structure provides Nike enough power to prevent their competitors from entering their market areas and allows it to collude rather than compete with their competitors. Operating as an oligopolistic company Nike Inc has been able to face low competition due to the presence of only a few firms under their levels (Borts, 2018). Adidas, Puma, and Under Armour though offer similar products at similar ranges. There has been always an upward chance for these firms to receive big profits due to their fame already in the market. Due to the </w:t>
      </w:r>
      <w:r w:rsidRPr="00F7589E">
        <w:rPr>
          <w:rFonts w:eastAsia="Times New Roman" w:cs="Times New Roman"/>
          <w:szCs w:val="24"/>
          <w:shd w:val="clear" w:color="auto" w:fill="FFFFFF"/>
          <w:lang w:val="en-GB"/>
        </w:rPr>
        <w:lastRenderedPageBreak/>
        <w:t>brand image, Nike has created over the years, consumers often get engaged in consuming their products which often has brought satisfaction among them. Along with that being oligopolistic there always remains a high chance of greater customer demands.  The market structure has allowed firms in setting up higher prices as compared to the number of resources they involve while manufacturing their products. Through this profitability of an organization is always guaranteed to be high. Nike operating in an oligopoly structure still motivates them in attracting more customers due to the presence of fewer choices for customers to choose the right brand among a few bigger sportswear brands. At the current point in time, there remains Adidas, Puma, Nike, and Under Armour competing with each other in an oligopoly market structure. Nike Inc holds a market share of above 18% in the sportswear industry. </w:t>
      </w:r>
    </w:p>
    <w:p w:rsidR="00A52061" w:rsidRPr="00F7589E" w:rsidRDefault="00A52061" w:rsidP="00A52061">
      <w:pPr>
        <w:spacing w:after="0"/>
        <w:rPr>
          <w:rFonts w:eastAsia="Times New Roman" w:cs="Times New Roman"/>
          <w:szCs w:val="24"/>
          <w:lang w:val="en-GB"/>
        </w:rPr>
      </w:pPr>
      <w:r w:rsidRPr="00F7589E">
        <w:rPr>
          <w:rFonts w:eastAsia="Times New Roman" w:cs="Times New Roman"/>
          <w:szCs w:val="24"/>
          <w:shd w:val="clear" w:color="auto" w:fill="FFFFFF"/>
          <w:lang w:val="en-GB"/>
        </w:rPr>
        <w:t xml:space="preserve">Through various sources of data, it has been analyzed that Nike Inc mostly operated in an oligopoly market structure to have a competitive advantage and develop their customer base. According to the studies, it has been evidenced that oligopolistic companies of today like Adidas, Puma were monopolies before Nike Inc was introduced (Soule and Hanson, 2021). They were already dealing with sportswear and accessories. Nike Inc introduced itself way back than Adidas or Puma, but manufacturing quality products and goods made them play a competitive role in the market. It attracted customers in engaging with Nike products which prove to satisfy the customer needs. Nike Inc's overall market structure cannot be considered a monopoly market structure. There remains no evidence of having a monopolistic structure within the firm. However, their products and innovative ideas have developed monopolies. For example, The shoes manufactured by Adidas and Nike come with almost every attribute and performance. Thus, the brand which invents the products is always to have a product monopoly. Nike, Puma, Adidas, Reebok sells shoes at a similar price range. They only differ through brand name. Nike in the past has faced monopolistic competition to these factors and when there remain companies selling the same products (PARSONS, 2020). Football shoes, jerseys, apparel are manufactured by Nike. While with different brand names Adidas also manufactures the same products to give Nike a competition. Over the years Nike has been producing and innovating products in various sports segments to make a competitive advantage. Other firms have been giving a tough response by adding their </w:t>
      </w:r>
      <w:r w:rsidRPr="00F7589E">
        <w:rPr>
          <w:rFonts w:eastAsia="Times New Roman" w:cs="Times New Roman"/>
          <w:szCs w:val="24"/>
          <w:shd w:val="clear" w:color="auto" w:fill="FFFFFF"/>
          <w:lang w:val="en-GB"/>
        </w:rPr>
        <w:lastRenderedPageBreak/>
        <w:t>products to their inventory. Through this, there have been options for consumers to try products from the available brands. In context to that Nike or other firms are not able to make a monopoly in their prices.  </w:t>
      </w:r>
    </w:p>
    <w:p w:rsidR="00A52061" w:rsidRPr="00F7589E" w:rsidRDefault="00A52061" w:rsidP="00A52061">
      <w:pPr>
        <w:spacing w:after="0"/>
        <w:rPr>
          <w:rFonts w:eastAsia="Times New Roman" w:cs="Times New Roman"/>
          <w:szCs w:val="24"/>
          <w:lang w:val="en-GB"/>
        </w:rPr>
      </w:pPr>
      <w:r w:rsidRPr="00F7589E">
        <w:rPr>
          <w:rFonts w:eastAsia="Times New Roman" w:cs="Times New Roman"/>
          <w:szCs w:val="24"/>
          <w:shd w:val="clear" w:color="auto" w:fill="FFFFFF"/>
          <w:lang w:val="en-GB"/>
        </w:rPr>
        <w:t>Bigger brands like Nike, Adidas, and Puma have market shares in shoes, apparel, and accessories. They possess a different market share and name in the market, these factors make them monopolistic brands. Monopolistic competition has been present with these few firms over the years. This was due to the invention of new products covering various sports segments. But these firms were strategically strong to provide quick responses to those products. Due to this, there remain various changes in the firm revenues over the years. On competing with Adidas, Puma, Under Armour, and Reebok. Nike's annual revenue in 2019 was $39.116B (Schwabe, 2018). The statistics of 2020 show a decrease in annual revenue by 4.38%. As per the details, Nike's revenue at the end of August 2021 was increased by 15.61% over the past year (Bogre and Wolff, 2020). </w:t>
      </w:r>
    </w:p>
    <w:p w:rsidR="00A52061" w:rsidRPr="00F7589E" w:rsidRDefault="00A52061" w:rsidP="00A52061">
      <w:pPr>
        <w:spacing w:after="0"/>
        <w:rPr>
          <w:rFonts w:eastAsia="Times New Roman" w:cs="Times New Roman"/>
          <w:szCs w:val="24"/>
          <w:lang w:val="en-GB"/>
        </w:rPr>
      </w:pPr>
      <w:r w:rsidRPr="00F7589E">
        <w:rPr>
          <w:rFonts w:eastAsia="Times New Roman" w:cs="Times New Roman"/>
          <w:szCs w:val="24"/>
          <w:shd w:val="clear" w:color="auto" w:fill="FFFFFF"/>
          <w:lang w:val="en-GB"/>
        </w:rPr>
        <w:t xml:space="preserve">Nike Inc has been doing exceptionally from the time of its inception. The management bodies operate with dedicated groups with huge experience and knowledge about the market environment.  The plans and strategies implemented by the management of the firm have added a huge advantage in boosting the organization’s business.  They have been able to explore their markets globally with fair consumer ratings and feedback. Thereafter the products offered by the firm is been able to satisfy the consumer's needs (Kantarelis, 2019). Looking at the development and progress of the firm throughout the years there remains no need for the firm to be operating with a different market structure as of now. Operating as an oligopolistic firm has been a significant factor for Nike in maintaining a competitive advantage in the sportswear industry and competing against other bigger firms. The practice and working with the same market structure over the years have engaged employees and management to work. Sudden changes in market structure will disrupt the overall organizational structure. This can result in maintaining their existing brand image in the industry. A monopoly structure engages in maintaining high prices on products and services than its competitors. It might be hard for the firm in catering to every customer as they cater currently at the moment with a fixed price range. It has been an important factor for Nike to compete with other firms in the market. On </w:t>
      </w:r>
      <w:r w:rsidRPr="00F7589E">
        <w:rPr>
          <w:rFonts w:eastAsia="Times New Roman" w:cs="Times New Roman"/>
          <w:szCs w:val="24"/>
          <w:shd w:val="clear" w:color="auto" w:fill="FFFFFF"/>
          <w:lang w:val="en-GB"/>
        </w:rPr>
        <w:lastRenderedPageBreak/>
        <w:t>changing market structure, it may consume more time for the firm is adapting to the changes and understand the concepts of the new market. At that point in time, it might shift its customer base in engaging with other brands and hamper the overall development of the firm (Head and Spencer, 2017). Although Nike Inc can have monopolistic competition through their products. The precise use of tools, materials, and techniques can bring innovation, and develop different products that satisfy human needs. This may result in attracting new consumers from a competitor's customer base. It will help the firm in accomplishing determined goals and objectives. </w:t>
      </w:r>
    </w:p>
    <w:p w:rsidR="00A52061" w:rsidRPr="00F7589E" w:rsidRDefault="00A52061" w:rsidP="00A52061">
      <w:pPr>
        <w:spacing w:after="0"/>
        <w:rPr>
          <w:rFonts w:eastAsia="Times New Roman" w:cs="Times New Roman"/>
          <w:szCs w:val="24"/>
          <w:lang w:val="en-GB"/>
        </w:rPr>
      </w:pPr>
      <w:r w:rsidRPr="00F7589E">
        <w:rPr>
          <w:rFonts w:eastAsia="Times New Roman" w:cs="Times New Roman"/>
          <w:szCs w:val="24"/>
          <w:shd w:val="clear" w:color="auto" w:fill="FFFFFF"/>
          <w:lang w:val="en-GB"/>
        </w:rPr>
        <w:t>Nike Inc has been doing exceptionally well in promoting its business along with the involvement of sports events and personalities. There remain no such activities within the firm that is disturbing society. Sponsorships are often provided to recognized sportsperson in encouraging them to do even well in the future. Instead, the government should appreciate the initiatives taken by Nike in engaging youths and motivating them to work on fitness to have a healthy life (Karagiannis and King, 2019). In context to that, there should be lesser government intervention towards Nike Inc. Government intervention is considered beneficial for society. The governments intervene in markets to make resources available as per their need in an efficient market. While in the inefficient markets it varies from organization to organization. Some may hold larger amounts of resources, and others may lack the resources needed. Governments often intervene in minimizing the damage and hamper through economic events. Inflation and recession are the natural qualities of the business cycle that could have a devastating effect on society. Government intervention with the help of subsidies and manipulation of the money supply often minimizes the overall impact of economic events on individuals. Free markets are likely to hold poverty and inequality due to meritocracy. Government intervention helps in providing basic security, unemployment benefit to individuals along with benefits for disabled and sick people. This helps people in escaping through the worst poverty and inequality they could have faced. Thereafter people often underestimate their personal benefit and disregard external benefits. It results in the under-provision of education and health care. Intervening in these phases leads to free education and improving the standards of people. Hence well-educated society helps in improving economic growth and labor productivity. </w:t>
      </w:r>
    </w:p>
    <w:p w:rsidR="00A52061" w:rsidRPr="00F7589E" w:rsidRDefault="00A52061" w:rsidP="00A52061">
      <w:pPr>
        <w:spacing w:after="0"/>
        <w:rPr>
          <w:rFonts w:eastAsia="Times New Roman" w:cs="Times New Roman"/>
          <w:szCs w:val="24"/>
          <w:lang w:val="en-GB"/>
        </w:rPr>
      </w:pPr>
      <w:r w:rsidRPr="00F7589E">
        <w:rPr>
          <w:rFonts w:eastAsia="Times New Roman" w:cs="Times New Roman"/>
          <w:szCs w:val="24"/>
          <w:shd w:val="clear" w:color="auto" w:fill="FFFFFF"/>
          <w:lang w:val="en-GB"/>
        </w:rPr>
        <w:lastRenderedPageBreak/>
        <w:t xml:space="preserve">Consumption of alcohol, drugs, tobacco, and so on often leads to conflicts and domestic violence (Yurekli </w:t>
      </w:r>
      <w:r w:rsidRPr="00F7589E">
        <w:rPr>
          <w:rFonts w:eastAsia="Times New Roman" w:cs="Times New Roman"/>
          <w:i/>
          <w:iCs/>
          <w:szCs w:val="24"/>
          <w:shd w:val="clear" w:color="auto" w:fill="FFFFFF"/>
          <w:lang w:val="en-GB"/>
        </w:rPr>
        <w:t>et al</w:t>
      </w:r>
      <w:r w:rsidRPr="00F7589E">
        <w:rPr>
          <w:rFonts w:eastAsia="Times New Roman" w:cs="Times New Roman"/>
          <w:szCs w:val="24"/>
          <w:shd w:val="clear" w:color="auto" w:fill="FFFFFF"/>
          <w:lang w:val="en-GB"/>
        </w:rPr>
        <w:t>,2020). Identification of those damaging products and indulging higher taxes, limited production can change the behavior of consumers. This may reduce conflicts and mishaps. For example: In the UK and the US government intervention through initiatives and programs has reduced the smoking habits of person which has increased life expectancy. </w:t>
      </w:r>
    </w:p>
    <w:p w:rsidR="00A52061" w:rsidRPr="00F7589E" w:rsidRDefault="00A52061">
      <w:pPr>
        <w:spacing w:line="276" w:lineRule="auto"/>
        <w:jc w:val="left"/>
        <w:rPr>
          <w:rFonts w:eastAsia="Times New Roman" w:cstheme="majorBidi"/>
          <w:b/>
          <w:bCs/>
          <w:szCs w:val="28"/>
          <w:shd w:val="clear" w:color="auto" w:fill="FFFFFF"/>
          <w:lang w:val="en-GB"/>
        </w:rPr>
      </w:pPr>
      <w:r w:rsidRPr="00F7589E">
        <w:rPr>
          <w:shd w:val="clear" w:color="auto" w:fill="FFFFFF"/>
          <w:lang w:val="en-GB"/>
        </w:rPr>
        <w:br w:type="page"/>
      </w:r>
    </w:p>
    <w:p w:rsidR="00A52061" w:rsidRPr="00F7589E" w:rsidRDefault="00A52061" w:rsidP="00A52061">
      <w:pPr>
        <w:pStyle w:val="Heading1"/>
        <w:rPr>
          <w:lang w:val="en-GB"/>
        </w:rPr>
      </w:pPr>
      <w:bookmarkStart w:id="1" w:name="_Toc89454672"/>
      <w:r w:rsidRPr="00F7589E">
        <w:rPr>
          <w:lang w:val="en-GB"/>
        </w:rPr>
        <w:lastRenderedPageBreak/>
        <w:t>Conclusion</w:t>
      </w:r>
      <w:bookmarkEnd w:id="1"/>
    </w:p>
    <w:p w:rsidR="00A52061" w:rsidRPr="00F7589E" w:rsidRDefault="00A52061" w:rsidP="00A52061">
      <w:pPr>
        <w:spacing w:after="0"/>
        <w:rPr>
          <w:rFonts w:eastAsia="Times New Roman" w:cs="Times New Roman"/>
          <w:szCs w:val="24"/>
          <w:lang w:val="en-GB"/>
        </w:rPr>
      </w:pPr>
      <w:r w:rsidRPr="00F7589E">
        <w:rPr>
          <w:rFonts w:eastAsia="Times New Roman" w:cs="Times New Roman"/>
          <w:szCs w:val="24"/>
          <w:shd w:val="clear" w:color="auto" w:fill="FFFFFF"/>
          <w:lang w:val="en-GB"/>
        </w:rPr>
        <w:t>To conclude, it can be found that Nike Inc’s an impressive business history over the years. The following essay in brief includes the history of the company and how it started. The acquisition of a few firms in developing a solid business can be found. Thereafter, the overall market history and market structure of Nike Inc and how they performed over the years can be analyzed. Though product-related monopoly competition has been faced by the firm the right market structure has benefited the firm in competing with other firms and preventing new entrants. Finally, government intervention and its benefit to society can be analyzed. </w:t>
      </w:r>
    </w:p>
    <w:p w:rsidR="00A52061" w:rsidRPr="00F7589E" w:rsidRDefault="00A52061" w:rsidP="00A52061">
      <w:pPr>
        <w:spacing w:after="0"/>
        <w:rPr>
          <w:rFonts w:eastAsiaTheme="majorEastAsia" w:cstheme="majorBidi"/>
          <w:b/>
          <w:bCs/>
          <w:szCs w:val="28"/>
          <w:shd w:val="clear" w:color="auto" w:fill="FFFFFF"/>
          <w:lang w:val="en-GB"/>
        </w:rPr>
      </w:pPr>
      <w:r w:rsidRPr="00F7589E">
        <w:rPr>
          <w:shd w:val="clear" w:color="auto" w:fill="FFFFFF"/>
          <w:lang w:val="en-GB"/>
        </w:rPr>
        <w:br w:type="page"/>
      </w:r>
    </w:p>
    <w:p w:rsidR="00A52061" w:rsidRPr="00F7589E" w:rsidRDefault="00A52061" w:rsidP="00A52061">
      <w:pPr>
        <w:pStyle w:val="Heading1"/>
        <w:rPr>
          <w:szCs w:val="24"/>
          <w:lang w:val="en-GB"/>
        </w:rPr>
      </w:pPr>
      <w:bookmarkStart w:id="2" w:name="_Toc89454673"/>
      <w:r w:rsidRPr="00F7589E">
        <w:rPr>
          <w:szCs w:val="24"/>
          <w:lang w:val="en-GB"/>
        </w:rPr>
        <w:lastRenderedPageBreak/>
        <w:t>References</w:t>
      </w:r>
      <w:bookmarkEnd w:id="2"/>
    </w:p>
    <w:p w:rsidR="008B481D" w:rsidRPr="00F7589E" w:rsidRDefault="008B481D" w:rsidP="00A52061">
      <w:pPr>
        <w:spacing w:after="0"/>
        <w:rPr>
          <w:rFonts w:cs="Times New Roman"/>
          <w:szCs w:val="24"/>
          <w:lang w:val="en-GB"/>
        </w:rPr>
      </w:pPr>
      <w:r w:rsidRPr="00F7589E">
        <w:rPr>
          <w:rFonts w:cs="Times New Roman"/>
          <w:szCs w:val="24"/>
          <w:shd w:val="clear" w:color="auto" w:fill="FFFFFF"/>
          <w:lang w:val="en-GB"/>
        </w:rPr>
        <w:t>Bogre, M. and Wolff, N., 2020. Landmark Case: Rentmeester v. Nike, Inc., 883 F. 3d 1111 (9th Cir. 2018). In </w:t>
      </w:r>
      <w:r w:rsidRPr="00F7589E">
        <w:rPr>
          <w:rFonts w:cs="Times New Roman"/>
          <w:iCs/>
          <w:szCs w:val="24"/>
          <w:shd w:val="clear" w:color="auto" w:fill="FFFFFF"/>
          <w:lang w:val="en-GB"/>
        </w:rPr>
        <w:t>The Routledge Companion to Copyright and Creativity in the 21st Century</w:t>
      </w:r>
      <w:r w:rsidRPr="00F7589E">
        <w:rPr>
          <w:rFonts w:cs="Times New Roman"/>
          <w:szCs w:val="24"/>
          <w:shd w:val="clear" w:color="auto" w:fill="FFFFFF"/>
          <w:lang w:val="en-GB"/>
        </w:rPr>
        <w:t> (pp. 111-113). Routledge.</w:t>
      </w:r>
    </w:p>
    <w:p w:rsidR="008B481D" w:rsidRPr="00F7589E" w:rsidRDefault="008B481D" w:rsidP="00A52061">
      <w:pPr>
        <w:spacing w:after="0"/>
        <w:rPr>
          <w:rFonts w:cs="Times New Roman"/>
          <w:szCs w:val="24"/>
          <w:shd w:val="clear" w:color="auto" w:fill="FFFFFF"/>
          <w:lang w:val="en-GB"/>
        </w:rPr>
      </w:pPr>
      <w:r w:rsidRPr="00F7589E">
        <w:rPr>
          <w:rFonts w:cs="Times New Roman"/>
          <w:szCs w:val="24"/>
          <w:shd w:val="clear" w:color="auto" w:fill="FFFFFF"/>
          <w:lang w:val="en-GB"/>
        </w:rPr>
        <w:t>Borts, A.I., 2018. </w:t>
      </w:r>
      <w:r w:rsidRPr="00F7589E">
        <w:rPr>
          <w:rFonts w:cs="Times New Roman"/>
          <w:iCs/>
          <w:szCs w:val="24"/>
          <w:shd w:val="clear" w:color="auto" w:fill="FFFFFF"/>
          <w:lang w:val="en-GB"/>
        </w:rPr>
        <w:t>Nike, inc.-athletic footwear and apparrel</w:t>
      </w:r>
      <w:r w:rsidRPr="00F7589E">
        <w:rPr>
          <w:rFonts w:cs="Times New Roman"/>
          <w:szCs w:val="24"/>
          <w:shd w:val="clear" w:color="auto" w:fill="FFFFFF"/>
          <w:lang w:val="en-GB"/>
        </w:rPr>
        <w:t> (Doctoral dissertation).</w:t>
      </w:r>
    </w:p>
    <w:p w:rsidR="008B481D" w:rsidRPr="00F7589E" w:rsidRDefault="008B481D" w:rsidP="00A52061">
      <w:pPr>
        <w:spacing w:after="0"/>
        <w:rPr>
          <w:rFonts w:cs="Times New Roman"/>
          <w:szCs w:val="24"/>
          <w:shd w:val="clear" w:color="auto" w:fill="FFFFFF"/>
          <w:lang w:val="en-GB"/>
        </w:rPr>
      </w:pPr>
      <w:r w:rsidRPr="00F7589E">
        <w:rPr>
          <w:rFonts w:cs="Times New Roman"/>
          <w:szCs w:val="24"/>
          <w:shd w:val="clear" w:color="auto" w:fill="FFFFFF"/>
          <w:lang w:val="en-GB"/>
        </w:rPr>
        <w:t>Head, K. and Spencer, B.J., 2017. Oligopoly in international trade: Rise, fall and resurgence. </w:t>
      </w:r>
      <w:r w:rsidRPr="00F7589E">
        <w:rPr>
          <w:rFonts w:cs="Times New Roman"/>
          <w:iCs/>
          <w:szCs w:val="24"/>
          <w:shd w:val="clear" w:color="auto" w:fill="FFFFFF"/>
          <w:lang w:val="en-GB"/>
        </w:rPr>
        <w:t>Canadian Journal of Economics/Revue canadienne d'économique</w:t>
      </w:r>
      <w:r w:rsidRPr="00F7589E">
        <w:rPr>
          <w:rFonts w:cs="Times New Roman"/>
          <w:szCs w:val="24"/>
          <w:shd w:val="clear" w:color="auto" w:fill="FFFFFF"/>
          <w:lang w:val="en-GB"/>
        </w:rPr>
        <w:t>, </w:t>
      </w:r>
      <w:r w:rsidRPr="00F7589E">
        <w:rPr>
          <w:rFonts w:cs="Times New Roman"/>
          <w:iCs/>
          <w:szCs w:val="24"/>
          <w:shd w:val="clear" w:color="auto" w:fill="FFFFFF"/>
          <w:lang w:val="en-GB"/>
        </w:rPr>
        <w:t>50</w:t>
      </w:r>
      <w:r w:rsidRPr="00F7589E">
        <w:rPr>
          <w:rFonts w:cs="Times New Roman"/>
          <w:szCs w:val="24"/>
          <w:shd w:val="clear" w:color="auto" w:fill="FFFFFF"/>
          <w:lang w:val="en-GB"/>
        </w:rPr>
        <w:t>(5), pp.1414-1444.</w:t>
      </w:r>
    </w:p>
    <w:p w:rsidR="008B481D" w:rsidRPr="00F7589E" w:rsidRDefault="008B481D" w:rsidP="00A52061">
      <w:pPr>
        <w:spacing w:after="0"/>
        <w:rPr>
          <w:rFonts w:cs="Times New Roman"/>
          <w:szCs w:val="24"/>
          <w:lang w:val="en-GB"/>
        </w:rPr>
      </w:pPr>
      <w:r w:rsidRPr="00F7589E">
        <w:rPr>
          <w:rFonts w:cs="Times New Roman"/>
          <w:szCs w:val="24"/>
          <w:shd w:val="clear" w:color="auto" w:fill="FFFFFF"/>
          <w:lang w:val="en-GB"/>
        </w:rPr>
        <w:t>Kantarelis, D., 2019. Brand Loyalty in a Bertrand-Type Oligopoly Setting. </w:t>
      </w:r>
      <w:r w:rsidRPr="00F7589E">
        <w:rPr>
          <w:rFonts w:cs="Times New Roman"/>
          <w:iCs/>
          <w:szCs w:val="24"/>
          <w:shd w:val="clear" w:color="auto" w:fill="FFFFFF"/>
          <w:lang w:val="en-GB"/>
        </w:rPr>
        <w:t>American Journal of Industrial and Business Management</w:t>
      </w:r>
      <w:r w:rsidRPr="00F7589E">
        <w:rPr>
          <w:rFonts w:cs="Times New Roman"/>
          <w:szCs w:val="24"/>
          <w:shd w:val="clear" w:color="auto" w:fill="FFFFFF"/>
          <w:lang w:val="en-GB"/>
        </w:rPr>
        <w:t>, </w:t>
      </w:r>
      <w:r w:rsidRPr="00F7589E">
        <w:rPr>
          <w:rFonts w:cs="Times New Roman"/>
          <w:iCs/>
          <w:szCs w:val="24"/>
          <w:shd w:val="clear" w:color="auto" w:fill="FFFFFF"/>
          <w:lang w:val="en-GB"/>
        </w:rPr>
        <w:t>9</w:t>
      </w:r>
      <w:r w:rsidRPr="00F7589E">
        <w:rPr>
          <w:rFonts w:cs="Times New Roman"/>
          <w:szCs w:val="24"/>
          <w:shd w:val="clear" w:color="auto" w:fill="FFFFFF"/>
          <w:lang w:val="en-GB"/>
        </w:rPr>
        <w:t>, p.2250.</w:t>
      </w:r>
    </w:p>
    <w:p w:rsidR="008B481D" w:rsidRPr="00F7589E" w:rsidRDefault="008B481D" w:rsidP="00A52061">
      <w:pPr>
        <w:spacing w:after="0"/>
        <w:rPr>
          <w:rFonts w:cs="Times New Roman"/>
          <w:szCs w:val="24"/>
          <w:lang w:val="en-GB"/>
        </w:rPr>
      </w:pPr>
      <w:r w:rsidRPr="00F7589E">
        <w:rPr>
          <w:rFonts w:cs="Times New Roman"/>
          <w:szCs w:val="24"/>
          <w:shd w:val="clear" w:color="auto" w:fill="FFFFFF"/>
          <w:lang w:val="en-GB"/>
        </w:rPr>
        <w:t>Karagiannis, N. and King, J.E. eds., 2019. </w:t>
      </w:r>
      <w:r w:rsidRPr="00F7589E">
        <w:rPr>
          <w:rFonts w:cs="Times New Roman"/>
          <w:iCs/>
          <w:szCs w:val="24"/>
          <w:shd w:val="clear" w:color="auto" w:fill="FFFFFF"/>
          <w:lang w:val="en-GB"/>
        </w:rPr>
        <w:t>A Modern Guide to State Intervention: Economic Policies for Growth and Sustainability</w:t>
      </w:r>
      <w:r w:rsidRPr="00F7589E">
        <w:rPr>
          <w:rFonts w:cs="Times New Roman"/>
          <w:szCs w:val="24"/>
          <w:shd w:val="clear" w:color="auto" w:fill="FFFFFF"/>
          <w:lang w:val="en-GB"/>
        </w:rPr>
        <w:t>. Edward Elgar Publishing.</w:t>
      </w:r>
    </w:p>
    <w:p w:rsidR="008B481D" w:rsidRPr="00F7589E" w:rsidRDefault="008B481D" w:rsidP="00A52061">
      <w:pPr>
        <w:spacing w:after="0"/>
        <w:rPr>
          <w:rFonts w:cs="Times New Roman"/>
          <w:szCs w:val="24"/>
          <w:shd w:val="clear" w:color="auto" w:fill="FFFFFF"/>
          <w:lang w:val="en-GB"/>
        </w:rPr>
      </w:pPr>
      <w:r w:rsidRPr="00F7589E">
        <w:rPr>
          <w:rFonts w:cs="Times New Roman"/>
          <w:szCs w:val="24"/>
          <w:shd w:val="clear" w:color="auto" w:fill="FFFFFF"/>
          <w:lang w:val="en-GB"/>
        </w:rPr>
        <w:t>Merikanto, S., 2019. Controversal Marketing-A successful strategy to grow a brand or risky approach? Case study: Nike Inc.</w:t>
      </w:r>
    </w:p>
    <w:p w:rsidR="008B481D" w:rsidRPr="00F7589E" w:rsidRDefault="008B481D" w:rsidP="00A52061">
      <w:pPr>
        <w:spacing w:after="0"/>
        <w:rPr>
          <w:rFonts w:cs="Times New Roman"/>
          <w:szCs w:val="24"/>
          <w:shd w:val="clear" w:color="auto" w:fill="FFFFFF"/>
          <w:lang w:val="en-GB"/>
        </w:rPr>
      </w:pPr>
      <w:r w:rsidRPr="00F7589E">
        <w:rPr>
          <w:rFonts w:cs="Times New Roman"/>
          <w:szCs w:val="24"/>
          <w:shd w:val="clear" w:color="auto" w:fill="FFFFFF"/>
          <w:lang w:val="en-GB"/>
        </w:rPr>
        <w:t>Moeller, K., 2018. Sources to Timeline of Nike, Inc. and Nike Foundation History and Public Response. In </w:t>
      </w:r>
      <w:r w:rsidRPr="00F7589E">
        <w:rPr>
          <w:rFonts w:cs="Times New Roman"/>
          <w:iCs/>
          <w:szCs w:val="24"/>
          <w:shd w:val="clear" w:color="auto" w:fill="FFFFFF"/>
          <w:lang w:val="en-GB"/>
        </w:rPr>
        <w:t>The Gender Effect</w:t>
      </w:r>
      <w:r w:rsidRPr="00F7589E">
        <w:rPr>
          <w:rFonts w:cs="Times New Roman"/>
          <w:szCs w:val="24"/>
          <w:shd w:val="clear" w:color="auto" w:fill="FFFFFF"/>
          <w:lang w:val="en-GB"/>
        </w:rPr>
        <w:t> (pp. 210-214). University of California Press.</w:t>
      </w:r>
    </w:p>
    <w:p w:rsidR="008B481D" w:rsidRPr="00F7589E" w:rsidRDefault="008B481D" w:rsidP="00A52061">
      <w:pPr>
        <w:spacing w:after="0"/>
        <w:rPr>
          <w:rFonts w:cs="Times New Roman"/>
          <w:szCs w:val="24"/>
          <w:shd w:val="clear" w:color="auto" w:fill="FFFFFF"/>
          <w:lang w:val="en-GB"/>
        </w:rPr>
      </w:pPr>
      <w:r w:rsidRPr="00F7589E">
        <w:rPr>
          <w:rFonts w:cs="Times New Roman"/>
          <w:szCs w:val="24"/>
          <w:shd w:val="clear" w:color="auto" w:fill="FFFFFF"/>
          <w:lang w:val="en-GB"/>
        </w:rPr>
        <w:t>Nayak, T., 2017. " Just Do It"@ Ad Campaign: The Case of Nike Inc. </w:t>
      </w:r>
      <w:r w:rsidRPr="00F7589E">
        <w:rPr>
          <w:rFonts w:cs="Times New Roman"/>
          <w:iCs/>
          <w:szCs w:val="24"/>
          <w:shd w:val="clear" w:color="auto" w:fill="FFFFFF"/>
          <w:lang w:val="en-GB"/>
        </w:rPr>
        <w:t>Globsyn Management Journal</w:t>
      </w:r>
      <w:r w:rsidRPr="00F7589E">
        <w:rPr>
          <w:rFonts w:cs="Times New Roman"/>
          <w:szCs w:val="24"/>
          <w:shd w:val="clear" w:color="auto" w:fill="FFFFFF"/>
          <w:lang w:val="en-GB"/>
        </w:rPr>
        <w:t>, </w:t>
      </w:r>
      <w:r w:rsidRPr="00F7589E">
        <w:rPr>
          <w:rFonts w:cs="Times New Roman"/>
          <w:iCs/>
          <w:szCs w:val="24"/>
          <w:shd w:val="clear" w:color="auto" w:fill="FFFFFF"/>
          <w:lang w:val="en-GB"/>
        </w:rPr>
        <w:t>11</w:t>
      </w:r>
      <w:r w:rsidRPr="00F7589E">
        <w:rPr>
          <w:rFonts w:cs="Times New Roman"/>
          <w:szCs w:val="24"/>
          <w:shd w:val="clear" w:color="auto" w:fill="FFFFFF"/>
          <w:lang w:val="en-GB"/>
        </w:rPr>
        <w:t>.</w:t>
      </w:r>
    </w:p>
    <w:p w:rsidR="008B481D" w:rsidRPr="00F7589E" w:rsidRDefault="008B481D" w:rsidP="00A52061">
      <w:pPr>
        <w:spacing w:after="0"/>
        <w:rPr>
          <w:rFonts w:cs="Times New Roman"/>
          <w:szCs w:val="24"/>
          <w:shd w:val="clear" w:color="auto" w:fill="FFFFFF"/>
          <w:lang w:val="en-GB"/>
        </w:rPr>
      </w:pPr>
      <w:r w:rsidRPr="00F7589E">
        <w:rPr>
          <w:rFonts w:cs="Times New Roman"/>
          <w:szCs w:val="24"/>
          <w:shd w:val="clear" w:color="auto" w:fill="FFFFFF"/>
          <w:lang w:val="en-GB"/>
        </w:rPr>
        <w:t>PARSONS XTREME GOLF, L.L.C.V., 2020, March. COMPANY, INC.: LITIGATION AND ANTITRUST IMPLICATIONS OF PATENT SETTLEMENT. In </w:t>
      </w:r>
      <w:r w:rsidRPr="00F7589E">
        <w:rPr>
          <w:rFonts w:cs="Times New Roman"/>
          <w:iCs/>
          <w:szCs w:val="24"/>
          <w:shd w:val="clear" w:color="auto" w:fill="FFFFFF"/>
          <w:lang w:val="en-GB"/>
        </w:rPr>
        <w:t>Sport and Recreation Law Association Annual Conference</w:t>
      </w:r>
      <w:r w:rsidRPr="00F7589E">
        <w:rPr>
          <w:rFonts w:cs="Times New Roman"/>
          <w:szCs w:val="24"/>
          <w:shd w:val="clear" w:color="auto" w:fill="FFFFFF"/>
          <w:lang w:val="en-GB"/>
        </w:rPr>
        <w:t> (p. 91).</w:t>
      </w:r>
    </w:p>
    <w:p w:rsidR="008B481D" w:rsidRPr="00F7589E" w:rsidRDefault="008B481D" w:rsidP="00A52061">
      <w:pPr>
        <w:spacing w:after="0"/>
        <w:rPr>
          <w:rFonts w:cs="Times New Roman"/>
          <w:szCs w:val="24"/>
          <w:lang w:val="en-GB"/>
        </w:rPr>
      </w:pPr>
      <w:r w:rsidRPr="00F7589E">
        <w:rPr>
          <w:rFonts w:cs="Times New Roman"/>
          <w:szCs w:val="24"/>
          <w:shd w:val="clear" w:color="auto" w:fill="FFFFFF"/>
          <w:lang w:val="en-GB"/>
        </w:rPr>
        <w:t>Schwabe, J., 2018. The Pledge to brand loyalty: A gold medal approach to Rule 40. </w:t>
      </w:r>
      <w:r w:rsidRPr="00F7589E">
        <w:rPr>
          <w:rFonts w:cs="Times New Roman"/>
          <w:iCs/>
          <w:szCs w:val="24"/>
          <w:shd w:val="clear" w:color="auto" w:fill="FFFFFF"/>
          <w:lang w:val="en-GB"/>
        </w:rPr>
        <w:t>Harv. J. Sports &amp; Ent. L.</w:t>
      </w:r>
      <w:r w:rsidRPr="00F7589E">
        <w:rPr>
          <w:rFonts w:cs="Times New Roman"/>
          <w:szCs w:val="24"/>
          <w:shd w:val="clear" w:color="auto" w:fill="FFFFFF"/>
          <w:lang w:val="en-GB"/>
        </w:rPr>
        <w:t>, </w:t>
      </w:r>
      <w:r w:rsidRPr="00F7589E">
        <w:rPr>
          <w:rFonts w:cs="Times New Roman"/>
          <w:iCs/>
          <w:szCs w:val="24"/>
          <w:shd w:val="clear" w:color="auto" w:fill="FFFFFF"/>
          <w:lang w:val="en-GB"/>
        </w:rPr>
        <w:t>9</w:t>
      </w:r>
      <w:r w:rsidRPr="00F7589E">
        <w:rPr>
          <w:rFonts w:cs="Times New Roman"/>
          <w:szCs w:val="24"/>
          <w:shd w:val="clear" w:color="auto" w:fill="FFFFFF"/>
          <w:lang w:val="en-GB"/>
        </w:rPr>
        <w:t>, p.55.</w:t>
      </w:r>
    </w:p>
    <w:p w:rsidR="008B481D" w:rsidRPr="00F7589E" w:rsidRDefault="008B481D" w:rsidP="00A52061">
      <w:pPr>
        <w:spacing w:after="0"/>
        <w:rPr>
          <w:rFonts w:cs="Times New Roman"/>
          <w:szCs w:val="24"/>
          <w:lang w:val="en-GB"/>
        </w:rPr>
      </w:pPr>
      <w:r w:rsidRPr="00F7589E">
        <w:rPr>
          <w:rFonts w:cs="Times New Roman"/>
          <w:szCs w:val="24"/>
          <w:shd w:val="clear" w:color="auto" w:fill="FFFFFF"/>
          <w:lang w:val="en-GB"/>
        </w:rPr>
        <w:t>Soule, C.A.A. and Hanson, S., 2021. Counting Monopoly Money Twice: Resale Discounting in Consumer-to-Consumer Secondhand Exchanges.</w:t>
      </w:r>
    </w:p>
    <w:p w:rsidR="008B481D" w:rsidRPr="00F7589E" w:rsidRDefault="008B481D" w:rsidP="00A52061">
      <w:pPr>
        <w:spacing w:after="0"/>
        <w:rPr>
          <w:rFonts w:cs="Times New Roman"/>
          <w:szCs w:val="24"/>
          <w:shd w:val="clear" w:color="auto" w:fill="FFFFFF"/>
          <w:lang w:val="en-GB"/>
        </w:rPr>
      </w:pPr>
      <w:r w:rsidRPr="00F7589E">
        <w:rPr>
          <w:rFonts w:cs="Times New Roman"/>
          <w:szCs w:val="24"/>
          <w:shd w:val="clear" w:color="auto" w:fill="FFFFFF"/>
          <w:lang w:val="en-GB"/>
        </w:rPr>
        <w:t>Yao, D.W. and Chen, X., 2019. </w:t>
      </w:r>
      <w:r w:rsidRPr="00F7589E">
        <w:rPr>
          <w:rFonts w:cs="Times New Roman"/>
          <w:iCs/>
          <w:szCs w:val="24"/>
          <w:shd w:val="clear" w:color="auto" w:fill="FFFFFF"/>
          <w:lang w:val="en-GB"/>
        </w:rPr>
        <w:t>Nike inc.-footware and apparel</w:t>
      </w:r>
      <w:r w:rsidRPr="00F7589E">
        <w:rPr>
          <w:rFonts w:cs="Times New Roman"/>
          <w:szCs w:val="24"/>
          <w:shd w:val="clear" w:color="auto" w:fill="FFFFFF"/>
          <w:lang w:val="en-GB"/>
        </w:rPr>
        <w:t> (Doctoral dissertation).</w:t>
      </w:r>
    </w:p>
    <w:p w:rsidR="008B481D" w:rsidRPr="00F7589E" w:rsidRDefault="008B481D" w:rsidP="00A52061">
      <w:pPr>
        <w:spacing w:after="0"/>
        <w:rPr>
          <w:rFonts w:cs="Times New Roman"/>
          <w:szCs w:val="24"/>
          <w:lang w:val="en-GB"/>
        </w:rPr>
      </w:pPr>
      <w:r w:rsidRPr="00F7589E">
        <w:rPr>
          <w:rFonts w:cs="Times New Roman"/>
          <w:szCs w:val="24"/>
          <w:shd w:val="clear" w:color="auto" w:fill="FFFFFF"/>
          <w:lang w:val="en-GB"/>
        </w:rPr>
        <w:t>Yurekli, A.A., Kovacevic, P., Sunley, E. and Ranganathan, K., 2020. Government intervention in the market for electronic nicotine delivery systems (ends). The known, the unknown and challenges. </w:t>
      </w:r>
      <w:r w:rsidRPr="00F7589E">
        <w:rPr>
          <w:rFonts w:cs="Times New Roman"/>
          <w:iCs/>
          <w:szCs w:val="24"/>
          <w:shd w:val="clear" w:color="auto" w:fill="FFFFFF"/>
          <w:lang w:val="en-GB"/>
        </w:rPr>
        <w:t>Drugs and Alcohol Today</w:t>
      </w:r>
      <w:r w:rsidRPr="00F7589E">
        <w:rPr>
          <w:rFonts w:cs="Times New Roman"/>
          <w:szCs w:val="24"/>
          <w:shd w:val="clear" w:color="auto" w:fill="FFFFFF"/>
          <w:lang w:val="en-GB"/>
        </w:rPr>
        <w:t>.</w:t>
      </w:r>
    </w:p>
    <w:p w:rsidR="008B481D" w:rsidRPr="00F7589E" w:rsidRDefault="008B481D" w:rsidP="00A52061">
      <w:pPr>
        <w:spacing w:after="0"/>
        <w:rPr>
          <w:rFonts w:cs="Times New Roman"/>
          <w:szCs w:val="24"/>
          <w:shd w:val="clear" w:color="auto" w:fill="FFFFFF"/>
          <w:lang w:val="en-GB"/>
        </w:rPr>
      </w:pPr>
      <w:r w:rsidRPr="00F7589E">
        <w:rPr>
          <w:rFonts w:cs="Times New Roman"/>
          <w:szCs w:val="24"/>
          <w:shd w:val="clear" w:color="auto" w:fill="FFFFFF"/>
          <w:lang w:val="en-GB"/>
        </w:rPr>
        <w:t>Анво, О.О. and Туль, С.І., 2021. The competitive strategy of «Nike, Inc.» in the global sportswear market.</w:t>
      </w:r>
    </w:p>
    <w:sectPr w:rsidR="008B481D" w:rsidRPr="00F7589E" w:rsidSect="0039512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64598" w:rsidRDefault="00C64598" w:rsidP="00A52061">
      <w:pPr>
        <w:spacing w:after="0" w:line="240" w:lineRule="auto"/>
      </w:pPr>
      <w:r>
        <w:separator/>
      </w:r>
    </w:p>
  </w:endnote>
  <w:endnote w:type="continuationSeparator" w:id="0">
    <w:p w:rsidR="00C64598" w:rsidRDefault="00C64598" w:rsidP="00A520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altName w:val="Rockwell"/>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40501"/>
      <w:docPartObj>
        <w:docPartGallery w:val="Page Numbers (Bottom of Page)"/>
        <w:docPartUnique/>
      </w:docPartObj>
    </w:sdtPr>
    <w:sdtEndPr/>
    <w:sdtContent>
      <w:p w:rsidR="00A52061" w:rsidRDefault="00486D4A">
        <w:pPr>
          <w:pStyle w:val="Footer"/>
          <w:jc w:val="right"/>
        </w:pPr>
        <w:r>
          <w:fldChar w:fldCharType="begin"/>
        </w:r>
        <w:r>
          <w:instrText xml:space="preserve"> PAGE   \* MERGEFORMAT </w:instrText>
        </w:r>
        <w:r>
          <w:fldChar w:fldCharType="separate"/>
        </w:r>
        <w:r w:rsidR="00F7589E">
          <w:rPr>
            <w:noProof/>
          </w:rPr>
          <w:t>10</w:t>
        </w:r>
        <w:r>
          <w:rPr>
            <w:noProof/>
          </w:rPr>
          <w:fldChar w:fldCharType="end"/>
        </w:r>
      </w:p>
    </w:sdtContent>
  </w:sdt>
  <w:p w:rsidR="00A52061" w:rsidRDefault="00A520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64598" w:rsidRDefault="00C64598" w:rsidP="00A52061">
      <w:pPr>
        <w:spacing w:after="0" w:line="240" w:lineRule="auto"/>
      </w:pPr>
      <w:r>
        <w:separator/>
      </w:r>
    </w:p>
  </w:footnote>
  <w:footnote w:type="continuationSeparator" w:id="0">
    <w:p w:rsidR="00C64598" w:rsidRDefault="00C64598" w:rsidP="00A520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3616B5"/>
    <w:multiLevelType w:val="hybridMultilevel"/>
    <w:tmpl w:val="AF8E75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1214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EDF"/>
    <w:rsid w:val="00002943"/>
    <w:rsid w:val="0001299E"/>
    <w:rsid w:val="000D1FD2"/>
    <w:rsid w:val="000F7C18"/>
    <w:rsid w:val="001D74D1"/>
    <w:rsid w:val="00287F79"/>
    <w:rsid w:val="0030430F"/>
    <w:rsid w:val="00395129"/>
    <w:rsid w:val="00486D4A"/>
    <w:rsid w:val="005044BA"/>
    <w:rsid w:val="005F7C5D"/>
    <w:rsid w:val="00613A1F"/>
    <w:rsid w:val="00756814"/>
    <w:rsid w:val="007A1C68"/>
    <w:rsid w:val="007B16D7"/>
    <w:rsid w:val="007D0EDF"/>
    <w:rsid w:val="008B481D"/>
    <w:rsid w:val="00905359"/>
    <w:rsid w:val="00986493"/>
    <w:rsid w:val="00A52061"/>
    <w:rsid w:val="00AE376E"/>
    <w:rsid w:val="00B467EF"/>
    <w:rsid w:val="00C00998"/>
    <w:rsid w:val="00C0474C"/>
    <w:rsid w:val="00C64598"/>
    <w:rsid w:val="00DE770E"/>
    <w:rsid w:val="00F33112"/>
    <w:rsid w:val="00F7589E"/>
    <w:rsid w:val="00FC61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63103"/>
  <w15:docId w15:val="{67A41667-45EF-CF4C-964E-77E808114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76E"/>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52061"/>
    <w:pPr>
      <w:keepNext/>
      <w:keepLines/>
      <w:spacing w:after="0"/>
      <w:outlineLvl w:val="0"/>
    </w:pPr>
    <w:rPr>
      <w:rFonts w:eastAsia="Times New Roman" w:cstheme="majorBidi"/>
      <w:b/>
      <w:bCs/>
      <w:szCs w:val="28"/>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061"/>
    <w:rPr>
      <w:rFonts w:ascii="Times New Roman" w:eastAsia="Times New Roman" w:hAnsi="Times New Roman" w:cstheme="majorBidi"/>
      <w:b/>
      <w:bCs/>
      <w:sz w:val="24"/>
      <w:szCs w:val="28"/>
    </w:rPr>
  </w:style>
  <w:style w:type="paragraph" w:styleId="Title">
    <w:name w:val="Title"/>
    <w:basedOn w:val="Normal"/>
    <w:next w:val="Normal"/>
    <w:link w:val="TitleChar"/>
    <w:autoRedefine/>
    <w:uiPriority w:val="10"/>
    <w:qFormat/>
    <w:rsid w:val="00FC619E"/>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FC619E"/>
    <w:rPr>
      <w:rFonts w:ascii="Arial" w:eastAsiaTheme="majorEastAsia" w:hAnsi="Arial" w:cstheme="majorBidi"/>
      <w:b/>
      <w:spacing w:val="5"/>
      <w:kern w:val="28"/>
      <w:sz w:val="32"/>
      <w:szCs w:val="52"/>
    </w:rPr>
  </w:style>
  <w:style w:type="paragraph" w:styleId="ListParagraph">
    <w:name w:val="List Paragraph"/>
    <w:basedOn w:val="Normal"/>
    <w:uiPriority w:val="34"/>
    <w:qFormat/>
    <w:rsid w:val="007D0EDF"/>
    <w:pPr>
      <w:ind w:left="720"/>
      <w:contextualSpacing/>
    </w:pPr>
  </w:style>
  <w:style w:type="paragraph" w:styleId="NormalWeb">
    <w:name w:val="Normal (Web)"/>
    <w:basedOn w:val="Normal"/>
    <w:uiPriority w:val="99"/>
    <w:semiHidden/>
    <w:unhideWhenUsed/>
    <w:rsid w:val="00A52061"/>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semiHidden/>
    <w:unhideWhenUsed/>
    <w:rsid w:val="00A5206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52061"/>
    <w:rPr>
      <w:rFonts w:ascii="Times New Roman" w:hAnsi="Times New Roman"/>
      <w:sz w:val="24"/>
    </w:rPr>
  </w:style>
  <w:style w:type="paragraph" w:styleId="Footer">
    <w:name w:val="footer"/>
    <w:basedOn w:val="Normal"/>
    <w:link w:val="FooterChar"/>
    <w:uiPriority w:val="99"/>
    <w:unhideWhenUsed/>
    <w:rsid w:val="00A520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2061"/>
    <w:rPr>
      <w:rFonts w:ascii="Times New Roman" w:hAnsi="Times New Roman"/>
      <w:sz w:val="24"/>
    </w:rPr>
  </w:style>
  <w:style w:type="paragraph" w:styleId="TOCHeading">
    <w:name w:val="TOC Heading"/>
    <w:basedOn w:val="Heading1"/>
    <w:next w:val="Normal"/>
    <w:uiPriority w:val="39"/>
    <w:semiHidden/>
    <w:unhideWhenUsed/>
    <w:qFormat/>
    <w:rsid w:val="00A52061"/>
    <w:pPr>
      <w:spacing w:before="480" w:line="276" w:lineRule="auto"/>
      <w:jc w:val="left"/>
      <w:outlineLvl w:val="9"/>
    </w:pPr>
    <w:rPr>
      <w:rFonts w:asciiTheme="majorHAnsi" w:eastAsiaTheme="majorEastAsia" w:hAnsiTheme="majorHAnsi"/>
      <w:color w:val="365F91" w:themeColor="accent1" w:themeShade="BF"/>
      <w:sz w:val="28"/>
      <w:shd w:val="clear" w:color="auto" w:fill="auto"/>
    </w:rPr>
  </w:style>
  <w:style w:type="paragraph" w:styleId="TOC1">
    <w:name w:val="toc 1"/>
    <w:basedOn w:val="Normal"/>
    <w:next w:val="Normal"/>
    <w:autoRedefine/>
    <w:uiPriority w:val="39"/>
    <w:unhideWhenUsed/>
    <w:rsid w:val="00A52061"/>
    <w:pPr>
      <w:spacing w:after="100"/>
    </w:pPr>
  </w:style>
  <w:style w:type="character" w:styleId="Hyperlink">
    <w:name w:val="Hyperlink"/>
    <w:basedOn w:val="DefaultParagraphFont"/>
    <w:uiPriority w:val="99"/>
    <w:unhideWhenUsed/>
    <w:rsid w:val="00A52061"/>
    <w:rPr>
      <w:color w:val="0000FF" w:themeColor="hyperlink"/>
      <w:u w:val="single"/>
    </w:rPr>
  </w:style>
  <w:style w:type="paragraph" w:styleId="BalloonText">
    <w:name w:val="Balloon Text"/>
    <w:basedOn w:val="Normal"/>
    <w:link w:val="BalloonTextChar"/>
    <w:uiPriority w:val="99"/>
    <w:semiHidden/>
    <w:unhideWhenUsed/>
    <w:rsid w:val="00A520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206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0741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D286FE-6CCA-4B25-89FC-9A88404CC4A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2579</Words>
  <Characters>14702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subho</dc:creator>
  <cp:lastModifiedBy>Marius Negoescu (1917715)</cp:lastModifiedBy>
  <cp:revision>2</cp:revision>
  <dcterms:created xsi:type="dcterms:W3CDTF">2022-04-17T21:08:00Z</dcterms:created>
  <dcterms:modified xsi:type="dcterms:W3CDTF">2022-04-17T21:08:00Z</dcterms:modified>
</cp:coreProperties>
</file>