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A6BBFB" w14:textId="77777777" w:rsidR="00D53E56" w:rsidRDefault="00D53E56" w:rsidP="00F05BB1">
      <w:pPr>
        <w:rPr>
          <w:rFonts w:asciiTheme="minorBidi" w:hAnsiTheme="minorBidi"/>
          <w:b/>
          <w:bCs/>
          <w:sz w:val="36"/>
          <w:szCs w:val="36"/>
        </w:rPr>
      </w:pPr>
    </w:p>
    <w:p w14:paraId="7EC1CBEC" w14:textId="2986547E" w:rsidR="00D53E56" w:rsidRPr="00ED652C" w:rsidRDefault="00D53E56" w:rsidP="00D53E56">
      <w:pPr>
        <w:jc w:val="center"/>
        <w:rPr>
          <w:rFonts w:asciiTheme="minorBidi" w:hAnsiTheme="minorBidi"/>
          <w:b/>
          <w:bCs/>
          <w:sz w:val="36"/>
          <w:szCs w:val="36"/>
        </w:rPr>
      </w:pPr>
      <w:r w:rsidRPr="00ED652C">
        <w:rPr>
          <w:rFonts w:asciiTheme="minorBidi" w:hAnsiTheme="minorBidi"/>
          <w:b/>
          <w:bCs/>
          <w:sz w:val="36"/>
          <w:szCs w:val="36"/>
        </w:rPr>
        <w:t>Module Code: LCHS7002</w:t>
      </w:r>
    </w:p>
    <w:p w14:paraId="6BB912BE" w14:textId="77777777" w:rsidR="00D53E56" w:rsidRPr="00ED652C" w:rsidRDefault="00D53E56" w:rsidP="00D53E56">
      <w:pPr>
        <w:jc w:val="center"/>
        <w:rPr>
          <w:rFonts w:asciiTheme="minorBidi" w:hAnsiTheme="minorBidi"/>
          <w:b/>
          <w:bCs/>
          <w:sz w:val="36"/>
          <w:szCs w:val="36"/>
        </w:rPr>
      </w:pPr>
      <w:r w:rsidRPr="00ED652C">
        <w:rPr>
          <w:rFonts w:asciiTheme="minorBidi" w:hAnsiTheme="minorBidi"/>
          <w:b/>
          <w:bCs/>
          <w:sz w:val="36"/>
          <w:szCs w:val="36"/>
        </w:rPr>
        <w:t>Module Title: Health Care System, Organisation and Leadership</w:t>
      </w:r>
    </w:p>
    <w:p w14:paraId="36110686" w14:textId="77777777" w:rsidR="00D53E56" w:rsidRPr="00ED652C" w:rsidRDefault="00D53E56" w:rsidP="00D53E56">
      <w:pPr>
        <w:jc w:val="center"/>
        <w:rPr>
          <w:rFonts w:asciiTheme="minorBidi" w:hAnsiTheme="minorBidi"/>
          <w:b/>
          <w:bCs/>
          <w:sz w:val="36"/>
          <w:szCs w:val="36"/>
        </w:rPr>
      </w:pPr>
      <w:r w:rsidRPr="00ED652C">
        <w:rPr>
          <w:rFonts w:asciiTheme="minorBidi" w:hAnsiTheme="minorBidi"/>
          <w:b/>
          <w:bCs/>
          <w:sz w:val="36"/>
          <w:szCs w:val="36"/>
        </w:rPr>
        <w:t>Case Study Analysis Report: Comparative report on COVID19 leadership responses</w:t>
      </w:r>
    </w:p>
    <w:p w14:paraId="46341420" w14:textId="77777777" w:rsidR="00D53E56" w:rsidRPr="00ED652C" w:rsidRDefault="00D53E56" w:rsidP="00D53E56">
      <w:pPr>
        <w:jc w:val="center"/>
        <w:rPr>
          <w:rFonts w:asciiTheme="minorBidi" w:hAnsiTheme="minorBidi"/>
          <w:b/>
          <w:bCs/>
          <w:sz w:val="36"/>
          <w:szCs w:val="36"/>
        </w:rPr>
      </w:pPr>
    </w:p>
    <w:p w14:paraId="56F4FA79" w14:textId="1F0C2B6E" w:rsidR="00D53E56" w:rsidRPr="00D53E56" w:rsidRDefault="00D53E56" w:rsidP="00D53E56">
      <w:pPr>
        <w:jc w:val="center"/>
        <w:rPr>
          <w:rFonts w:asciiTheme="minorBidi" w:hAnsiTheme="minorBidi"/>
          <w:sz w:val="20"/>
          <w:szCs w:val="20"/>
        </w:rPr>
      </w:pPr>
      <w:r w:rsidRPr="00D53E56">
        <w:rPr>
          <w:rFonts w:asciiTheme="minorBidi" w:hAnsiTheme="minorBidi"/>
          <w:b/>
          <w:bCs/>
          <w:sz w:val="28"/>
          <w:szCs w:val="28"/>
        </w:rPr>
        <w:t xml:space="preserve">Title: </w:t>
      </w:r>
      <w:r w:rsidRPr="00D53E56">
        <w:rPr>
          <w:rFonts w:asciiTheme="minorBidi" w:hAnsiTheme="minorBidi"/>
          <w:sz w:val="28"/>
          <w:szCs w:val="28"/>
        </w:rPr>
        <w:t>“A Comparative Analysis of Health System Organisation and Leadership Responses to COVID-19 in Spain, South Korea, and Canada”</w:t>
      </w:r>
    </w:p>
    <w:p w14:paraId="0F39CE8C" w14:textId="77777777" w:rsidR="00D53E56" w:rsidRDefault="00D53E56" w:rsidP="00D53E56">
      <w:pPr>
        <w:jc w:val="center"/>
        <w:rPr>
          <w:rFonts w:asciiTheme="minorBidi" w:hAnsiTheme="minorBidi"/>
          <w:sz w:val="22"/>
        </w:rPr>
      </w:pPr>
    </w:p>
    <w:p w14:paraId="37B59B7D" w14:textId="77777777" w:rsidR="00D53E56" w:rsidRDefault="00D53E56" w:rsidP="00D53E56">
      <w:pPr>
        <w:jc w:val="center"/>
        <w:rPr>
          <w:rFonts w:asciiTheme="minorBidi" w:hAnsiTheme="minorBidi"/>
          <w:sz w:val="22"/>
        </w:rPr>
      </w:pPr>
    </w:p>
    <w:p w14:paraId="4D1AE0F4" w14:textId="77777777" w:rsidR="00D53E56" w:rsidRDefault="00D53E56" w:rsidP="00D53E56">
      <w:pPr>
        <w:jc w:val="center"/>
        <w:rPr>
          <w:rFonts w:asciiTheme="minorBidi" w:hAnsiTheme="minorBidi"/>
          <w:sz w:val="22"/>
        </w:rPr>
      </w:pPr>
    </w:p>
    <w:p w14:paraId="1B34C29D" w14:textId="77777777" w:rsidR="00D53E56" w:rsidRDefault="00D53E56" w:rsidP="00D53E56">
      <w:pPr>
        <w:jc w:val="center"/>
        <w:rPr>
          <w:rFonts w:asciiTheme="minorBidi" w:hAnsiTheme="minorBidi"/>
          <w:sz w:val="22"/>
        </w:rPr>
      </w:pPr>
    </w:p>
    <w:p w14:paraId="521ACFEF" w14:textId="79153844" w:rsidR="00D53E56" w:rsidRPr="00ED652C" w:rsidRDefault="00D53E56" w:rsidP="00D53E56">
      <w:pPr>
        <w:jc w:val="left"/>
        <w:rPr>
          <w:rFonts w:asciiTheme="minorBidi" w:hAnsiTheme="minorBidi"/>
          <w:i/>
          <w:iCs/>
          <w:sz w:val="22"/>
        </w:rPr>
      </w:pPr>
      <w:r w:rsidRPr="00ED652C">
        <w:rPr>
          <w:rFonts w:asciiTheme="minorBidi" w:hAnsiTheme="minorBidi"/>
          <w:i/>
          <w:iCs/>
          <w:sz w:val="22"/>
        </w:rPr>
        <w:t>Student Name:</w:t>
      </w:r>
      <w:r w:rsidR="00F05BB1">
        <w:rPr>
          <w:rFonts w:asciiTheme="minorBidi" w:hAnsiTheme="minorBidi"/>
          <w:i/>
          <w:iCs/>
          <w:sz w:val="22"/>
        </w:rPr>
        <w:t xml:space="preserve"> </w:t>
      </w:r>
      <w:r w:rsidR="00F05BB1" w:rsidRPr="00F05BB1">
        <w:rPr>
          <w:rFonts w:asciiTheme="minorBidi" w:hAnsiTheme="minorBidi"/>
          <w:i/>
          <w:iCs/>
          <w:sz w:val="22"/>
        </w:rPr>
        <w:t>Md Jewel Ahmad</w:t>
      </w:r>
    </w:p>
    <w:p w14:paraId="69A7E7ED" w14:textId="4FB784E4" w:rsidR="00D53E56" w:rsidRDefault="00D53E56" w:rsidP="00D53E56">
      <w:pPr>
        <w:jc w:val="left"/>
        <w:rPr>
          <w:rFonts w:asciiTheme="minorBidi" w:hAnsiTheme="minorBidi"/>
          <w:i/>
          <w:iCs/>
          <w:sz w:val="22"/>
        </w:rPr>
      </w:pPr>
      <w:r w:rsidRPr="00ED652C">
        <w:rPr>
          <w:rFonts w:asciiTheme="minorBidi" w:hAnsiTheme="minorBidi"/>
          <w:i/>
          <w:iCs/>
          <w:sz w:val="22"/>
        </w:rPr>
        <w:t>Student ID:</w:t>
      </w:r>
      <w:r w:rsidR="00F05BB1" w:rsidRPr="00F05BB1">
        <w:t xml:space="preserve"> </w:t>
      </w:r>
      <w:r w:rsidR="00F05BB1" w:rsidRPr="00F05BB1">
        <w:rPr>
          <w:rFonts w:asciiTheme="minorBidi" w:hAnsiTheme="minorBidi"/>
          <w:i/>
          <w:iCs/>
          <w:sz w:val="22"/>
        </w:rPr>
        <w:t>2504951</w:t>
      </w:r>
    </w:p>
    <w:p w14:paraId="5478B6D4" w14:textId="16F022C1" w:rsidR="00F05BB1" w:rsidRDefault="00F05BB1" w:rsidP="00D53E56">
      <w:pPr>
        <w:jc w:val="left"/>
        <w:rPr>
          <w:rFonts w:asciiTheme="minorBidi" w:hAnsiTheme="minorBidi"/>
          <w:i/>
          <w:iCs/>
          <w:sz w:val="22"/>
        </w:rPr>
      </w:pPr>
      <w:r>
        <w:rPr>
          <w:rFonts w:asciiTheme="minorBidi" w:hAnsiTheme="minorBidi"/>
          <w:i/>
          <w:iCs/>
          <w:sz w:val="22"/>
        </w:rPr>
        <w:t xml:space="preserve">Lecturer: </w:t>
      </w:r>
      <w:r w:rsidRPr="00F05BB1">
        <w:rPr>
          <w:rFonts w:asciiTheme="minorBidi" w:hAnsiTheme="minorBidi"/>
          <w:i/>
          <w:iCs/>
          <w:sz w:val="22"/>
        </w:rPr>
        <w:t xml:space="preserve">Shepherd </w:t>
      </w:r>
      <w:r>
        <w:rPr>
          <w:rFonts w:asciiTheme="minorBidi" w:hAnsiTheme="minorBidi"/>
          <w:i/>
          <w:iCs/>
          <w:sz w:val="22"/>
        </w:rPr>
        <w:t>Z</w:t>
      </w:r>
      <w:r w:rsidRPr="00F05BB1">
        <w:rPr>
          <w:rFonts w:asciiTheme="minorBidi" w:hAnsiTheme="minorBidi"/>
          <w:i/>
          <w:iCs/>
          <w:sz w:val="22"/>
        </w:rPr>
        <w:t>iko</w:t>
      </w:r>
    </w:p>
    <w:p w14:paraId="52874AC7" w14:textId="77777777" w:rsidR="00CD412A" w:rsidRPr="00D53E56" w:rsidRDefault="00CD412A" w:rsidP="00CD412A">
      <w:pPr>
        <w:rPr>
          <w:rFonts w:asciiTheme="minorBidi" w:hAnsiTheme="minorBidi"/>
          <w:b/>
          <w:bCs/>
          <w:sz w:val="22"/>
        </w:rPr>
      </w:pPr>
    </w:p>
    <w:p w14:paraId="339678C8" w14:textId="77777777" w:rsidR="00CD412A" w:rsidRPr="00D53E56" w:rsidRDefault="00CD412A">
      <w:pPr>
        <w:spacing w:line="259" w:lineRule="auto"/>
        <w:jc w:val="left"/>
        <w:rPr>
          <w:rFonts w:asciiTheme="minorBidi" w:hAnsiTheme="minorBidi"/>
          <w:b/>
          <w:bCs/>
          <w:sz w:val="22"/>
        </w:rPr>
      </w:pPr>
      <w:r w:rsidRPr="00D53E56">
        <w:rPr>
          <w:rFonts w:asciiTheme="minorBidi" w:hAnsiTheme="minorBidi"/>
          <w:b/>
          <w:bCs/>
          <w:sz w:val="22"/>
        </w:rPr>
        <w:br w:type="page"/>
      </w:r>
    </w:p>
    <w:p w14:paraId="23703300" w14:textId="2B4C9254" w:rsidR="00CD412A" w:rsidRPr="00D53E56" w:rsidRDefault="00CD412A" w:rsidP="00F46DD0">
      <w:pPr>
        <w:pStyle w:val="Heading1"/>
        <w:rPr>
          <w:rFonts w:asciiTheme="minorBidi" w:hAnsiTheme="minorBidi" w:cstheme="minorBidi"/>
        </w:rPr>
      </w:pPr>
      <w:bookmarkStart w:id="0" w:name="_Toc216711806"/>
      <w:r w:rsidRPr="00D53E56">
        <w:rPr>
          <w:rFonts w:asciiTheme="minorBidi" w:hAnsiTheme="minorBidi" w:cstheme="minorBidi"/>
        </w:rPr>
        <w:lastRenderedPageBreak/>
        <w:t>Executive Summary</w:t>
      </w:r>
      <w:bookmarkEnd w:id="0"/>
      <w:r w:rsidRPr="00D53E56">
        <w:rPr>
          <w:rFonts w:asciiTheme="minorBidi" w:hAnsiTheme="minorBidi" w:cstheme="minorBidi"/>
        </w:rPr>
        <w:t xml:space="preserve"> </w:t>
      </w:r>
    </w:p>
    <w:p w14:paraId="04B1BF3A" w14:textId="529A8A74" w:rsidR="00CD412A" w:rsidRPr="00D53E56" w:rsidRDefault="00CD412A" w:rsidP="00CD412A">
      <w:pPr>
        <w:rPr>
          <w:rFonts w:asciiTheme="minorBidi" w:hAnsiTheme="minorBidi"/>
          <w:sz w:val="22"/>
        </w:rPr>
      </w:pPr>
      <w:r w:rsidRPr="00D53E56">
        <w:rPr>
          <w:rFonts w:asciiTheme="minorBidi" w:hAnsiTheme="minorBidi"/>
          <w:sz w:val="22"/>
        </w:rPr>
        <w:t xml:space="preserve">This report presents a critical analysis of how the differences in the organisation and leadership styles of health systems have contributed to COVID-19 pandemic response in Spain, South Korea, and Canada. The study analyses the impacts of centralised and decentralised governance on the policy coordination, responsiveness in times of crisis, health outcomes, and vaccination performance using a </w:t>
      </w:r>
      <w:r w:rsidR="00F05BB1" w:rsidRPr="00D53E56">
        <w:rPr>
          <w:rFonts w:asciiTheme="minorBidi" w:hAnsiTheme="minorBidi"/>
          <w:sz w:val="22"/>
        </w:rPr>
        <w:t>system</w:t>
      </w:r>
      <w:r w:rsidRPr="00D53E56">
        <w:rPr>
          <w:rFonts w:asciiTheme="minorBidi" w:hAnsiTheme="minorBidi"/>
          <w:sz w:val="22"/>
        </w:rPr>
        <w:t xml:space="preserve"> thinking approach. The system of health in Spain was extremely decentralised, which restricted coherent national management of the crisis initially and high mortality rates among the first patients, but better intergovernmental relations made it possible to conduct one of the most successful vaccination campaigns in Europe. The highly centralised form of governance in South Korea backed by transformational, crisis, and distributed leadership made the rapid testing, digital surveillance and coordinated risk communication achievable in the country providing a good early containment and long-term adherence of the population. The federally and provincially decentralised political system in Canada was based on democratic and collaborative leadership, which facilitated national cohesiveness and received high vaccination rates but failed to contain the virus early because of the intergovernmental bargaining and the limitation of the supply chain. Comparative analysis shows that full centralisation and extreme decentralisation is not the way to have pandemic effectiveness. Instead, it was adaptive hybrid governance, as well as agile, transparent and collaborative leadership, that was the most resilient. The results provide important lessons to enhance the future preparedness to pandemics with the integrated governance, capacity of rapid crisis leadership, and evidence-based communication to the population.</w:t>
      </w:r>
    </w:p>
    <w:p w14:paraId="3201C2C0" w14:textId="77777777" w:rsidR="00CD412A" w:rsidRPr="00D53E56" w:rsidRDefault="00CD412A" w:rsidP="00CD412A">
      <w:pPr>
        <w:rPr>
          <w:rFonts w:asciiTheme="minorBidi" w:hAnsiTheme="minorBidi"/>
          <w:sz w:val="22"/>
        </w:rPr>
      </w:pPr>
    </w:p>
    <w:p w14:paraId="08991FD0" w14:textId="77777777" w:rsidR="00CD412A" w:rsidRPr="00D53E56" w:rsidRDefault="00CD412A" w:rsidP="00CD412A">
      <w:pPr>
        <w:rPr>
          <w:rFonts w:asciiTheme="minorBidi" w:hAnsiTheme="minorBidi"/>
          <w:sz w:val="22"/>
        </w:rPr>
      </w:pPr>
      <w:r w:rsidRPr="00D53E56">
        <w:rPr>
          <w:rFonts w:asciiTheme="minorBidi" w:hAnsiTheme="minorBidi"/>
          <w:sz w:val="22"/>
        </w:rPr>
        <w:t> </w:t>
      </w:r>
    </w:p>
    <w:p w14:paraId="769EF9E6" w14:textId="77777777" w:rsidR="00947159" w:rsidRPr="00D53E56" w:rsidRDefault="00947159">
      <w:pPr>
        <w:spacing w:line="259" w:lineRule="auto"/>
        <w:jc w:val="left"/>
        <w:rPr>
          <w:rFonts w:asciiTheme="minorBidi" w:eastAsiaTheme="majorEastAsia" w:hAnsiTheme="minorBidi"/>
          <w:b/>
          <w:color w:val="4472C4" w:themeColor="accent1"/>
          <w:sz w:val="32"/>
          <w:szCs w:val="32"/>
        </w:rPr>
      </w:pPr>
      <w:r w:rsidRPr="00D53E56">
        <w:rPr>
          <w:rFonts w:asciiTheme="minorBidi" w:hAnsiTheme="minorBidi"/>
        </w:rPr>
        <w:br w:type="page"/>
      </w:r>
    </w:p>
    <w:sdt>
      <w:sdtPr>
        <w:rPr>
          <w:rFonts w:asciiTheme="minorBidi" w:eastAsiaTheme="minorHAnsi" w:hAnsiTheme="minorBidi" w:cstheme="minorBidi"/>
          <w:color w:val="auto"/>
          <w:kern w:val="2"/>
          <w:sz w:val="22"/>
          <w:szCs w:val="22"/>
          <w:lang w:val="en-GB"/>
          <w14:ligatures w14:val="standardContextual"/>
        </w:rPr>
        <w:id w:val="252403126"/>
        <w:docPartObj>
          <w:docPartGallery w:val="Table of Contents"/>
          <w:docPartUnique/>
        </w:docPartObj>
      </w:sdtPr>
      <w:sdtEndPr>
        <w:rPr>
          <w:b/>
          <w:bCs/>
          <w:noProof/>
          <w:sz w:val="24"/>
        </w:rPr>
      </w:sdtEndPr>
      <w:sdtContent>
        <w:p w14:paraId="35638154" w14:textId="66B6A285" w:rsidR="00947159" w:rsidRPr="007B0F55" w:rsidRDefault="00947159" w:rsidP="00947159">
          <w:pPr>
            <w:pStyle w:val="TOCHeading"/>
            <w:jc w:val="center"/>
            <w:rPr>
              <w:rFonts w:asciiTheme="minorBidi" w:hAnsiTheme="minorBidi" w:cstheme="minorBidi"/>
              <w:b/>
              <w:bCs/>
              <w:sz w:val="28"/>
              <w:szCs w:val="28"/>
            </w:rPr>
          </w:pPr>
          <w:r w:rsidRPr="007B0F55">
            <w:rPr>
              <w:rFonts w:asciiTheme="minorBidi" w:hAnsiTheme="minorBidi" w:cstheme="minorBidi"/>
              <w:b/>
              <w:bCs/>
              <w:sz w:val="28"/>
              <w:szCs w:val="28"/>
            </w:rPr>
            <w:t>Table of Contents</w:t>
          </w:r>
        </w:p>
        <w:p w14:paraId="5A8D2588" w14:textId="7F9ACB78" w:rsidR="00F05BB1" w:rsidRDefault="00947159">
          <w:pPr>
            <w:pStyle w:val="TOC1"/>
            <w:rPr>
              <w:rFonts w:asciiTheme="minorHAnsi" w:eastAsiaTheme="minorEastAsia" w:hAnsiTheme="minorHAnsi"/>
              <w:noProof/>
              <w:kern w:val="0"/>
              <w:sz w:val="22"/>
              <w:lang w:eastAsia="en-GB"/>
              <w14:ligatures w14:val="none"/>
            </w:rPr>
          </w:pPr>
          <w:r w:rsidRPr="007B0F55">
            <w:rPr>
              <w:rFonts w:asciiTheme="minorBidi" w:hAnsiTheme="minorBidi"/>
              <w:sz w:val="22"/>
            </w:rPr>
            <w:fldChar w:fldCharType="begin"/>
          </w:r>
          <w:r w:rsidRPr="007B0F55">
            <w:rPr>
              <w:rFonts w:asciiTheme="minorBidi" w:hAnsiTheme="minorBidi"/>
              <w:sz w:val="22"/>
            </w:rPr>
            <w:instrText xml:space="preserve"> TOC \o "1-3" \h \z \u </w:instrText>
          </w:r>
          <w:r w:rsidRPr="007B0F55">
            <w:rPr>
              <w:rFonts w:asciiTheme="minorBidi" w:hAnsiTheme="minorBidi"/>
              <w:sz w:val="22"/>
            </w:rPr>
            <w:fldChar w:fldCharType="separate"/>
          </w:r>
          <w:hyperlink w:anchor="_Toc216711806" w:history="1">
            <w:r w:rsidR="00F05BB1" w:rsidRPr="002A63F3">
              <w:rPr>
                <w:rStyle w:val="Hyperlink"/>
                <w:rFonts w:asciiTheme="minorBidi" w:hAnsiTheme="minorBidi"/>
                <w:noProof/>
              </w:rPr>
              <w:t>Executive Summary</w:t>
            </w:r>
            <w:r w:rsidR="00F05BB1">
              <w:rPr>
                <w:noProof/>
                <w:webHidden/>
              </w:rPr>
              <w:tab/>
            </w:r>
            <w:r w:rsidR="00F05BB1">
              <w:rPr>
                <w:noProof/>
                <w:webHidden/>
              </w:rPr>
              <w:fldChar w:fldCharType="begin"/>
            </w:r>
            <w:r w:rsidR="00F05BB1">
              <w:rPr>
                <w:noProof/>
                <w:webHidden/>
              </w:rPr>
              <w:instrText xml:space="preserve"> PAGEREF _Toc216711806 \h </w:instrText>
            </w:r>
            <w:r w:rsidR="00F05BB1">
              <w:rPr>
                <w:noProof/>
                <w:webHidden/>
              </w:rPr>
            </w:r>
            <w:r w:rsidR="00F05BB1">
              <w:rPr>
                <w:noProof/>
                <w:webHidden/>
              </w:rPr>
              <w:fldChar w:fldCharType="separate"/>
            </w:r>
            <w:r w:rsidR="00F05BB1">
              <w:rPr>
                <w:noProof/>
                <w:webHidden/>
              </w:rPr>
              <w:t>2</w:t>
            </w:r>
            <w:r w:rsidR="00F05BB1">
              <w:rPr>
                <w:noProof/>
                <w:webHidden/>
              </w:rPr>
              <w:fldChar w:fldCharType="end"/>
            </w:r>
          </w:hyperlink>
        </w:p>
        <w:p w14:paraId="73E5A7F9" w14:textId="098B6189" w:rsidR="00F05BB1" w:rsidRDefault="000D332A">
          <w:pPr>
            <w:pStyle w:val="TOC1"/>
            <w:rPr>
              <w:rFonts w:asciiTheme="minorHAnsi" w:eastAsiaTheme="minorEastAsia" w:hAnsiTheme="minorHAnsi"/>
              <w:noProof/>
              <w:kern w:val="0"/>
              <w:sz w:val="22"/>
              <w:lang w:eastAsia="en-GB"/>
              <w14:ligatures w14:val="none"/>
            </w:rPr>
          </w:pPr>
          <w:hyperlink w:anchor="_Toc216711807" w:history="1">
            <w:r w:rsidR="00F05BB1" w:rsidRPr="002A63F3">
              <w:rPr>
                <w:rStyle w:val="Hyperlink"/>
                <w:rFonts w:asciiTheme="minorBidi" w:hAnsiTheme="minorBidi"/>
                <w:noProof/>
              </w:rPr>
              <w:t>1. Introduction</w:t>
            </w:r>
            <w:r w:rsidR="00F05BB1">
              <w:rPr>
                <w:noProof/>
                <w:webHidden/>
              </w:rPr>
              <w:tab/>
            </w:r>
            <w:r w:rsidR="00F05BB1">
              <w:rPr>
                <w:noProof/>
                <w:webHidden/>
              </w:rPr>
              <w:fldChar w:fldCharType="begin"/>
            </w:r>
            <w:r w:rsidR="00F05BB1">
              <w:rPr>
                <w:noProof/>
                <w:webHidden/>
              </w:rPr>
              <w:instrText xml:space="preserve"> PAGEREF _Toc216711807 \h </w:instrText>
            </w:r>
            <w:r w:rsidR="00F05BB1">
              <w:rPr>
                <w:noProof/>
                <w:webHidden/>
              </w:rPr>
            </w:r>
            <w:r w:rsidR="00F05BB1">
              <w:rPr>
                <w:noProof/>
                <w:webHidden/>
              </w:rPr>
              <w:fldChar w:fldCharType="separate"/>
            </w:r>
            <w:r w:rsidR="00F05BB1">
              <w:rPr>
                <w:noProof/>
                <w:webHidden/>
              </w:rPr>
              <w:t>6</w:t>
            </w:r>
            <w:r w:rsidR="00F05BB1">
              <w:rPr>
                <w:noProof/>
                <w:webHidden/>
              </w:rPr>
              <w:fldChar w:fldCharType="end"/>
            </w:r>
          </w:hyperlink>
        </w:p>
        <w:p w14:paraId="4C69E5EE" w14:textId="15BE3915" w:rsidR="00F05BB1" w:rsidRDefault="000D332A">
          <w:pPr>
            <w:pStyle w:val="TOC1"/>
            <w:rPr>
              <w:rFonts w:asciiTheme="minorHAnsi" w:eastAsiaTheme="minorEastAsia" w:hAnsiTheme="minorHAnsi"/>
              <w:noProof/>
              <w:kern w:val="0"/>
              <w:sz w:val="22"/>
              <w:lang w:eastAsia="en-GB"/>
              <w14:ligatures w14:val="none"/>
            </w:rPr>
          </w:pPr>
          <w:hyperlink w:anchor="_Toc216711808" w:history="1">
            <w:r w:rsidR="00F05BB1" w:rsidRPr="002A63F3">
              <w:rPr>
                <w:rStyle w:val="Hyperlink"/>
                <w:rFonts w:asciiTheme="minorBidi" w:hAnsiTheme="minorBidi"/>
                <w:noProof/>
              </w:rPr>
              <w:t>2. Critical Analysis of Centralised and Decentralised Health System Approaches to COVID-19</w:t>
            </w:r>
            <w:r w:rsidR="00F05BB1">
              <w:rPr>
                <w:noProof/>
                <w:webHidden/>
              </w:rPr>
              <w:tab/>
            </w:r>
            <w:r w:rsidR="00F05BB1">
              <w:rPr>
                <w:noProof/>
                <w:webHidden/>
              </w:rPr>
              <w:fldChar w:fldCharType="begin"/>
            </w:r>
            <w:r w:rsidR="00F05BB1">
              <w:rPr>
                <w:noProof/>
                <w:webHidden/>
              </w:rPr>
              <w:instrText xml:space="preserve"> PAGEREF _Toc216711808 \h </w:instrText>
            </w:r>
            <w:r w:rsidR="00F05BB1">
              <w:rPr>
                <w:noProof/>
                <w:webHidden/>
              </w:rPr>
            </w:r>
            <w:r w:rsidR="00F05BB1">
              <w:rPr>
                <w:noProof/>
                <w:webHidden/>
              </w:rPr>
              <w:fldChar w:fldCharType="separate"/>
            </w:r>
            <w:r w:rsidR="00F05BB1">
              <w:rPr>
                <w:noProof/>
                <w:webHidden/>
              </w:rPr>
              <w:t>7</w:t>
            </w:r>
            <w:r w:rsidR="00F05BB1">
              <w:rPr>
                <w:noProof/>
                <w:webHidden/>
              </w:rPr>
              <w:fldChar w:fldCharType="end"/>
            </w:r>
          </w:hyperlink>
        </w:p>
        <w:p w14:paraId="15A6B9A6" w14:textId="5CB5EF2D" w:rsidR="00F05BB1" w:rsidRDefault="000D332A">
          <w:pPr>
            <w:pStyle w:val="TOC2"/>
            <w:tabs>
              <w:tab w:val="right" w:leader="dot" w:pos="9016"/>
            </w:tabs>
            <w:rPr>
              <w:rFonts w:asciiTheme="minorHAnsi" w:eastAsiaTheme="minorEastAsia" w:hAnsiTheme="minorHAnsi"/>
              <w:noProof/>
              <w:kern w:val="0"/>
              <w:sz w:val="22"/>
              <w:lang w:eastAsia="en-GB"/>
              <w14:ligatures w14:val="none"/>
            </w:rPr>
          </w:pPr>
          <w:hyperlink w:anchor="_Toc216711809" w:history="1">
            <w:r w:rsidR="00F05BB1" w:rsidRPr="002A63F3">
              <w:rPr>
                <w:rStyle w:val="Hyperlink"/>
                <w:rFonts w:asciiTheme="minorBidi" w:hAnsiTheme="minorBidi"/>
                <w:noProof/>
              </w:rPr>
              <w:t>2.1 Conceptual Framework: Public Health centralisation, decentralisation, and Systems Thinking.</w:t>
            </w:r>
            <w:r w:rsidR="00F05BB1">
              <w:rPr>
                <w:noProof/>
                <w:webHidden/>
              </w:rPr>
              <w:tab/>
            </w:r>
            <w:r w:rsidR="00F05BB1">
              <w:rPr>
                <w:noProof/>
                <w:webHidden/>
              </w:rPr>
              <w:fldChar w:fldCharType="begin"/>
            </w:r>
            <w:r w:rsidR="00F05BB1">
              <w:rPr>
                <w:noProof/>
                <w:webHidden/>
              </w:rPr>
              <w:instrText xml:space="preserve"> PAGEREF _Toc216711809 \h </w:instrText>
            </w:r>
            <w:r w:rsidR="00F05BB1">
              <w:rPr>
                <w:noProof/>
                <w:webHidden/>
              </w:rPr>
            </w:r>
            <w:r w:rsidR="00F05BB1">
              <w:rPr>
                <w:noProof/>
                <w:webHidden/>
              </w:rPr>
              <w:fldChar w:fldCharType="separate"/>
            </w:r>
            <w:r w:rsidR="00F05BB1">
              <w:rPr>
                <w:noProof/>
                <w:webHidden/>
              </w:rPr>
              <w:t>7</w:t>
            </w:r>
            <w:r w:rsidR="00F05BB1">
              <w:rPr>
                <w:noProof/>
                <w:webHidden/>
              </w:rPr>
              <w:fldChar w:fldCharType="end"/>
            </w:r>
          </w:hyperlink>
        </w:p>
        <w:p w14:paraId="382CD525" w14:textId="68099A88" w:rsidR="00F05BB1" w:rsidRDefault="000D332A">
          <w:pPr>
            <w:pStyle w:val="TOC2"/>
            <w:tabs>
              <w:tab w:val="right" w:leader="dot" w:pos="9016"/>
            </w:tabs>
            <w:rPr>
              <w:rFonts w:asciiTheme="minorHAnsi" w:eastAsiaTheme="minorEastAsia" w:hAnsiTheme="minorHAnsi"/>
              <w:noProof/>
              <w:kern w:val="0"/>
              <w:sz w:val="22"/>
              <w:lang w:eastAsia="en-GB"/>
              <w14:ligatures w14:val="none"/>
            </w:rPr>
          </w:pPr>
          <w:hyperlink w:anchor="_Toc216711810" w:history="1">
            <w:r w:rsidR="00F05BB1" w:rsidRPr="002A63F3">
              <w:rPr>
                <w:rStyle w:val="Hyperlink"/>
                <w:rFonts w:asciiTheme="minorBidi" w:hAnsiTheme="minorBidi"/>
                <w:noProof/>
              </w:rPr>
              <w:t>2.2 Spain: Health System Organisation and COVID-19 Response.</w:t>
            </w:r>
            <w:r w:rsidR="00F05BB1">
              <w:rPr>
                <w:noProof/>
                <w:webHidden/>
              </w:rPr>
              <w:tab/>
            </w:r>
            <w:r w:rsidR="00F05BB1">
              <w:rPr>
                <w:noProof/>
                <w:webHidden/>
              </w:rPr>
              <w:fldChar w:fldCharType="begin"/>
            </w:r>
            <w:r w:rsidR="00F05BB1">
              <w:rPr>
                <w:noProof/>
                <w:webHidden/>
              </w:rPr>
              <w:instrText xml:space="preserve"> PAGEREF _Toc216711810 \h </w:instrText>
            </w:r>
            <w:r w:rsidR="00F05BB1">
              <w:rPr>
                <w:noProof/>
                <w:webHidden/>
              </w:rPr>
            </w:r>
            <w:r w:rsidR="00F05BB1">
              <w:rPr>
                <w:noProof/>
                <w:webHidden/>
              </w:rPr>
              <w:fldChar w:fldCharType="separate"/>
            </w:r>
            <w:r w:rsidR="00F05BB1">
              <w:rPr>
                <w:noProof/>
                <w:webHidden/>
              </w:rPr>
              <w:t>7</w:t>
            </w:r>
            <w:r w:rsidR="00F05BB1">
              <w:rPr>
                <w:noProof/>
                <w:webHidden/>
              </w:rPr>
              <w:fldChar w:fldCharType="end"/>
            </w:r>
          </w:hyperlink>
        </w:p>
        <w:p w14:paraId="2AF9BCFE" w14:textId="48ED73D0" w:rsidR="00F05BB1" w:rsidRDefault="000D332A">
          <w:pPr>
            <w:pStyle w:val="TOC3"/>
            <w:tabs>
              <w:tab w:val="right" w:leader="dot" w:pos="9016"/>
            </w:tabs>
            <w:rPr>
              <w:rFonts w:asciiTheme="minorHAnsi" w:eastAsiaTheme="minorEastAsia" w:hAnsiTheme="minorHAnsi"/>
              <w:noProof/>
              <w:kern w:val="0"/>
              <w:sz w:val="22"/>
              <w:lang w:eastAsia="en-GB"/>
              <w14:ligatures w14:val="none"/>
            </w:rPr>
          </w:pPr>
          <w:hyperlink w:anchor="_Toc216711811" w:history="1">
            <w:r w:rsidR="00F05BB1" w:rsidRPr="002A63F3">
              <w:rPr>
                <w:rStyle w:val="Hyperlink"/>
                <w:rFonts w:asciiTheme="minorBidi" w:hAnsiTheme="minorBidi"/>
                <w:noProof/>
              </w:rPr>
              <w:t>2.2.1 Spanish Health Care System Structure.</w:t>
            </w:r>
            <w:r w:rsidR="00F05BB1">
              <w:rPr>
                <w:noProof/>
                <w:webHidden/>
              </w:rPr>
              <w:tab/>
            </w:r>
            <w:r w:rsidR="00F05BB1">
              <w:rPr>
                <w:noProof/>
                <w:webHidden/>
              </w:rPr>
              <w:fldChar w:fldCharType="begin"/>
            </w:r>
            <w:r w:rsidR="00F05BB1">
              <w:rPr>
                <w:noProof/>
                <w:webHidden/>
              </w:rPr>
              <w:instrText xml:space="preserve"> PAGEREF _Toc216711811 \h </w:instrText>
            </w:r>
            <w:r w:rsidR="00F05BB1">
              <w:rPr>
                <w:noProof/>
                <w:webHidden/>
              </w:rPr>
            </w:r>
            <w:r w:rsidR="00F05BB1">
              <w:rPr>
                <w:noProof/>
                <w:webHidden/>
              </w:rPr>
              <w:fldChar w:fldCharType="separate"/>
            </w:r>
            <w:r w:rsidR="00F05BB1">
              <w:rPr>
                <w:noProof/>
                <w:webHidden/>
              </w:rPr>
              <w:t>7</w:t>
            </w:r>
            <w:r w:rsidR="00F05BB1">
              <w:rPr>
                <w:noProof/>
                <w:webHidden/>
              </w:rPr>
              <w:fldChar w:fldCharType="end"/>
            </w:r>
          </w:hyperlink>
        </w:p>
        <w:p w14:paraId="49D419DD" w14:textId="79A208BC" w:rsidR="00F05BB1" w:rsidRDefault="000D332A">
          <w:pPr>
            <w:pStyle w:val="TOC3"/>
            <w:tabs>
              <w:tab w:val="right" w:leader="dot" w:pos="9016"/>
            </w:tabs>
            <w:rPr>
              <w:rFonts w:asciiTheme="minorHAnsi" w:eastAsiaTheme="minorEastAsia" w:hAnsiTheme="minorHAnsi"/>
              <w:noProof/>
              <w:kern w:val="0"/>
              <w:sz w:val="22"/>
              <w:lang w:eastAsia="en-GB"/>
              <w14:ligatures w14:val="none"/>
            </w:rPr>
          </w:pPr>
          <w:hyperlink w:anchor="_Toc216711812" w:history="1">
            <w:r w:rsidR="00F05BB1" w:rsidRPr="002A63F3">
              <w:rPr>
                <w:rStyle w:val="Hyperlink"/>
                <w:rFonts w:asciiTheme="minorBidi" w:hAnsiTheme="minorBidi"/>
                <w:noProof/>
              </w:rPr>
              <w:t>2.2.2 Decentralisation level of Pandemic Governance.</w:t>
            </w:r>
            <w:r w:rsidR="00F05BB1">
              <w:rPr>
                <w:noProof/>
                <w:webHidden/>
              </w:rPr>
              <w:tab/>
            </w:r>
            <w:r w:rsidR="00F05BB1">
              <w:rPr>
                <w:noProof/>
                <w:webHidden/>
              </w:rPr>
              <w:fldChar w:fldCharType="begin"/>
            </w:r>
            <w:r w:rsidR="00F05BB1">
              <w:rPr>
                <w:noProof/>
                <w:webHidden/>
              </w:rPr>
              <w:instrText xml:space="preserve"> PAGEREF _Toc216711812 \h </w:instrText>
            </w:r>
            <w:r w:rsidR="00F05BB1">
              <w:rPr>
                <w:noProof/>
                <w:webHidden/>
              </w:rPr>
            </w:r>
            <w:r w:rsidR="00F05BB1">
              <w:rPr>
                <w:noProof/>
                <w:webHidden/>
              </w:rPr>
              <w:fldChar w:fldCharType="separate"/>
            </w:r>
            <w:r w:rsidR="00F05BB1">
              <w:rPr>
                <w:noProof/>
                <w:webHidden/>
              </w:rPr>
              <w:t>7</w:t>
            </w:r>
            <w:r w:rsidR="00F05BB1">
              <w:rPr>
                <w:noProof/>
                <w:webHidden/>
              </w:rPr>
              <w:fldChar w:fldCharType="end"/>
            </w:r>
          </w:hyperlink>
        </w:p>
        <w:p w14:paraId="68F118F6" w14:textId="53A8A212" w:rsidR="00F05BB1" w:rsidRDefault="000D332A">
          <w:pPr>
            <w:pStyle w:val="TOC3"/>
            <w:tabs>
              <w:tab w:val="right" w:leader="dot" w:pos="9016"/>
            </w:tabs>
            <w:rPr>
              <w:rFonts w:asciiTheme="minorHAnsi" w:eastAsiaTheme="minorEastAsia" w:hAnsiTheme="minorHAnsi"/>
              <w:noProof/>
              <w:kern w:val="0"/>
              <w:sz w:val="22"/>
              <w:lang w:eastAsia="en-GB"/>
              <w14:ligatures w14:val="none"/>
            </w:rPr>
          </w:pPr>
          <w:hyperlink w:anchor="_Toc216711813" w:history="1">
            <w:r w:rsidR="00F05BB1" w:rsidRPr="002A63F3">
              <w:rPr>
                <w:rStyle w:val="Hyperlink"/>
                <w:rFonts w:asciiTheme="minorBidi" w:hAnsiTheme="minorBidi"/>
                <w:noProof/>
              </w:rPr>
              <w:t>2.2.3 Central Government Co-ordination and Regional Autonomy.</w:t>
            </w:r>
            <w:r w:rsidR="00F05BB1">
              <w:rPr>
                <w:noProof/>
                <w:webHidden/>
              </w:rPr>
              <w:tab/>
            </w:r>
            <w:r w:rsidR="00F05BB1">
              <w:rPr>
                <w:noProof/>
                <w:webHidden/>
              </w:rPr>
              <w:fldChar w:fldCharType="begin"/>
            </w:r>
            <w:r w:rsidR="00F05BB1">
              <w:rPr>
                <w:noProof/>
                <w:webHidden/>
              </w:rPr>
              <w:instrText xml:space="preserve"> PAGEREF _Toc216711813 \h </w:instrText>
            </w:r>
            <w:r w:rsidR="00F05BB1">
              <w:rPr>
                <w:noProof/>
                <w:webHidden/>
              </w:rPr>
            </w:r>
            <w:r w:rsidR="00F05BB1">
              <w:rPr>
                <w:noProof/>
                <w:webHidden/>
              </w:rPr>
              <w:fldChar w:fldCharType="separate"/>
            </w:r>
            <w:r w:rsidR="00F05BB1">
              <w:rPr>
                <w:noProof/>
                <w:webHidden/>
              </w:rPr>
              <w:t>8</w:t>
            </w:r>
            <w:r w:rsidR="00F05BB1">
              <w:rPr>
                <w:noProof/>
                <w:webHidden/>
              </w:rPr>
              <w:fldChar w:fldCharType="end"/>
            </w:r>
          </w:hyperlink>
        </w:p>
        <w:p w14:paraId="045781DE" w14:textId="0665C7BB" w:rsidR="00F05BB1" w:rsidRDefault="000D332A">
          <w:pPr>
            <w:pStyle w:val="TOC3"/>
            <w:tabs>
              <w:tab w:val="right" w:leader="dot" w:pos="9016"/>
            </w:tabs>
            <w:rPr>
              <w:rFonts w:asciiTheme="minorHAnsi" w:eastAsiaTheme="minorEastAsia" w:hAnsiTheme="minorHAnsi"/>
              <w:noProof/>
              <w:kern w:val="0"/>
              <w:sz w:val="22"/>
              <w:lang w:eastAsia="en-GB"/>
              <w14:ligatures w14:val="none"/>
            </w:rPr>
          </w:pPr>
          <w:hyperlink w:anchor="_Toc216711814" w:history="1">
            <w:r w:rsidR="00F05BB1" w:rsidRPr="002A63F3">
              <w:rPr>
                <w:rStyle w:val="Hyperlink"/>
                <w:rFonts w:asciiTheme="minorBidi" w:hAnsiTheme="minorBidi"/>
                <w:noProof/>
              </w:rPr>
              <w:t>2.2.4 Benefits of the Decentralised System in Spain in the COVID-19.</w:t>
            </w:r>
            <w:r w:rsidR="00F05BB1">
              <w:rPr>
                <w:noProof/>
                <w:webHidden/>
              </w:rPr>
              <w:tab/>
            </w:r>
            <w:r w:rsidR="00F05BB1">
              <w:rPr>
                <w:noProof/>
                <w:webHidden/>
              </w:rPr>
              <w:fldChar w:fldCharType="begin"/>
            </w:r>
            <w:r w:rsidR="00F05BB1">
              <w:rPr>
                <w:noProof/>
                <w:webHidden/>
              </w:rPr>
              <w:instrText xml:space="preserve"> PAGEREF _Toc216711814 \h </w:instrText>
            </w:r>
            <w:r w:rsidR="00F05BB1">
              <w:rPr>
                <w:noProof/>
                <w:webHidden/>
              </w:rPr>
            </w:r>
            <w:r w:rsidR="00F05BB1">
              <w:rPr>
                <w:noProof/>
                <w:webHidden/>
              </w:rPr>
              <w:fldChar w:fldCharType="separate"/>
            </w:r>
            <w:r w:rsidR="00F05BB1">
              <w:rPr>
                <w:noProof/>
                <w:webHidden/>
              </w:rPr>
              <w:t>8</w:t>
            </w:r>
            <w:r w:rsidR="00F05BB1">
              <w:rPr>
                <w:noProof/>
                <w:webHidden/>
              </w:rPr>
              <w:fldChar w:fldCharType="end"/>
            </w:r>
          </w:hyperlink>
        </w:p>
        <w:p w14:paraId="2C1DD5BA" w14:textId="09027531" w:rsidR="00F05BB1" w:rsidRDefault="000D332A">
          <w:pPr>
            <w:pStyle w:val="TOC3"/>
            <w:tabs>
              <w:tab w:val="right" w:leader="dot" w:pos="9016"/>
            </w:tabs>
            <w:rPr>
              <w:rFonts w:asciiTheme="minorHAnsi" w:eastAsiaTheme="minorEastAsia" w:hAnsiTheme="minorHAnsi"/>
              <w:noProof/>
              <w:kern w:val="0"/>
              <w:sz w:val="22"/>
              <w:lang w:eastAsia="en-GB"/>
              <w14:ligatures w14:val="none"/>
            </w:rPr>
          </w:pPr>
          <w:hyperlink w:anchor="_Toc216711815" w:history="1">
            <w:r w:rsidR="00F05BB1" w:rsidRPr="002A63F3">
              <w:rPr>
                <w:rStyle w:val="Hyperlink"/>
                <w:rFonts w:asciiTheme="minorBidi" w:hAnsiTheme="minorBidi"/>
                <w:noProof/>
              </w:rPr>
              <w:t>2.2.5 Limitations and Coordination Failures</w:t>
            </w:r>
            <w:r w:rsidR="00F05BB1">
              <w:rPr>
                <w:noProof/>
                <w:webHidden/>
              </w:rPr>
              <w:tab/>
            </w:r>
            <w:r w:rsidR="00F05BB1">
              <w:rPr>
                <w:noProof/>
                <w:webHidden/>
              </w:rPr>
              <w:fldChar w:fldCharType="begin"/>
            </w:r>
            <w:r w:rsidR="00F05BB1">
              <w:rPr>
                <w:noProof/>
                <w:webHidden/>
              </w:rPr>
              <w:instrText xml:space="preserve"> PAGEREF _Toc216711815 \h </w:instrText>
            </w:r>
            <w:r w:rsidR="00F05BB1">
              <w:rPr>
                <w:noProof/>
                <w:webHidden/>
              </w:rPr>
            </w:r>
            <w:r w:rsidR="00F05BB1">
              <w:rPr>
                <w:noProof/>
                <w:webHidden/>
              </w:rPr>
              <w:fldChar w:fldCharType="separate"/>
            </w:r>
            <w:r w:rsidR="00F05BB1">
              <w:rPr>
                <w:noProof/>
                <w:webHidden/>
              </w:rPr>
              <w:t>9</w:t>
            </w:r>
            <w:r w:rsidR="00F05BB1">
              <w:rPr>
                <w:noProof/>
                <w:webHidden/>
              </w:rPr>
              <w:fldChar w:fldCharType="end"/>
            </w:r>
          </w:hyperlink>
        </w:p>
        <w:p w14:paraId="0F9CFD44" w14:textId="71C50BED" w:rsidR="00F05BB1" w:rsidRDefault="000D332A">
          <w:pPr>
            <w:pStyle w:val="TOC3"/>
            <w:tabs>
              <w:tab w:val="right" w:leader="dot" w:pos="9016"/>
            </w:tabs>
            <w:rPr>
              <w:rFonts w:asciiTheme="minorHAnsi" w:eastAsiaTheme="minorEastAsia" w:hAnsiTheme="minorHAnsi"/>
              <w:noProof/>
              <w:kern w:val="0"/>
              <w:sz w:val="22"/>
              <w:lang w:eastAsia="en-GB"/>
              <w14:ligatures w14:val="none"/>
            </w:rPr>
          </w:pPr>
          <w:hyperlink w:anchor="_Toc216711816" w:history="1">
            <w:r w:rsidR="00F05BB1" w:rsidRPr="002A63F3">
              <w:rPr>
                <w:rStyle w:val="Hyperlink"/>
                <w:rFonts w:asciiTheme="minorBidi" w:hAnsiTheme="minorBidi"/>
                <w:noProof/>
              </w:rPr>
              <w:t>2.2.6 Health outcomes and Vaccination performance.</w:t>
            </w:r>
            <w:r w:rsidR="00F05BB1">
              <w:rPr>
                <w:noProof/>
                <w:webHidden/>
              </w:rPr>
              <w:tab/>
            </w:r>
            <w:r w:rsidR="00F05BB1">
              <w:rPr>
                <w:noProof/>
                <w:webHidden/>
              </w:rPr>
              <w:fldChar w:fldCharType="begin"/>
            </w:r>
            <w:r w:rsidR="00F05BB1">
              <w:rPr>
                <w:noProof/>
                <w:webHidden/>
              </w:rPr>
              <w:instrText xml:space="preserve"> PAGEREF _Toc216711816 \h </w:instrText>
            </w:r>
            <w:r w:rsidR="00F05BB1">
              <w:rPr>
                <w:noProof/>
                <w:webHidden/>
              </w:rPr>
            </w:r>
            <w:r w:rsidR="00F05BB1">
              <w:rPr>
                <w:noProof/>
                <w:webHidden/>
              </w:rPr>
              <w:fldChar w:fldCharType="separate"/>
            </w:r>
            <w:r w:rsidR="00F05BB1">
              <w:rPr>
                <w:noProof/>
                <w:webHidden/>
              </w:rPr>
              <w:t>10</w:t>
            </w:r>
            <w:r w:rsidR="00F05BB1">
              <w:rPr>
                <w:noProof/>
                <w:webHidden/>
              </w:rPr>
              <w:fldChar w:fldCharType="end"/>
            </w:r>
          </w:hyperlink>
        </w:p>
        <w:p w14:paraId="14ACD221" w14:textId="78F1C8FB" w:rsidR="00F05BB1" w:rsidRDefault="000D332A">
          <w:pPr>
            <w:pStyle w:val="TOC2"/>
            <w:tabs>
              <w:tab w:val="right" w:leader="dot" w:pos="9016"/>
            </w:tabs>
            <w:rPr>
              <w:rFonts w:asciiTheme="minorHAnsi" w:eastAsiaTheme="minorEastAsia" w:hAnsiTheme="minorHAnsi"/>
              <w:noProof/>
              <w:kern w:val="0"/>
              <w:sz w:val="22"/>
              <w:lang w:eastAsia="en-GB"/>
              <w14:ligatures w14:val="none"/>
            </w:rPr>
          </w:pPr>
          <w:hyperlink w:anchor="_Toc216711817" w:history="1">
            <w:r w:rsidR="00F05BB1" w:rsidRPr="002A63F3">
              <w:rPr>
                <w:rStyle w:val="Hyperlink"/>
                <w:rFonts w:asciiTheme="minorBidi" w:hAnsiTheme="minorBidi"/>
                <w:noProof/>
              </w:rPr>
              <w:t>2.3 South Korea: Health System Organisation and COVID-19 Response.</w:t>
            </w:r>
            <w:r w:rsidR="00F05BB1">
              <w:rPr>
                <w:noProof/>
                <w:webHidden/>
              </w:rPr>
              <w:tab/>
            </w:r>
            <w:r w:rsidR="00F05BB1">
              <w:rPr>
                <w:noProof/>
                <w:webHidden/>
              </w:rPr>
              <w:fldChar w:fldCharType="begin"/>
            </w:r>
            <w:r w:rsidR="00F05BB1">
              <w:rPr>
                <w:noProof/>
                <w:webHidden/>
              </w:rPr>
              <w:instrText xml:space="preserve"> PAGEREF _Toc216711817 \h </w:instrText>
            </w:r>
            <w:r w:rsidR="00F05BB1">
              <w:rPr>
                <w:noProof/>
                <w:webHidden/>
              </w:rPr>
            </w:r>
            <w:r w:rsidR="00F05BB1">
              <w:rPr>
                <w:noProof/>
                <w:webHidden/>
              </w:rPr>
              <w:fldChar w:fldCharType="separate"/>
            </w:r>
            <w:r w:rsidR="00F05BB1">
              <w:rPr>
                <w:noProof/>
                <w:webHidden/>
              </w:rPr>
              <w:t>10</w:t>
            </w:r>
            <w:r w:rsidR="00F05BB1">
              <w:rPr>
                <w:noProof/>
                <w:webHidden/>
              </w:rPr>
              <w:fldChar w:fldCharType="end"/>
            </w:r>
          </w:hyperlink>
        </w:p>
        <w:p w14:paraId="4505E6D9" w14:textId="636CD270" w:rsidR="00F05BB1" w:rsidRDefault="000D332A">
          <w:pPr>
            <w:pStyle w:val="TOC3"/>
            <w:tabs>
              <w:tab w:val="right" w:leader="dot" w:pos="9016"/>
            </w:tabs>
            <w:rPr>
              <w:rFonts w:asciiTheme="minorHAnsi" w:eastAsiaTheme="minorEastAsia" w:hAnsiTheme="minorHAnsi"/>
              <w:noProof/>
              <w:kern w:val="0"/>
              <w:sz w:val="22"/>
              <w:lang w:eastAsia="en-GB"/>
              <w14:ligatures w14:val="none"/>
            </w:rPr>
          </w:pPr>
          <w:hyperlink w:anchor="_Toc216711818" w:history="1">
            <w:r w:rsidR="00F05BB1" w:rsidRPr="002A63F3">
              <w:rPr>
                <w:rStyle w:val="Hyperlink"/>
                <w:rFonts w:asciiTheme="minorBidi" w:hAnsiTheme="minorBidi"/>
                <w:noProof/>
              </w:rPr>
              <w:t>2.3.1 South Korean Health Care System Organisation.</w:t>
            </w:r>
            <w:r w:rsidR="00F05BB1">
              <w:rPr>
                <w:noProof/>
                <w:webHidden/>
              </w:rPr>
              <w:tab/>
            </w:r>
            <w:r w:rsidR="00F05BB1">
              <w:rPr>
                <w:noProof/>
                <w:webHidden/>
              </w:rPr>
              <w:fldChar w:fldCharType="begin"/>
            </w:r>
            <w:r w:rsidR="00F05BB1">
              <w:rPr>
                <w:noProof/>
                <w:webHidden/>
              </w:rPr>
              <w:instrText xml:space="preserve"> PAGEREF _Toc216711818 \h </w:instrText>
            </w:r>
            <w:r w:rsidR="00F05BB1">
              <w:rPr>
                <w:noProof/>
                <w:webHidden/>
              </w:rPr>
            </w:r>
            <w:r w:rsidR="00F05BB1">
              <w:rPr>
                <w:noProof/>
                <w:webHidden/>
              </w:rPr>
              <w:fldChar w:fldCharType="separate"/>
            </w:r>
            <w:r w:rsidR="00F05BB1">
              <w:rPr>
                <w:noProof/>
                <w:webHidden/>
              </w:rPr>
              <w:t>10</w:t>
            </w:r>
            <w:r w:rsidR="00F05BB1">
              <w:rPr>
                <w:noProof/>
                <w:webHidden/>
              </w:rPr>
              <w:fldChar w:fldCharType="end"/>
            </w:r>
          </w:hyperlink>
        </w:p>
        <w:p w14:paraId="0E75E8C7" w14:textId="42F109CA" w:rsidR="00F05BB1" w:rsidRDefault="000D332A">
          <w:pPr>
            <w:pStyle w:val="TOC3"/>
            <w:tabs>
              <w:tab w:val="right" w:leader="dot" w:pos="9016"/>
            </w:tabs>
            <w:rPr>
              <w:rFonts w:asciiTheme="minorHAnsi" w:eastAsiaTheme="minorEastAsia" w:hAnsiTheme="minorHAnsi"/>
              <w:noProof/>
              <w:kern w:val="0"/>
              <w:sz w:val="22"/>
              <w:lang w:eastAsia="en-GB"/>
              <w14:ligatures w14:val="none"/>
            </w:rPr>
          </w:pPr>
          <w:hyperlink w:anchor="_Toc216711819" w:history="1">
            <w:r w:rsidR="00F05BB1" w:rsidRPr="002A63F3">
              <w:rPr>
                <w:rStyle w:val="Hyperlink"/>
                <w:rFonts w:asciiTheme="minorBidi" w:hAnsiTheme="minorBidi"/>
                <w:noProof/>
              </w:rPr>
              <w:t>2.3.2 Public Health Governance Model with a high level of centralisation.</w:t>
            </w:r>
            <w:r w:rsidR="00F05BB1">
              <w:rPr>
                <w:noProof/>
                <w:webHidden/>
              </w:rPr>
              <w:tab/>
            </w:r>
            <w:r w:rsidR="00F05BB1">
              <w:rPr>
                <w:noProof/>
                <w:webHidden/>
              </w:rPr>
              <w:fldChar w:fldCharType="begin"/>
            </w:r>
            <w:r w:rsidR="00F05BB1">
              <w:rPr>
                <w:noProof/>
                <w:webHidden/>
              </w:rPr>
              <w:instrText xml:space="preserve"> PAGEREF _Toc216711819 \h </w:instrText>
            </w:r>
            <w:r w:rsidR="00F05BB1">
              <w:rPr>
                <w:noProof/>
                <w:webHidden/>
              </w:rPr>
            </w:r>
            <w:r w:rsidR="00F05BB1">
              <w:rPr>
                <w:noProof/>
                <w:webHidden/>
              </w:rPr>
              <w:fldChar w:fldCharType="separate"/>
            </w:r>
            <w:r w:rsidR="00F05BB1">
              <w:rPr>
                <w:noProof/>
                <w:webHidden/>
              </w:rPr>
              <w:t>11</w:t>
            </w:r>
            <w:r w:rsidR="00F05BB1">
              <w:rPr>
                <w:noProof/>
                <w:webHidden/>
              </w:rPr>
              <w:fldChar w:fldCharType="end"/>
            </w:r>
          </w:hyperlink>
        </w:p>
        <w:p w14:paraId="5C6FDAE1" w14:textId="275958C7" w:rsidR="00F05BB1" w:rsidRDefault="000D332A">
          <w:pPr>
            <w:pStyle w:val="TOC3"/>
            <w:tabs>
              <w:tab w:val="right" w:leader="dot" w:pos="9016"/>
            </w:tabs>
            <w:rPr>
              <w:rFonts w:asciiTheme="minorHAnsi" w:eastAsiaTheme="minorEastAsia" w:hAnsiTheme="minorHAnsi"/>
              <w:noProof/>
              <w:kern w:val="0"/>
              <w:sz w:val="22"/>
              <w:lang w:eastAsia="en-GB"/>
              <w14:ligatures w14:val="none"/>
            </w:rPr>
          </w:pPr>
          <w:hyperlink w:anchor="_Toc216711820" w:history="1">
            <w:r w:rsidR="00F05BB1" w:rsidRPr="002A63F3">
              <w:rPr>
                <w:rStyle w:val="Hyperlink"/>
                <w:rFonts w:asciiTheme="minorBidi" w:hAnsiTheme="minorBidi"/>
                <w:noProof/>
              </w:rPr>
              <w:t>2.3.3 Korea Disease Control and Prevention Agency (KDCA) Role.</w:t>
            </w:r>
            <w:r w:rsidR="00F05BB1">
              <w:rPr>
                <w:noProof/>
                <w:webHidden/>
              </w:rPr>
              <w:tab/>
            </w:r>
            <w:r w:rsidR="00F05BB1">
              <w:rPr>
                <w:noProof/>
                <w:webHidden/>
              </w:rPr>
              <w:fldChar w:fldCharType="begin"/>
            </w:r>
            <w:r w:rsidR="00F05BB1">
              <w:rPr>
                <w:noProof/>
                <w:webHidden/>
              </w:rPr>
              <w:instrText xml:space="preserve"> PAGEREF _Toc216711820 \h </w:instrText>
            </w:r>
            <w:r w:rsidR="00F05BB1">
              <w:rPr>
                <w:noProof/>
                <w:webHidden/>
              </w:rPr>
            </w:r>
            <w:r w:rsidR="00F05BB1">
              <w:rPr>
                <w:noProof/>
                <w:webHidden/>
              </w:rPr>
              <w:fldChar w:fldCharType="separate"/>
            </w:r>
            <w:r w:rsidR="00F05BB1">
              <w:rPr>
                <w:noProof/>
                <w:webHidden/>
              </w:rPr>
              <w:t>11</w:t>
            </w:r>
            <w:r w:rsidR="00F05BB1">
              <w:rPr>
                <w:noProof/>
                <w:webHidden/>
              </w:rPr>
              <w:fldChar w:fldCharType="end"/>
            </w:r>
          </w:hyperlink>
        </w:p>
        <w:p w14:paraId="4A2CD99B" w14:textId="29F3E7C6" w:rsidR="00F05BB1" w:rsidRDefault="000D332A">
          <w:pPr>
            <w:pStyle w:val="TOC3"/>
            <w:tabs>
              <w:tab w:val="right" w:leader="dot" w:pos="9016"/>
            </w:tabs>
            <w:rPr>
              <w:rFonts w:asciiTheme="minorHAnsi" w:eastAsiaTheme="minorEastAsia" w:hAnsiTheme="minorHAnsi"/>
              <w:noProof/>
              <w:kern w:val="0"/>
              <w:sz w:val="22"/>
              <w:lang w:eastAsia="en-GB"/>
              <w14:ligatures w14:val="none"/>
            </w:rPr>
          </w:pPr>
          <w:hyperlink w:anchor="_Toc216711821" w:history="1">
            <w:r w:rsidR="00F05BB1" w:rsidRPr="002A63F3">
              <w:rPr>
                <w:rStyle w:val="Hyperlink"/>
                <w:rFonts w:asciiTheme="minorBidi" w:hAnsiTheme="minorBidi"/>
                <w:noProof/>
              </w:rPr>
              <w:t>2.3.4 Benefits of Centralised Crisis Management.</w:t>
            </w:r>
            <w:r w:rsidR="00F05BB1">
              <w:rPr>
                <w:noProof/>
                <w:webHidden/>
              </w:rPr>
              <w:tab/>
            </w:r>
            <w:r w:rsidR="00F05BB1">
              <w:rPr>
                <w:noProof/>
                <w:webHidden/>
              </w:rPr>
              <w:fldChar w:fldCharType="begin"/>
            </w:r>
            <w:r w:rsidR="00F05BB1">
              <w:rPr>
                <w:noProof/>
                <w:webHidden/>
              </w:rPr>
              <w:instrText xml:space="preserve"> PAGEREF _Toc216711821 \h </w:instrText>
            </w:r>
            <w:r w:rsidR="00F05BB1">
              <w:rPr>
                <w:noProof/>
                <w:webHidden/>
              </w:rPr>
            </w:r>
            <w:r w:rsidR="00F05BB1">
              <w:rPr>
                <w:noProof/>
                <w:webHidden/>
              </w:rPr>
              <w:fldChar w:fldCharType="separate"/>
            </w:r>
            <w:r w:rsidR="00F05BB1">
              <w:rPr>
                <w:noProof/>
                <w:webHidden/>
              </w:rPr>
              <w:t>11</w:t>
            </w:r>
            <w:r w:rsidR="00F05BB1">
              <w:rPr>
                <w:noProof/>
                <w:webHidden/>
              </w:rPr>
              <w:fldChar w:fldCharType="end"/>
            </w:r>
          </w:hyperlink>
        </w:p>
        <w:p w14:paraId="35A4F06B" w14:textId="609694A9" w:rsidR="00F05BB1" w:rsidRDefault="000D332A">
          <w:pPr>
            <w:pStyle w:val="TOC3"/>
            <w:tabs>
              <w:tab w:val="right" w:leader="dot" w:pos="9016"/>
            </w:tabs>
            <w:rPr>
              <w:rFonts w:asciiTheme="minorHAnsi" w:eastAsiaTheme="minorEastAsia" w:hAnsiTheme="minorHAnsi"/>
              <w:noProof/>
              <w:kern w:val="0"/>
              <w:sz w:val="22"/>
              <w:lang w:eastAsia="en-GB"/>
              <w14:ligatures w14:val="none"/>
            </w:rPr>
          </w:pPr>
          <w:hyperlink w:anchor="_Toc216711822" w:history="1">
            <w:r w:rsidR="00F05BB1" w:rsidRPr="002A63F3">
              <w:rPr>
                <w:rStyle w:val="Hyperlink"/>
                <w:rFonts w:asciiTheme="minorBidi" w:hAnsiTheme="minorBidi"/>
                <w:noProof/>
              </w:rPr>
              <w:t>2.3.5 Surveillance, Testing, and Electronic Contact Tracing.</w:t>
            </w:r>
            <w:r w:rsidR="00F05BB1">
              <w:rPr>
                <w:noProof/>
                <w:webHidden/>
              </w:rPr>
              <w:tab/>
            </w:r>
            <w:r w:rsidR="00F05BB1">
              <w:rPr>
                <w:noProof/>
                <w:webHidden/>
              </w:rPr>
              <w:fldChar w:fldCharType="begin"/>
            </w:r>
            <w:r w:rsidR="00F05BB1">
              <w:rPr>
                <w:noProof/>
                <w:webHidden/>
              </w:rPr>
              <w:instrText xml:space="preserve"> PAGEREF _Toc216711822 \h </w:instrText>
            </w:r>
            <w:r w:rsidR="00F05BB1">
              <w:rPr>
                <w:noProof/>
                <w:webHidden/>
              </w:rPr>
            </w:r>
            <w:r w:rsidR="00F05BB1">
              <w:rPr>
                <w:noProof/>
                <w:webHidden/>
              </w:rPr>
              <w:fldChar w:fldCharType="separate"/>
            </w:r>
            <w:r w:rsidR="00F05BB1">
              <w:rPr>
                <w:noProof/>
                <w:webHidden/>
              </w:rPr>
              <w:t>11</w:t>
            </w:r>
            <w:r w:rsidR="00F05BB1">
              <w:rPr>
                <w:noProof/>
                <w:webHidden/>
              </w:rPr>
              <w:fldChar w:fldCharType="end"/>
            </w:r>
          </w:hyperlink>
        </w:p>
        <w:p w14:paraId="13A7FBEF" w14:textId="2E709744" w:rsidR="00F05BB1" w:rsidRDefault="000D332A">
          <w:pPr>
            <w:pStyle w:val="TOC3"/>
            <w:tabs>
              <w:tab w:val="right" w:leader="dot" w:pos="9016"/>
            </w:tabs>
            <w:rPr>
              <w:rFonts w:asciiTheme="minorHAnsi" w:eastAsiaTheme="minorEastAsia" w:hAnsiTheme="minorHAnsi"/>
              <w:noProof/>
              <w:kern w:val="0"/>
              <w:sz w:val="22"/>
              <w:lang w:eastAsia="en-GB"/>
              <w14:ligatures w14:val="none"/>
            </w:rPr>
          </w:pPr>
          <w:hyperlink w:anchor="_Toc216711823" w:history="1">
            <w:r w:rsidR="00F05BB1" w:rsidRPr="002A63F3">
              <w:rPr>
                <w:rStyle w:val="Hyperlink"/>
                <w:rFonts w:asciiTheme="minorBidi" w:hAnsiTheme="minorBidi"/>
                <w:noProof/>
              </w:rPr>
              <w:t>2.3.6 Challenges and Ethical Concerns</w:t>
            </w:r>
            <w:r w:rsidR="00F05BB1">
              <w:rPr>
                <w:noProof/>
                <w:webHidden/>
              </w:rPr>
              <w:tab/>
            </w:r>
            <w:r w:rsidR="00F05BB1">
              <w:rPr>
                <w:noProof/>
                <w:webHidden/>
              </w:rPr>
              <w:fldChar w:fldCharType="begin"/>
            </w:r>
            <w:r w:rsidR="00F05BB1">
              <w:rPr>
                <w:noProof/>
                <w:webHidden/>
              </w:rPr>
              <w:instrText xml:space="preserve"> PAGEREF _Toc216711823 \h </w:instrText>
            </w:r>
            <w:r w:rsidR="00F05BB1">
              <w:rPr>
                <w:noProof/>
                <w:webHidden/>
              </w:rPr>
            </w:r>
            <w:r w:rsidR="00F05BB1">
              <w:rPr>
                <w:noProof/>
                <w:webHidden/>
              </w:rPr>
              <w:fldChar w:fldCharType="separate"/>
            </w:r>
            <w:r w:rsidR="00F05BB1">
              <w:rPr>
                <w:noProof/>
                <w:webHidden/>
              </w:rPr>
              <w:t>12</w:t>
            </w:r>
            <w:r w:rsidR="00F05BB1">
              <w:rPr>
                <w:noProof/>
                <w:webHidden/>
              </w:rPr>
              <w:fldChar w:fldCharType="end"/>
            </w:r>
          </w:hyperlink>
        </w:p>
        <w:p w14:paraId="2E78C91B" w14:textId="63AF2809" w:rsidR="00F05BB1" w:rsidRDefault="000D332A">
          <w:pPr>
            <w:pStyle w:val="TOC3"/>
            <w:tabs>
              <w:tab w:val="right" w:leader="dot" w:pos="9016"/>
            </w:tabs>
            <w:rPr>
              <w:rFonts w:asciiTheme="minorHAnsi" w:eastAsiaTheme="minorEastAsia" w:hAnsiTheme="minorHAnsi"/>
              <w:noProof/>
              <w:kern w:val="0"/>
              <w:sz w:val="22"/>
              <w:lang w:eastAsia="en-GB"/>
              <w14:ligatures w14:val="none"/>
            </w:rPr>
          </w:pPr>
          <w:hyperlink w:anchor="_Toc216711824" w:history="1">
            <w:r w:rsidR="00F05BB1" w:rsidRPr="002A63F3">
              <w:rPr>
                <w:rStyle w:val="Hyperlink"/>
                <w:rFonts w:asciiTheme="minorBidi" w:hAnsiTheme="minorBidi"/>
                <w:noProof/>
              </w:rPr>
              <w:t>2.3.7 Vaccination Performance and Health Outcomes.</w:t>
            </w:r>
            <w:r w:rsidR="00F05BB1">
              <w:rPr>
                <w:noProof/>
                <w:webHidden/>
              </w:rPr>
              <w:tab/>
            </w:r>
            <w:r w:rsidR="00F05BB1">
              <w:rPr>
                <w:noProof/>
                <w:webHidden/>
              </w:rPr>
              <w:fldChar w:fldCharType="begin"/>
            </w:r>
            <w:r w:rsidR="00F05BB1">
              <w:rPr>
                <w:noProof/>
                <w:webHidden/>
              </w:rPr>
              <w:instrText xml:space="preserve"> PAGEREF _Toc216711824 \h </w:instrText>
            </w:r>
            <w:r w:rsidR="00F05BB1">
              <w:rPr>
                <w:noProof/>
                <w:webHidden/>
              </w:rPr>
            </w:r>
            <w:r w:rsidR="00F05BB1">
              <w:rPr>
                <w:noProof/>
                <w:webHidden/>
              </w:rPr>
              <w:fldChar w:fldCharType="separate"/>
            </w:r>
            <w:r w:rsidR="00F05BB1">
              <w:rPr>
                <w:noProof/>
                <w:webHidden/>
              </w:rPr>
              <w:t>12</w:t>
            </w:r>
            <w:r w:rsidR="00F05BB1">
              <w:rPr>
                <w:noProof/>
                <w:webHidden/>
              </w:rPr>
              <w:fldChar w:fldCharType="end"/>
            </w:r>
          </w:hyperlink>
        </w:p>
        <w:p w14:paraId="6AC7DD02" w14:textId="11D90507" w:rsidR="00F05BB1" w:rsidRDefault="000D332A">
          <w:pPr>
            <w:pStyle w:val="TOC2"/>
            <w:tabs>
              <w:tab w:val="right" w:leader="dot" w:pos="9016"/>
            </w:tabs>
            <w:rPr>
              <w:rFonts w:asciiTheme="minorHAnsi" w:eastAsiaTheme="minorEastAsia" w:hAnsiTheme="minorHAnsi"/>
              <w:noProof/>
              <w:kern w:val="0"/>
              <w:sz w:val="22"/>
              <w:lang w:eastAsia="en-GB"/>
              <w14:ligatures w14:val="none"/>
            </w:rPr>
          </w:pPr>
          <w:hyperlink w:anchor="_Toc216711825" w:history="1">
            <w:r w:rsidR="00F05BB1" w:rsidRPr="002A63F3">
              <w:rPr>
                <w:rStyle w:val="Hyperlink"/>
                <w:rFonts w:asciiTheme="minorBidi" w:hAnsiTheme="minorBidi"/>
                <w:noProof/>
              </w:rPr>
              <w:t>2.4 Canada: Health System Organisation and the Response to COVID-19.</w:t>
            </w:r>
            <w:r w:rsidR="00F05BB1">
              <w:rPr>
                <w:noProof/>
                <w:webHidden/>
              </w:rPr>
              <w:tab/>
            </w:r>
            <w:r w:rsidR="00F05BB1">
              <w:rPr>
                <w:noProof/>
                <w:webHidden/>
              </w:rPr>
              <w:fldChar w:fldCharType="begin"/>
            </w:r>
            <w:r w:rsidR="00F05BB1">
              <w:rPr>
                <w:noProof/>
                <w:webHidden/>
              </w:rPr>
              <w:instrText xml:space="preserve"> PAGEREF _Toc216711825 \h </w:instrText>
            </w:r>
            <w:r w:rsidR="00F05BB1">
              <w:rPr>
                <w:noProof/>
                <w:webHidden/>
              </w:rPr>
            </w:r>
            <w:r w:rsidR="00F05BB1">
              <w:rPr>
                <w:noProof/>
                <w:webHidden/>
              </w:rPr>
              <w:fldChar w:fldCharType="separate"/>
            </w:r>
            <w:r w:rsidR="00F05BB1">
              <w:rPr>
                <w:noProof/>
                <w:webHidden/>
              </w:rPr>
              <w:t>13</w:t>
            </w:r>
            <w:r w:rsidR="00F05BB1">
              <w:rPr>
                <w:noProof/>
                <w:webHidden/>
              </w:rPr>
              <w:fldChar w:fldCharType="end"/>
            </w:r>
          </w:hyperlink>
        </w:p>
        <w:p w14:paraId="10768B84" w14:textId="1608B691" w:rsidR="00F05BB1" w:rsidRDefault="000D332A">
          <w:pPr>
            <w:pStyle w:val="TOC3"/>
            <w:tabs>
              <w:tab w:val="right" w:leader="dot" w:pos="9016"/>
            </w:tabs>
            <w:rPr>
              <w:rFonts w:asciiTheme="minorHAnsi" w:eastAsiaTheme="minorEastAsia" w:hAnsiTheme="minorHAnsi"/>
              <w:noProof/>
              <w:kern w:val="0"/>
              <w:sz w:val="22"/>
              <w:lang w:eastAsia="en-GB"/>
              <w14:ligatures w14:val="none"/>
            </w:rPr>
          </w:pPr>
          <w:hyperlink w:anchor="_Toc216711826" w:history="1">
            <w:r w:rsidR="00F05BB1" w:rsidRPr="002A63F3">
              <w:rPr>
                <w:rStyle w:val="Hyperlink"/>
                <w:rFonts w:asciiTheme="minorBidi" w:hAnsiTheme="minorBidi"/>
                <w:noProof/>
              </w:rPr>
              <w:t>2.4.1 Canadian Federal Health Care System Structure.</w:t>
            </w:r>
            <w:r w:rsidR="00F05BB1">
              <w:rPr>
                <w:noProof/>
                <w:webHidden/>
              </w:rPr>
              <w:tab/>
            </w:r>
            <w:r w:rsidR="00F05BB1">
              <w:rPr>
                <w:noProof/>
                <w:webHidden/>
              </w:rPr>
              <w:fldChar w:fldCharType="begin"/>
            </w:r>
            <w:r w:rsidR="00F05BB1">
              <w:rPr>
                <w:noProof/>
                <w:webHidden/>
              </w:rPr>
              <w:instrText xml:space="preserve"> PAGEREF _Toc216711826 \h </w:instrText>
            </w:r>
            <w:r w:rsidR="00F05BB1">
              <w:rPr>
                <w:noProof/>
                <w:webHidden/>
              </w:rPr>
            </w:r>
            <w:r w:rsidR="00F05BB1">
              <w:rPr>
                <w:noProof/>
                <w:webHidden/>
              </w:rPr>
              <w:fldChar w:fldCharType="separate"/>
            </w:r>
            <w:r w:rsidR="00F05BB1">
              <w:rPr>
                <w:noProof/>
                <w:webHidden/>
              </w:rPr>
              <w:t>13</w:t>
            </w:r>
            <w:r w:rsidR="00F05BB1">
              <w:rPr>
                <w:noProof/>
                <w:webHidden/>
              </w:rPr>
              <w:fldChar w:fldCharType="end"/>
            </w:r>
          </w:hyperlink>
        </w:p>
        <w:p w14:paraId="2ED30F1C" w14:textId="69247402" w:rsidR="00F05BB1" w:rsidRDefault="000D332A">
          <w:pPr>
            <w:pStyle w:val="TOC3"/>
            <w:tabs>
              <w:tab w:val="right" w:leader="dot" w:pos="9016"/>
            </w:tabs>
            <w:rPr>
              <w:rFonts w:asciiTheme="minorHAnsi" w:eastAsiaTheme="minorEastAsia" w:hAnsiTheme="minorHAnsi"/>
              <w:noProof/>
              <w:kern w:val="0"/>
              <w:sz w:val="22"/>
              <w:lang w:eastAsia="en-GB"/>
              <w14:ligatures w14:val="none"/>
            </w:rPr>
          </w:pPr>
          <w:hyperlink w:anchor="_Toc216711827" w:history="1">
            <w:r w:rsidR="00F05BB1" w:rsidRPr="002A63F3">
              <w:rPr>
                <w:rStyle w:val="Hyperlink"/>
                <w:rFonts w:asciiTheme="minorBidi" w:hAnsiTheme="minorBidi"/>
                <w:noProof/>
              </w:rPr>
              <w:t>2.4.2 Firm Provincial Decentralisation.</w:t>
            </w:r>
            <w:r w:rsidR="00F05BB1">
              <w:rPr>
                <w:noProof/>
                <w:webHidden/>
              </w:rPr>
              <w:tab/>
            </w:r>
            <w:r w:rsidR="00F05BB1">
              <w:rPr>
                <w:noProof/>
                <w:webHidden/>
              </w:rPr>
              <w:fldChar w:fldCharType="begin"/>
            </w:r>
            <w:r w:rsidR="00F05BB1">
              <w:rPr>
                <w:noProof/>
                <w:webHidden/>
              </w:rPr>
              <w:instrText xml:space="preserve"> PAGEREF _Toc216711827 \h </w:instrText>
            </w:r>
            <w:r w:rsidR="00F05BB1">
              <w:rPr>
                <w:noProof/>
                <w:webHidden/>
              </w:rPr>
            </w:r>
            <w:r w:rsidR="00F05BB1">
              <w:rPr>
                <w:noProof/>
                <w:webHidden/>
              </w:rPr>
              <w:fldChar w:fldCharType="separate"/>
            </w:r>
            <w:r w:rsidR="00F05BB1">
              <w:rPr>
                <w:noProof/>
                <w:webHidden/>
              </w:rPr>
              <w:t>13</w:t>
            </w:r>
            <w:r w:rsidR="00F05BB1">
              <w:rPr>
                <w:noProof/>
                <w:webHidden/>
              </w:rPr>
              <w:fldChar w:fldCharType="end"/>
            </w:r>
          </w:hyperlink>
        </w:p>
        <w:p w14:paraId="71F77BF0" w14:textId="1925358F" w:rsidR="00F05BB1" w:rsidRDefault="000D332A">
          <w:pPr>
            <w:pStyle w:val="TOC3"/>
            <w:tabs>
              <w:tab w:val="right" w:leader="dot" w:pos="9016"/>
            </w:tabs>
            <w:rPr>
              <w:rFonts w:asciiTheme="minorHAnsi" w:eastAsiaTheme="minorEastAsia" w:hAnsiTheme="minorHAnsi"/>
              <w:noProof/>
              <w:kern w:val="0"/>
              <w:sz w:val="22"/>
              <w:lang w:eastAsia="en-GB"/>
              <w14:ligatures w14:val="none"/>
            </w:rPr>
          </w:pPr>
          <w:hyperlink w:anchor="_Toc216711828" w:history="1">
            <w:r w:rsidR="00F05BB1" w:rsidRPr="002A63F3">
              <w:rPr>
                <w:rStyle w:val="Hyperlink"/>
                <w:rFonts w:asciiTheme="minorBidi" w:hAnsiTheme="minorBidi"/>
                <w:noProof/>
              </w:rPr>
              <w:t>2.4.3 Federal-Provincial Co-ordination in the time of the pandemic.</w:t>
            </w:r>
            <w:r w:rsidR="00F05BB1">
              <w:rPr>
                <w:noProof/>
                <w:webHidden/>
              </w:rPr>
              <w:tab/>
            </w:r>
            <w:r w:rsidR="00F05BB1">
              <w:rPr>
                <w:noProof/>
                <w:webHidden/>
              </w:rPr>
              <w:fldChar w:fldCharType="begin"/>
            </w:r>
            <w:r w:rsidR="00F05BB1">
              <w:rPr>
                <w:noProof/>
                <w:webHidden/>
              </w:rPr>
              <w:instrText xml:space="preserve"> PAGEREF _Toc216711828 \h </w:instrText>
            </w:r>
            <w:r w:rsidR="00F05BB1">
              <w:rPr>
                <w:noProof/>
                <w:webHidden/>
              </w:rPr>
            </w:r>
            <w:r w:rsidR="00F05BB1">
              <w:rPr>
                <w:noProof/>
                <w:webHidden/>
              </w:rPr>
              <w:fldChar w:fldCharType="separate"/>
            </w:r>
            <w:r w:rsidR="00F05BB1">
              <w:rPr>
                <w:noProof/>
                <w:webHidden/>
              </w:rPr>
              <w:t>13</w:t>
            </w:r>
            <w:r w:rsidR="00F05BB1">
              <w:rPr>
                <w:noProof/>
                <w:webHidden/>
              </w:rPr>
              <w:fldChar w:fldCharType="end"/>
            </w:r>
          </w:hyperlink>
        </w:p>
        <w:p w14:paraId="3E5A8D11" w14:textId="6B786447" w:rsidR="00F05BB1" w:rsidRDefault="000D332A">
          <w:pPr>
            <w:pStyle w:val="TOC3"/>
            <w:tabs>
              <w:tab w:val="right" w:leader="dot" w:pos="9016"/>
            </w:tabs>
            <w:rPr>
              <w:rFonts w:asciiTheme="minorHAnsi" w:eastAsiaTheme="minorEastAsia" w:hAnsiTheme="minorHAnsi"/>
              <w:noProof/>
              <w:kern w:val="0"/>
              <w:sz w:val="22"/>
              <w:lang w:eastAsia="en-GB"/>
              <w14:ligatures w14:val="none"/>
            </w:rPr>
          </w:pPr>
          <w:hyperlink w:anchor="_Toc216711829" w:history="1">
            <w:r w:rsidR="00F05BB1" w:rsidRPr="002A63F3">
              <w:rPr>
                <w:rStyle w:val="Hyperlink"/>
                <w:rFonts w:asciiTheme="minorBidi" w:hAnsiTheme="minorBidi"/>
                <w:noProof/>
              </w:rPr>
              <w:t>2.4.4 Benefits of the Decentralised Health Model.</w:t>
            </w:r>
            <w:r w:rsidR="00F05BB1">
              <w:rPr>
                <w:noProof/>
                <w:webHidden/>
              </w:rPr>
              <w:tab/>
            </w:r>
            <w:r w:rsidR="00F05BB1">
              <w:rPr>
                <w:noProof/>
                <w:webHidden/>
              </w:rPr>
              <w:fldChar w:fldCharType="begin"/>
            </w:r>
            <w:r w:rsidR="00F05BB1">
              <w:rPr>
                <w:noProof/>
                <w:webHidden/>
              </w:rPr>
              <w:instrText xml:space="preserve"> PAGEREF _Toc216711829 \h </w:instrText>
            </w:r>
            <w:r w:rsidR="00F05BB1">
              <w:rPr>
                <w:noProof/>
                <w:webHidden/>
              </w:rPr>
            </w:r>
            <w:r w:rsidR="00F05BB1">
              <w:rPr>
                <w:noProof/>
                <w:webHidden/>
              </w:rPr>
              <w:fldChar w:fldCharType="separate"/>
            </w:r>
            <w:r w:rsidR="00F05BB1">
              <w:rPr>
                <w:noProof/>
                <w:webHidden/>
              </w:rPr>
              <w:t>13</w:t>
            </w:r>
            <w:r w:rsidR="00F05BB1">
              <w:rPr>
                <w:noProof/>
                <w:webHidden/>
              </w:rPr>
              <w:fldChar w:fldCharType="end"/>
            </w:r>
          </w:hyperlink>
        </w:p>
        <w:p w14:paraId="32E287CA" w14:textId="35F4E043" w:rsidR="00F05BB1" w:rsidRDefault="000D332A">
          <w:pPr>
            <w:pStyle w:val="TOC3"/>
            <w:tabs>
              <w:tab w:val="right" w:leader="dot" w:pos="9016"/>
            </w:tabs>
            <w:rPr>
              <w:rFonts w:asciiTheme="minorHAnsi" w:eastAsiaTheme="minorEastAsia" w:hAnsiTheme="minorHAnsi"/>
              <w:noProof/>
              <w:kern w:val="0"/>
              <w:sz w:val="22"/>
              <w:lang w:eastAsia="en-GB"/>
              <w14:ligatures w14:val="none"/>
            </w:rPr>
          </w:pPr>
          <w:hyperlink w:anchor="_Toc216711830" w:history="1">
            <w:r w:rsidR="00F05BB1" w:rsidRPr="002A63F3">
              <w:rPr>
                <w:rStyle w:val="Hyperlink"/>
                <w:rFonts w:asciiTheme="minorBidi" w:hAnsiTheme="minorBidi"/>
                <w:noProof/>
              </w:rPr>
              <w:t>2.4.5 Supply Chain, Vaccine Procurement and Data Fragmentation.</w:t>
            </w:r>
            <w:r w:rsidR="00F05BB1">
              <w:rPr>
                <w:noProof/>
                <w:webHidden/>
              </w:rPr>
              <w:tab/>
            </w:r>
            <w:r w:rsidR="00F05BB1">
              <w:rPr>
                <w:noProof/>
                <w:webHidden/>
              </w:rPr>
              <w:fldChar w:fldCharType="begin"/>
            </w:r>
            <w:r w:rsidR="00F05BB1">
              <w:rPr>
                <w:noProof/>
                <w:webHidden/>
              </w:rPr>
              <w:instrText xml:space="preserve"> PAGEREF _Toc216711830 \h </w:instrText>
            </w:r>
            <w:r w:rsidR="00F05BB1">
              <w:rPr>
                <w:noProof/>
                <w:webHidden/>
              </w:rPr>
            </w:r>
            <w:r w:rsidR="00F05BB1">
              <w:rPr>
                <w:noProof/>
                <w:webHidden/>
              </w:rPr>
              <w:fldChar w:fldCharType="separate"/>
            </w:r>
            <w:r w:rsidR="00F05BB1">
              <w:rPr>
                <w:noProof/>
                <w:webHidden/>
              </w:rPr>
              <w:t>13</w:t>
            </w:r>
            <w:r w:rsidR="00F05BB1">
              <w:rPr>
                <w:noProof/>
                <w:webHidden/>
              </w:rPr>
              <w:fldChar w:fldCharType="end"/>
            </w:r>
          </w:hyperlink>
        </w:p>
        <w:p w14:paraId="37801638" w14:textId="1B2870CC" w:rsidR="00F05BB1" w:rsidRDefault="000D332A">
          <w:pPr>
            <w:pStyle w:val="TOC3"/>
            <w:tabs>
              <w:tab w:val="right" w:leader="dot" w:pos="9016"/>
            </w:tabs>
            <w:rPr>
              <w:rFonts w:asciiTheme="minorHAnsi" w:eastAsiaTheme="minorEastAsia" w:hAnsiTheme="minorHAnsi"/>
              <w:noProof/>
              <w:kern w:val="0"/>
              <w:sz w:val="22"/>
              <w:lang w:eastAsia="en-GB"/>
              <w14:ligatures w14:val="none"/>
            </w:rPr>
          </w:pPr>
          <w:hyperlink w:anchor="_Toc216711831" w:history="1">
            <w:r w:rsidR="00F05BB1" w:rsidRPr="002A63F3">
              <w:rPr>
                <w:rStyle w:val="Hyperlink"/>
                <w:rFonts w:asciiTheme="minorBidi" w:hAnsiTheme="minorBidi"/>
                <w:noProof/>
              </w:rPr>
              <w:t>2.4.6 Performance in terms of Health outcomes and Vaccination.</w:t>
            </w:r>
            <w:r w:rsidR="00F05BB1">
              <w:rPr>
                <w:noProof/>
                <w:webHidden/>
              </w:rPr>
              <w:tab/>
            </w:r>
            <w:r w:rsidR="00F05BB1">
              <w:rPr>
                <w:noProof/>
                <w:webHidden/>
              </w:rPr>
              <w:fldChar w:fldCharType="begin"/>
            </w:r>
            <w:r w:rsidR="00F05BB1">
              <w:rPr>
                <w:noProof/>
                <w:webHidden/>
              </w:rPr>
              <w:instrText xml:space="preserve"> PAGEREF _Toc216711831 \h </w:instrText>
            </w:r>
            <w:r w:rsidR="00F05BB1">
              <w:rPr>
                <w:noProof/>
                <w:webHidden/>
              </w:rPr>
            </w:r>
            <w:r w:rsidR="00F05BB1">
              <w:rPr>
                <w:noProof/>
                <w:webHidden/>
              </w:rPr>
              <w:fldChar w:fldCharType="separate"/>
            </w:r>
            <w:r w:rsidR="00F05BB1">
              <w:rPr>
                <w:noProof/>
                <w:webHidden/>
              </w:rPr>
              <w:t>14</w:t>
            </w:r>
            <w:r w:rsidR="00F05BB1">
              <w:rPr>
                <w:noProof/>
                <w:webHidden/>
              </w:rPr>
              <w:fldChar w:fldCharType="end"/>
            </w:r>
          </w:hyperlink>
        </w:p>
        <w:p w14:paraId="47E120E9" w14:textId="0EABC764" w:rsidR="00F05BB1" w:rsidRDefault="000D332A">
          <w:pPr>
            <w:pStyle w:val="TOC2"/>
            <w:tabs>
              <w:tab w:val="right" w:leader="dot" w:pos="9016"/>
            </w:tabs>
            <w:rPr>
              <w:rFonts w:asciiTheme="minorHAnsi" w:eastAsiaTheme="minorEastAsia" w:hAnsiTheme="minorHAnsi"/>
              <w:noProof/>
              <w:kern w:val="0"/>
              <w:sz w:val="22"/>
              <w:lang w:eastAsia="en-GB"/>
              <w14:ligatures w14:val="none"/>
            </w:rPr>
          </w:pPr>
          <w:hyperlink w:anchor="_Toc216711832" w:history="1">
            <w:r w:rsidR="00F05BB1" w:rsidRPr="002A63F3">
              <w:rPr>
                <w:rStyle w:val="Hyperlink"/>
                <w:rFonts w:asciiTheme="minorBidi" w:hAnsiTheme="minorBidi"/>
                <w:noProof/>
              </w:rPr>
              <w:t>2.5 Comparative Evaluation of Health System Approaches</w:t>
            </w:r>
            <w:r w:rsidR="00F05BB1">
              <w:rPr>
                <w:noProof/>
                <w:webHidden/>
              </w:rPr>
              <w:tab/>
            </w:r>
            <w:r w:rsidR="00F05BB1">
              <w:rPr>
                <w:noProof/>
                <w:webHidden/>
              </w:rPr>
              <w:fldChar w:fldCharType="begin"/>
            </w:r>
            <w:r w:rsidR="00F05BB1">
              <w:rPr>
                <w:noProof/>
                <w:webHidden/>
              </w:rPr>
              <w:instrText xml:space="preserve"> PAGEREF _Toc216711832 \h </w:instrText>
            </w:r>
            <w:r w:rsidR="00F05BB1">
              <w:rPr>
                <w:noProof/>
                <w:webHidden/>
              </w:rPr>
            </w:r>
            <w:r w:rsidR="00F05BB1">
              <w:rPr>
                <w:noProof/>
                <w:webHidden/>
              </w:rPr>
              <w:fldChar w:fldCharType="separate"/>
            </w:r>
            <w:r w:rsidR="00F05BB1">
              <w:rPr>
                <w:noProof/>
                <w:webHidden/>
              </w:rPr>
              <w:t>14</w:t>
            </w:r>
            <w:r w:rsidR="00F05BB1">
              <w:rPr>
                <w:noProof/>
                <w:webHidden/>
              </w:rPr>
              <w:fldChar w:fldCharType="end"/>
            </w:r>
          </w:hyperlink>
        </w:p>
        <w:p w14:paraId="22B857D3" w14:textId="50380803" w:rsidR="00F05BB1" w:rsidRDefault="000D332A">
          <w:pPr>
            <w:pStyle w:val="TOC3"/>
            <w:tabs>
              <w:tab w:val="right" w:leader="dot" w:pos="9016"/>
            </w:tabs>
            <w:rPr>
              <w:rFonts w:asciiTheme="minorHAnsi" w:eastAsiaTheme="minorEastAsia" w:hAnsiTheme="minorHAnsi"/>
              <w:noProof/>
              <w:kern w:val="0"/>
              <w:sz w:val="22"/>
              <w:lang w:eastAsia="en-GB"/>
              <w14:ligatures w14:val="none"/>
            </w:rPr>
          </w:pPr>
          <w:hyperlink w:anchor="_Toc216711833" w:history="1">
            <w:r w:rsidR="00F05BB1" w:rsidRPr="002A63F3">
              <w:rPr>
                <w:rStyle w:val="Hyperlink"/>
                <w:rFonts w:asciiTheme="minorBidi" w:hAnsiTheme="minorBidi"/>
                <w:noProof/>
              </w:rPr>
              <w:t>2.5.1 Centralisation vs Decentralisation: Comparative Strengths</w:t>
            </w:r>
            <w:r w:rsidR="00F05BB1">
              <w:rPr>
                <w:noProof/>
                <w:webHidden/>
              </w:rPr>
              <w:tab/>
            </w:r>
            <w:r w:rsidR="00F05BB1">
              <w:rPr>
                <w:noProof/>
                <w:webHidden/>
              </w:rPr>
              <w:fldChar w:fldCharType="begin"/>
            </w:r>
            <w:r w:rsidR="00F05BB1">
              <w:rPr>
                <w:noProof/>
                <w:webHidden/>
              </w:rPr>
              <w:instrText xml:space="preserve"> PAGEREF _Toc216711833 \h </w:instrText>
            </w:r>
            <w:r w:rsidR="00F05BB1">
              <w:rPr>
                <w:noProof/>
                <w:webHidden/>
              </w:rPr>
            </w:r>
            <w:r w:rsidR="00F05BB1">
              <w:rPr>
                <w:noProof/>
                <w:webHidden/>
              </w:rPr>
              <w:fldChar w:fldCharType="separate"/>
            </w:r>
            <w:r w:rsidR="00F05BB1">
              <w:rPr>
                <w:noProof/>
                <w:webHidden/>
              </w:rPr>
              <w:t>14</w:t>
            </w:r>
            <w:r w:rsidR="00F05BB1">
              <w:rPr>
                <w:noProof/>
                <w:webHidden/>
              </w:rPr>
              <w:fldChar w:fldCharType="end"/>
            </w:r>
          </w:hyperlink>
        </w:p>
        <w:p w14:paraId="150DF094" w14:textId="3DFF3212" w:rsidR="00F05BB1" w:rsidRDefault="000D332A">
          <w:pPr>
            <w:pStyle w:val="TOC3"/>
            <w:tabs>
              <w:tab w:val="right" w:leader="dot" w:pos="9016"/>
            </w:tabs>
            <w:rPr>
              <w:rFonts w:asciiTheme="minorHAnsi" w:eastAsiaTheme="minorEastAsia" w:hAnsiTheme="minorHAnsi"/>
              <w:noProof/>
              <w:kern w:val="0"/>
              <w:sz w:val="22"/>
              <w:lang w:eastAsia="en-GB"/>
              <w14:ligatures w14:val="none"/>
            </w:rPr>
          </w:pPr>
          <w:hyperlink w:anchor="_Toc216711834" w:history="1">
            <w:r w:rsidR="00F05BB1" w:rsidRPr="002A63F3">
              <w:rPr>
                <w:rStyle w:val="Hyperlink"/>
                <w:rFonts w:asciiTheme="minorBidi" w:hAnsiTheme="minorBidi"/>
                <w:noProof/>
              </w:rPr>
              <w:t>2.5.2 Policy Co-ordination, effectivity and crisis responsiveness.</w:t>
            </w:r>
            <w:r w:rsidR="00F05BB1">
              <w:rPr>
                <w:noProof/>
                <w:webHidden/>
              </w:rPr>
              <w:tab/>
            </w:r>
            <w:r w:rsidR="00F05BB1">
              <w:rPr>
                <w:noProof/>
                <w:webHidden/>
              </w:rPr>
              <w:fldChar w:fldCharType="begin"/>
            </w:r>
            <w:r w:rsidR="00F05BB1">
              <w:rPr>
                <w:noProof/>
                <w:webHidden/>
              </w:rPr>
              <w:instrText xml:space="preserve"> PAGEREF _Toc216711834 \h </w:instrText>
            </w:r>
            <w:r w:rsidR="00F05BB1">
              <w:rPr>
                <w:noProof/>
                <w:webHidden/>
              </w:rPr>
            </w:r>
            <w:r w:rsidR="00F05BB1">
              <w:rPr>
                <w:noProof/>
                <w:webHidden/>
              </w:rPr>
              <w:fldChar w:fldCharType="separate"/>
            </w:r>
            <w:r w:rsidR="00F05BB1">
              <w:rPr>
                <w:noProof/>
                <w:webHidden/>
              </w:rPr>
              <w:t>15</w:t>
            </w:r>
            <w:r w:rsidR="00F05BB1">
              <w:rPr>
                <w:noProof/>
                <w:webHidden/>
              </w:rPr>
              <w:fldChar w:fldCharType="end"/>
            </w:r>
          </w:hyperlink>
        </w:p>
        <w:p w14:paraId="52D316B6" w14:textId="243D8E8C" w:rsidR="00F05BB1" w:rsidRDefault="000D332A">
          <w:pPr>
            <w:pStyle w:val="TOC3"/>
            <w:tabs>
              <w:tab w:val="right" w:leader="dot" w:pos="9016"/>
            </w:tabs>
            <w:rPr>
              <w:rFonts w:asciiTheme="minorHAnsi" w:eastAsiaTheme="minorEastAsia" w:hAnsiTheme="minorHAnsi"/>
              <w:noProof/>
              <w:kern w:val="0"/>
              <w:sz w:val="22"/>
              <w:lang w:eastAsia="en-GB"/>
              <w14:ligatures w14:val="none"/>
            </w:rPr>
          </w:pPr>
          <w:hyperlink w:anchor="_Toc216711835" w:history="1">
            <w:r w:rsidR="00F05BB1" w:rsidRPr="002A63F3">
              <w:rPr>
                <w:rStyle w:val="Hyperlink"/>
                <w:rFonts w:asciiTheme="minorBidi" w:hAnsiTheme="minorBidi"/>
                <w:noProof/>
              </w:rPr>
              <w:t>2.5.3 Mortality, Vaccination coverage and Public Trust Impact.</w:t>
            </w:r>
            <w:r w:rsidR="00F05BB1">
              <w:rPr>
                <w:noProof/>
                <w:webHidden/>
              </w:rPr>
              <w:tab/>
            </w:r>
            <w:r w:rsidR="00F05BB1">
              <w:rPr>
                <w:noProof/>
                <w:webHidden/>
              </w:rPr>
              <w:fldChar w:fldCharType="begin"/>
            </w:r>
            <w:r w:rsidR="00F05BB1">
              <w:rPr>
                <w:noProof/>
                <w:webHidden/>
              </w:rPr>
              <w:instrText xml:space="preserve"> PAGEREF _Toc216711835 \h </w:instrText>
            </w:r>
            <w:r w:rsidR="00F05BB1">
              <w:rPr>
                <w:noProof/>
                <w:webHidden/>
              </w:rPr>
            </w:r>
            <w:r w:rsidR="00F05BB1">
              <w:rPr>
                <w:noProof/>
                <w:webHidden/>
              </w:rPr>
              <w:fldChar w:fldCharType="separate"/>
            </w:r>
            <w:r w:rsidR="00F05BB1">
              <w:rPr>
                <w:noProof/>
                <w:webHidden/>
              </w:rPr>
              <w:t>15</w:t>
            </w:r>
            <w:r w:rsidR="00F05BB1">
              <w:rPr>
                <w:noProof/>
                <w:webHidden/>
              </w:rPr>
              <w:fldChar w:fldCharType="end"/>
            </w:r>
          </w:hyperlink>
        </w:p>
        <w:p w14:paraId="071B1FC2" w14:textId="788A08E6" w:rsidR="00F05BB1" w:rsidRDefault="000D332A">
          <w:pPr>
            <w:pStyle w:val="TOC1"/>
            <w:rPr>
              <w:rFonts w:asciiTheme="minorHAnsi" w:eastAsiaTheme="minorEastAsia" w:hAnsiTheme="minorHAnsi"/>
              <w:noProof/>
              <w:kern w:val="0"/>
              <w:sz w:val="22"/>
              <w:lang w:eastAsia="en-GB"/>
              <w14:ligatures w14:val="none"/>
            </w:rPr>
          </w:pPr>
          <w:hyperlink w:anchor="_Toc216711836" w:history="1">
            <w:r w:rsidR="00F05BB1" w:rsidRPr="002A63F3">
              <w:rPr>
                <w:rStyle w:val="Hyperlink"/>
                <w:rFonts w:asciiTheme="minorBidi" w:hAnsiTheme="minorBidi"/>
                <w:noProof/>
              </w:rPr>
              <w:t>3. Leadership Style Critical Analysis in the Case of COVID-19.</w:t>
            </w:r>
            <w:r w:rsidR="00F05BB1">
              <w:rPr>
                <w:noProof/>
                <w:webHidden/>
              </w:rPr>
              <w:tab/>
            </w:r>
            <w:r w:rsidR="00F05BB1">
              <w:rPr>
                <w:noProof/>
                <w:webHidden/>
              </w:rPr>
              <w:fldChar w:fldCharType="begin"/>
            </w:r>
            <w:r w:rsidR="00F05BB1">
              <w:rPr>
                <w:noProof/>
                <w:webHidden/>
              </w:rPr>
              <w:instrText xml:space="preserve"> PAGEREF _Toc216711836 \h </w:instrText>
            </w:r>
            <w:r w:rsidR="00F05BB1">
              <w:rPr>
                <w:noProof/>
                <w:webHidden/>
              </w:rPr>
            </w:r>
            <w:r w:rsidR="00F05BB1">
              <w:rPr>
                <w:noProof/>
                <w:webHidden/>
              </w:rPr>
              <w:fldChar w:fldCharType="separate"/>
            </w:r>
            <w:r w:rsidR="00F05BB1">
              <w:rPr>
                <w:noProof/>
                <w:webHidden/>
              </w:rPr>
              <w:t>16</w:t>
            </w:r>
            <w:r w:rsidR="00F05BB1">
              <w:rPr>
                <w:noProof/>
                <w:webHidden/>
              </w:rPr>
              <w:fldChar w:fldCharType="end"/>
            </w:r>
          </w:hyperlink>
        </w:p>
        <w:p w14:paraId="369E0E93" w14:textId="7B2592F0" w:rsidR="00F05BB1" w:rsidRDefault="000D332A">
          <w:pPr>
            <w:pStyle w:val="TOC2"/>
            <w:tabs>
              <w:tab w:val="right" w:leader="dot" w:pos="9016"/>
            </w:tabs>
            <w:rPr>
              <w:rFonts w:asciiTheme="minorHAnsi" w:eastAsiaTheme="minorEastAsia" w:hAnsiTheme="minorHAnsi"/>
              <w:noProof/>
              <w:kern w:val="0"/>
              <w:sz w:val="22"/>
              <w:lang w:eastAsia="en-GB"/>
              <w14:ligatures w14:val="none"/>
            </w:rPr>
          </w:pPr>
          <w:hyperlink w:anchor="_Toc216711837" w:history="1">
            <w:r w:rsidR="00F05BB1" w:rsidRPr="002A63F3">
              <w:rPr>
                <w:rStyle w:val="Hyperlink"/>
                <w:rFonts w:asciiTheme="minorBidi" w:hAnsiTheme="minorBidi"/>
                <w:noProof/>
              </w:rPr>
              <w:t>3.1 Spain: Leadership Style and Decision-making about the pandemic.</w:t>
            </w:r>
            <w:r w:rsidR="00F05BB1">
              <w:rPr>
                <w:noProof/>
                <w:webHidden/>
              </w:rPr>
              <w:tab/>
            </w:r>
            <w:r w:rsidR="00F05BB1">
              <w:rPr>
                <w:noProof/>
                <w:webHidden/>
              </w:rPr>
              <w:fldChar w:fldCharType="begin"/>
            </w:r>
            <w:r w:rsidR="00F05BB1">
              <w:rPr>
                <w:noProof/>
                <w:webHidden/>
              </w:rPr>
              <w:instrText xml:space="preserve"> PAGEREF _Toc216711837 \h </w:instrText>
            </w:r>
            <w:r w:rsidR="00F05BB1">
              <w:rPr>
                <w:noProof/>
                <w:webHidden/>
              </w:rPr>
            </w:r>
            <w:r w:rsidR="00F05BB1">
              <w:rPr>
                <w:noProof/>
                <w:webHidden/>
              </w:rPr>
              <w:fldChar w:fldCharType="separate"/>
            </w:r>
            <w:r w:rsidR="00F05BB1">
              <w:rPr>
                <w:noProof/>
                <w:webHidden/>
              </w:rPr>
              <w:t>16</w:t>
            </w:r>
            <w:r w:rsidR="00F05BB1">
              <w:rPr>
                <w:noProof/>
                <w:webHidden/>
              </w:rPr>
              <w:fldChar w:fldCharType="end"/>
            </w:r>
          </w:hyperlink>
        </w:p>
        <w:p w14:paraId="68A1E09C" w14:textId="6BE02F17" w:rsidR="00F05BB1" w:rsidRDefault="000D332A">
          <w:pPr>
            <w:pStyle w:val="TOC3"/>
            <w:tabs>
              <w:tab w:val="right" w:leader="dot" w:pos="9016"/>
            </w:tabs>
            <w:rPr>
              <w:rFonts w:asciiTheme="minorHAnsi" w:eastAsiaTheme="minorEastAsia" w:hAnsiTheme="minorHAnsi"/>
              <w:noProof/>
              <w:kern w:val="0"/>
              <w:sz w:val="22"/>
              <w:lang w:eastAsia="en-GB"/>
              <w14:ligatures w14:val="none"/>
            </w:rPr>
          </w:pPr>
          <w:hyperlink w:anchor="_Toc216711838" w:history="1">
            <w:r w:rsidR="00F05BB1" w:rsidRPr="002A63F3">
              <w:rPr>
                <w:rStyle w:val="Hyperlink"/>
                <w:rFonts w:asciiTheme="minorBidi" w:hAnsiTheme="minorBidi"/>
                <w:noProof/>
              </w:rPr>
              <w:t>3.1.1 Political and Public Health Leadership Structure Overview.</w:t>
            </w:r>
            <w:r w:rsidR="00F05BB1">
              <w:rPr>
                <w:noProof/>
                <w:webHidden/>
              </w:rPr>
              <w:tab/>
            </w:r>
            <w:r w:rsidR="00F05BB1">
              <w:rPr>
                <w:noProof/>
                <w:webHidden/>
              </w:rPr>
              <w:fldChar w:fldCharType="begin"/>
            </w:r>
            <w:r w:rsidR="00F05BB1">
              <w:rPr>
                <w:noProof/>
                <w:webHidden/>
              </w:rPr>
              <w:instrText xml:space="preserve"> PAGEREF _Toc216711838 \h </w:instrText>
            </w:r>
            <w:r w:rsidR="00F05BB1">
              <w:rPr>
                <w:noProof/>
                <w:webHidden/>
              </w:rPr>
            </w:r>
            <w:r w:rsidR="00F05BB1">
              <w:rPr>
                <w:noProof/>
                <w:webHidden/>
              </w:rPr>
              <w:fldChar w:fldCharType="separate"/>
            </w:r>
            <w:r w:rsidR="00F05BB1">
              <w:rPr>
                <w:noProof/>
                <w:webHidden/>
              </w:rPr>
              <w:t>16</w:t>
            </w:r>
            <w:r w:rsidR="00F05BB1">
              <w:rPr>
                <w:noProof/>
                <w:webHidden/>
              </w:rPr>
              <w:fldChar w:fldCharType="end"/>
            </w:r>
          </w:hyperlink>
        </w:p>
        <w:p w14:paraId="2532BE41" w14:textId="53D5C7C8" w:rsidR="00F05BB1" w:rsidRDefault="000D332A">
          <w:pPr>
            <w:pStyle w:val="TOC3"/>
            <w:tabs>
              <w:tab w:val="right" w:leader="dot" w:pos="9016"/>
            </w:tabs>
            <w:rPr>
              <w:rFonts w:asciiTheme="minorHAnsi" w:eastAsiaTheme="minorEastAsia" w:hAnsiTheme="minorHAnsi"/>
              <w:noProof/>
              <w:kern w:val="0"/>
              <w:sz w:val="22"/>
              <w:lang w:eastAsia="en-GB"/>
              <w14:ligatures w14:val="none"/>
            </w:rPr>
          </w:pPr>
          <w:hyperlink w:anchor="_Toc216711839" w:history="1">
            <w:r w:rsidR="00F05BB1" w:rsidRPr="002A63F3">
              <w:rPr>
                <w:rStyle w:val="Hyperlink"/>
                <w:rFonts w:ascii="Arial" w:hAnsi="Arial" w:cs="Arial"/>
                <w:noProof/>
              </w:rPr>
              <w:t>3.1.2 Theories of Leadership Applied to Spain in COVID-19 Response.</w:t>
            </w:r>
            <w:r w:rsidR="00F05BB1">
              <w:rPr>
                <w:noProof/>
                <w:webHidden/>
              </w:rPr>
              <w:tab/>
            </w:r>
            <w:r w:rsidR="00F05BB1">
              <w:rPr>
                <w:noProof/>
                <w:webHidden/>
              </w:rPr>
              <w:fldChar w:fldCharType="begin"/>
            </w:r>
            <w:r w:rsidR="00F05BB1">
              <w:rPr>
                <w:noProof/>
                <w:webHidden/>
              </w:rPr>
              <w:instrText xml:space="preserve"> PAGEREF _Toc216711839 \h </w:instrText>
            </w:r>
            <w:r w:rsidR="00F05BB1">
              <w:rPr>
                <w:noProof/>
                <w:webHidden/>
              </w:rPr>
            </w:r>
            <w:r w:rsidR="00F05BB1">
              <w:rPr>
                <w:noProof/>
                <w:webHidden/>
              </w:rPr>
              <w:fldChar w:fldCharType="separate"/>
            </w:r>
            <w:r w:rsidR="00F05BB1">
              <w:rPr>
                <w:noProof/>
                <w:webHidden/>
              </w:rPr>
              <w:t>16</w:t>
            </w:r>
            <w:r w:rsidR="00F05BB1">
              <w:rPr>
                <w:noProof/>
                <w:webHidden/>
              </w:rPr>
              <w:fldChar w:fldCharType="end"/>
            </w:r>
          </w:hyperlink>
        </w:p>
        <w:p w14:paraId="26B98793" w14:textId="7D6123E8" w:rsidR="00F05BB1" w:rsidRDefault="000D332A">
          <w:pPr>
            <w:pStyle w:val="TOC3"/>
            <w:tabs>
              <w:tab w:val="right" w:leader="dot" w:pos="9016"/>
            </w:tabs>
            <w:rPr>
              <w:rFonts w:asciiTheme="minorHAnsi" w:eastAsiaTheme="minorEastAsia" w:hAnsiTheme="minorHAnsi"/>
              <w:noProof/>
              <w:kern w:val="0"/>
              <w:sz w:val="22"/>
              <w:lang w:eastAsia="en-GB"/>
              <w14:ligatures w14:val="none"/>
            </w:rPr>
          </w:pPr>
          <w:hyperlink w:anchor="_Toc216711840" w:history="1">
            <w:r w:rsidR="00F05BB1" w:rsidRPr="002A63F3">
              <w:rPr>
                <w:rStyle w:val="Hyperlink"/>
                <w:rFonts w:ascii="Arial" w:hAnsi="Arial" w:cs="Arial"/>
                <w:noProof/>
              </w:rPr>
              <w:t>3.1.3 Early Delay, Risk Communication, and Strategic Failure.</w:t>
            </w:r>
            <w:r w:rsidR="00F05BB1">
              <w:rPr>
                <w:noProof/>
                <w:webHidden/>
              </w:rPr>
              <w:tab/>
            </w:r>
            <w:r w:rsidR="00F05BB1">
              <w:rPr>
                <w:noProof/>
                <w:webHidden/>
              </w:rPr>
              <w:fldChar w:fldCharType="begin"/>
            </w:r>
            <w:r w:rsidR="00F05BB1">
              <w:rPr>
                <w:noProof/>
                <w:webHidden/>
              </w:rPr>
              <w:instrText xml:space="preserve"> PAGEREF _Toc216711840 \h </w:instrText>
            </w:r>
            <w:r w:rsidR="00F05BB1">
              <w:rPr>
                <w:noProof/>
                <w:webHidden/>
              </w:rPr>
            </w:r>
            <w:r w:rsidR="00F05BB1">
              <w:rPr>
                <w:noProof/>
                <w:webHidden/>
              </w:rPr>
              <w:fldChar w:fldCharType="separate"/>
            </w:r>
            <w:r w:rsidR="00F05BB1">
              <w:rPr>
                <w:noProof/>
                <w:webHidden/>
              </w:rPr>
              <w:t>18</w:t>
            </w:r>
            <w:r w:rsidR="00F05BB1">
              <w:rPr>
                <w:noProof/>
                <w:webHidden/>
              </w:rPr>
              <w:fldChar w:fldCharType="end"/>
            </w:r>
          </w:hyperlink>
        </w:p>
        <w:p w14:paraId="3692E294" w14:textId="21E0069B" w:rsidR="00F05BB1" w:rsidRDefault="000D332A">
          <w:pPr>
            <w:pStyle w:val="TOC3"/>
            <w:tabs>
              <w:tab w:val="right" w:leader="dot" w:pos="9016"/>
            </w:tabs>
            <w:rPr>
              <w:rFonts w:asciiTheme="minorHAnsi" w:eastAsiaTheme="minorEastAsia" w:hAnsiTheme="minorHAnsi"/>
              <w:noProof/>
              <w:kern w:val="0"/>
              <w:sz w:val="22"/>
              <w:lang w:eastAsia="en-GB"/>
              <w14:ligatures w14:val="none"/>
            </w:rPr>
          </w:pPr>
          <w:hyperlink w:anchor="_Toc216711841" w:history="1">
            <w:r w:rsidR="00F05BB1" w:rsidRPr="002A63F3">
              <w:rPr>
                <w:rStyle w:val="Hyperlink"/>
                <w:rFonts w:asciiTheme="minorBidi" w:hAnsiTheme="minorBidi"/>
                <w:noProof/>
              </w:rPr>
              <w:t>3.1.4 Crisis Management and Vaccination Leadership Transition.</w:t>
            </w:r>
            <w:r w:rsidR="00F05BB1">
              <w:rPr>
                <w:noProof/>
                <w:webHidden/>
              </w:rPr>
              <w:tab/>
            </w:r>
            <w:r w:rsidR="00F05BB1">
              <w:rPr>
                <w:noProof/>
                <w:webHidden/>
              </w:rPr>
              <w:fldChar w:fldCharType="begin"/>
            </w:r>
            <w:r w:rsidR="00F05BB1">
              <w:rPr>
                <w:noProof/>
                <w:webHidden/>
              </w:rPr>
              <w:instrText xml:space="preserve"> PAGEREF _Toc216711841 \h </w:instrText>
            </w:r>
            <w:r w:rsidR="00F05BB1">
              <w:rPr>
                <w:noProof/>
                <w:webHidden/>
              </w:rPr>
            </w:r>
            <w:r w:rsidR="00F05BB1">
              <w:rPr>
                <w:noProof/>
                <w:webHidden/>
              </w:rPr>
              <w:fldChar w:fldCharType="separate"/>
            </w:r>
            <w:r w:rsidR="00F05BB1">
              <w:rPr>
                <w:noProof/>
                <w:webHidden/>
              </w:rPr>
              <w:t>18</w:t>
            </w:r>
            <w:r w:rsidR="00F05BB1">
              <w:rPr>
                <w:noProof/>
                <w:webHidden/>
              </w:rPr>
              <w:fldChar w:fldCharType="end"/>
            </w:r>
          </w:hyperlink>
        </w:p>
        <w:p w14:paraId="3C0B08E1" w14:textId="548987CA" w:rsidR="00F05BB1" w:rsidRDefault="000D332A">
          <w:pPr>
            <w:pStyle w:val="TOC3"/>
            <w:tabs>
              <w:tab w:val="right" w:leader="dot" w:pos="9016"/>
            </w:tabs>
            <w:rPr>
              <w:rFonts w:asciiTheme="minorHAnsi" w:eastAsiaTheme="minorEastAsia" w:hAnsiTheme="minorHAnsi"/>
              <w:noProof/>
              <w:kern w:val="0"/>
              <w:sz w:val="22"/>
              <w:lang w:eastAsia="en-GB"/>
              <w14:ligatures w14:val="none"/>
            </w:rPr>
          </w:pPr>
          <w:hyperlink w:anchor="_Toc216711842" w:history="1">
            <w:r w:rsidR="00F05BB1" w:rsidRPr="002A63F3">
              <w:rPr>
                <w:rStyle w:val="Hyperlink"/>
                <w:rFonts w:asciiTheme="minorBidi" w:hAnsiTheme="minorBidi"/>
                <w:noProof/>
              </w:rPr>
              <w:t>3.1.5 Strengths and Weaknesses of Leadership Approach</w:t>
            </w:r>
            <w:r w:rsidR="00F05BB1">
              <w:rPr>
                <w:noProof/>
                <w:webHidden/>
              </w:rPr>
              <w:tab/>
            </w:r>
            <w:r w:rsidR="00F05BB1">
              <w:rPr>
                <w:noProof/>
                <w:webHidden/>
              </w:rPr>
              <w:fldChar w:fldCharType="begin"/>
            </w:r>
            <w:r w:rsidR="00F05BB1">
              <w:rPr>
                <w:noProof/>
                <w:webHidden/>
              </w:rPr>
              <w:instrText xml:space="preserve"> PAGEREF _Toc216711842 \h </w:instrText>
            </w:r>
            <w:r w:rsidR="00F05BB1">
              <w:rPr>
                <w:noProof/>
                <w:webHidden/>
              </w:rPr>
            </w:r>
            <w:r w:rsidR="00F05BB1">
              <w:rPr>
                <w:noProof/>
                <w:webHidden/>
              </w:rPr>
              <w:fldChar w:fldCharType="separate"/>
            </w:r>
            <w:r w:rsidR="00F05BB1">
              <w:rPr>
                <w:noProof/>
                <w:webHidden/>
              </w:rPr>
              <w:t>18</w:t>
            </w:r>
            <w:r w:rsidR="00F05BB1">
              <w:rPr>
                <w:noProof/>
                <w:webHidden/>
              </w:rPr>
              <w:fldChar w:fldCharType="end"/>
            </w:r>
          </w:hyperlink>
        </w:p>
        <w:p w14:paraId="0E6073A9" w14:textId="78902D1F" w:rsidR="00F05BB1" w:rsidRDefault="000D332A">
          <w:pPr>
            <w:pStyle w:val="TOC3"/>
            <w:tabs>
              <w:tab w:val="right" w:leader="dot" w:pos="9016"/>
            </w:tabs>
            <w:rPr>
              <w:rFonts w:asciiTheme="minorHAnsi" w:eastAsiaTheme="minorEastAsia" w:hAnsiTheme="minorHAnsi"/>
              <w:noProof/>
              <w:kern w:val="0"/>
              <w:sz w:val="22"/>
              <w:lang w:eastAsia="en-GB"/>
              <w14:ligatures w14:val="none"/>
            </w:rPr>
          </w:pPr>
          <w:hyperlink w:anchor="_Toc216711843" w:history="1">
            <w:r w:rsidR="00F05BB1" w:rsidRPr="002A63F3">
              <w:rPr>
                <w:rStyle w:val="Hyperlink"/>
                <w:rFonts w:asciiTheme="minorBidi" w:hAnsiTheme="minorBidi"/>
                <w:noProof/>
              </w:rPr>
              <w:t>3.1.6 The role of leadership in the matter of public trust and health.</w:t>
            </w:r>
            <w:r w:rsidR="00F05BB1">
              <w:rPr>
                <w:noProof/>
                <w:webHidden/>
              </w:rPr>
              <w:tab/>
            </w:r>
            <w:r w:rsidR="00F05BB1">
              <w:rPr>
                <w:noProof/>
                <w:webHidden/>
              </w:rPr>
              <w:fldChar w:fldCharType="begin"/>
            </w:r>
            <w:r w:rsidR="00F05BB1">
              <w:rPr>
                <w:noProof/>
                <w:webHidden/>
              </w:rPr>
              <w:instrText xml:space="preserve"> PAGEREF _Toc216711843 \h </w:instrText>
            </w:r>
            <w:r w:rsidR="00F05BB1">
              <w:rPr>
                <w:noProof/>
                <w:webHidden/>
              </w:rPr>
            </w:r>
            <w:r w:rsidR="00F05BB1">
              <w:rPr>
                <w:noProof/>
                <w:webHidden/>
              </w:rPr>
              <w:fldChar w:fldCharType="separate"/>
            </w:r>
            <w:r w:rsidR="00F05BB1">
              <w:rPr>
                <w:noProof/>
                <w:webHidden/>
              </w:rPr>
              <w:t>19</w:t>
            </w:r>
            <w:r w:rsidR="00F05BB1">
              <w:rPr>
                <w:noProof/>
                <w:webHidden/>
              </w:rPr>
              <w:fldChar w:fldCharType="end"/>
            </w:r>
          </w:hyperlink>
        </w:p>
        <w:p w14:paraId="2541DEA8" w14:textId="70297A52" w:rsidR="00F05BB1" w:rsidRDefault="000D332A">
          <w:pPr>
            <w:pStyle w:val="TOC2"/>
            <w:tabs>
              <w:tab w:val="right" w:leader="dot" w:pos="9016"/>
            </w:tabs>
            <w:rPr>
              <w:rFonts w:asciiTheme="minorHAnsi" w:eastAsiaTheme="minorEastAsia" w:hAnsiTheme="minorHAnsi"/>
              <w:noProof/>
              <w:kern w:val="0"/>
              <w:sz w:val="22"/>
              <w:lang w:eastAsia="en-GB"/>
              <w14:ligatures w14:val="none"/>
            </w:rPr>
          </w:pPr>
          <w:hyperlink w:anchor="_Toc216711844" w:history="1">
            <w:r w:rsidR="00F05BB1" w:rsidRPr="002A63F3">
              <w:rPr>
                <w:rStyle w:val="Hyperlink"/>
                <w:rFonts w:asciiTheme="minorBidi" w:hAnsiTheme="minorBidi"/>
                <w:noProof/>
              </w:rPr>
              <w:t>3.2 South Korea: Pandemic Decision-making and Leadership Style.</w:t>
            </w:r>
            <w:r w:rsidR="00F05BB1">
              <w:rPr>
                <w:noProof/>
                <w:webHidden/>
              </w:rPr>
              <w:tab/>
            </w:r>
            <w:r w:rsidR="00F05BB1">
              <w:rPr>
                <w:noProof/>
                <w:webHidden/>
              </w:rPr>
              <w:fldChar w:fldCharType="begin"/>
            </w:r>
            <w:r w:rsidR="00F05BB1">
              <w:rPr>
                <w:noProof/>
                <w:webHidden/>
              </w:rPr>
              <w:instrText xml:space="preserve"> PAGEREF _Toc216711844 \h </w:instrText>
            </w:r>
            <w:r w:rsidR="00F05BB1">
              <w:rPr>
                <w:noProof/>
                <w:webHidden/>
              </w:rPr>
            </w:r>
            <w:r w:rsidR="00F05BB1">
              <w:rPr>
                <w:noProof/>
                <w:webHidden/>
              </w:rPr>
              <w:fldChar w:fldCharType="separate"/>
            </w:r>
            <w:r w:rsidR="00F05BB1">
              <w:rPr>
                <w:noProof/>
                <w:webHidden/>
              </w:rPr>
              <w:t>19</w:t>
            </w:r>
            <w:r w:rsidR="00F05BB1">
              <w:rPr>
                <w:noProof/>
                <w:webHidden/>
              </w:rPr>
              <w:fldChar w:fldCharType="end"/>
            </w:r>
          </w:hyperlink>
        </w:p>
        <w:p w14:paraId="6B0798B6" w14:textId="45154849" w:rsidR="00F05BB1" w:rsidRDefault="000D332A">
          <w:pPr>
            <w:pStyle w:val="TOC3"/>
            <w:tabs>
              <w:tab w:val="right" w:leader="dot" w:pos="9016"/>
            </w:tabs>
            <w:rPr>
              <w:rFonts w:asciiTheme="minorHAnsi" w:eastAsiaTheme="minorEastAsia" w:hAnsiTheme="minorHAnsi"/>
              <w:noProof/>
              <w:kern w:val="0"/>
              <w:sz w:val="22"/>
              <w:lang w:eastAsia="en-GB"/>
              <w14:ligatures w14:val="none"/>
            </w:rPr>
          </w:pPr>
          <w:hyperlink w:anchor="_Toc216711845" w:history="1">
            <w:r w:rsidR="00F05BB1" w:rsidRPr="002A63F3">
              <w:rPr>
                <w:rStyle w:val="Hyperlink"/>
                <w:rFonts w:asciiTheme="minorBidi" w:hAnsiTheme="minorBidi"/>
                <w:noProof/>
              </w:rPr>
              <w:t>3.2.1 Emergency Leadership Structure Directed by the Government.</w:t>
            </w:r>
            <w:r w:rsidR="00F05BB1">
              <w:rPr>
                <w:noProof/>
                <w:webHidden/>
              </w:rPr>
              <w:tab/>
            </w:r>
            <w:r w:rsidR="00F05BB1">
              <w:rPr>
                <w:noProof/>
                <w:webHidden/>
              </w:rPr>
              <w:fldChar w:fldCharType="begin"/>
            </w:r>
            <w:r w:rsidR="00F05BB1">
              <w:rPr>
                <w:noProof/>
                <w:webHidden/>
              </w:rPr>
              <w:instrText xml:space="preserve"> PAGEREF _Toc216711845 \h </w:instrText>
            </w:r>
            <w:r w:rsidR="00F05BB1">
              <w:rPr>
                <w:noProof/>
                <w:webHidden/>
              </w:rPr>
            </w:r>
            <w:r w:rsidR="00F05BB1">
              <w:rPr>
                <w:noProof/>
                <w:webHidden/>
              </w:rPr>
              <w:fldChar w:fldCharType="separate"/>
            </w:r>
            <w:r w:rsidR="00F05BB1">
              <w:rPr>
                <w:noProof/>
                <w:webHidden/>
              </w:rPr>
              <w:t>19</w:t>
            </w:r>
            <w:r w:rsidR="00F05BB1">
              <w:rPr>
                <w:noProof/>
                <w:webHidden/>
              </w:rPr>
              <w:fldChar w:fldCharType="end"/>
            </w:r>
          </w:hyperlink>
        </w:p>
        <w:p w14:paraId="1D7A7B7A" w14:textId="18C1DDCF" w:rsidR="00F05BB1" w:rsidRDefault="000D332A">
          <w:pPr>
            <w:pStyle w:val="TOC3"/>
            <w:tabs>
              <w:tab w:val="right" w:leader="dot" w:pos="9016"/>
            </w:tabs>
            <w:rPr>
              <w:rFonts w:asciiTheme="minorHAnsi" w:eastAsiaTheme="minorEastAsia" w:hAnsiTheme="minorHAnsi"/>
              <w:noProof/>
              <w:kern w:val="0"/>
              <w:sz w:val="22"/>
              <w:lang w:eastAsia="en-GB"/>
              <w14:ligatures w14:val="none"/>
            </w:rPr>
          </w:pPr>
          <w:hyperlink w:anchor="_Toc216711846" w:history="1">
            <w:r w:rsidR="00F05BB1" w:rsidRPr="002A63F3">
              <w:rPr>
                <w:rStyle w:val="Hyperlink"/>
                <w:rFonts w:asciiTheme="minorBidi" w:hAnsiTheme="minorBidi"/>
                <w:noProof/>
              </w:rPr>
              <w:t>3.2.2 Application of Transformational, Crisis and Distributed Leadership.</w:t>
            </w:r>
            <w:r w:rsidR="00F05BB1">
              <w:rPr>
                <w:noProof/>
                <w:webHidden/>
              </w:rPr>
              <w:tab/>
            </w:r>
            <w:r w:rsidR="00F05BB1">
              <w:rPr>
                <w:noProof/>
                <w:webHidden/>
              </w:rPr>
              <w:fldChar w:fldCharType="begin"/>
            </w:r>
            <w:r w:rsidR="00F05BB1">
              <w:rPr>
                <w:noProof/>
                <w:webHidden/>
              </w:rPr>
              <w:instrText xml:space="preserve"> PAGEREF _Toc216711846 \h </w:instrText>
            </w:r>
            <w:r w:rsidR="00F05BB1">
              <w:rPr>
                <w:noProof/>
                <w:webHidden/>
              </w:rPr>
            </w:r>
            <w:r w:rsidR="00F05BB1">
              <w:rPr>
                <w:noProof/>
                <w:webHidden/>
              </w:rPr>
              <w:fldChar w:fldCharType="separate"/>
            </w:r>
            <w:r w:rsidR="00F05BB1">
              <w:rPr>
                <w:noProof/>
                <w:webHidden/>
              </w:rPr>
              <w:t>20</w:t>
            </w:r>
            <w:r w:rsidR="00F05BB1">
              <w:rPr>
                <w:noProof/>
                <w:webHidden/>
              </w:rPr>
              <w:fldChar w:fldCharType="end"/>
            </w:r>
          </w:hyperlink>
        </w:p>
        <w:p w14:paraId="7EDFA672" w14:textId="135DCEA5" w:rsidR="00F05BB1" w:rsidRDefault="000D332A">
          <w:pPr>
            <w:pStyle w:val="TOC3"/>
            <w:tabs>
              <w:tab w:val="right" w:leader="dot" w:pos="9016"/>
            </w:tabs>
            <w:rPr>
              <w:rFonts w:asciiTheme="minorHAnsi" w:eastAsiaTheme="minorEastAsia" w:hAnsiTheme="minorHAnsi"/>
              <w:noProof/>
              <w:kern w:val="0"/>
              <w:sz w:val="22"/>
              <w:lang w:eastAsia="en-GB"/>
              <w14:ligatures w14:val="none"/>
            </w:rPr>
          </w:pPr>
          <w:hyperlink w:anchor="_Toc216711847" w:history="1">
            <w:r w:rsidR="00F05BB1" w:rsidRPr="002A63F3">
              <w:rPr>
                <w:rStyle w:val="Hyperlink"/>
                <w:rFonts w:asciiTheme="minorBidi" w:hAnsiTheme="minorBidi"/>
                <w:noProof/>
              </w:rPr>
              <w:t>3.2.3 Openness, Data-Based Decision-Making, and Civil Disobedience.</w:t>
            </w:r>
            <w:r w:rsidR="00F05BB1">
              <w:rPr>
                <w:noProof/>
                <w:webHidden/>
              </w:rPr>
              <w:tab/>
            </w:r>
            <w:r w:rsidR="00F05BB1">
              <w:rPr>
                <w:noProof/>
                <w:webHidden/>
              </w:rPr>
              <w:fldChar w:fldCharType="begin"/>
            </w:r>
            <w:r w:rsidR="00F05BB1">
              <w:rPr>
                <w:noProof/>
                <w:webHidden/>
              </w:rPr>
              <w:instrText xml:space="preserve"> PAGEREF _Toc216711847 \h </w:instrText>
            </w:r>
            <w:r w:rsidR="00F05BB1">
              <w:rPr>
                <w:noProof/>
                <w:webHidden/>
              </w:rPr>
            </w:r>
            <w:r w:rsidR="00F05BB1">
              <w:rPr>
                <w:noProof/>
                <w:webHidden/>
              </w:rPr>
              <w:fldChar w:fldCharType="separate"/>
            </w:r>
            <w:r w:rsidR="00F05BB1">
              <w:rPr>
                <w:noProof/>
                <w:webHidden/>
              </w:rPr>
              <w:t>20</w:t>
            </w:r>
            <w:r w:rsidR="00F05BB1">
              <w:rPr>
                <w:noProof/>
                <w:webHidden/>
              </w:rPr>
              <w:fldChar w:fldCharType="end"/>
            </w:r>
          </w:hyperlink>
        </w:p>
        <w:p w14:paraId="65016D48" w14:textId="206AD43A" w:rsidR="00F05BB1" w:rsidRDefault="000D332A">
          <w:pPr>
            <w:pStyle w:val="TOC3"/>
            <w:tabs>
              <w:tab w:val="right" w:leader="dot" w:pos="9016"/>
            </w:tabs>
            <w:rPr>
              <w:rFonts w:asciiTheme="minorHAnsi" w:eastAsiaTheme="minorEastAsia" w:hAnsiTheme="minorHAnsi"/>
              <w:noProof/>
              <w:kern w:val="0"/>
              <w:sz w:val="22"/>
              <w:lang w:eastAsia="en-GB"/>
              <w14:ligatures w14:val="none"/>
            </w:rPr>
          </w:pPr>
          <w:hyperlink w:anchor="_Toc216711848" w:history="1">
            <w:r w:rsidR="00F05BB1" w:rsidRPr="002A63F3">
              <w:rPr>
                <w:rStyle w:val="Hyperlink"/>
                <w:noProof/>
              </w:rPr>
              <w:t xml:space="preserve">3.2.4 </w:t>
            </w:r>
            <w:r w:rsidR="00F05BB1" w:rsidRPr="002A63F3">
              <w:rPr>
                <w:rStyle w:val="Hyperlink"/>
                <w:rFonts w:ascii="Arial" w:hAnsi="Arial" w:cs="Arial"/>
                <w:noProof/>
              </w:rPr>
              <w:t>Institutional Trust and Stakeholder Collaboration.</w:t>
            </w:r>
            <w:r w:rsidR="00F05BB1">
              <w:rPr>
                <w:noProof/>
                <w:webHidden/>
              </w:rPr>
              <w:tab/>
            </w:r>
            <w:r w:rsidR="00F05BB1">
              <w:rPr>
                <w:noProof/>
                <w:webHidden/>
              </w:rPr>
              <w:fldChar w:fldCharType="begin"/>
            </w:r>
            <w:r w:rsidR="00F05BB1">
              <w:rPr>
                <w:noProof/>
                <w:webHidden/>
              </w:rPr>
              <w:instrText xml:space="preserve"> PAGEREF _Toc216711848 \h </w:instrText>
            </w:r>
            <w:r w:rsidR="00F05BB1">
              <w:rPr>
                <w:noProof/>
                <w:webHidden/>
              </w:rPr>
            </w:r>
            <w:r w:rsidR="00F05BB1">
              <w:rPr>
                <w:noProof/>
                <w:webHidden/>
              </w:rPr>
              <w:fldChar w:fldCharType="separate"/>
            </w:r>
            <w:r w:rsidR="00F05BB1">
              <w:rPr>
                <w:noProof/>
                <w:webHidden/>
              </w:rPr>
              <w:t>20</w:t>
            </w:r>
            <w:r w:rsidR="00F05BB1">
              <w:rPr>
                <w:noProof/>
                <w:webHidden/>
              </w:rPr>
              <w:fldChar w:fldCharType="end"/>
            </w:r>
          </w:hyperlink>
        </w:p>
        <w:p w14:paraId="02CA4564" w14:textId="6EAD3B8B" w:rsidR="00F05BB1" w:rsidRDefault="000D332A">
          <w:pPr>
            <w:pStyle w:val="TOC3"/>
            <w:tabs>
              <w:tab w:val="right" w:leader="dot" w:pos="9016"/>
            </w:tabs>
            <w:rPr>
              <w:rFonts w:asciiTheme="minorHAnsi" w:eastAsiaTheme="minorEastAsia" w:hAnsiTheme="minorHAnsi"/>
              <w:noProof/>
              <w:kern w:val="0"/>
              <w:sz w:val="22"/>
              <w:lang w:eastAsia="en-GB"/>
              <w14:ligatures w14:val="none"/>
            </w:rPr>
          </w:pPr>
          <w:hyperlink w:anchor="_Toc216711849" w:history="1">
            <w:r w:rsidR="00F05BB1" w:rsidRPr="002A63F3">
              <w:rPr>
                <w:rStyle w:val="Hyperlink"/>
                <w:noProof/>
              </w:rPr>
              <w:t xml:space="preserve">3.2.5 </w:t>
            </w:r>
            <w:r w:rsidR="00F05BB1" w:rsidRPr="002A63F3">
              <w:rPr>
                <w:rStyle w:val="Hyperlink"/>
                <w:rFonts w:ascii="Arial" w:hAnsi="Arial" w:cs="Arial"/>
                <w:noProof/>
              </w:rPr>
              <w:t>Leadership Approach Strengths and Limitations.</w:t>
            </w:r>
            <w:r w:rsidR="00F05BB1">
              <w:rPr>
                <w:noProof/>
                <w:webHidden/>
              </w:rPr>
              <w:tab/>
            </w:r>
            <w:r w:rsidR="00F05BB1">
              <w:rPr>
                <w:noProof/>
                <w:webHidden/>
              </w:rPr>
              <w:fldChar w:fldCharType="begin"/>
            </w:r>
            <w:r w:rsidR="00F05BB1">
              <w:rPr>
                <w:noProof/>
                <w:webHidden/>
              </w:rPr>
              <w:instrText xml:space="preserve"> PAGEREF _Toc216711849 \h </w:instrText>
            </w:r>
            <w:r w:rsidR="00F05BB1">
              <w:rPr>
                <w:noProof/>
                <w:webHidden/>
              </w:rPr>
            </w:r>
            <w:r w:rsidR="00F05BB1">
              <w:rPr>
                <w:noProof/>
                <w:webHidden/>
              </w:rPr>
              <w:fldChar w:fldCharType="separate"/>
            </w:r>
            <w:r w:rsidR="00F05BB1">
              <w:rPr>
                <w:noProof/>
                <w:webHidden/>
              </w:rPr>
              <w:t>21</w:t>
            </w:r>
            <w:r w:rsidR="00F05BB1">
              <w:rPr>
                <w:noProof/>
                <w:webHidden/>
              </w:rPr>
              <w:fldChar w:fldCharType="end"/>
            </w:r>
          </w:hyperlink>
        </w:p>
        <w:p w14:paraId="24D4C5D3" w14:textId="423B0369" w:rsidR="00F05BB1" w:rsidRDefault="000D332A">
          <w:pPr>
            <w:pStyle w:val="TOC3"/>
            <w:tabs>
              <w:tab w:val="right" w:leader="dot" w:pos="9016"/>
            </w:tabs>
            <w:rPr>
              <w:rFonts w:asciiTheme="minorHAnsi" w:eastAsiaTheme="minorEastAsia" w:hAnsiTheme="minorHAnsi"/>
              <w:noProof/>
              <w:kern w:val="0"/>
              <w:sz w:val="22"/>
              <w:lang w:eastAsia="en-GB"/>
              <w14:ligatures w14:val="none"/>
            </w:rPr>
          </w:pPr>
          <w:hyperlink w:anchor="_Toc216711850" w:history="1">
            <w:r w:rsidR="00F05BB1" w:rsidRPr="002A63F3">
              <w:rPr>
                <w:rStyle w:val="Hyperlink"/>
                <w:rFonts w:asciiTheme="minorBidi" w:hAnsiTheme="minorBidi"/>
                <w:noProof/>
              </w:rPr>
              <w:t>3.2.6 Leadership Impact on Public Trust and Global Recognition</w:t>
            </w:r>
            <w:r w:rsidR="00F05BB1">
              <w:rPr>
                <w:noProof/>
                <w:webHidden/>
              </w:rPr>
              <w:tab/>
            </w:r>
            <w:r w:rsidR="00F05BB1">
              <w:rPr>
                <w:noProof/>
                <w:webHidden/>
              </w:rPr>
              <w:fldChar w:fldCharType="begin"/>
            </w:r>
            <w:r w:rsidR="00F05BB1">
              <w:rPr>
                <w:noProof/>
                <w:webHidden/>
              </w:rPr>
              <w:instrText xml:space="preserve"> PAGEREF _Toc216711850 \h </w:instrText>
            </w:r>
            <w:r w:rsidR="00F05BB1">
              <w:rPr>
                <w:noProof/>
                <w:webHidden/>
              </w:rPr>
            </w:r>
            <w:r w:rsidR="00F05BB1">
              <w:rPr>
                <w:noProof/>
                <w:webHidden/>
              </w:rPr>
              <w:fldChar w:fldCharType="separate"/>
            </w:r>
            <w:r w:rsidR="00F05BB1">
              <w:rPr>
                <w:noProof/>
                <w:webHidden/>
              </w:rPr>
              <w:t>21</w:t>
            </w:r>
            <w:r w:rsidR="00F05BB1">
              <w:rPr>
                <w:noProof/>
                <w:webHidden/>
              </w:rPr>
              <w:fldChar w:fldCharType="end"/>
            </w:r>
          </w:hyperlink>
        </w:p>
        <w:p w14:paraId="11B607D9" w14:textId="728DE438" w:rsidR="00F05BB1" w:rsidRDefault="000D332A">
          <w:pPr>
            <w:pStyle w:val="TOC2"/>
            <w:tabs>
              <w:tab w:val="right" w:leader="dot" w:pos="9016"/>
            </w:tabs>
            <w:rPr>
              <w:rFonts w:asciiTheme="minorHAnsi" w:eastAsiaTheme="minorEastAsia" w:hAnsiTheme="minorHAnsi"/>
              <w:noProof/>
              <w:kern w:val="0"/>
              <w:sz w:val="22"/>
              <w:lang w:eastAsia="en-GB"/>
              <w14:ligatures w14:val="none"/>
            </w:rPr>
          </w:pPr>
          <w:hyperlink w:anchor="_Toc216711851" w:history="1">
            <w:r w:rsidR="00F05BB1" w:rsidRPr="002A63F3">
              <w:rPr>
                <w:rStyle w:val="Hyperlink"/>
                <w:rFonts w:asciiTheme="minorBidi" w:hAnsiTheme="minorBidi"/>
                <w:noProof/>
              </w:rPr>
              <w:t>3.3 Canada: Decision-Making and Leadership Style during pandemic.</w:t>
            </w:r>
            <w:r w:rsidR="00F05BB1">
              <w:rPr>
                <w:noProof/>
                <w:webHidden/>
              </w:rPr>
              <w:tab/>
            </w:r>
            <w:r w:rsidR="00F05BB1">
              <w:rPr>
                <w:noProof/>
                <w:webHidden/>
              </w:rPr>
              <w:fldChar w:fldCharType="begin"/>
            </w:r>
            <w:r w:rsidR="00F05BB1">
              <w:rPr>
                <w:noProof/>
                <w:webHidden/>
              </w:rPr>
              <w:instrText xml:space="preserve"> PAGEREF _Toc216711851 \h </w:instrText>
            </w:r>
            <w:r w:rsidR="00F05BB1">
              <w:rPr>
                <w:noProof/>
                <w:webHidden/>
              </w:rPr>
            </w:r>
            <w:r w:rsidR="00F05BB1">
              <w:rPr>
                <w:noProof/>
                <w:webHidden/>
              </w:rPr>
              <w:fldChar w:fldCharType="separate"/>
            </w:r>
            <w:r w:rsidR="00F05BB1">
              <w:rPr>
                <w:noProof/>
                <w:webHidden/>
              </w:rPr>
              <w:t>21</w:t>
            </w:r>
            <w:r w:rsidR="00F05BB1">
              <w:rPr>
                <w:noProof/>
                <w:webHidden/>
              </w:rPr>
              <w:fldChar w:fldCharType="end"/>
            </w:r>
          </w:hyperlink>
        </w:p>
        <w:p w14:paraId="0F57D24C" w14:textId="5D4E4498" w:rsidR="00F05BB1" w:rsidRDefault="000D332A">
          <w:pPr>
            <w:pStyle w:val="TOC3"/>
            <w:tabs>
              <w:tab w:val="right" w:leader="dot" w:pos="9016"/>
            </w:tabs>
            <w:rPr>
              <w:rFonts w:asciiTheme="minorHAnsi" w:eastAsiaTheme="minorEastAsia" w:hAnsiTheme="minorHAnsi"/>
              <w:noProof/>
              <w:kern w:val="0"/>
              <w:sz w:val="22"/>
              <w:lang w:eastAsia="en-GB"/>
              <w14:ligatures w14:val="none"/>
            </w:rPr>
          </w:pPr>
          <w:hyperlink w:anchor="_Toc216711852" w:history="1">
            <w:r w:rsidR="00F05BB1" w:rsidRPr="002A63F3">
              <w:rPr>
                <w:rStyle w:val="Hyperlink"/>
                <w:rFonts w:asciiTheme="minorBidi" w:hAnsiTheme="minorBidi"/>
                <w:noProof/>
              </w:rPr>
              <w:t>3.3.1 Federal Executive Leadership and National Co-ordination.</w:t>
            </w:r>
            <w:r w:rsidR="00F05BB1">
              <w:rPr>
                <w:noProof/>
                <w:webHidden/>
              </w:rPr>
              <w:tab/>
            </w:r>
            <w:r w:rsidR="00F05BB1">
              <w:rPr>
                <w:noProof/>
                <w:webHidden/>
              </w:rPr>
              <w:fldChar w:fldCharType="begin"/>
            </w:r>
            <w:r w:rsidR="00F05BB1">
              <w:rPr>
                <w:noProof/>
                <w:webHidden/>
              </w:rPr>
              <w:instrText xml:space="preserve"> PAGEREF _Toc216711852 \h </w:instrText>
            </w:r>
            <w:r w:rsidR="00F05BB1">
              <w:rPr>
                <w:noProof/>
                <w:webHidden/>
              </w:rPr>
            </w:r>
            <w:r w:rsidR="00F05BB1">
              <w:rPr>
                <w:noProof/>
                <w:webHidden/>
              </w:rPr>
              <w:fldChar w:fldCharType="separate"/>
            </w:r>
            <w:r w:rsidR="00F05BB1">
              <w:rPr>
                <w:noProof/>
                <w:webHidden/>
              </w:rPr>
              <w:t>21</w:t>
            </w:r>
            <w:r w:rsidR="00F05BB1">
              <w:rPr>
                <w:noProof/>
                <w:webHidden/>
              </w:rPr>
              <w:fldChar w:fldCharType="end"/>
            </w:r>
          </w:hyperlink>
        </w:p>
        <w:p w14:paraId="372B6582" w14:textId="62F2909A" w:rsidR="00F05BB1" w:rsidRDefault="000D332A">
          <w:pPr>
            <w:pStyle w:val="TOC3"/>
            <w:tabs>
              <w:tab w:val="right" w:leader="dot" w:pos="9016"/>
            </w:tabs>
            <w:rPr>
              <w:rFonts w:asciiTheme="minorHAnsi" w:eastAsiaTheme="minorEastAsia" w:hAnsiTheme="minorHAnsi"/>
              <w:noProof/>
              <w:kern w:val="0"/>
              <w:sz w:val="22"/>
              <w:lang w:eastAsia="en-GB"/>
              <w14:ligatures w14:val="none"/>
            </w:rPr>
          </w:pPr>
          <w:hyperlink w:anchor="_Toc216711853" w:history="1">
            <w:r w:rsidR="00F05BB1" w:rsidRPr="002A63F3">
              <w:rPr>
                <w:rStyle w:val="Hyperlink"/>
                <w:noProof/>
              </w:rPr>
              <w:t xml:space="preserve">3.3.2 </w:t>
            </w:r>
            <w:r w:rsidR="00F05BB1" w:rsidRPr="002A63F3">
              <w:rPr>
                <w:rStyle w:val="Hyperlink"/>
                <w:rFonts w:ascii="Arial" w:hAnsi="Arial" w:cs="Arial"/>
                <w:noProof/>
              </w:rPr>
              <w:t>Democratic, Collaborative and Crisis Leadership.</w:t>
            </w:r>
            <w:r w:rsidR="00F05BB1">
              <w:rPr>
                <w:noProof/>
                <w:webHidden/>
              </w:rPr>
              <w:tab/>
            </w:r>
            <w:r w:rsidR="00F05BB1">
              <w:rPr>
                <w:noProof/>
                <w:webHidden/>
              </w:rPr>
              <w:fldChar w:fldCharType="begin"/>
            </w:r>
            <w:r w:rsidR="00F05BB1">
              <w:rPr>
                <w:noProof/>
                <w:webHidden/>
              </w:rPr>
              <w:instrText xml:space="preserve"> PAGEREF _Toc216711853 \h </w:instrText>
            </w:r>
            <w:r w:rsidR="00F05BB1">
              <w:rPr>
                <w:noProof/>
                <w:webHidden/>
              </w:rPr>
            </w:r>
            <w:r w:rsidR="00F05BB1">
              <w:rPr>
                <w:noProof/>
                <w:webHidden/>
              </w:rPr>
              <w:fldChar w:fldCharType="separate"/>
            </w:r>
            <w:r w:rsidR="00F05BB1">
              <w:rPr>
                <w:noProof/>
                <w:webHidden/>
              </w:rPr>
              <w:t>22</w:t>
            </w:r>
            <w:r w:rsidR="00F05BB1">
              <w:rPr>
                <w:noProof/>
                <w:webHidden/>
              </w:rPr>
              <w:fldChar w:fldCharType="end"/>
            </w:r>
          </w:hyperlink>
        </w:p>
        <w:p w14:paraId="16E1F309" w14:textId="2FE3978F" w:rsidR="00F05BB1" w:rsidRDefault="000D332A">
          <w:pPr>
            <w:pStyle w:val="TOC3"/>
            <w:tabs>
              <w:tab w:val="right" w:leader="dot" w:pos="9016"/>
            </w:tabs>
            <w:rPr>
              <w:rFonts w:asciiTheme="minorHAnsi" w:eastAsiaTheme="minorEastAsia" w:hAnsiTheme="minorHAnsi"/>
              <w:noProof/>
              <w:kern w:val="0"/>
              <w:sz w:val="22"/>
              <w:lang w:eastAsia="en-GB"/>
              <w14:ligatures w14:val="none"/>
            </w:rPr>
          </w:pPr>
          <w:hyperlink w:anchor="_Toc216711854" w:history="1">
            <w:r w:rsidR="00F05BB1" w:rsidRPr="002A63F3">
              <w:rPr>
                <w:rStyle w:val="Hyperlink"/>
                <w:rFonts w:ascii="Arial" w:hAnsi="Arial" w:cs="Arial"/>
                <w:noProof/>
              </w:rPr>
              <w:t>3.3.3 Federal-Provincial Negotiation and Consensus Building.</w:t>
            </w:r>
            <w:r w:rsidR="00F05BB1">
              <w:rPr>
                <w:noProof/>
                <w:webHidden/>
              </w:rPr>
              <w:tab/>
            </w:r>
            <w:r w:rsidR="00F05BB1">
              <w:rPr>
                <w:noProof/>
                <w:webHidden/>
              </w:rPr>
              <w:fldChar w:fldCharType="begin"/>
            </w:r>
            <w:r w:rsidR="00F05BB1">
              <w:rPr>
                <w:noProof/>
                <w:webHidden/>
              </w:rPr>
              <w:instrText xml:space="preserve"> PAGEREF _Toc216711854 \h </w:instrText>
            </w:r>
            <w:r w:rsidR="00F05BB1">
              <w:rPr>
                <w:noProof/>
                <w:webHidden/>
              </w:rPr>
            </w:r>
            <w:r w:rsidR="00F05BB1">
              <w:rPr>
                <w:noProof/>
                <w:webHidden/>
              </w:rPr>
              <w:fldChar w:fldCharType="separate"/>
            </w:r>
            <w:r w:rsidR="00F05BB1">
              <w:rPr>
                <w:noProof/>
                <w:webHidden/>
              </w:rPr>
              <w:t>23</w:t>
            </w:r>
            <w:r w:rsidR="00F05BB1">
              <w:rPr>
                <w:noProof/>
                <w:webHidden/>
              </w:rPr>
              <w:fldChar w:fldCharType="end"/>
            </w:r>
          </w:hyperlink>
        </w:p>
        <w:p w14:paraId="75356CB2" w14:textId="334F27BD" w:rsidR="00F05BB1" w:rsidRDefault="000D332A">
          <w:pPr>
            <w:pStyle w:val="TOC3"/>
            <w:tabs>
              <w:tab w:val="right" w:leader="dot" w:pos="9016"/>
            </w:tabs>
            <w:rPr>
              <w:rFonts w:asciiTheme="minorHAnsi" w:eastAsiaTheme="minorEastAsia" w:hAnsiTheme="minorHAnsi"/>
              <w:noProof/>
              <w:kern w:val="0"/>
              <w:sz w:val="22"/>
              <w:lang w:eastAsia="en-GB"/>
              <w14:ligatures w14:val="none"/>
            </w:rPr>
          </w:pPr>
          <w:hyperlink w:anchor="_Toc216711855" w:history="1">
            <w:r w:rsidR="00F05BB1" w:rsidRPr="002A63F3">
              <w:rPr>
                <w:rStyle w:val="Hyperlink"/>
                <w:rFonts w:asciiTheme="minorBidi" w:hAnsiTheme="minorBidi"/>
                <w:noProof/>
              </w:rPr>
              <w:t>3.3.4 Procurement of Vaccines and political accountability.</w:t>
            </w:r>
            <w:r w:rsidR="00F05BB1">
              <w:rPr>
                <w:noProof/>
                <w:webHidden/>
              </w:rPr>
              <w:tab/>
            </w:r>
            <w:r w:rsidR="00F05BB1">
              <w:rPr>
                <w:noProof/>
                <w:webHidden/>
              </w:rPr>
              <w:fldChar w:fldCharType="begin"/>
            </w:r>
            <w:r w:rsidR="00F05BB1">
              <w:rPr>
                <w:noProof/>
                <w:webHidden/>
              </w:rPr>
              <w:instrText xml:space="preserve"> PAGEREF _Toc216711855 \h </w:instrText>
            </w:r>
            <w:r w:rsidR="00F05BB1">
              <w:rPr>
                <w:noProof/>
                <w:webHidden/>
              </w:rPr>
            </w:r>
            <w:r w:rsidR="00F05BB1">
              <w:rPr>
                <w:noProof/>
                <w:webHidden/>
              </w:rPr>
              <w:fldChar w:fldCharType="separate"/>
            </w:r>
            <w:r w:rsidR="00F05BB1">
              <w:rPr>
                <w:noProof/>
                <w:webHidden/>
              </w:rPr>
              <w:t>23</w:t>
            </w:r>
            <w:r w:rsidR="00F05BB1">
              <w:rPr>
                <w:noProof/>
                <w:webHidden/>
              </w:rPr>
              <w:fldChar w:fldCharType="end"/>
            </w:r>
          </w:hyperlink>
        </w:p>
        <w:p w14:paraId="1D97CCFF" w14:textId="179D7B45" w:rsidR="00F05BB1" w:rsidRDefault="000D332A">
          <w:pPr>
            <w:pStyle w:val="TOC3"/>
            <w:tabs>
              <w:tab w:val="right" w:leader="dot" w:pos="9016"/>
            </w:tabs>
            <w:rPr>
              <w:rFonts w:asciiTheme="minorHAnsi" w:eastAsiaTheme="minorEastAsia" w:hAnsiTheme="minorHAnsi"/>
              <w:noProof/>
              <w:kern w:val="0"/>
              <w:sz w:val="22"/>
              <w:lang w:eastAsia="en-GB"/>
              <w14:ligatures w14:val="none"/>
            </w:rPr>
          </w:pPr>
          <w:hyperlink w:anchor="_Toc216711856" w:history="1">
            <w:r w:rsidR="00F05BB1" w:rsidRPr="002A63F3">
              <w:rPr>
                <w:rStyle w:val="Hyperlink"/>
                <w:rFonts w:ascii="Arial" w:hAnsi="Arial" w:cs="Arial"/>
                <w:noProof/>
              </w:rPr>
              <w:t>3.3.5 Strengths Weaknesses of Leadership Approach.</w:t>
            </w:r>
            <w:r w:rsidR="00F05BB1">
              <w:rPr>
                <w:noProof/>
                <w:webHidden/>
              </w:rPr>
              <w:tab/>
            </w:r>
            <w:r w:rsidR="00F05BB1">
              <w:rPr>
                <w:noProof/>
                <w:webHidden/>
              </w:rPr>
              <w:fldChar w:fldCharType="begin"/>
            </w:r>
            <w:r w:rsidR="00F05BB1">
              <w:rPr>
                <w:noProof/>
                <w:webHidden/>
              </w:rPr>
              <w:instrText xml:space="preserve"> PAGEREF _Toc216711856 \h </w:instrText>
            </w:r>
            <w:r w:rsidR="00F05BB1">
              <w:rPr>
                <w:noProof/>
                <w:webHidden/>
              </w:rPr>
            </w:r>
            <w:r w:rsidR="00F05BB1">
              <w:rPr>
                <w:noProof/>
                <w:webHidden/>
              </w:rPr>
              <w:fldChar w:fldCharType="separate"/>
            </w:r>
            <w:r w:rsidR="00F05BB1">
              <w:rPr>
                <w:noProof/>
                <w:webHidden/>
              </w:rPr>
              <w:t>23</w:t>
            </w:r>
            <w:r w:rsidR="00F05BB1">
              <w:rPr>
                <w:noProof/>
                <w:webHidden/>
              </w:rPr>
              <w:fldChar w:fldCharType="end"/>
            </w:r>
          </w:hyperlink>
        </w:p>
        <w:p w14:paraId="63A00E81" w14:textId="3668C441" w:rsidR="00F05BB1" w:rsidRDefault="000D332A">
          <w:pPr>
            <w:pStyle w:val="TOC3"/>
            <w:tabs>
              <w:tab w:val="right" w:leader="dot" w:pos="9016"/>
            </w:tabs>
            <w:rPr>
              <w:rFonts w:asciiTheme="minorHAnsi" w:eastAsiaTheme="minorEastAsia" w:hAnsiTheme="minorHAnsi"/>
              <w:noProof/>
              <w:kern w:val="0"/>
              <w:sz w:val="22"/>
              <w:lang w:eastAsia="en-GB"/>
              <w14:ligatures w14:val="none"/>
            </w:rPr>
          </w:pPr>
          <w:hyperlink w:anchor="_Toc216711857" w:history="1">
            <w:r w:rsidR="00F05BB1" w:rsidRPr="002A63F3">
              <w:rPr>
                <w:rStyle w:val="Hyperlink"/>
                <w:rFonts w:asciiTheme="minorBidi" w:hAnsiTheme="minorBidi"/>
                <w:noProof/>
              </w:rPr>
              <w:t>3.3.6 Leadership Effect on Population Trust and Vaccination Acceptance.</w:t>
            </w:r>
            <w:r w:rsidR="00F05BB1">
              <w:rPr>
                <w:noProof/>
                <w:webHidden/>
              </w:rPr>
              <w:tab/>
            </w:r>
            <w:r w:rsidR="00F05BB1">
              <w:rPr>
                <w:noProof/>
                <w:webHidden/>
              </w:rPr>
              <w:fldChar w:fldCharType="begin"/>
            </w:r>
            <w:r w:rsidR="00F05BB1">
              <w:rPr>
                <w:noProof/>
                <w:webHidden/>
              </w:rPr>
              <w:instrText xml:space="preserve"> PAGEREF _Toc216711857 \h </w:instrText>
            </w:r>
            <w:r w:rsidR="00F05BB1">
              <w:rPr>
                <w:noProof/>
                <w:webHidden/>
              </w:rPr>
            </w:r>
            <w:r w:rsidR="00F05BB1">
              <w:rPr>
                <w:noProof/>
                <w:webHidden/>
              </w:rPr>
              <w:fldChar w:fldCharType="separate"/>
            </w:r>
            <w:r w:rsidR="00F05BB1">
              <w:rPr>
                <w:noProof/>
                <w:webHidden/>
              </w:rPr>
              <w:t>23</w:t>
            </w:r>
            <w:r w:rsidR="00F05BB1">
              <w:rPr>
                <w:noProof/>
                <w:webHidden/>
              </w:rPr>
              <w:fldChar w:fldCharType="end"/>
            </w:r>
          </w:hyperlink>
        </w:p>
        <w:p w14:paraId="0E5949BA" w14:textId="73FE7E89" w:rsidR="00F05BB1" w:rsidRDefault="000D332A">
          <w:pPr>
            <w:pStyle w:val="TOC2"/>
            <w:tabs>
              <w:tab w:val="right" w:leader="dot" w:pos="9016"/>
            </w:tabs>
            <w:rPr>
              <w:rFonts w:asciiTheme="minorHAnsi" w:eastAsiaTheme="minorEastAsia" w:hAnsiTheme="minorHAnsi"/>
              <w:noProof/>
              <w:kern w:val="0"/>
              <w:sz w:val="22"/>
              <w:lang w:eastAsia="en-GB"/>
              <w14:ligatures w14:val="none"/>
            </w:rPr>
          </w:pPr>
          <w:hyperlink w:anchor="_Toc216711858" w:history="1">
            <w:r w:rsidR="00F05BB1" w:rsidRPr="002A63F3">
              <w:rPr>
                <w:rStyle w:val="Hyperlink"/>
                <w:rFonts w:asciiTheme="minorBidi" w:hAnsiTheme="minorBidi"/>
                <w:noProof/>
              </w:rPr>
              <w:t>3.4 Comparative Leadership Evaluation</w:t>
            </w:r>
            <w:r w:rsidR="00F05BB1">
              <w:rPr>
                <w:noProof/>
                <w:webHidden/>
              </w:rPr>
              <w:tab/>
            </w:r>
            <w:r w:rsidR="00F05BB1">
              <w:rPr>
                <w:noProof/>
                <w:webHidden/>
              </w:rPr>
              <w:fldChar w:fldCharType="begin"/>
            </w:r>
            <w:r w:rsidR="00F05BB1">
              <w:rPr>
                <w:noProof/>
                <w:webHidden/>
              </w:rPr>
              <w:instrText xml:space="preserve"> PAGEREF _Toc216711858 \h </w:instrText>
            </w:r>
            <w:r w:rsidR="00F05BB1">
              <w:rPr>
                <w:noProof/>
                <w:webHidden/>
              </w:rPr>
            </w:r>
            <w:r w:rsidR="00F05BB1">
              <w:rPr>
                <w:noProof/>
                <w:webHidden/>
              </w:rPr>
              <w:fldChar w:fldCharType="separate"/>
            </w:r>
            <w:r w:rsidR="00F05BB1">
              <w:rPr>
                <w:noProof/>
                <w:webHidden/>
              </w:rPr>
              <w:t>24</w:t>
            </w:r>
            <w:r w:rsidR="00F05BB1">
              <w:rPr>
                <w:noProof/>
                <w:webHidden/>
              </w:rPr>
              <w:fldChar w:fldCharType="end"/>
            </w:r>
          </w:hyperlink>
        </w:p>
        <w:p w14:paraId="126E1667" w14:textId="06D32B9A" w:rsidR="00F05BB1" w:rsidRDefault="000D332A">
          <w:pPr>
            <w:pStyle w:val="TOC3"/>
            <w:tabs>
              <w:tab w:val="right" w:leader="dot" w:pos="9016"/>
            </w:tabs>
            <w:rPr>
              <w:rFonts w:asciiTheme="minorHAnsi" w:eastAsiaTheme="minorEastAsia" w:hAnsiTheme="minorHAnsi"/>
              <w:noProof/>
              <w:kern w:val="0"/>
              <w:sz w:val="22"/>
              <w:lang w:eastAsia="en-GB"/>
              <w14:ligatures w14:val="none"/>
            </w:rPr>
          </w:pPr>
          <w:hyperlink w:anchor="_Toc216711859" w:history="1">
            <w:r w:rsidR="00F05BB1" w:rsidRPr="002A63F3">
              <w:rPr>
                <w:rStyle w:val="Hyperlink"/>
                <w:rFonts w:ascii="Arial" w:hAnsi="Arial" w:cs="Arial"/>
                <w:noProof/>
              </w:rPr>
              <w:t>3.4.1 Authoritarian, Transformational, and Collaborative Leadership Models</w:t>
            </w:r>
            <w:r w:rsidR="00F05BB1">
              <w:rPr>
                <w:noProof/>
                <w:webHidden/>
              </w:rPr>
              <w:tab/>
            </w:r>
            <w:r w:rsidR="00F05BB1">
              <w:rPr>
                <w:noProof/>
                <w:webHidden/>
              </w:rPr>
              <w:fldChar w:fldCharType="begin"/>
            </w:r>
            <w:r w:rsidR="00F05BB1">
              <w:rPr>
                <w:noProof/>
                <w:webHidden/>
              </w:rPr>
              <w:instrText xml:space="preserve"> PAGEREF _Toc216711859 \h </w:instrText>
            </w:r>
            <w:r w:rsidR="00F05BB1">
              <w:rPr>
                <w:noProof/>
                <w:webHidden/>
              </w:rPr>
            </w:r>
            <w:r w:rsidR="00F05BB1">
              <w:rPr>
                <w:noProof/>
                <w:webHidden/>
              </w:rPr>
              <w:fldChar w:fldCharType="separate"/>
            </w:r>
            <w:r w:rsidR="00F05BB1">
              <w:rPr>
                <w:noProof/>
                <w:webHidden/>
              </w:rPr>
              <w:t>24</w:t>
            </w:r>
            <w:r w:rsidR="00F05BB1">
              <w:rPr>
                <w:noProof/>
                <w:webHidden/>
              </w:rPr>
              <w:fldChar w:fldCharType="end"/>
            </w:r>
          </w:hyperlink>
        </w:p>
        <w:p w14:paraId="245E18E1" w14:textId="05A66486" w:rsidR="00F05BB1" w:rsidRDefault="000D332A">
          <w:pPr>
            <w:pStyle w:val="TOC3"/>
            <w:tabs>
              <w:tab w:val="right" w:leader="dot" w:pos="9016"/>
            </w:tabs>
            <w:rPr>
              <w:rFonts w:asciiTheme="minorHAnsi" w:eastAsiaTheme="minorEastAsia" w:hAnsiTheme="minorHAnsi"/>
              <w:noProof/>
              <w:kern w:val="0"/>
              <w:sz w:val="22"/>
              <w:lang w:eastAsia="en-GB"/>
              <w14:ligatures w14:val="none"/>
            </w:rPr>
          </w:pPr>
          <w:hyperlink w:anchor="_Toc216711860" w:history="1">
            <w:r w:rsidR="00F05BB1" w:rsidRPr="002A63F3">
              <w:rPr>
                <w:rStyle w:val="Hyperlink"/>
                <w:rFonts w:asciiTheme="minorBidi" w:hAnsiTheme="minorBidi"/>
                <w:noProof/>
              </w:rPr>
              <w:t>3.4.2 The effects of the Leadership Styles on the performance of the system.</w:t>
            </w:r>
            <w:r w:rsidR="00F05BB1">
              <w:rPr>
                <w:noProof/>
                <w:webHidden/>
              </w:rPr>
              <w:tab/>
            </w:r>
            <w:r w:rsidR="00F05BB1">
              <w:rPr>
                <w:noProof/>
                <w:webHidden/>
              </w:rPr>
              <w:fldChar w:fldCharType="begin"/>
            </w:r>
            <w:r w:rsidR="00F05BB1">
              <w:rPr>
                <w:noProof/>
                <w:webHidden/>
              </w:rPr>
              <w:instrText xml:space="preserve"> PAGEREF _Toc216711860 \h </w:instrText>
            </w:r>
            <w:r w:rsidR="00F05BB1">
              <w:rPr>
                <w:noProof/>
                <w:webHidden/>
              </w:rPr>
            </w:r>
            <w:r w:rsidR="00F05BB1">
              <w:rPr>
                <w:noProof/>
                <w:webHidden/>
              </w:rPr>
              <w:fldChar w:fldCharType="separate"/>
            </w:r>
            <w:r w:rsidR="00F05BB1">
              <w:rPr>
                <w:noProof/>
                <w:webHidden/>
              </w:rPr>
              <w:t>24</w:t>
            </w:r>
            <w:r w:rsidR="00F05BB1">
              <w:rPr>
                <w:noProof/>
                <w:webHidden/>
              </w:rPr>
              <w:fldChar w:fldCharType="end"/>
            </w:r>
          </w:hyperlink>
        </w:p>
        <w:p w14:paraId="48ED30B3" w14:textId="486DB4DD" w:rsidR="00F05BB1" w:rsidRDefault="000D332A">
          <w:pPr>
            <w:pStyle w:val="TOC3"/>
            <w:tabs>
              <w:tab w:val="right" w:leader="dot" w:pos="9016"/>
            </w:tabs>
            <w:rPr>
              <w:rFonts w:asciiTheme="minorHAnsi" w:eastAsiaTheme="minorEastAsia" w:hAnsiTheme="minorHAnsi"/>
              <w:noProof/>
              <w:kern w:val="0"/>
              <w:sz w:val="22"/>
              <w:lang w:eastAsia="en-GB"/>
              <w14:ligatures w14:val="none"/>
            </w:rPr>
          </w:pPr>
          <w:hyperlink w:anchor="_Toc216711861" w:history="1">
            <w:r w:rsidR="00F05BB1" w:rsidRPr="002A63F3">
              <w:rPr>
                <w:rStyle w:val="Hyperlink"/>
                <w:rFonts w:asciiTheme="minorBidi" w:hAnsiTheme="minorBidi"/>
                <w:noProof/>
              </w:rPr>
              <w:t>3.4.3 Crisis communication, Leadership and compliance with policies.</w:t>
            </w:r>
            <w:r w:rsidR="00F05BB1">
              <w:rPr>
                <w:noProof/>
                <w:webHidden/>
              </w:rPr>
              <w:tab/>
            </w:r>
            <w:r w:rsidR="00F05BB1">
              <w:rPr>
                <w:noProof/>
                <w:webHidden/>
              </w:rPr>
              <w:fldChar w:fldCharType="begin"/>
            </w:r>
            <w:r w:rsidR="00F05BB1">
              <w:rPr>
                <w:noProof/>
                <w:webHidden/>
              </w:rPr>
              <w:instrText xml:space="preserve"> PAGEREF _Toc216711861 \h </w:instrText>
            </w:r>
            <w:r w:rsidR="00F05BB1">
              <w:rPr>
                <w:noProof/>
                <w:webHidden/>
              </w:rPr>
            </w:r>
            <w:r w:rsidR="00F05BB1">
              <w:rPr>
                <w:noProof/>
                <w:webHidden/>
              </w:rPr>
              <w:fldChar w:fldCharType="separate"/>
            </w:r>
            <w:r w:rsidR="00F05BB1">
              <w:rPr>
                <w:noProof/>
                <w:webHidden/>
              </w:rPr>
              <w:t>24</w:t>
            </w:r>
            <w:r w:rsidR="00F05BB1">
              <w:rPr>
                <w:noProof/>
                <w:webHidden/>
              </w:rPr>
              <w:fldChar w:fldCharType="end"/>
            </w:r>
          </w:hyperlink>
        </w:p>
        <w:p w14:paraId="4E722F60" w14:textId="313D6D14" w:rsidR="00F05BB1" w:rsidRDefault="000D332A">
          <w:pPr>
            <w:pStyle w:val="TOC3"/>
            <w:tabs>
              <w:tab w:val="right" w:leader="dot" w:pos="9016"/>
            </w:tabs>
            <w:rPr>
              <w:rFonts w:asciiTheme="minorHAnsi" w:eastAsiaTheme="minorEastAsia" w:hAnsiTheme="minorHAnsi"/>
              <w:noProof/>
              <w:kern w:val="0"/>
              <w:sz w:val="22"/>
              <w:lang w:eastAsia="en-GB"/>
              <w14:ligatures w14:val="none"/>
            </w:rPr>
          </w:pPr>
          <w:hyperlink w:anchor="_Toc216711862" w:history="1">
            <w:r w:rsidR="00F05BB1" w:rsidRPr="002A63F3">
              <w:rPr>
                <w:rStyle w:val="Hyperlink"/>
                <w:rFonts w:ascii="Arial" w:hAnsi="Arial" w:cs="Arial"/>
                <w:noProof/>
              </w:rPr>
              <w:t>3.4.4 Comparative Performance in Health system core-shock management.</w:t>
            </w:r>
            <w:r w:rsidR="00F05BB1">
              <w:rPr>
                <w:noProof/>
                <w:webHidden/>
              </w:rPr>
              <w:tab/>
            </w:r>
            <w:r w:rsidR="00F05BB1">
              <w:rPr>
                <w:noProof/>
                <w:webHidden/>
              </w:rPr>
              <w:fldChar w:fldCharType="begin"/>
            </w:r>
            <w:r w:rsidR="00F05BB1">
              <w:rPr>
                <w:noProof/>
                <w:webHidden/>
              </w:rPr>
              <w:instrText xml:space="preserve"> PAGEREF _Toc216711862 \h </w:instrText>
            </w:r>
            <w:r w:rsidR="00F05BB1">
              <w:rPr>
                <w:noProof/>
                <w:webHidden/>
              </w:rPr>
            </w:r>
            <w:r w:rsidR="00F05BB1">
              <w:rPr>
                <w:noProof/>
                <w:webHidden/>
              </w:rPr>
              <w:fldChar w:fldCharType="separate"/>
            </w:r>
            <w:r w:rsidR="00F05BB1">
              <w:rPr>
                <w:noProof/>
                <w:webHidden/>
              </w:rPr>
              <w:t>24</w:t>
            </w:r>
            <w:r w:rsidR="00F05BB1">
              <w:rPr>
                <w:noProof/>
                <w:webHidden/>
              </w:rPr>
              <w:fldChar w:fldCharType="end"/>
            </w:r>
          </w:hyperlink>
        </w:p>
        <w:p w14:paraId="0D904261" w14:textId="5B3FF207" w:rsidR="00F05BB1" w:rsidRDefault="000D332A">
          <w:pPr>
            <w:pStyle w:val="TOC1"/>
            <w:rPr>
              <w:rFonts w:asciiTheme="minorHAnsi" w:eastAsiaTheme="minorEastAsia" w:hAnsiTheme="minorHAnsi"/>
              <w:noProof/>
              <w:kern w:val="0"/>
              <w:sz w:val="22"/>
              <w:lang w:eastAsia="en-GB"/>
              <w14:ligatures w14:val="none"/>
            </w:rPr>
          </w:pPr>
          <w:hyperlink w:anchor="_Toc216711863" w:history="1">
            <w:r w:rsidR="00F05BB1" w:rsidRPr="002A63F3">
              <w:rPr>
                <w:rStyle w:val="Hyperlink"/>
                <w:rFonts w:asciiTheme="minorBidi" w:hAnsiTheme="minorBidi"/>
                <w:noProof/>
              </w:rPr>
              <w:t>4. Conclusion</w:t>
            </w:r>
            <w:r w:rsidR="00F05BB1">
              <w:rPr>
                <w:noProof/>
                <w:webHidden/>
              </w:rPr>
              <w:tab/>
            </w:r>
            <w:r w:rsidR="00F05BB1">
              <w:rPr>
                <w:noProof/>
                <w:webHidden/>
              </w:rPr>
              <w:fldChar w:fldCharType="begin"/>
            </w:r>
            <w:r w:rsidR="00F05BB1">
              <w:rPr>
                <w:noProof/>
                <w:webHidden/>
              </w:rPr>
              <w:instrText xml:space="preserve"> PAGEREF _Toc216711863 \h </w:instrText>
            </w:r>
            <w:r w:rsidR="00F05BB1">
              <w:rPr>
                <w:noProof/>
                <w:webHidden/>
              </w:rPr>
            </w:r>
            <w:r w:rsidR="00F05BB1">
              <w:rPr>
                <w:noProof/>
                <w:webHidden/>
              </w:rPr>
              <w:fldChar w:fldCharType="separate"/>
            </w:r>
            <w:r w:rsidR="00F05BB1">
              <w:rPr>
                <w:noProof/>
                <w:webHidden/>
              </w:rPr>
              <w:t>25</w:t>
            </w:r>
            <w:r w:rsidR="00F05BB1">
              <w:rPr>
                <w:noProof/>
                <w:webHidden/>
              </w:rPr>
              <w:fldChar w:fldCharType="end"/>
            </w:r>
          </w:hyperlink>
        </w:p>
        <w:p w14:paraId="724F482B" w14:textId="789EBD1D" w:rsidR="00F05BB1" w:rsidRDefault="000D332A">
          <w:pPr>
            <w:pStyle w:val="TOC1"/>
            <w:rPr>
              <w:rFonts w:asciiTheme="minorHAnsi" w:eastAsiaTheme="minorEastAsia" w:hAnsiTheme="minorHAnsi"/>
              <w:noProof/>
              <w:kern w:val="0"/>
              <w:sz w:val="22"/>
              <w:lang w:eastAsia="en-GB"/>
              <w14:ligatures w14:val="none"/>
            </w:rPr>
          </w:pPr>
          <w:hyperlink w:anchor="_Toc216711864" w:history="1">
            <w:r w:rsidR="00F05BB1" w:rsidRPr="002A63F3">
              <w:rPr>
                <w:rStyle w:val="Hyperlink"/>
                <w:rFonts w:asciiTheme="minorBidi" w:hAnsiTheme="minorBidi"/>
                <w:noProof/>
              </w:rPr>
              <w:t>References</w:t>
            </w:r>
            <w:r w:rsidR="00F05BB1">
              <w:rPr>
                <w:noProof/>
                <w:webHidden/>
              </w:rPr>
              <w:tab/>
            </w:r>
            <w:r w:rsidR="00F05BB1">
              <w:rPr>
                <w:noProof/>
                <w:webHidden/>
              </w:rPr>
              <w:fldChar w:fldCharType="begin"/>
            </w:r>
            <w:r w:rsidR="00F05BB1">
              <w:rPr>
                <w:noProof/>
                <w:webHidden/>
              </w:rPr>
              <w:instrText xml:space="preserve"> PAGEREF _Toc216711864 \h </w:instrText>
            </w:r>
            <w:r w:rsidR="00F05BB1">
              <w:rPr>
                <w:noProof/>
                <w:webHidden/>
              </w:rPr>
            </w:r>
            <w:r w:rsidR="00F05BB1">
              <w:rPr>
                <w:noProof/>
                <w:webHidden/>
              </w:rPr>
              <w:fldChar w:fldCharType="separate"/>
            </w:r>
            <w:r w:rsidR="00F05BB1">
              <w:rPr>
                <w:noProof/>
                <w:webHidden/>
              </w:rPr>
              <w:t>26</w:t>
            </w:r>
            <w:r w:rsidR="00F05BB1">
              <w:rPr>
                <w:noProof/>
                <w:webHidden/>
              </w:rPr>
              <w:fldChar w:fldCharType="end"/>
            </w:r>
          </w:hyperlink>
        </w:p>
        <w:p w14:paraId="45653CDF" w14:textId="66909E04" w:rsidR="00947159" w:rsidRPr="00D53E56" w:rsidRDefault="00947159">
          <w:pPr>
            <w:rPr>
              <w:rFonts w:asciiTheme="minorBidi" w:hAnsiTheme="minorBidi"/>
            </w:rPr>
          </w:pPr>
          <w:r w:rsidRPr="007B0F55">
            <w:rPr>
              <w:rFonts w:asciiTheme="minorBidi" w:hAnsiTheme="minorBidi"/>
              <w:b/>
              <w:bCs/>
              <w:noProof/>
              <w:sz w:val="22"/>
            </w:rPr>
            <w:fldChar w:fldCharType="end"/>
          </w:r>
        </w:p>
      </w:sdtContent>
    </w:sdt>
    <w:p w14:paraId="4C3A7CEF" w14:textId="77777777" w:rsidR="00947159" w:rsidRPr="00D53E56" w:rsidRDefault="00947159">
      <w:pPr>
        <w:spacing w:line="259" w:lineRule="auto"/>
        <w:jc w:val="left"/>
        <w:rPr>
          <w:rFonts w:asciiTheme="minorBidi" w:eastAsiaTheme="majorEastAsia" w:hAnsiTheme="minorBidi"/>
          <w:b/>
          <w:color w:val="4472C4" w:themeColor="accent1"/>
          <w:sz w:val="32"/>
          <w:szCs w:val="32"/>
        </w:rPr>
      </w:pPr>
      <w:r w:rsidRPr="00D53E56">
        <w:rPr>
          <w:rFonts w:asciiTheme="minorBidi" w:hAnsiTheme="minorBidi"/>
        </w:rPr>
        <w:br w:type="page"/>
      </w:r>
    </w:p>
    <w:p w14:paraId="75661CCA" w14:textId="4BE5DC1F" w:rsidR="00CD412A" w:rsidRPr="00D53E56" w:rsidRDefault="00CD412A" w:rsidP="00F46DD0">
      <w:pPr>
        <w:pStyle w:val="Heading1"/>
        <w:rPr>
          <w:rFonts w:asciiTheme="minorBidi" w:hAnsiTheme="minorBidi" w:cstheme="minorBidi"/>
        </w:rPr>
      </w:pPr>
      <w:bookmarkStart w:id="1" w:name="_Toc216711807"/>
      <w:r w:rsidRPr="00D53E56">
        <w:rPr>
          <w:rFonts w:asciiTheme="minorBidi" w:hAnsiTheme="minorBidi" w:cstheme="minorBidi"/>
        </w:rPr>
        <w:lastRenderedPageBreak/>
        <w:t>1. Introduction</w:t>
      </w:r>
      <w:bookmarkEnd w:id="1"/>
      <w:r w:rsidRPr="00D53E56">
        <w:rPr>
          <w:rFonts w:asciiTheme="minorBidi" w:hAnsiTheme="minorBidi" w:cstheme="minorBidi"/>
        </w:rPr>
        <w:t xml:space="preserve"> </w:t>
      </w:r>
    </w:p>
    <w:p w14:paraId="696B745B" w14:textId="4692DA7D" w:rsidR="00CD412A" w:rsidRPr="00D53E56" w:rsidRDefault="00CD412A" w:rsidP="00170958">
      <w:pPr>
        <w:rPr>
          <w:rFonts w:asciiTheme="minorBidi" w:hAnsiTheme="minorBidi"/>
          <w:sz w:val="22"/>
        </w:rPr>
      </w:pPr>
      <w:r w:rsidRPr="00D53E56">
        <w:rPr>
          <w:rFonts w:asciiTheme="minorBidi" w:hAnsiTheme="minorBidi"/>
          <w:sz w:val="22"/>
        </w:rPr>
        <w:t>The COVID-19 pandemic has constituted the most significant stress test on the national health systems and political leadership in the world and revealed its structural weaknesses, as well as structural strengths</w:t>
      </w:r>
      <w:r w:rsidR="00170958">
        <w:rPr>
          <w:rFonts w:asciiTheme="minorBidi" w:hAnsiTheme="minorBidi"/>
          <w:sz w:val="22"/>
        </w:rPr>
        <w:t xml:space="preserve"> </w:t>
      </w:r>
      <w:r w:rsidR="00170958" w:rsidRPr="00170958">
        <w:rPr>
          <w:rFonts w:asciiTheme="minorBidi" w:hAnsiTheme="minorBidi"/>
          <w:sz w:val="22"/>
        </w:rPr>
        <w:t>(Javed and Chattu, 2020)</w:t>
      </w:r>
      <w:r w:rsidRPr="00D53E56">
        <w:rPr>
          <w:rFonts w:asciiTheme="minorBidi" w:hAnsiTheme="minorBidi"/>
          <w:sz w:val="22"/>
        </w:rPr>
        <w:t>. In this report, the critical comparative analysis of health system organisation and leadership responses to COVID-19 in Spain, South Korea and Canada is presented, three countries that represent the opposite poles of the centralised and decentralised governance. The discussion concentrates on the effects of variations in system architecture, policy coordination and leadership styles on achieving pandemic decision-making, crisis responsiveness and health results. The concepts of centralisation and decentralisation are analysed as the important principles of governance that affect surveillance, service provision, the implementation of the vaccination process, and the coordination of the intergovernmental cooperation. Simultaneously, the report is critical in assessing the influence of leadership styles when used in the context of crisis on citizen trust, adherence, and the effectiveness of the systems. Through the combination of systems thinking and the leadership theory, the report will endeavour to show how the interplay between the governance structures and the leadership behaviour dictated the success of the national responses in face of COVID-19 and provide essential lessons to be learnt in case of future global public health emergencies.</w:t>
      </w:r>
    </w:p>
    <w:p w14:paraId="5A5BB461" w14:textId="77777777" w:rsidR="00CD412A" w:rsidRPr="00D53E56" w:rsidRDefault="00CD412A" w:rsidP="00CD412A">
      <w:pPr>
        <w:rPr>
          <w:rFonts w:asciiTheme="minorBidi" w:hAnsiTheme="minorBidi"/>
          <w:sz w:val="22"/>
        </w:rPr>
      </w:pPr>
    </w:p>
    <w:p w14:paraId="0B23C79B" w14:textId="77777777" w:rsidR="00CD412A" w:rsidRPr="00D53E56" w:rsidRDefault="00CD412A" w:rsidP="00CD412A">
      <w:pPr>
        <w:rPr>
          <w:rFonts w:asciiTheme="minorBidi" w:hAnsiTheme="minorBidi"/>
          <w:sz w:val="22"/>
        </w:rPr>
      </w:pPr>
    </w:p>
    <w:p w14:paraId="76AD3B07" w14:textId="77777777" w:rsidR="00CD412A" w:rsidRPr="00D53E56" w:rsidRDefault="00CD412A" w:rsidP="00CD412A">
      <w:pPr>
        <w:rPr>
          <w:rFonts w:asciiTheme="minorBidi" w:hAnsiTheme="minorBidi"/>
          <w:sz w:val="22"/>
        </w:rPr>
      </w:pPr>
    </w:p>
    <w:p w14:paraId="6EBE84CF" w14:textId="77777777" w:rsidR="00CD412A" w:rsidRPr="00D53E56" w:rsidRDefault="00CD412A" w:rsidP="00CD412A">
      <w:pPr>
        <w:rPr>
          <w:rFonts w:asciiTheme="minorBidi" w:hAnsiTheme="minorBidi"/>
          <w:sz w:val="22"/>
        </w:rPr>
      </w:pPr>
    </w:p>
    <w:p w14:paraId="1DF9F06A" w14:textId="77777777" w:rsidR="00CD412A" w:rsidRPr="00D53E56" w:rsidRDefault="00CD412A" w:rsidP="00CD412A">
      <w:pPr>
        <w:rPr>
          <w:rFonts w:asciiTheme="minorBidi" w:hAnsiTheme="minorBidi"/>
          <w:sz w:val="22"/>
        </w:rPr>
      </w:pPr>
    </w:p>
    <w:p w14:paraId="1888C5B0" w14:textId="77777777" w:rsidR="00CD412A" w:rsidRPr="00D53E56" w:rsidRDefault="00CD412A" w:rsidP="00CD412A">
      <w:pPr>
        <w:rPr>
          <w:rFonts w:asciiTheme="minorBidi" w:hAnsiTheme="minorBidi"/>
          <w:sz w:val="22"/>
        </w:rPr>
      </w:pPr>
    </w:p>
    <w:p w14:paraId="5214A6BC" w14:textId="77777777" w:rsidR="00CD412A" w:rsidRPr="00D53E56" w:rsidRDefault="00CD412A" w:rsidP="00CD412A">
      <w:pPr>
        <w:rPr>
          <w:rFonts w:asciiTheme="minorBidi" w:hAnsiTheme="minorBidi"/>
          <w:sz w:val="22"/>
        </w:rPr>
      </w:pPr>
    </w:p>
    <w:p w14:paraId="7D4D642B" w14:textId="77777777" w:rsidR="00CD412A" w:rsidRPr="00D53E56" w:rsidRDefault="00CD412A" w:rsidP="00CD412A">
      <w:pPr>
        <w:rPr>
          <w:rFonts w:asciiTheme="minorBidi" w:hAnsiTheme="minorBidi"/>
          <w:sz w:val="22"/>
        </w:rPr>
      </w:pPr>
    </w:p>
    <w:p w14:paraId="1D08B8B7" w14:textId="77777777" w:rsidR="00CD412A" w:rsidRPr="00D53E56" w:rsidRDefault="00CD412A" w:rsidP="00CD412A">
      <w:pPr>
        <w:rPr>
          <w:rFonts w:asciiTheme="minorBidi" w:hAnsiTheme="minorBidi"/>
          <w:sz w:val="22"/>
        </w:rPr>
      </w:pPr>
    </w:p>
    <w:p w14:paraId="18DF4449" w14:textId="77777777" w:rsidR="00947159" w:rsidRPr="00D53E56" w:rsidRDefault="00947159">
      <w:pPr>
        <w:spacing w:line="259" w:lineRule="auto"/>
        <w:jc w:val="left"/>
        <w:rPr>
          <w:rFonts w:asciiTheme="minorBidi" w:eastAsiaTheme="majorEastAsia" w:hAnsiTheme="minorBidi"/>
          <w:b/>
          <w:color w:val="4472C4" w:themeColor="accent1"/>
          <w:sz w:val="32"/>
          <w:szCs w:val="44"/>
        </w:rPr>
      </w:pPr>
      <w:r w:rsidRPr="00D53E56">
        <w:rPr>
          <w:rFonts w:asciiTheme="minorBidi" w:hAnsiTheme="minorBidi"/>
          <w:szCs w:val="44"/>
        </w:rPr>
        <w:br w:type="page"/>
      </w:r>
    </w:p>
    <w:p w14:paraId="710F43AC" w14:textId="179DE161" w:rsidR="00CD412A" w:rsidRPr="00F05BB1" w:rsidRDefault="00947159" w:rsidP="00F05BB1">
      <w:pPr>
        <w:pStyle w:val="Heading1"/>
        <w:rPr>
          <w:rFonts w:asciiTheme="minorBidi" w:hAnsiTheme="minorBidi" w:cstheme="minorBidi"/>
          <w:sz w:val="22"/>
        </w:rPr>
      </w:pPr>
      <w:bookmarkStart w:id="2" w:name="_Toc216711808"/>
      <w:r w:rsidRPr="00D53E56">
        <w:rPr>
          <w:rFonts w:asciiTheme="minorBidi" w:hAnsiTheme="minorBidi" w:cstheme="minorBidi"/>
          <w:szCs w:val="44"/>
        </w:rPr>
        <w:lastRenderedPageBreak/>
        <w:t>2</w:t>
      </w:r>
      <w:r w:rsidRPr="00D53E56">
        <w:rPr>
          <w:rFonts w:asciiTheme="minorBidi" w:hAnsiTheme="minorBidi" w:cstheme="minorBidi"/>
          <w:sz w:val="22"/>
        </w:rPr>
        <w:t xml:space="preserve">. </w:t>
      </w:r>
      <w:r w:rsidR="00F46DD0" w:rsidRPr="00D53E56">
        <w:rPr>
          <w:rFonts w:asciiTheme="minorBidi" w:hAnsiTheme="minorBidi" w:cstheme="minorBidi"/>
        </w:rPr>
        <w:t>Critical Analysis of Centralised and Decentralised Health System Approaches to COVID-19</w:t>
      </w:r>
      <w:bookmarkEnd w:id="2"/>
      <w:r w:rsidR="00F46DD0" w:rsidRPr="00D53E56">
        <w:rPr>
          <w:rFonts w:asciiTheme="minorBidi" w:hAnsiTheme="minorBidi" w:cstheme="minorBidi"/>
        </w:rPr>
        <w:t xml:space="preserve"> </w:t>
      </w:r>
    </w:p>
    <w:p w14:paraId="76493211" w14:textId="4CA407AF" w:rsidR="00947159" w:rsidRPr="00F05BB1" w:rsidRDefault="00CD412A" w:rsidP="00F05BB1">
      <w:pPr>
        <w:pStyle w:val="Heading2"/>
        <w:rPr>
          <w:rFonts w:asciiTheme="minorBidi" w:hAnsiTheme="minorBidi" w:cstheme="minorBidi"/>
        </w:rPr>
      </w:pPr>
      <w:bookmarkStart w:id="3" w:name="_Toc216711809"/>
      <w:r w:rsidRPr="00D53E56">
        <w:rPr>
          <w:rFonts w:asciiTheme="minorBidi" w:hAnsiTheme="minorBidi" w:cstheme="minorBidi"/>
        </w:rPr>
        <w:t>2.1 Conceptual Framework: Public Health centralisation, decentralisation, and Systems Thinking.</w:t>
      </w:r>
      <w:bookmarkEnd w:id="3"/>
    </w:p>
    <w:p w14:paraId="5F2B204B" w14:textId="42CD68EC" w:rsidR="00947159" w:rsidRPr="00F05BB1" w:rsidRDefault="00CD412A" w:rsidP="00F05BB1">
      <w:pPr>
        <w:rPr>
          <w:rFonts w:asciiTheme="minorBidi" w:hAnsiTheme="minorBidi"/>
          <w:sz w:val="22"/>
        </w:rPr>
      </w:pPr>
      <w:r w:rsidRPr="00D53E56">
        <w:rPr>
          <w:rFonts w:asciiTheme="minorBidi" w:hAnsiTheme="minorBidi"/>
          <w:sz w:val="22"/>
        </w:rPr>
        <w:t>Centralisation and decentralisation are the opposite, yet mutually supportive, models of health system organisation</w:t>
      </w:r>
      <w:r w:rsidR="00170958">
        <w:rPr>
          <w:rFonts w:asciiTheme="minorBidi" w:hAnsiTheme="minorBidi"/>
          <w:sz w:val="22"/>
        </w:rPr>
        <w:t xml:space="preserve"> </w:t>
      </w:r>
      <w:r w:rsidR="00170958" w:rsidRPr="00170958">
        <w:rPr>
          <w:rFonts w:asciiTheme="minorBidi" w:hAnsiTheme="minorBidi"/>
          <w:sz w:val="22"/>
        </w:rPr>
        <w:t>(Kemei et al., 2023)</w:t>
      </w:r>
      <w:r w:rsidRPr="00D53E56">
        <w:rPr>
          <w:rFonts w:asciiTheme="minorBidi" w:hAnsiTheme="minorBidi"/>
          <w:sz w:val="22"/>
        </w:rPr>
        <w:t>. Centralisation is the phenomenon of authority, distribution of resources and decision-making at the national level institutions, and decentralisation means the distribution of powers to the regional or provincial level institutions. Systems thinking offers the analytic prism to view these forms of governance as part of complex structures of public health. The success of the national response to COVID-19 was not only related to the centralisation/decentralisation of the system, but its successful integration of policy coordination, information flow, institutional trust, and operational capacity across the different levels of the system (Greer et al., 2022; Haldane et al., 2021). Assessing resilient systems, Assefa et al. (2022) believe that such systems should be able to adjust governance functions and data systems and delivery of services promptly, during the crisis</w:t>
      </w:r>
    </w:p>
    <w:p w14:paraId="5EBB58FD" w14:textId="55F62660" w:rsidR="00CD412A" w:rsidRPr="00D53E56" w:rsidRDefault="00CD412A" w:rsidP="00F46DD0">
      <w:pPr>
        <w:pStyle w:val="Heading2"/>
        <w:rPr>
          <w:rFonts w:asciiTheme="minorBidi" w:hAnsiTheme="minorBidi" w:cstheme="minorBidi"/>
        </w:rPr>
      </w:pPr>
      <w:bookmarkStart w:id="4" w:name="_Toc216711810"/>
      <w:r w:rsidRPr="00D53E56">
        <w:rPr>
          <w:rFonts w:asciiTheme="minorBidi" w:hAnsiTheme="minorBidi" w:cstheme="minorBidi"/>
        </w:rPr>
        <w:t>2.2 Spain: Health System Organisation and COVID-19 Response.</w:t>
      </w:r>
      <w:bookmarkEnd w:id="4"/>
    </w:p>
    <w:p w14:paraId="5451B800" w14:textId="77777777" w:rsidR="00CD412A" w:rsidRPr="00D53E56" w:rsidRDefault="00CD412A" w:rsidP="00F46DD0">
      <w:pPr>
        <w:pStyle w:val="Heading3"/>
        <w:rPr>
          <w:rFonts w:asciiTheme="minorBidi" w:hAnsiTheme="minorBidi" w:cstheme="minorBidi"/>
        </w:rPr>
      </w:pPr>
      <w:bookmarkStart w:id="5" w:name="_Toc216711811"/>
      <w:r w:rsidRPr="00D53E56">
        <w:rPr>
          <w:rFonts w:asciiTheme="minorBidi" w:hAnsiTheme="minorBidi" w:cstheme="minorBidi"/>
        </w:rPr>
        <w:t>2.2.1 Spanish Health Care System Structure.</w:t>
      </w:r>
      <w:bookmarkEnd w:id="5"/>
    </w:p>
    <w:p w14:paraId="2C1D0818" w14:textId="55219866" w:rsidR="00CD412A" w:rsidRPr="00D53E56" w:rsidRDefault="00CD412A" w:rsidP="00170958">
      <w:pPr>
        <w:rPr>
          <w:rFonts w:asciiTheme="minorBidi" w:hAnsiTheme="minorBidi"/>
          <w:sz w:val="22"/>
        </w:rPr>
      </w:pPr>
      <w:r w:rsidRPr="00D53E56">
        <w:rPr>
          <w:rFonts w:asciiTheme="minorBidi" w:hAnsiTheme="minorBidi"/>
          <w:sz w:val="22"/>
        </w:rPr>
        <w:t>Spain has a highly decentralised National Health System, where the 17 Autonomous Communities have the major responsibility in financing health care, providing health services, managing the labour force and planning of public health at regional level</w:t>
      </w:r>
      <w:r w:rsidR="00170958">
        <w:rPr>
          <w:rFonts w:asciiTheme="minorBidi" w:hAnsiTheme="minorBidi"/>
          <w:sz w:val="22"/>
        </w:rPr>
        <w:t xml:space="preserve"> </w:t>
      </w:r>
      <w:r w:rsidR="00170958" w:rsidRPr="00170958">
        <w:rPr>
          <w:rFonts w:asciiTheme="minorBidi" w:hAnsiTheme="minorBidi"/>
          <w:sz w:val="22"/>
        </w:rPr>
        <w:t>(Kim et al., 2020)</w:t>
      </w:r>
      <w:r w:rsidRPr="00D53E56">
        <w:rPr>
          <w:rFonts w:asciiTheme="minorBidi" w:hAnsiTheme="minorBidi"/>
          <w:sz w:val="22"/>
        </w:rPr>
        <w:t xml:space="preserve">. The power of the central government remains to have the control over the federal legislation, drug regulation, and social health surveillance systems, as well as the ability to coordinate with interregional cooperation (Greer, 2021). The ratio of vertical decentralisation is high with regional governments commanding about 92% of total public health spending by 2019 (Erkoreka and Hernando-Pérez, 2023). </w:t>
      </w:r>
    </w:p>
    <w:p w14:paraId="70CC3C36" w14:textId="77777777" w:rsidR="00CD412A" w:rsidRPr="00D53E56" w:rsidRDefault="00CD412A" w:rsidP="00F46DD0">
      <w:pPr>
        <w:pStyle w:val="Heading3"/>
        <w:rPr>
          <w:rFonts w:asciiTheme="minorBidi" w:hAnsiTheme="minorBidi" w:cstheme="minorBidi"/>
        </w:rPr>
      </w:pPr>
      <w:bookmarkStart w:id="6" w:name="_Toc216711812"/>
      <w:r w:rsidRPr="00D53E56">
        <w:rPr>
          <w:rFonts w:asciiTheme="minorBidi" w:hAnsiTheme="minorBidi" w:cstheme="minorBidi"/>
        </w:rPr>
        <w:t>2.2.2 Decentralisation level of Pandemic Governance.</w:t>
      </w:r>
      <w:bookmarkEnd w:id="6"/>
    </w:p>
    <w:p w14:paraId="662EC5FF" w14:textId="77777777" w:rsidR="00CD412A" w:rsidRPr="00D53E56" w:rsidRDefault="00CD412A" w:rsidP="00CD412A">
      <w:pPr>
        <w:rPr>
          <w:rFonts w:asciiTheme="minorBidi" w:hAnsiTheme="minorBidi"/>
          <w:sz w:val="22"/>
        </w:rPr>
      </w:pPr>
      <w:r w:rsidRPr="00D53E56">
        <w:rPr>
          <w:rFonts w:asciiTheme="minorBidi" w:hAnsiTheme="minorBidi"/>
          <w:sz w:val="22"/>
        </w:rPr>
        <w:t>The decentralisation of Spain in the COVID-19 can be analytically placed in three layers of governance.</w:t>
      </w:r>
    </w:p>
    <w:p w14:paraId="100DBFBA" w14:textId="4DA9612C" w:rsidR="00D53E56" w:rsidRPr="00F05BB1" w:rsidRDefault="00170958" w:rsidP="00F05BB1">
      <w:pPr>
        <w:rPr>
          <w:rFonts w:asciiTheme="minorBidi" w:hAnsiTheme="minorBidi"/>
          <w:sz w:val="22"/>
        </w:rPr>
      </w:pPr>
      <w:r>
        <w:rPr>
          <w:rFonts w:asciiTheme="minorBidi" w:hAnsiTheme="minorBidi"/>
          <w:sz w:val="22"/>
        </w:rPr>
        <w:t xml:space="preserve">First is </w:t>
      </w:r>
      <w:r w:rsidR="00CD412A" w:rsidRPr="00D53E56">
        <w:rPr>
          <w:rFonts w:asciiTheme="minorBidi" w:hAnsiTheme="minorBidi"/>
          <w:sz w:val="22"/>
        </w:rPr>
        <w:t>Administrative Decentralisation. At the beginning of the pandemic, autonomous communities governed the capacity of hospitals, the implementation of regional lockdowns, the system of testing, and the mobilisation of a health workforce.</w:t>
      </w:r>
      <w:r>
        <w:rPr>
          <w:rFonts w:asciiTheme="minorBidi" w:hAnsiTheme="minorBidi"/>
          <w:b/>
          <w:bCs/>
          <w:sz w:val="22"/>
        </w:rPr>
        <w:t xml:space="preserve"> </w:t>
      </w:r>
      <w:r w:rsidRPr="00170958">
        <w:rPr>
          <w:rFonts w:asciiTheme="minorBidi" w:hAnsiTheme="minorBidi"/>
          <w:sz w:val="22"/>
        </w:rPr>
        <w:t>Second is</w:t>
      </w:r>
      <w:r>
        <w:rPr>
          <w:rFonts w:asciiTheme="minorBidi" w:hAnsiTheme="minorBidi"/>
          <w:b/>
          <w:bCs/>
          <w:sz w:val="22"/>
        </w:rPr>
        <w:t xml:space="preserve"> </w:t>
      </w:r>
      <w:r w:rsidR="00CD412A" w:rsidRPr="00D53E56">
        <w:rPr>
          <w:rFonts w:asciiTheme="minorBidi" w:hAnsiTheme="minorBidi"/>
          <w:sz w:val="22"/>
        </w:rPr>
        <w:t xml:space="preserve">Fiscal </w:t>
      </w:r>
      <w:r w:rsidR="00CD412A" w:rsidRPr="00D53E56">
        <w:rPr>
          <w:rFonts w:asciiTheme="minorBidi" w:hAnsiTheme="minorBidi"/>
          <w:sz w:val="22"/>
        </w:rPr>
        <w:lastRenderedPageBreak/>
        <w:t>Decentralisation. Most of the healthcare budgets were controlled by the regional governments and this led to inequality in the emergency resource allocation across territories</w:t>
      </w:r>
      <w:r>
        <w:rPr>
          <w:rFonts w:asciiTheme="minorBidi" w:hAnsiTheme="minorBidi"/>
          <w:sz w:val="22"/>
        </w:rPr>
        <w:t xml:space="preserve"> </w:t>
      </w:r>
      <w:r w:rsidRPr="00170958">
        <w:rPr>
          <w:rFonts w:asciiTheme="minorBidi" w:hAnsiTheme="minorBidi"/>
          <w:sz w:val="22"/>
        </w:rPr>
        <w:t>(Kim, 2021)</w:t>
      </w:r>
      <w:r w:rsidR="00CD412A" w:rsidRPr="00D53E56">
        <w:rPr>
          <w:rFonts w:asciiTheme="minorBidi" w:hAnsiTheme="minorBidi"/>
          <w:sz w:val="22"/>
        </w:rPr>
        <w:t>.</w:t>
      </w:r>
      <w:r>
        <w:rPr>
          <w:rFonts w:asciiTheme="minorBidi" w:hAnsiTheme="minorBidi"/>
          <w:sz w:val="22"/>
        </w:rPr>
        <w:t xml:space="preserve"> And the last is p</w:t>
      </w:r>
      <w:r w:rsidR="00CD412A" w:rsidRPr="00D53E56">
        <w:rPr>
          <w:rFonts w:asciiTheme="minorBidi" w:hAnsiTheme="minorBidi"/>
          <w:sz w:val="22"/>
        </w:rPr>
        <w:t>olitical Decentralisation. Presidents were autonomous, and had independent emergency public health powers, especially in post-lockdown stages of reopening.</w:t>
      </w:r>
      <w:r>
        <w:rPr>
          <w:rFonts w:asciiTheme="minorBidi" w:hAnsiTheme="minorBidi"/>
          <w:sz w:val="22"/>
        </w:rPr>
        <w:t xml:space="preserve"> </w:t>
      </w:r>
      <w:r w:rsidR="00CD412A" w:rsidRPr="00D53E56">
        <w:rPr>
          <w:rFonts w:asciiTheme="minorBidi" w:hAnsiTheme="minorBidi"/>
          <w:sz w:val="22"/>
        </w:rPr>
        <w:t>This decentralisation in layers produced disjointed responses in the initial wave of pandemic. Casula and Pazos-Vidal (2021) show that Spain did not enter the national lockdown until the situation in Madrid and Catalonia was overwhelmed by regional health systems, which means that vertical policy synchronisation was delayed.</w:t>
      </w:r>
    </w:p>
    <w:p w14:paraId="61BF6D2F" w14:textId="66601B8C" w:rsidR="00CD412A" w:rsidRPr="00D53E56" w:rsidRDefault="00CD412A" w:rsidP="00F46DD0">
      <w:pPr>
        <w:pStyle w:val="Heading3"/>
        <w:rPr>
          <w:rFonts w:asciiTheme="minorBidi" w:hAnsiTheme="minorBidi" w:cstheme="minorBidi"/>
        </w:rPr>
      </w:pPr>
      <w:bookmarkStart w:id="7" w:name="_Toc216711813"/>
      <w:r w:rsidRPr="00D53E56">
        <w:rPr>
          <w:rFonts w:asciiTheme="minorBidi" w:hAnsiTheme="minorBidi" w:cstheme="minorBidi"/>
        </w:rPr>
        <w:t>2.2.3 Central Government Co-ordination and Regional Autonomy.</w:t>
      </w:r>
      <w:bookmarkEnd w:id="7"/>
    </w:p>
    <w:p w14:paraId="4E65A4E2" w14:textId="7601A9CD" w:rsidR="00CD412A" w:rsidRPr="00D53E56" w:rsidRDefault="00CD412A" w:rsidP="00CD412A">
      <w:pPr>
        <w:rPr>
          <w:rFonts w:asciiTheme="minorBidi" w:hAnsiTheme="minorBidi"/>
          <w:sz w:val="22"/>
        </w:rPr>
      </w:pPr>
      <w:r w:rsidRPr="00D53E56">
        <w:rPr>
          <w:rFonts w:asciiTheme="minorBidi" w:hAnsiTheme="minorBidi"/>
          <w:sz w:val="22"/>
        </w:rPr>
        <w:t>Spain briefly re-centralised its health governance to fight fragmentation under the temporary state of alarm as of March 2020, making emergency powers be transferred to the Ministry of Health</w:t>
      </w:r>
      <w:r w:rsidR="00170958">
        <w:rPr>
          <w:rFonts w:asciiTheme="minorBidi" w:hAnsiTheme="minorBidi"/>
          <w:sz w:val="22"/>
        </w:rPr>
        <w:t xml:space="preserve"> </w:t>
      </w:r>
      <w:r w:rsidR="00170958" w:rsidRPr="00170958">
        <w:rPr>
          <w:rFonts w:asciiTheme="minorBidi" w:hAnsiTheme="minorBidi"/>
          <w:sz w:val="22"/>
        </w:rPr>
        <w:t>(Marchildon and Di Matteo, 2021)</w:t>
      </w:r>
      <w:r w:rsidRPr="00D53E56">
        <w:rPr>
          <w:rFonts w:asciiTheme="minorBidi" w:hAnsiTheme="minorBidi"/>
          <w:sz w:val="22"/>
        </w:rPr>
        <w:t>. The management of hospitals, the purchase of ventilators, and the policy of lockdown in the country were put under the control of national authorities (Greer et al., 2020). This recentralisation was nevertheless politically disputed and not operationalised. Independent communities kept the power on implementation, which led to inconsistent enforcement guidelines and local restrictions. Returning powers to the regions by June 2020, Spain reinstated coordination issues throughout further waves of COVID-19 (Erkoreka and Hernando-Pérez, 2023).</w:t>
      </w:r>
    </w:p>
    <w:p w14:paraId="2C7342CD" w14:textId="16EB18D8" w:rsidR="00CD412A" w:rsidRPr="00D53E56" w:rsidRDefault="008334C1" w:rsidP="00F46DD0">
      <w:pPr>
        <w:pStyle w:val="Heading3"/>
        <w:rPr>
          <w:rFonts w:asciiTheme="minorBidi" w:hAnsiTheme="minorBidi" w:cstheme="minorBidi"/>
        </w:rPr>
      </w:pPr>
      <w:bookmarkStart w:id="8" w:name="_Toc216711814"/>
      <w:r w:rsidRPr="00D53E56">
        <w:rPr>
          <w:rFonts w:asciiTheme="minorBidi" w:hAnsiTheme="minorBidi" w:cstheme="minorBidi"/>
          <w:noProof/>
        </w:rPr>
        <mc:AlternateContent>
          <mc:Choice Requires="wps">
            <w:drawing>
              <wp:anchor distT="0" distB="0" distL="114300" distR="114300" simplePos="0" relativeHeight="251672576" behindDoc="0" locked="0" layoutInCell="1" allowOverlap="1" wp14:anchorId="76F4A5D9" wp14:editId="6D0B2819">
                <wp:simplePos x="0" y="0"/>
                <wp:positionH relativeFrom="margin">
                  <wp:align>center</wp:align>
                </wp:positionH>
                <wp:positionV relativeFrom="paragraph">
                  <wp:posOffset>3171825</wp:posOffset>
                </wp:positionV>
                <wp:extent cx="3131820" cy="635"/>
                <wp:effectExtent l="0" t="0" r="0" b="8255"/>
                <wp:wrapSquare wrapText="bothSides"/>
                <wp:docPr id="39854994" name="Text Box 1"/>
                <wp:cNvGraphicFramePr/>
                <a:graphic xmlns:a="http://schemas.openxmlformats.org/drawingml/2006/main">
                  <a:graphicData uri="http://schemas.microsoft.com/office/word/2010/wordprocessingShape">
                    <wps:wsp>
                      <wps:cNvSpPr txBox="1"/>
                      <wps:spPr>
                        <a:xfrm>
                          <a:off x="0" y="0"/>
                          <a:ext cx="3131820" cy="635"/>
                        </a:xfrm>
                        <a:prstGeom prst="rect">
                          <a:avLst/>
                        </a:prstGeom>
                        <a:solidFill>
                          <a:prstClr val="white"/>
                        </a:solidFill>
                        <a:ln>
                          <a:noFill/>
                        </a:ln>
                      </wps:spPr>
                      <wps:txbx>
                        <w:txbxContent>
                          <w:p w14:paraId="06FD3A53" w14:textId="2E71305A" w:rsidR="008334C1" w:rsidRPr="008334C1" w:rsidRDefault="008334C1" w:rsidP="008334C1">
                            <w:pPr>
                              <w:pStyle w:val="Caption"/>
                              <w:rPr>
                                <w:b/>
                                <w:bCs/>
                                <w:noProof/>
                                <w:szCs w:val="22"/>
                              </w:rPr>
                            </w:pPr>
                            <w:r w:rsidRPr="008334C1">
                              <w:rPr>
                                <w:b/>
                                <w:bCs/>
                              </w:rPr>
                              <w:t xml:space="preserve">Figure </w:t>
                            </w:r>
                            <w:r w:rsidR="00F05BB1">
                              <w:rPr>
                                <w:b/>
                                <w:bCs/>
                              </w:rPr>
                              <w:t>1</w:t>
                            </w:r>
                            <w:r w:rsidR="00F05BB1" w:rsidRPr="008334C1">
                              <w:rPr>
                                <w:b/>
                                <w:bCs/>
                              </w:rPr>
                              <w:t xml:space="preserve"> Benefits</w:t>
                            </w:r>
                            <w:r w:rsidRPr="008334C1">
                              <w:rPr>
                                <w:b/>
                                <w:bCs/>
                              </w:rPr>
                              <w:t xml:space="preserve"> of the Decentralised System in Spain (Author)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76F4A5D9" id="_x0000_t202" coordsize="21600,21600" o:spt="202" path="m,l,21600r21600,l21600,xe">
                <v:stroke joinstyle="miter"/>
                <v:path gradientshapeok="t" o:connecttype="rect"/>
              </v:shapetype>
              <v:shape id="Text Box 1" o:spid="_x0000_s1026" type="#_x0000_t202" style="position:absolute;left:0;text-align:left;margin-left:0;margin-top:249.75pt;width:246.6pt;height:.05pt;z-index:25167257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" stroked="f">
                <v:textbox style="mso-fit-shape-to-text:t" inset="0,0,0,0">
                  <w:txbxContent>
                    <w:p w14:paraId="06FD3A53" w14:textId="2E71305A" w:rsidR="008334C1" w:rsidRPr="008334C1" w:rsidRDefault="008334C1" w:rsidP="008334C1">
                      <w:pPr>
                        <w:pStyle w:val="Caption"/>
                        <w:rPr>
                          <w:b/>
                          <w:bCs/>
                          <w:noProof/>
                          <w:szCs w:val="22"/>
                        </w:rPr>
                      </w:pPr>
                      <w:r w:rsidRPr="008334C1">
                        <w:rPr>
                          <w:b/>
                          <w:bCs/>
                        </w:rPr>
                        <w:t xml:space="preserve">Figure </w:t>
                      </w:r>
                      <w:r w:rsidR="00F05BB1">
                        <w:rPr>
                          <w:b/>
                          <w:bCs/>
                        </w:rPr>
                        <w:t>1</w:t>
                      </w:r>
                      <w:r w:rsidR="00F05BB1" w:rsidRPr="008334C1">
                        <w:rPr>
                          <w:b/>
                          <w:bCs/>
                        </w:rPr>
                        <w:t xml:space="preserve"> Benefits</w:t>
                      </w:r>
                      <w:r w:rsidRPr="008334C1">
                        <w:rPr>
                          <w:b/>
                          <w:bCs/>
                        </w:rPr>
                        <w:t xml:space="preserve"> of the Decentralised System in Spain (Author)</w:t>
                      </w:r>
                    </w:p>
                  </w:txbxContent>
                </v:textbox>
                <w10:wrap type="square" anchorx="margin"/>
              </v:shape>
            </w:pict>
          </mc:Fallback>
        </mc:AlternateContent>
      </w:r>
      <w:r w:rsidR="00CD412A" w:rsidRPr="00D53E56">
        <w:rPr>
          <w:rFonts w:asciiTheme="minorBidi" w:hAnsiTheme="minorBidi" w:cstheme="minorBidi"/>
        </w:rPr>
        <w:t>2.2.4 Benefits of the Decentralised System in Spain in the COVID-19.</w:t>
      </w:r>
      <w:bookmarkEnd w:id="8"/>
    </w:p>
    <w:p w14:paraId="55FA3A58" w14:textId="3E3874F1" w:rsidR="008334C1" w:rsidRPr="00D53E56" w:rsidRDefault="008334C1" w:rsidP="00CD412A">
      <w:pPr>
        <w:rPr>
          <w:rFonts w:asciiTheme="minorBidi" w:hAnsiTheme="minorBidi"/>
          <w:sz w:val="22"/>
        </w:rPr>
      </w:pPr>
      <w:r w:rsidRPr="00D53E56">
        <w:rPr>
          <w:rFonts w:asciiTheme="minorBidi" w:hAnsiTheme="minorBidi"/>
          <w:noProof/>
        </w:rPr>
        <w:drawing>
          <wp:anchor distT="0" distB="0" distL="114300" distR="114300" simplePos="0" relativeHeight="251670528" behindDoc="0" locked="0" layoutInCell="1" allowOverlap="1" wp14:anchorId="14865D97" wp14:editId="7ACE932D">
            <wp:simplePos x="0" y="0"/>
            <wp:positionH relativeFrom="margin">
              <wp:align>center</wp:align>
            </wp:positionH>
            <wp:positionV relativeFrom="paragraph">
              <wp:posOffset>162560</wp:posOffset>
            </wp:positionV>
            <wp:extent cx="4838700" cy="2444010"/>
            <wp:effectExtent l="152400" t="152400" r="361950" b="356870"/>
            <wp:wrapSquare wrapText="bothSides"/>
            <wp:docPr id="2152071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207185"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4838700" cy="2444010"/>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p>
    <w:p w14:paraId="1023793F" w14:textId="38DC0EFD" w:rsidR="00CD412A" w:rsidRPr="00DB635D" w:rsidRDefault="00CD412A" w:rsidP="00CD412A">
      <w:pPr>
        <w:rPr>
          <w:rFonts w:asciiTheme="minorBidi" w:hAnsiTheme="minorBidi"/>
          <w:sz w:val="22"/>
        </w:rPr>
      </w:pPr>
      <w:r w:rsidRPr="00D53E56">
        <w:rPr>
          <w:rFonts w:asciiTheme="minorBidi" w:hAnsiTheme="minorBidi"/>
          <w:sz w:val="22"/>
        </w:rPr>
        <w:t xml:space="preserve">The decentralised system in Spain allowed regional innovation when the systems stabilised. Regions-specific surge planning models significantly increased ICU capacity by the use of </w:t>
      </w:r>
      <w:r w:rsidRPr="00D53E56">
        <w:rPr>
          <w:rFonts w:asciiTheme="minorBidi" w:hAnsiTheme="minorBidi"/>
          <w:sz w:val="22"/>
        </w:rPr>
        <w:lastRenderedPageBreak/>
        <w:t>autonomous governments</w:t>
      </w:r>
      <w:r w:rsidR="00170958">
        <w:rPr>
          <w:rFonts w:asciiTheme="minorBidi" w:hAnsiTheme="minorBidi"/>
          <w:sz w:val="22"/>
        </w:rPr>
        <w:t xml:space="preserve"> </w:t>
      </w:r>
      <w:r w:rsidR="00170958" w:rsidRPr="00170958">
        <w:rPr>
          <w:rFonts w:asciiTheme="minorBidi" w:hAnsiTheme="minorBidi"/>
          <w:sz w:val="22"/>
        </w:rPr>
        <w:t>(Mattei and Del Pino, 2021)</w:t>
      </w:r>
      <w:r w:rsidRPr="00D53E56">
        <w:rPr>
          <w:rFonts w:asciiTheme="minorBidi" w:hAnsiTheme="minorBidi"/>
          <w:sz w:val="22"/>
        </w:rPr>
        <w:t>. The effective networks of delivering vaccines to the population, as well as its efficiency, is observed in Spain, which has more than 80 percent of adult population fully vaccinated by mid-2021, which is among the highest coverage rates in the European Union (Assefa et al., 2022). Decentralisation also enabled the ability of differentiated containment policies that were in line with the local epidemiology circumstances, without extensive national lockdowns being in place.</w:t>
      </w:r>
    </w:p>
    <w:p w14:paraId="590C97B8" w14:textId="77777777" w:rsidR="00DB635D" w:rsidRPr="00D53E56" w:rsidRDefault="00DB635D" w:rsidP="00F46DD0">
      <w:pPr>
        <w:pStyle w:val="Heading3"/>
        <w:rPr>
          <w:rFonts w:asciiTheme="minorBidi" w:hAnsiTheme="minorBidi" w:cstheme="minorBidi"/>
        </w:rPr>
      </w:pPr>
      <w:bookmarkStart w:id="9" w:name="_Toc216711815"/>
      <w:r w:rsidRPr="00D53E56">
        <w:rPr>
          <w:rFonts w:asciiTheme="minorBidi" w:hAnsiTheme="minorBidi" w:cstheme="minorBidi"/>
        </w:rPr>
        <w:t>2.2.5 Limitations and Coordination Failures</w:t>
      </w:r>
      <w:bookmarkEnd w:id="9"/>
    </w:p>
    <w:p w14:paraId="140B2279" w14:textId="5F993D6B" w:rsidR="00AC5D3A" w:rsidRPr="00AC5D3A" w:rsidRDefault="00AC5D3A" w:rsidP="00AC5D3A">
      <w:pPr>
        <w:rPr>
          <w:rFonts w:asciiTheme="minorBidi" w:hAnsiTheme="minorBidi"/>
          <w:sz w:val="22"/>
        </w:rPr>
      </w:pPr>
      <w:r w:rsidRPr="00AC5D3A">
        <w:rPr>
          <w:rFonts w:asciiTheme="minorBidi" w:hAnsiTheme="minorBidi"/>
          <w:sz w:val="22"/>
        </w:rPr>
        <w:t>Three interdependent structural constraints of the decentralised system in Spain enable one to better understand the failures in governance during the early years of COVID-19.</w:t>
      </w:r>
    </w:p>
    <w:p w14:paraId="0A36301C" w14:textId="51F5C45E" w:rsidR="00AC5D3A" w:rsidRPr="00AC5D3A" w:rsidRDefault="00AC5D3A" w:rsidP="00AC5D3A">
      <w:pPr>
        <w:rPr>
          <w:rFonts w:asciiTheme="minorBidi" w:hAnsiTheme="minorBidi"/>
          <w:b/>
          <w:bCs/>
          <w:sz w:val="22"/>
        </w:rPr>
      </w:pPr>
      <w:r w:rsidRPr="00AC5D3A">
        <w:rPr>
          <w:rFonts w:asciiTheme="minorBidi" w:hAnsiTheme="minorBidi"/>
          <w:b/>
          <w:bCs/>
          <w:sz w:val="22"/>
        </w:rPr>
        <w:t>1. Central Intervention- delayed</w:t>
      </w:r>
      <w:r>
        <w:rPr>
          <w:rFonts w:asciiTheme="minorBidi" w:hAnsiTheme="minorBidi"/>
          <w:b/>
          <w:bCs/>
          <w:sz w:val="22"/>
        </w:rPr>
        <w:t>:</w:t>
      </w:r>
    </w:p>
    <w:p w14:paraId="4AAF770B" w14:textId="09277AED" w:rsidR="00AC5D3A" w:rsidRPr="00AC5D3A" w:rsidRDefault="00AC5D3A" w:rsidP="00170958">
      <w:pPr>
        <w:rPr>
          <w:rFonts w:asciiTheme="minorBidi" w:hAnsiTheme="minorBidi"/>
          <w:sz w:val="22"/>
        </w:rPr>
      </w:pPr>
      <w:r w:rsidRPr="00AC5D3A">
        <w:rPr>
          <w:rFonts w:asciiTheme="minorBidi" w:hAnsiTheme="minorBidi"/>
          <w:sz w:val="22"/>
        </w:rPr>
        <w:t>National governments did not predict the pace and magnitude of initial community spread, even when there was clear evidence of this in Italy and initial local outbreaks</w:t>
      </w:r>
      <w:r w:rsidR="00170958">
        <w:rPr>
          <w:rFonts w:asciiTheme="minorBidi" w:hAnsiTheme="minorBidi"/>
          <w:sz w:val="22"/>
        </w:rPr>
        <w:t xml:space="preserve"> </w:t>
      </w:r>
      <w:r w:rsidR="00170958" w:rsidRPr="00170958">
        <w:rPr>
          <w:rFonts w:asciiTheme="minorBidi" w:hAnsiTheme="minorBidi"/>
          <w:sz w:val="22"/>
        </w:rPr>
        <w:t>(Migone, 2020)</w:t>
      </w:r>
      <w:r w:rsidRPr="00AC5D3A">
        <w:rPr>
          <w:rFonts w:asciiTheme="minorBidi" w:hAnsiTheme="minorBidi"/>
          <w:sz w:val="22"/>
        </w:rPr>
        <w:t>. Declaring the state of alarm and issue consistent restrictions on mobility and mass gatherings took the central government some time partly due to the political and legal implications of interfering with regional competences (Greer, 2021). This lag time meant that outbreaks in parts of Spain like Madrid and Catalonia were able to exponentially increase before serious actions were taken, which helped with the quick saturation of the hospitals and the ICU.</w:t>
      </w:r>
    </w:p>
    <w:p w14:paraId="4876B298" w14:textId="5FD1FD40" w:rsidR="00AC5D3A" w:rsidRPr="00AC5D3A" w:rsidRDefault="00AC5D3A" w:rsidP="00AC5D3A">
      <w:pPr>
        <w:rPr>
          <w:rFonts w:asciiTheme="minorBidi" w:hAnsiTheme="minorBidi"/>
          <w:b/>
          <w:bCs/>
          <w:sz w:val="22"/>
        </w:rPr>
      </w:pPr>
      <w:r w:rsidRPr="00AC5D3A">
        <w:rPr>
          <w:rFonts w:asciiTheme="minorBidi" w:hAnsiTheme="minorBidi"/>
          <w:b/>
          <w:bCs/>
          <w:sz w:val="22"/>
        </w:rPr>
        <w:t>2. Fragmentation of the interregional policies</w:t>
      </w:r>
      <w:r>
        <w:rPr>
          <w:rFonts w:asciiTheme="minorBidi" w:hAnsiTheme="minorBidi"/>
          <w:b/>
          <w:bCs/>
          <w:sz w:val="22"/>
        </w:rPr>
        <w:t>:</w:t>
      </w:r>
    </w:p>
    <w:p w14:paraId="1465BCED" w14:textId="744C829C" w:rsidR="00AC5D3A" w:rsidRPr="00AC5D3A" w:rsidRDefault="00AC5D3A" w:rsidP="00AC5D3A">
      <w:pPr>
        <w:rPr>
          <w:rFonts w:asciiTheme="minorBidi" w:hAnsiTheme="minorBidi"/>
          <w:sz w:val="22"/>
        </w:rPr>
      </w:pPr>
      <w:r w:rsidRPr="00AC5D3A">
        <w:rPr>
          <w:rFonts w:asciiTheme="minorBidi" w:hAnsiTheme="minorBidi"/>
          <w:sz w:val="22"/>
        </w:rPr>
        <w:t>Decentralisation implied that overriding communities still had a lot of discretion on containment measures. Consequently, stringency, test standards, case definition and risk communication differed significantly across regions (Greer, 2021). Other communities responded more swiftly and vehemently than others, but the lack of a consistent national structure weakened the presence and believability of the response on a national scale. The various levels of government provided citizens with mixed messages undermining behavioural adherence and making enforcement difficult.</w:t>
      </w:r>
    </w:p>
    <w:p w14:paraId="1E0D9B7A" w14:textId="3FBD7551" w:rsidR="00AC5D3A" w:rsidRPr="00AC5D3A" w:rsidRDefault="00AC5D3A" w:rsidP="00AC5D3A">
      <w:pPr>
        <w:rPr>
          <w:rFonts w:asciiTheme="minorBidi" w:hAnsiTheme="minorBidi"/>
          <w:b/>
          <w:bCs/>
          <w:sz w:val="22"/>
        </w:rPr>
      </w:pPr>
      <w:r w:rsidRPr="00AC5D3A">
        <w:rPr>
          <w:rFonts w:asciiTheme="minorBidi" w:hAnsiTheme="minorBidi"/>
          <w:b/>
          <w:bCs/>
          <w:sz w:val="22"/>
        </w:rPr>
        <w:t>3. Data Integration Failures</w:t>
      </w:r>
      <w:r>
        <w:rPr>
          <w:rFonts w:asciiTheme="minorBidi" w:hAnsiTheme="minorBidi"/>
          <w:b/>
          <w:bCs/>
          <w:sz w:val="22"/>
        </w:rPr>
        <w:t>:</w:t>
      </w:r>
    </w:p>
    <w:p w14:paraId="48924557" w14:textId="0CFD0991" w:rsidR="00947159" w:rsidRPr="00F05BB1" w:rsidRDefault="00AC5D3A" w:rsidP="00F05BB1">
      <w:pPr>
        <w:rPr>
          <w:rFonts w:asciiTheme="minorBidi" w:hAnsiTheme="minorBidi"/>
          <w:sz w:val="22"/>
        </w:rPr>
      </w:pPr>
      <w:r w:rsidRPr="00AC5D3A">
        <w:rPr>
          <w:rFonts w:asciiTheme="minorBidi" w:hAnsiTheme="minorBidi"/>
          <w:sz w:val="22"/>
        </w:rPr>
        <w:t>The systems of public health surveillance and reporting were mostly region-based and the data standards were heterogeneous and slow in consolidating centrally</w:t>
      </w:r>
      <w:r w:rsidR="00170958">
        <w:rPr>
          <w:rFonts w:asciiTheme="minorBidi" w:hAnsiTheme="minorBidi"/>
          <w:sz w:val="22"/>
        </w:rPr>
        <w:t xml:space="preserve"> </w:t>
      </w:r>
      <w:r w:rsidR="00170958" w:rsidRPr="00170958">
        <w:rPr>
          <w:rFonts w:asciiTheme="minorBidi" w:hAnsiTheme="minorBidi"/>
          <w:sz w:val="22"/>
        </w:rPr>
        <w:t>(Moon, 2020)</w:t>
      </w:r>
      <w:r w:rsidRPr="00AC5D3A">
        <w:rPr>
          <w:rFonts w:asciiTheme="minorBidi" w:hAnsiTheme="minorBidi"/>
          <w:sz w:val="22"/>
        </w:rPr>
        <w:t>. This divisiveness hindered timely national-level epidemiological modelling and prediction, hindered the capacity of central authorities to anticipate health system demands and resource allocation to achieve results (Greer, 2021).</w:t>
      </w:r>
      <w:r w:rsidR="008A416C">
        <w:rPr>
          <w:rFonts w:asciiTheme="minorBidi" w:hAnsiTheme="minorBidi"/>
          <w:sz w:val="22"/>
        </w:rPr>
        <w:t xml:space="preserve"> </w:t>
      </w:r>
      <w:r w:rsidRPr="00AC5D3A">
        <w:rPr>
          <w:rFonts w:asciiTheme="minorBidi" w:hAnsiTheme="minorBidi"/>
          <w:sz w:val="22"/>
        </w:rPr>
        <w:t>Together with other coordination failures, these led to a situation where Spain has one of the highest first-wave mortality burdens in Europe with over 600 deaths per million people by June 2020 (Assefa et al., 2022)</w:t>
      </w:r>
      <w:r w:rsidR="00F05BB1">
        <w:rPr>
          <w:rFonts w:asciiTheme="minorBidi" w:hAnsiTheme="minorBidi"/>
          <w:sz w:val="22"/>
        </w:rPr>
        <w:t>.</w:t>
      </w:r>
    </w:p>
    <w:p w14:paraId="7B0F371C" w14:textId="781CE8A6" w:rsidR="00604090" w:rsidRPr="00D53E56" w:rsidRDefault="00604090" w:rsidP="00F46DD0">
      <w:pPr>
        <w:pStyle w:val="Heading3"/>
        <w:rPr>
          <w:rFonts w:asciiTheme="minorBidi" w:hAnsiTheme="minorBidi" w:cstheme="minorBidi"/>
        </w:rPr>
      </w:pPr>
      <w:bookmarkStart w:id="10" w:name="_Toc216711816"/>
      <w:r w:rsidRPr="00D53E56">
        <w:rPr>
          <w:rFonts w:asciiTheme="minorBidi" w:hAnsiTheme="minorBidi" w:cstheme="minorBidi"/>
        </w:rPr>
        <w:lastRenderedPageBreak/>
        <w:t>2.2.6 Health outcomes and Vaccination performance.</w:t>
      </w:r>
      <w:bookmarkEnd w:id="10"/>
    </w:p>
    <w:p w14:paraId="4B066EDB" w14:textId="2534EF1F" w:rsidR="00947159" w:rsidRPr="00D53E56" w:rsidRDefault="00947159" w:rsidP="00604090">
      <w:pPr>
        <w:rPr>
          <w:rFonts w:asciiTheme="minorBidi" w:hAnsiTheme="minorBidi"/>
          <w:sz w:val="22"/>
        </w:rPr>
      </w:pPr>
      <w:r w:rsidRPr="00D53E56">
        <w:rPr>
          <w:rFonts w:asciiTheme="minorBidi" w:hAnsiTheme="minorBidi"/>
          <w:noProof/>
        </w:rPr>
        <w:drawing>
          <wp:anchor distT="0" distB="0" distL="114300" distR="114300" simplePos="0" relativeHeight="251658240" behindDoc="0" locked="0" layoutInCell="1" allowOverlap="1" wp14:anchorId="57377606" wp14:editId="5D23977D">
            <wp:simplePos x="0" y="0"/>
            <wp:positionH relativeFrom="margin">
              <wp:align>center</wp:align>
            </wp:positionH>
            <wp:positionV relativeFrom="paragraph">
              <wp:posOffset>102235</wp:posOffset>
            </wp:positionV>
            <wp:extent cx="4511040" cy="2978361"/>
            <wp:effectExtent l="0" t="0" r="3810" b="0"/>
            <wp:wrapSquare wrapText="bothSides"/>
            <wp:docPr id="1468283596" name="Picture 1" descr="Cumulative confirmed COVID-19 deaths by world region - Ou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4" descr="Cumulative confirmed COVID-19 deaths by world region - Our ..."/>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a:stretch>
                      <a:fillRect/>
                    </a:stretch>
                  </pic:blipFill>
                  <pic:spPr bwMode="auto">
                    <a:xfrm>
                      <a:off x="0" y="0"/>
                      <a:ext cx="4511040" cy="2978361"/>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A1B716A" w14:textId="77777777" w:rsidR="00947159" w:rsidRPr="00D53E56" w:rsidRDefault="00947159" w:rsidP="00604090">
      <w:pPr>
        <w:rPr>
          <w:rFonts w:asciiTheme="minorBidi" w:hAnsiTheme="minorBidi"/>
          <w:sz w:val="22"/>
        </w:rPr>
      </w:pPr>
    </w:p>
    <w:p w14:paraId="2CD7E590" w14:textId="77777777" w:rsidR="00947159" w:rsidRPr="00D53E56" w:rsidRDefault="00947159" w:rsidP="00604090">
      <w:pPr>
        <w:rPr>
          <w:rFonts w:asciiTheme="minorBidi" w:hAnsiTheme="minorBidi"/>
          <w:sz w:val="22"/>
        </w:rPr>
      </w:pPr>
    </w:p>
    <w:p w14:paraId="03074030" w14:textId="77777777" w:rsidR="00947159" w:rsidRPr="00D53E56" w:rsidRDefault="00947159" w:rsidP="00604090">
      <w:pPr>
        <w:rPr>
          <w:rFonts w:asciiTheme="minorBidi" w:hAnsiTheme="minorBidi"/>
          <w:sz w:val="22"/>
        </w:rPr>
      </w:pPr>
    </w:p>
    <w:p w14:paraId="5E1C4EBC" w14:textId="77777777" w:rsidR="00947159" w:rsidRPr="00D53E56" w:rsidRDefault="00947159" w:rsidP="00604090">
      <w:pPr>
        <w:rPr>
          <w:rFonts w:asciiTheme="minorBidi" w:hAnsiTheme="minorBidi"/>
          <w:sz w:val="22"/>
        </w:rPr>
      </w:pPr>
    </w:p>
    <w:p w14:paraId="0EF0F6C2" w14:textId="77777777" w:rsidR="00947159" w:rsidRPr="00D53E56" w:rsidRDefault="00947159" w:rsidP="00604090">
      <w:pPr>
        <w:rPr>
          <w:rFonts w:asciiTheme="minorBidi" w:hAnsiTheme="minorBidi"/>
          <w:sz w:val="22"/>
        </w:rPr>
      </w:pPr>
    </w:p>
    <w:p w14:paraId="55DE6B29" w14:textId="77777777" w:rsidR="00947159" w:rsidRPr="00D53E56" w:rsidRDefault="00947159" w:rsidP="00604090">
      <w:pPr>
        <w:rPr>
          <w:rFonts w:asciiTheme="minorBidi" w:hAnsiTheme="minorBidi"/>
          <w:sz w:val="22"/>
        </w:rPr>
      </w:pPr>
    </w:p>
    <w:p w14:paraId="37505363" w14:textId="77777777" w:rsidR="00947159" w:rsidRPr="00D53E56" w:rsidRDefault="00947159" w:rsidP="00604090">
      <w:pPr>
        <w:rPr>
          <w:rFonts w:asciiTheme="minorBidi" w:hAnsiTheme="minorBidi"/>
          <w:sz w:val="22"/>
        </w:rPr>
      </w:pPr>
    </w:p>
    <w:p w14:paraId="34875CCF" w14:textId="77777777" w:rsidR="00947159" w:rsidRPr="00D53E56" w:rsidRDefault="00947159" w:rsidP="00604090">
      <w:pPr>
        <w:rPr>
          <w:rFonts w:asciiTheme="minorBidi" w:hAnsiTheme="minorBidi"/>
          <w:sz w:val="22"/>
        </w:rPr>
      </w:pPr>
    </w:p>
    <w:p w14:paraId="21638936" w14:textId="4AA742F2" w:rsidR="00947159" w:rsidRDefault="00947159" w:rsidP="00604090">
      <w:pPr>
        <w:rPr>
          <w:rFonts w:asciiTheme="minorBidi" w:hAnsiTheme="minorBidi"/>
          <w:sz w:val="22"/>
        </w:rPr>
      </w:pPr>
      <w:r w:rsidRPr="00D53E56">
        <w:rPr>
          <w:rFonts w:asciiTheme="minorBidi" w:hAnsiTheme="minorBidi"/>
          <w:noProof/>
        </w:rPr>
        <mc:AlternateContent>
          <mc:Choice Requires="wps">
            <w:drawing>
              <wp:anchor distT="0" distB="0" distL="114300" distR="114300" simplePos="0" relativeHeight="251660288" behindDoc="0" locked="0" layoutInCell="1" allowOverlap="1" wp14:anchorId="266A5456" wp14:editId="50E9C1F7">
                <wp:simplePos x="0" y="0"/>
                <wp:positionH relativeFrom="margin">
                  <wp:align>center</wp:align>
                </wp:positionH>
                <wp:positionV relativeFrom="paragraph">
                  <wp:posOffset>189865</wp:posOffset>
                </wp:positionV>
                <wp:extent cx="3855720" cy="635"/>
                <wp:effectExtent l="0" t="0" r="0" b="8255"/>
                <wp:wrapSquare wrapText="bothSides"/>
                <wp:docPr id="365241266" name="Text Box 1"/>
                <wp:cNvGraphicFramePr/>
                <a:graphic xmlns:a="http://schemas.openxmlformats.org/drawingml/2006/main">
                  <a:graphicData uri="http://schemas.microsoft.com/office/word/2010/wordprocessingShape">
                    <wps:wsp>
                      <wps:cNvSpPr txBox="1"/>
                      <wps:spPr>
                        <a:xfrm>
                          <a:off x="0" y="0"/>
                          <a:ext cx="3855720" cy="635"/>
                        </a:xfrm>
                        <a:prstGeom prst="rect">
                          <a:avLst/>
                        </a:prstGeom>
                        <a:solidFill>
                          <a:prstClr val="white"/>
                        </a:solidFill>
                        <a:ln>
                          <a:noFill/>
                        </a:ln>
                      </wps:spPr>
                      <wps:txbx>
                        <w:txbxContent>
                          <w:p w14:paraId="3A570E77" w14:textId="51D95FFB" w:rsidR="00947159" w:rsidRPr="00947159" w:rsidRDefault="00947159" w:rsidP="00947159">
                            <w:pPr>
                              <w:pStyle w:val="Caption"/>
                              <w:rPr>
                                <w:b/>
                                <w:bCs/>
                                <w:noProof/>
                                <w:szCs w:val="22"/>
                              </w:rPr>
                            </w:pPr>
                            <w:r w:rsidRPr="00947159">
                              <w:rPr>
                                <w:b/>
                                <w:bCs/>
                              </w:rPr>
                              <w:t xml:space="preserve">Figure </w:t>
                            </w:r>
                            <w:r w:rsidR="00F05BB1">
                              <w:rPr>
                                <w:b/>
                                <w:bCs/>
                              </w:rPr>
                              <w:t>2</w:t>
                            </w:r>
                            <w:r w:rsidRPr="00947159">
                              <w:rPr>
                                <w:b/>
                                <w:bCs/>
                                <w:lang w:val="en-US"/>
                              </w:rPr>
                              <w:t xml:space="preserve"> Health Outcomes and Vaccination Performance (Hong and Lim 2023)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66A5456" id="_x0000_s1027" type="#_x0000_t202" style="position:absolute;left:0;text-align:left;margin-left:0;margin-top:14.95pt;width:303.6pt;height:.05pt;z-index:25166028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" stroked="f">
                <v:textbox style="mso-fit-shape-to-text:t" inset="0,0,0,0">
                  <w:txbxContent>
                    <w:p w14:paraId="3A570E77" w14:textId="51D95FFB" w:rsidR="00947159" w:rsidRPr="00947159" w:rsidRDefault="00947159" w:rsidP="00947159">
                      <w:pPr>
                        <w:pStyle w:val="Caption"/>
                        <w:rPr>
                          <w:b/>
                          <w:bCs/>
                          <w:noProof/>
                          <w:szCs w:val="22"/>
                        </w:rPr>
                      </w:pPr>
                      <w:r w:rsidRPr="00947159">
                        <w:rPr>
                          <w:b/>
                          <w:bCs/>
                        </w:rPr>
                        <w:t xml:space="preserve">Figure </w:t>
                      </w:r>
                      <w:r w:rsidR="00F05BB1">
                        <w:rPr>
                          <w:b/>
                          <w:bCs/>
                        </w:rPr>
                        <w:t>2</w:t>
                      </w:r>
                      <w:r w:rsidRPr="00947159">
                        <w:rPr>
                          <w:b/>
                          <w:bCs/>
                          <w:lang w:val="en-US"/>
                        </w:rPr>
                        <w:t xml:space="preserve"> Health Outcomes and Vaccination Performance (Hong and Lim 2023)</w:t>
                      </w:r>
                    </w:p>
                  </w:txbxContent>
                </v:textbox>
                <w10:wrap type="square" anchorx="margin"/>
              </v:shape>
            </w:pict>
          </mc:Fallback>
        </mc:AlternateContent>
      </w:r>
    </w:p>
    <w:p w14:paraId="0DC018CE" w14:textId="77777777" w:rsidR="00F05BB1" w:rsidRPr="00D53E56" w:rsidRDefault="00F05BB1" w:rsidP="00604090">
      <w:pPr>
        <w:rPr>
          <w:rFonts w:asciiTheme="minorBidi" w:hAnsiTheme="minorBidi"/>
          <w:sz w:val="22"/>
        </w:rPr>
      </w:pPr>
    </w:p>
    <w:p w14:paraId="3AE5116C" w14:textId="79097AE0" w:rsidR="00947159" w:rsidRPr="00F05BB1" w:rsidRDefault="00604090" w:rsidP="00F05BB1">
      <w:pPr>
        <w:rPr>
          <w:rFonts w:asciiTheme="minorBidi" w:hAnsiTheme="minorBidi"/>
          <w:sz w:val="22"/>
        </w:rPr>
      </w:pPr>
      <w:r w:rsidRPr="00D53E56">
        <w:rPr>
          <w:rFonts w:asciiTheme="minorBidi" w:hAnsiTheme="minorBidi"/>
          <w:sz w:val="22"/>
        </w:rPr>
        <w:t>As of late 2022, the number of confirmed COVID-19 cases and approximately 121,000 deaths w</w:t>
      </w:r>
      <w:r w:rsidR="00F46DD0" w:rsidRPr="00D53E56">
        <w:rPr>
          <w:rFonts w:asciiTheme="minorBidi" w:hAnsiTheme="minorBidi"/>
          <w:sz w:val="22"/>
        </w:rPr>
        <w:t>ere</w:t>
      </w:r>
      <w:r w:rsidRPr="00D53E56">
        <w:rPr>
          <w:rFonts w:asciiTheme="minorBidi" w:hAnsiTheme="minorBidi"/>
          <w:sz w:val="22"/>
        </w:rPr>
        <w:t xml:space="preserve"> registered in Spain. But the results of post-vaccination were improved drastically. The proportion of the total population vaccinated was more than 88% and the COVID-19 mortality decreased by more than 85% in 2020 and 2022 (Assefa et al., 2022). This reversal is a demonstration that in the event of the maturity of coordination mechanisms, decentralised systems, can be carried out well.</w:t>
      </w:r>
    </w:p>
    <w:p w14:paraId="00FC5694" w14:textId="1B3AD409" w:rsidR="00604090" w:rsidRPr="00D53E56" w:rsidRDefault="00604090" w:rsidP="00F46DD0">
      <w:pPr>
        <w:pStyle w:val="Heading2"/>
        <w:rPr>
          <w:rFonts w:asciiTheme="minorBidi" w:hAnsiTheme="minorBidi" w:cstheme="minorBidi"/>
        </w:rPr>
      </w:pPr>
      <w:bookmarkStart w:id="11" w:name="_Toc216711817"/>
      <w:r w:rsidRPr="00D53E56">
        <w:rPr>
          <w:rFonts w:asciiTheme="minorBidi" w:hAnsiTheme="minorBidi" w:cstheme="minorBidi"/>
        </w:rPr>
        <w:t>2.3 South Korea: Health System Organisation and COVID-19 Response.</w:t>
      </w:r>
      <w:bookmarkEnd w:id="11"/>
    </w:p>
    <w:p w14:paraId="6B9220E3" w14:textId="77777777" w:rsidR="00604090" w:rsidRPr="00D53E56" w:rsidRDefault="00604090" w:rsidP="00F46DD0">
      <w:pPr>
        <w:pStyle w:val="Heading3"/>
        <w:rPr>
          <w:rFonts w:asciiTheme="minorBidi" w:hAnsiTheme="minorBidi" w:cstheme="minorBidi"/>
        </w:rPr>
      </w:pPr>
      <w:bookmarkStart w:id="12" w:name="_Toc216711818"/>
      <w:r w:rsidRPr="00D53E56">
        <w:rPr>
          <w:rFonts w:asciiTheme="minorBidi" w:hAnsiTheme="minorBidi" w:cstheme="minorBidi"/>
        </w:rPr>
        <w:t>2.3.1 South Korean Health Care System Organisation.</w:t>
      </w:r>
      <w:bookmarkEnd w:id="12"/>
    </w:p>
    <w:p w14:paraId="2BEEFFB0" w14:textId="007E715C" w:rsidR="00604090" w:rsidRPr="00D53E56" w:rsidRDefault="00604090" w:rsidP="00947159">
      <w:pPr>
        <w:rPr>
          <w:rFonts w:asciiTheme="minorBidi" w:hAnsiTheme="minorBidi"/>
          <w:sz w:val="22"/>
        </w:rPr>
      </w:pPr>
      <w:r w:rsidRPr="00D53E56">
        <w:rPr>
          <w:rFonts w:asciiTheme="minorBidi" w:hAnsiTheme="minorBidi"/>
          <w:sz w:val="22"/>
        </w:rPr>
        <w:t>South Korea has a centrally managed national health insurance scheme and a high state control over the state health power. Although healthcare delivery is privately dominated, the control of regulation, disease surveillance and emergency is at the national level (Choi, 2020). The governance in the field of public health is vertically coordinated</w:t>
      </w:r>
      <w:r w:rsidR="00947159" w:rsidRPr="00D53E56">
        <w:rPr>
          <w:rFonts w:asciiTheme="minorBidi" w:hAnsiTheme="minorBidi"/>
          <w:sz w:val="22"/>
        </w:rPr>
        <w:t xml:space="preserve"> and </w:t>
      </w:r>
      <w:r w:rsidRPr="00D53E56">
        <w:rPr>
          <w:rFonts w:asciiTheme="minorBidi" w:hAnsiTheme="minorBidi"/>
          <w:sz w:val="22"/>
        </w:rPr>
        <w:t>the policies of the country are easily translated into action.</w:t>
      </w:r>
    </w:p>
    <w:p w14:paraId="0AD3D85C" w14:textId="77777777" w:rsidR="00604090" w:rsidRPr="00D53E56" w:rsidRDefault="00604090" w:rsidP="00947159">
      <w:pPr>
        <w:pStyle w:val="Heading3"/>
        <w:rPr>
          <w:rFonts w:asciiTheme="minorBidi" w:hAnsiTheme="minorBidi" w:cstheme="minorBidi"/>
        </w:rPr>
      </w:pPr>
      <w:bookmarkStart w:id="13" w:name="_Toc216711819"/>
      <w:r w:rsidRPr="00D53E56">
        <w:rPr>
          <w:rFonts w:asciiTheme="minorBidi" w:hAnsiTheme="minorBidi" w:cstheme="minorBidi"/>
        </w:rPr>
        <w:lastRenderedPageBreak/>
        <w:t>2.3.2 Public Health Governance Model with a high level of centralisation.</w:t>
      </w:r>
      <w:bookmarkEnd w:id="13"/>
    </w:p>
    <w:p w14:paraId="1A1A3433" w14:textId="04582CDD" w:rsidR="008334C1" w:rsidRPr="00D53E56" w:rsidRDefault="008334C1" w:rsidP="008334C1">
      <w:pPr>
        <w:rPr>
          <w:rFonts w:asciiTheme="minorBidi" w:hAnsiTheme="minorBidi"/>
          <w:sz w:val="22"/>
        </w:rPr>
      </w:pPr>
      <w:r w:rsidRPr="00D53E56">
        <w:rPr>
          <w:rFonts w:asciiTheme="minorBidi" w:hAnsiTheme="minorBidi"/>
          <w:noProof/>
          <w:sz w:val="22"/>
        </w:rPr>
        <w:drawing>
          <wp:anchor distT="0" distB="0" distL="114300" distR="114300" simplePos="0" relativeHeight="251667456" behindDoc="0" locked="0" layoutInCell="1" allowOverlap="1" wp14:anchorId="584BC335" wp14:editId="29198EF9">
            <wp:simplePos x="0" y="0"/>
            <wp:positionH relativeFrom="margin">
              <wp:align>center</wp:align>
            </wp:positionH>
            <wp:positionV relativeFrom="paragraph">
              <wp:posOffset>202565</wp:posOffset>
            </wp:positionV>
            <wp:extent cx="5204460" cy="1446132"/>
            <wp:effectExtent l="0" t="0" r="0" b="0"/>
            <wp:wrapSquare wrapText="bothSides"/>
            <wp:docPr id="109697469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5"/>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a:stretch>
                      <a:fillRect/>
                    </a:stretch>
                  </pic:blipFill>
                  <pic:spPr bwMode="auto">
                    <a:xfrm>
                      <a:off x="0" y="0"/>
                      <a:ext cx="5204460" cy="1446132"/>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D8CAC22" w14:textId="45BDDB3F" w:rsidR="008334C1" w:rsidRPr="008334C1" w:rsidRDefault="008334C1" w:rsidP="008334C1">
      <w:pPr>
        <w:rPr>
          <w:rFonts w:asciiTheme="minorBidi" w:hAnsiTheme="minorBidi"/>
          <w:sz w:val="22"/>
        </w:rPr>
      </w:pPr>
      <w:r w:rsidRPr="00D53E56">
        <w:rPr>
          <w:rFonts w:asciiTheme="minorBidi" w:hAnsiTheme="minorBidi"/>
          <w:noProof/>
        </w:rPr>
        <mc:AlternateContent>
          <mc:Choice Requires="wps">
            <w:drawing>
              <wp:anchor distT="0" distB="0" distL="114300" distR="114300" simplePos="0" relativeHeight="251669504" behindDoc="0" locked="0" layoutInCell="1" allowOverlap="1" wp14:anchorId="304C2E9B" wp14:editId="0EE7CCA1">
                <wp:simplePos x="0" y="0"/>
                <wp:positionH relativeFrom="margin">
                  <wp:align>center</wp:align>
                </wp:positionH>
                <wp:positionV relativeFrom="paragraph">
                  <wp:posOffset>1536065</wp:posOffset>
                </wp:positionV>
                <wp:extent cx="2522220" cy="635"/>
                <wp:effectExtent l="0" t="0" r="0" b="8255"/>
                <wp:wrapSquare wrapText="bothSides"/>
                <wp:docPr id="1640789671" name="Text Box 1"/>
                <wp:cNvGraphicFramePr/>
                <a:graphic xmlns:a="http://schemas.openxmlformats.org/drawingml/2006/main">
                  <a:graphicData uri="http://schemas.microsoft.com/office/word/2010/wordprocessingShape">
                    <wps:wsp>
                      <wps:cNvSpPr txBox="1"/>
                      <wps:spPr>
                        <a:xfrm>
                          <a:off x="0" y="0"/>
                          <a:ext cx="2522220" cy="635"/>
                        </a:xfrm>
                        <a:prstGeom prst="rect">
                          <a:avLst/>
                        </a:prstGeom>
                        <a:solidFill>
                          <a:prstClr val="white"/>
                        </a:solidFill>
                        <a:ln>
                          <a:noFill/>
                        </a:ln>
                      </wps:spPr>
                      <wps:txbx>
                        <w:txbxContent>
                          <w:p w14:paraId="5E5AFC6E" w14:textId="1CE686CF" w:rsidR="008334C1" w:rsidRPr="008334C1" w:rsidRDefault="008334C1" w:rsidP="008334C1">
                            <w:pPr>
                              <w:pStyle w:val="Caption"/>
                              <w:rPr>
                                <w:rFonts w:asciiTheme="minorBidi" w:hAnsiTheme="minorBidi"/>
                                <w:b/>
                                <w:bCs/>
                                <w:sz w:val="22"/>
                                <w:szCs w:val="22"/>
                              </w:rPr>
                            </w:pPr>
                            <w:r w:rsidRPr="008334C1">
                              <w:rPr>
                                <w:b/>
                                <w:bCs/>
                              </w:rPr>
                              <w:t xml:space="preserve">Figure </w:t>
                            </w:r>
                            <w:r w:rsidR="00F05BB1">
                              <w:rPr>
                                <w:b/>
                                <w:bCs/>
                              </w:rPr>
                              <w:t>3</w:t>
                            </w:r>
                            <w:r w:rsidRPr="008334C1">
                              <w:rPr>
                                <w:b/>
                                <w:bCs/>
                                <w:lang w:val="en-US"/>
                              </w:rPr>
                              <w:t xml:space="preserve"> Public Health Governance Model (Author)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04C2E9B" id="_x0000_s1028" type="#_x0000_t202" style="position:absolute;left:0;text-align:left;margin-left:0;margin-top:120.95pt;width:198.6pt;height:.05pt;z-index:25166950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" stroked="f">
                <v:textbox style="mso-fit-shape-to-text:t" inset="0,0,0,0">
                  <w:txbxContent>
                    <w:p w14:paraId="5E5AFC6E" w14:textId="1CE686CF" w:rsidR="008334C1" w:rsidRPr="008334C1" w:rsidRDefault="008334C1" w:rsidP="008334C1">
                      <w:pPr>
                        <w:pStyle w:val="Caption"/>
                        <w:rPr>
                          <w:rFonts w:asciiTheme="minorBidi" w:hAnsiTheme="minorBidi"/>
                          <w:b/>
                          <w:bCs/>
                          <w:sz w:val="22"/>
                          <w:szCs w:val="22"/>
                        </w:rPr>
                      </w:pPr>
                      <w:r w:rsidRPr="008334C1">
                        <w:rPr>
                          <w:b/>
                          <w:bCs/>
                        </w:rPr>
                        <w:t xml:space="preserve">Figure </w:t>
                      </w:r>
                      <w:r w:rsidR="00F05BB1">
                        <w:rPr>
                          <w:b/>
                          <w:bCs/>
                        </w:rPr>
                        <w:t>3</w:t>
                      </w:r>
                      <w:r w:rsidRPr="008334C1">
                        <w:rPr>
                          <w:b/>
                          <w:bCs/>
                          <w:lang w:val="en-US"/>
                        </w:rPr>
                        <w:t xml:space="preserve"> Public Health Governance Model (Author)</w:t>
                      </w:r>
                    </w:p>
                  </w:txbxContent>
                </v:textbox>
                <w10:wrap type="square" anchorx="margin"/>
              </v:shape>
            </w:pict>
          </mc:Fallback>
        </mc:AlternateContent>
      </w:r>
    </w:p>
    <w:p w14:paraId="387C0398" w14:textId="77777777" w:rsidR="008334C1" w:rsidRPr="00D53E56" w:rsidRDefault="008334C1" w:rsidP="00604090">
      <w:pPr>
        <w:rPr>
          <w:rFonts w:asciiTheme="minorBidi" w:hAnsiTheme="minorBidi"/>
          <w:sz w:val="22"/>
        </w:rPr>
      </w:pPr>
    </w:p>
    <w:p w14:paraId="716A6891" w14:textId="3D617B87" w:rsidR="00604090" w:rsidRPr="00D53E56" w:rsidRDefault="00604090" w:rsidP="008334C1">
      <w:pPr>
        <w:rPr>
          <w:rFonts w:asciiTheme="minorBidi" w:hAnsiTheme="minorBidi"/>
          <w:sz w:val="22"/>
        </w:rPr>
      </w:pPr>
      <w:r w:rsidRPr="00D53E56">
        <w:rPr>
          <w:rFonts w:asciiTheme="minorBidi" w:hAnsiTheme="minorBidi"/>
          <w:sz w:val="22"/>
        </w:rPr>
        <w:t>The South Korean government continued to keep strong national command lines on epidemics during the COVID-19. Subnational authorities, unlike the federal ones, were run under national directives that were never ceasing. Emergency legislation authority allowed the Ministry of Health and Welfare to introduce a standardised set of testing, quarantine, and data-sharing (Greer et al., 2022). This form of governance removed the regional policy variation and it guaranteed instant harmonisation of national response action.</w:t>
      </w:r>
    </w:p>
    <w:p w14:paraId="1A3A87AD" w14:textId="77777777" w:rsidR="00604090" w:rsidRPr="00D53E56" w:rsidRDefault="00604090" w:rsidP="00947159">
      <w:pPr>
        <w:pStyle w:val="Heading3"/>
        <w:rPr>
          <w:rFonts w:asciiTheme="minorBidi" w:hAnsiTheme="minorBidi" w:cstheme="minorBidi"/>
        </w:rPr>
      </w:pPr>
      <w:bookmarkStart w:id="14" w:name="_Toc216711820"/>
      <w:r w:rsidRPr="00D53E56">
        <w:rPr>
          <w:rFonts w:asciiTheme="minorBidi" w:hAnsiTheme="minorBidi" w:cstheme="minorBidi"/>
        </w:rPr>
        <w:t>2.3.3 Korea Disease Control and Prevention Agency (KDCA) Role.</w:t>
      </w:r>
      <w:bookmarkEnd w:id="14"/>
    </w:p>
    <w:p w14:paraId="3CE1C568" w14:textId="52CE61F4" w:rsidR="00604090" w:rsidRPr="00D53E56" w:rsidRDefault="00604090" w:rsidP="00604090">
      <w:pPr>
        <w:rPr>
          <w:rFonts w:asciiTheme="minorBidi" w:hAnsiTheme="minorBidi"/>
          <w:sz w:val="22"/>
        </w:rPr>
      </w:pPr>
      <w:r w:rsidRPr="00D53E56">
        <w:rPr>
          <w:rFonts w:asciiTheme="minorBidi" w:hAnsiTheme="minorBidi"/>
          <w:sz w:val="22"/>
        </w:rPr>
        <w:t>The KDCA was the main epidemic intelligence agency that was directly connected to the policy-making office of the Prime Minister. The agency was the leader of national testing strategy, digital surveillance design and epidemiological modelling operations (Choi, 2020). As of April 2020, South Korea had over 20,000 daily tests that have full digital case tracking infrastructure, which allows outbreak control without nationwide lockdown (Hong, 2022).</w:t>
      </w:r>
    </w:p>
    <w:p w14:paraId="3C5F08DD" w14:textId="77777777" w:rsidR="00604090" w:rsidRPr="00D53E56" w:rsidRDefault="00604090" w:rsidP="00947159">
      <w:pPr>
        <w:pStyle w:val="Heading3"/>
        <w:rPr>
          <w:rFonts w:asciiTheme="minorBidi" w:hAnsiTheme="minorBidi" w:cstheme="minorBidi"/>
        </w:rPr>
      </w:pPr>
      <w:bookmarkStart w:id="15" w:name="_Toc216711821"/>
      <w:r w:rsidRPr="00D53E56">
        <w:rPr>
          <w:rFonts w:asciiTheme="minorBidi" w:hAnsiTheme="minorBidi" w:cstheme="minorBidi"/>
        </w:rPr>
        <w:t>2.3.4 Benefits of Centralised Crisis Management.</w:t>
      </w:r>
      <w:bookmarkEnd w:id="15"/>
    </w:p>
    <w:p w14:paraId="53C3ECB0" w14:textId="5290B4AB" w:rsidR="00604090" w:rsidRPr="00D53E56" w:rsidRDefault="00604090" w:rsidP="00604090">
      <w:pPr>
        <w:rPr>
          <w:rFonts w:asciiTheme="minorBidi" w:hAnsiTheme="minorBidi"/>
          <w:sz w:val="22"/>
        </w:rPr>
      </w:pPr>
      <w:r w:rsidRPr="00D53E56">
        <w:rPr>
          <w:rFonts w:asciiTheme="minorBidi" w:hAnsiTheme="minorBidi"/>
          <w:sz w:val="22"/>
        </w:rPr>
        <w:t>Centralisation facilitated early mass demonstration, convergence of risk file and mobilisation of the surge in the hospitals</w:t>
      </w:r>
      <w:r w:rsidR="00170958">
        <w:rPr>
          <w:rFonts w:asciiTheme="minorBidi" w:hAnsiTheme="minorBidi"/>
          <w:sz w:val="22"/>
        </w:rPr>
        <w:t xml:space="preserve"> </w:t>
      </w:r>
      <w:r w:rsidR="00170958" w:rsidRPr="00170958">
        <w:rPr>
          <w:rFonts w:asciiTheme="minorBidi" w:hAnsiTheme="minorBidi"/>
          <w:sz w:val="22"/>
        </w:rPr>
        <w:t>(Navarro and Velasco, 2022)</w:t>
      </w:r>
      <w:r w:rsidRPr="00D53E56">
        <w:rPr>
          <w:rFonts w:asciiTheme="minorBidi" w:hAnsiTheme="minorBidi"/>
          <w:sz w:val="22"/>
        </w:rPr>
        <w:t>. As of 2021, South Korea had the lowest cumulative COVID-19 mortality under 600 deaths per million of OECD nations (Assefa et al., 2022). Central control also made the epidemiological intelligence to be aggregated real-time and the mobilization of resources across provinces.</w:t>
      </w:r>
    </w:p>
    <w:p w14:paraId="1E5BED03" w14:textId="77777777" w:rsidR="00604090" w:rsidRPr="00D53E56" w:rsidRDefault="00604090" w:rsidP="00947159">
      <w:pPr>
        <w:pStyle w:val="Heading3"/>
        <w:rPr>
          <w:rFonts w:asciiTheme="minorBidi" w:hAnsiTheme="minorBidi" w:cstheme="minorBidi"/>
        </w:rPr>
      </w:pPr>
      <w:bookmarkStart w:id="16" w:name="_Toc216711822"/>
      <w:r w:rsidRPr="00D53E56">
        <w:rPr>
          <w:rFonts w:asciiTheme="minorBidi" w:hAnsiTheme="minorBidi" w:cstheme="minorBidi"/>
        </w:rPr>
        <w:t>2.3.5 Surveillance, Testing, and Electronic Contact Tracing.</w:t>
      </w:r>
      <w:bookmarkEnd w:id="16"/>
    </w:p>
    <w:p w14:paraId="6CC70BE9" w14:textId="7A80EB54" w:rsidR="00604090" w:rsidRPr="00D53E56" w:rsidRDefault="00604090" w:rsidP="00D53E56">
      <w:pPr>
        <w:rPr>
          <w:rFonts w:asciiTheme="minorBidi" w:hAnsiTheme="minorBidi"/>
          <w:sz w:val="22"/>
        </w:rPr>
      </w:pPr>
      <w:r w:rsidRPr="00D53E56">
        <w:rPr>
          <w:rFonts w:asciiTheme="minorBidi" w:hAnsiTheme="minorBidi"/>
          <w:sz w:val="22"/>
        </w:rPr>
        <w:t xml:space="preserve">South Korea formalised the use of credit card records, mobile geolocation information, and closed-circuit televisions as the sources of technologically enabled epidemiological surveillance. This system allowed containing the outbreaks in 72 hours after the cases were identified in early waves of the pandemic (Choi, 2020). By mid-2021, more than 95 percent of </w:t>
      </w:r>
      <w:r w:rsidRPr="00D53E56">
        <w:rPr>
          <w:rFonts w:asciiTheme="minorBidi" w:hAnsiTheme="minorBidi"/>
          <w:sz w:val="22"/>
        </w:rPr>
        <w:lastRenderedPageBreak/>
        <w:t>contact tracing had been digitally automated (Hong, 2022), a significantly larger improvement than what is seen in manual tracing of the same in decentralised countries.</w:t>
      </w:r>
    </w:p>
    <w:p w14:paraId="2B20D8C4" w14:textId="48765AB7" w:rsidR="00604090" w:rsidRPr="00D53E56" w:rsidRDefault="00604090" w:rsidP="00947159">
      <w:pPr>
        <w:pStyle w:val="Heading3"/>
        <w:rPr>
          <w:rFonts w:asciiTheme="minorBidi" w:hAnsiTheme="minorBidi" w:cstheme="minorBidi"/>
          <w:sz w:val="22"/>
          <w:szCs w:val="22"/>
        </w:rPr>
      </w:pPr>
      <w:bookmarkStart w:id="17" w:name="_Toc216711823"/>
      <w:r w:rsidRPr="00D53E56">
        <w:rPr>
          <w:rFonts w:asciiTheme="minorBidi" w:hAnsiTheme="minorBidi" w:cstheme="minorBidi"/>
        </w:rPr>
        <w:t xml:space="preserve">2.3.6 </w:t>
      </w:r>
      <w:r w:rsidR="00947159" w:rsidRPr="00D53E56">
        <w:rPr>
          <w:rFonts w:asciiTheme="minorBidi" w:hAnsiTheme="minorBidi" w:cstheme="minorBidi"/>
        </w:rPr>
        <w:t>Challenges and Ethical Concerns</w:t>
      </w:r>
      <w:bookmarkEnd w:id="17"/>
    </w:p>
    <w:p w14:paraId="08AE3E5C" w14:textId="213BA835" w:rsidR="00C66D00" w:rsidRPr="00F05BB1" w:rsidRDefault="00604090" w:rsidP="00F05BB1">
      <w:pPr>
        <w:rPr>
          <w:rFonts w:asciiTheme="minorBidi" w:hAnsiTheme="minorBidi"/>
          <w:sz w:val="22"/>
        </w:rPr>
      </w:pPr>
      <w:r w:rsidRPr="00D53E56">
        <w:rPr>
          <w:rFonts w:asciiTheme="minorBidi" w:hAnsiTheme="minorBidi"/>
          <w:sz w:val="22"/>
        </w:rPr>
        <w:t>Centralised model of South Korea made three significant challenges.</w:t>
      </w:r>
      <w:r w:rsidR="008A416C">
        <w:rPr>
          <w:rFonts w:asciiTheme="minorBidi" w:hAnsiTheme="minorBidi"/>
          <w:sz w:val="22"/>
        </w:rPr>
        <w:t xml:space="preserve"> </w:t>
      </w:r>
      <w:r w:rsidRPr="008A416C">
        <w:rPr>
          <w:rFonts w:asciiTheme="minorBidi" w:hAnsiTheme="minorBidi"/>
          <w:sz w:val="22"/>
        </w:rPr>
        <w:t>Privacy Intrusion</w:t>
      </w:r>
      <w:r w:rsidR="008A416C" w:rsidRPr="008A416C">
        <w:rPr>
          <w:rFonts w:asciiTheme="minorBidi" w:hAnsiTheme="minorBidi"/>
          <w:sz w:val="22"/>
        </w:rPr>
        <w:t xml:space="preserve">, the </w:t>
      </w:r>
      <w:r w:rsidRPr="008A416C">
        <w:rPr>
          <w:rFonts w:asciiTheme="minorBidi" w:hAnsiTheme="minorBidi"/>
          <w:sz w:val="22"/>
        </w:rPr>
        <w:t>large-scale digital tracking led to legal issues on the civil liberties</w:t>
      </w:r>
      <w:r w:rsidR="008A416C">
        <w:rPr>
          <w:rFonts w:asciiTheme="minorBidi" w:hAnsiTheme="minorBidi"/>
          <w:sz w:val="22"/>
        </w:rPr>
        <w:t xml:space="preserve"> and</w:t>
      </w:r>
      <w:r w:rsidR="008A416C" w:rsidRPr="008A416C">
        <w:rPr>
          <w:rFonts w:asciiTheme="minorBidi" w:hAnsiTheme="minorBidi"/>
          <w:sz w:val="22"/>
        </w:rPr>
        <w:t xml:space="preserve"> second </w:t>
      </w:r>
      <w:r w:rsidRPr="008A416C">
        <w:rPr>
          <w:rFonts w:asciiTheme="minorBidi" w:hAnsiTheme="minorBidi"/>
          <w:sz w:val="22"/>
        </w:rPr>
        <w:t>Compliance Fatigue</w:t>
      </w:r>
      <w:r w:rsidR="008A416C" w:rsidRPr="008A416C">
        <w:rPr>
          <w:rFonts w:asciiTheme="minorBidi" w:hAnsiTheme="minorBidi"/>
          <w:sz w:val="22"/>
        </w:rPr>
        <w:t>,</w:t>
      </w:r>
      <w:r w:rsidR="00947159" w:rsidRPr="008A416C">
        <w:rPr>
          <w:rFonts w:asciiTheme="minorBidi" w:hAnsiTheme="minorBidi"/>
          <w:sz w:val="22"/>
        </w:rPr>
        <w:t xml:space="preserve"> </w:t>
      </w:r>
      <w:r w:rsidR="008A416C" w:rsidRPr="008A416C">
        <w:rPr>
          <w:rFonts w:asciiTheme="minorBidi" w:hAnsiTheme="minorBidi"/>
          <w:sz w:val="22"/>
        </w:rPr>
        <w:t>l</w:t>
      </w:r>
      <w:r w:rsidRPr="008A416C">
        <w:rPr>
          <w:rFonts w:asciiTheme="minorBidi" w:hAnsiTheme="minorBidi"/>
          <w:sz w:val="22"/>
        </w:rPr>
        <w:t>ong-term monitoring of behaviour lowered the confidence of the people following their chronic constraints</w:t>
      </w:r>
      <w:r w:rsidRPr="00D53E56">
        <w:rPr>
          <w:rFonts w:asciiTheme="minorBidi" w:hAnsiTheme="minorBidi"/>
          <w:sz w:val="22"/>
        </w:rPr>
        <w:t xml:space="preserve"> (Hong and Lim, 2023).</w:t>
      </w:r>
      <w:r w:rsidR="008A416C">
        <w:rPr>
          <w:rFonts w:asciiTheme="minorBidi" w:hAnsiTheme="minorBidi"/>
          <w:sz w:val="22"/>
        </w:rPr>
        <w:t xml:space="preserve"> </w:t>
      </w:r>
      <w:r w:rsidRPr="00D53E56">
        <w:rPr>
          <w:rFonts w:asciiTheme="minorBidi" w:hAnsiTheme="minorBidi"/>
          <w:sz w:val="22"/>
        </w:rPr>
        <w:t>These problems help to explain that centralisation is a maximum efficiency strategy that may undermine the long-term social approval.</w:t>
      </w:r>
    </w:p>
    <w:p w14:paraId="5DB86118" w14:textId="335F33A3" w:rsidR="00604090" w:rsidRPr="00D53E56" w:rsidRDefault="00604090" w:rsidP="00947159">
      <w:pPr>
        <w:pStyle w:val="Heading3"/>
        <w:rPr>
          <w:rFonts w:asciiTheme="minorBidi" w:hAnsiTheme="minorBidi" w:cstheme="minorBidi"/>
        </w:rPr>
      </w:pPr>
      <w:bookmarkStart w:id="18" w:name="_Toc216711824"/>
      <w:r w:rsidRPr="00D53E56">
        <w:rPr>
          <w:rFonts w:asciiTheme="minorBidi" w:hAnsiTheme="minorBidi" w:cstheme="minorBidi"/>
        </w:rPr>
        <w:t>2.3.7 Vaccination Performance and Health Outcomes.</w:t>
      </w:r>
      <w:bookmarkEnd w:id="18"/>
    </w:p>
    <w:p w14:paraId="28AF15E7" w14:textId="259216F3" w:rsidR="00C66D00" w:rsidRPr="00D53E56" w:rsidRDefault="000B39B4" w:rsidP="00604090">
      <w:pPr>
        <w:rPr>
          <w:rFonts w:asciiTheme="minorBidi" w:hAnsiTheme="minorBidi"/>
          <w:noProof/>
        </w:rPr>
      </w:pPr>
      <w:r w:rsidRPr="00D53E56">
        <w:rPr>
          <w:rFonts w:asciiTheme="minorBidi" w:hAnsiTheme="minorBidi"/>
          <w:noProof/>
        </w:rPr>
        <w:drawing>
          <wp:anchor distT="0" distB="0" distL="114300" distR="114300" simplePos="0" relativeHeight="251664384" behindDoc="0" locked="0" layoutInCell="1" allowOverlap="1" wp14:anchorId="1BB4F977" wp14:editId="6F23D842">
            <wp:simplePos x="0" y="0"/>
            <wp:positionH relativeFrom="margin">
              <wp:align>center</wp:align>
            </wp:positionH>
            <wp:positionV relativeFrom="paragraph">
              <wp:posOffset>92075</wp:posOffset>
            </wp:positionV>
            <wp:extent cx="4671060" cy="2217020"/>
            <wp:effectExtent l="0" t="0" r="0" b="0"/>
            <wp:wrapSquare wrapText="bothSides"/>
            <wp:docPr id="195875690" name="Picture 3" descr="Total COVID-19 vaccine doses administered - Our World in Da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8" descr="Total COVID-19 vaccine doses administered - Our World in Data"/>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a:stretch>
                      <a:fillRect/>
                    </a:stretch>
                  </pic:blipFill>
                  <pic:spPr bwMode="auto">
                    <a:xfrm>
                      <a:off x="0" y="0"/>
                      <a:ext cx="4671060" cy="22170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CF2CE69" w14:textId="614FA8ED" w:rsidR="00C66D00" w:rsidRPr="00D53E56" w:rsidRDefault="00C66D00" w:rsidP="00604090">
      <w:pPr>
        <w:rPr>
          <w:rFonts w:asciiTheme="minorBidi" w:hAnsiTheme="minorBidi"/>
          <w:sz w:val="22"/>
        </w:rPr>
      </w:pPr>
    </w:p>
    <w:p w14:paraId="4B61F9CC" w14:textId="77777777" w:rsidR="00C66D00" w:rsidRPr="00D53E56" w:rsidRDefault="00C66D00" w:rsidP="00604090">
      <w:pPr>
        <w:rPr>
          <w:rFonts w:asciiTheme="minorBidi" w:hAnsiTheme="minorBidi"/>
          <w:sz w:val="22"/>
        </w:rPr>
      </w:pPr>
    </w:p>
    <w:p w14:paraId="3658AA6F" w14:textId="77777777" w:rsidR="00C66D00" w:rsidRPr="00D53E56" w:rsidRDefault="00C66D00" w:rsidP="00604090">
      <w:pPr>
        <w:rPr>
          <w:rFonts w:asciiTheme="minorBidi" w:hAnsiTheme="minorBidi"/>
          <w:sz w:val="22"/>
        </w:rPr>
      </w:pPr>
    </w:p>
    <w:p w14:paraId="4C6D61A3" w14:textId="77777777" w:rsidR="00C66D00" w:rsidRPr="00D53E56" w:rsidRDefault="00C66D00" w:rsidP="00604090">
      <w:pPr>
        <w:rPr>
          <w:rFonts w:asciiTheme="minorBidi" w:hAnsiTheme="minorBidi"/>
          <w:sz w:val="22"/>
        </w:rPr>
      </w:pPr>
    </w:p>
    <w:p w14:paraId="21237B74" w14:textId="77777777" w:rsidR="00C66D00" w:rsidRPr="00D53E56" w:rsidRDefault="00C66D00" w:rsidP="00604090">
      <w:pPr>
        <w:rPr>
          <w:rFonts w:asciiTheme="minorBidi" w:hAnsiTheme="minorBidi"/>
          <w:sz w:val="22"/>
        </w:rPr>
      </w:pPr>
    </w:p>
    <w:p w14:paraId="6A9AF362" w14:textId="77777777" w:rsidR="00C66D00" w:rsidRPr="00D53E56" w:rsidRDefault="00C66D00" w:rsidP="00604090">
      <w:pPr>
        <w:rPr>
          <w:rFonts w:asciiTheme="minorBidi" w:hAnsiTheme="minorBidi"/>
          <w:sz w:val="22"/>
        </w:rPr>
      </w:pPr>
    </w:p>
    <w:p w14:paraId="592C8E87" w14:textId="69326E97" w:rsidR="00C66D00" w:rsidRDefault="000B39B4" w:rsidP="00604090">
      <w:pPr>
        <w:rPr>
          <w:rFonts w:asciiTheme="minorBidi" w:hAnsiTheme="minorBidi"/>
          <w:sz w:val="22"/>
        </w:rPr>
      </w:pPr>
      <w:r w:rsidRPr="00D53E56">
        <w:rPr>
          <w:rFonts w:asciiTheme="minorBidi" w:hAnsiTheme="minorBidi"/>
          <w:noProof/>
        </w:rPr>
        <mc:AlternateContent>
          <mc:Choice Requires="wps">
            <w:drawing>
              <wp:anchor distT="0" distB="0" distL="114300" distR="114300" simplePos="0" relativeHeight="251666432" behindDoc="0" locked="0" layoutInCell="1" allowOverlap="1" wp14:anchorId="3BCAD60E" wp14:editId="238554F1">
                <wp:simplePos x="0" y="0"/>
                <wp:positionH relativeFrom="margin">
                  <wp:align>center</wp:align>
                </wp:positionH>
                <wp:positionV relativeFrom="paragraph">
                  <wp:posOffset>140970</wp:posOffset>
                </wp:positionV>
                <wp:extent cx="3970020" cy="635"/>
                <wp:effectExtent l="0" t="0" r="0" b="8255"/>
                <wp:wrapSquare wrapText="bothSides"/>
                <wp:docPr id="942708028" name="Text Box 1"/>
                <wp:cNvGraphicFramePr/>
                <a:graphic xmlns:a="http://schemas.openxmlformats.org/drawingml/2006/main">
                  <a:graphicData uri="http://schemas.microsoft.com/office/word/2010/wordprocessingShape">
                    <wps:wsp>
                      <wps:cNvSpPr txBox="1"/>
                      <wps:spPr>
                        <a:xfrm>
                          <a:off x="0" y="0"/>
                          <a:ext cx="3970020" cy="635"/>
                        </a:xfrm>
                        <a:prstGeom prst="rect">
                          <a:avLst/>
                        </a:prstGeom>
                        <a:solidFill>
                          <a:prstClr val="white"/>
                        </a:solidFill>
                        <a:ln>
                          <a:noFill/>
                        </a:ln>
                      </wps:spPr>
                      <wps:txbx>
                        <w:txbxContent>
                          <w:p w14:paraId="3EBFE09E" w14:textId="7F43980E" w:rsidR="00C66D00" w:rsidRPr="00C66D00" w:rsidRDefault="00C66D00" w:rsidP="00C66D00">
                            <w:pPr>
                              <w:pStyle w:val="Caption"/>
                              <w:rPr>
                                <w:b/>
                                <w:bCs/>
                                <w:noProof/>
                                <w:szCs w:val="22"/>
                              </w:rPr>
                            </w:pPr>
                            <w:r w:rsidRPr="00C66D00">
                              <w:rPr>
                                <w:b/>
                                <w:bCs/>
                              </w:rPr>
                              <w:t xml:space="preserve">Figure </w:t>
                            </w:r>
                            <w:r w:rsidR="00F05BB1">
                              <w:rPr>
                                <w:b/>
                                <w:bCs/>
                              </w:rPr>
                              <w:t>4</w:t>
                            </w:r>
                            <w:r w:rsidRPr="00C66D00">
                              <w:rPr>
                                <w:b/>
                                <w:bCs/>
                                <w:lang w:val="en-US"/>
                              </w:rPr>
                              <w:t xml:space="preserve"> speed and scale of vaccine rollout (Erkoreka and Hernando‐Pérez 2023)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BCAD60E" id="_x0000_s1029" type="#_x0000_t202" style="position:absolute;left:0;text-align:left;margin-left:0;margin-top:11.1pt;width:312.6pt;height:.05pt;z-index:25166643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" stroked="f">
                <v:textbox style="mso-fit-shape-to-text:t" inset="0,0,0,0">
                  <w:txbxContent>
                    <w:p w14:paraId="3EBFE09E" w14:textId="7F43980E" w:rsidR="00C66D00" w:rsidRPr="00C66D00" w:rsidRDefault="00C66D00" w:rsidP="00C66D00">
                      <w:pPr>
                        <w:pStyle w:val="Caption"/>
                        <w:rPr>
                          <w:b/>
                          <w:bCs/>
                          <w:noProof/>
                          <w:szCs w:val="22"/>
                        </w:rPr>
                      </w:pPr>
                      <w:r w:rsidRPr="00C66D00">
                        <w:rPr>
                          <w:b/>
                          <w:bCs/>
                        </w:rPr>
                        <w:t xml:space="preserve">Figure </w:t>
                      </w:r>
                      <w:r w:rsidR="00F05BB1">
                        <w:rPr>
                          <w:b/>
                          <w:bCs/>
                        </w:rPr>
                        <w:t>4</w:t>
                      </w:r>
                      <w:r w:rsidRPr="00C66D00">
                        <w:rPr>
                          <w:b/>
                          <w:bCs/>
                          <w:lang w:val="en-US"/>
                        </w:rPr>
                        <w:t xml:space="preserve"> speed and scale of vaccine rollout (Erkoreka and Hernando‐Pérez 2023)</w:t>
                      </w:r>
                    </w:p>
                  </w:txbxContent>
                </v:textbox>
                <w10:wrap type="square" anchorx="margin"/>
              </v:shape>
            </w:pict>
          </mc:Fallback>
        </mc:AlternateContent>
      </w:r>
    </w:p>
    <w:p w14:paraId="4EC981B4" w14:textId="77777777" w:rsidR="00F05BB1" w:rsidRPr="00D53E56" w:rsidRDefault="00F05BB1" w:rsidP="00604090">
      <w:pPr>
        <w:rPr>
          <w:rFonts w:asciiTheme="minorBidi" w:hAnsiTheme="minorBidi"/>
          <w:sz w:val="22"/>
        </w:rPr>
      </w:pPr>
    </w:p>
    <w:p w14:paraId="0571C84A" w14:textId="4C6781A2" w:rsidR="00604090" w:rsidRPr="00D53E56" w:rsidRDefault="00604090" w:rsidP="00604090">
      <w:pPr>
        <w:rPr>
          <w:rFonts w:asciiTheme="minorBidi" w:hAnsiTheme="minorBidi"/>
          <w:sz w:val="22"/>
        </w:rPr>
      </w:pPr>
      <w:r w:rsidRPr="00D53E56">
        <w:rPr>
          <w:rFonts w:asciiTheme="minorBidi" w:hAnsiTheme="minorBidi"/>
          <w:sz w:val="22"/>
        </w:rPr>
        <w:t>By the end of 2021, South Korea had more than 87 percent full vaccination coverage. Even after significant Omicron waves, COVID-19 death cases were less than 1,200 per million, which is much lower than in most of European and North American countries (Assefa et al., 2022). Nonetheless, Hong and Lim (2023) note the decreasing levels of trust in the population in subsequent waves, which shows decreasing returns to hyper-centralised control.</w:t>
      </w:r>
    </w:p>
    <w:p w14:paraId="791D67F1" w14:textId="77777777" w:rsidR="00604090" w:rsidRPr="00D53E56" w:rsidRDefault="00604090" w:rsidP="00604090">
      <w:pPr>
        <w:rPr>
          <w:rFonts w:asciiTheme="minorBidi" w:hAnsiTheme="minorBidi"/>
          <w:sz w:val="22"/>
        </w:rPr>
      </w:pPr>
    </w:p>
    <w:p w14:paraId="1BB0A1DD" w14:textId="77777777" w:rsidR="00C66D00" w:rsidRPr="00D53E56" w:rsidRDefault="00C66D00">
      <w:pPr>
        <w:spacing w:line="259" w:lineRule="auto"/>
        <w:jc w:val="left"/>
        <w:rPr>
          <w:rFonts w:asciiTheme="minorBidi" w:eastAsia="Times New Roman" w:hAnsiTheme="minorBidi"/>
          <w:b/>
          <w:bCs/>
          <w:color w:val="4472C4" w:themeColor="accent1"/>
          <w:kern w:val="0"/>
          <w:sz w:val="28"/>
          <w:szCs w:val="28"/>
          <w14:ligatures w14:val="none"/>
        </w:rPr>
      </w:pPr>
      <w:r w:rsidRPr="00D53E56">
        <w:rPr>
          <w:rFonts w:asciiTheme="minorBidi" w:hAnsiTheme="minorBidi"/>
        </w:rPr>
        <w:br w:type="page"/>
      </w:r>
    </w:p>
    <w:p w14:paraId="78297711" w14:textId="1F9B163B" w:rsidR="00604090" w:rsidRPr="00D53E56" w:rsidRDefault="00604090" w:rsidP="00947159">
      <w:pPr>
        <w:pStyle w:val="Heading2"/>
        <w:rPr>
          <w:rFonts w:asciiTheme="minorBidi" w:hAnsiTheme="minorBidi" w:cstheme="minorBidi"/>
        </w:rPr>
      </w:pPr>
      <w:bookmarkStart w:id="19" w:name="_Toc216711825"/>
      <w:r w:rsidRPr="00D53E56">
        <w:rPr>
          <w:rFonts w:asciiTheme="minorBidi" w:hAnsiTheme="minorBidi" w:cstheme="minorBidi"/>
        </w:rPr>
        <w:lastRenderedPageBreak/>
        <w:t>2.4 Canada: Health System Organisation and the Response to COVID-19.</w:t>
      </w:r>
      <w:bookmarkEnd w:id="19"/>
    </w:p>
    <w:p w14:paraId="69C9C461" w14:textId="77777777" w:rsidR="00604090" w:rsidRPr="00D53E56" w:rsidRDefault="00604090" w:rsidP="00947159">
      <w:pPr>
        <w:pStyle w:val="Heading3"/>
        <w:rPr>
          <w:rFonts w:asciiTheme="minorBidi" w:hAnsiTheme="minorBidi" w:cstheme="minorBidi"/>
        </w:rPr>
      </w:pPr>
      <w:bookmarkStart w:id="20" w:name="_Toc216711826"/>
      <w:r w:rsidRPr="00D53E56">
        <w:rPr>
          <w:rFonts w:asciiTheme="minorBidi" w:hAnsiTheme="minorBidi" w:cstheme="minorBidi"/>
        </w:rPr>
        <w:t>2.4.1 Canadian Federal Health Care System Structure.</w:t>
      </w:r>
      <w:bookmarkEnd w:id="20"/>
    </w:p>
    <w:p w14:paraId="48D60947" w14:textId="39BC3CA1" w:rsidR="00604090" w:rsidRPr="00D53E56" w:rsidRDefault="00604090" w:rsidP="000B39B4">
      <w:pPr>
        <w:rPr>
          <w:rFonts w:asciiTheme="minorBidi" w:hAnsiTheme="minorBidi"/>
          <w:sz w:val="22"/>
        </w:rPr>
      </w:pPr>
      <w:r w:rsidRPr="00D53E56">
        <w:rPr>
          <w:rFonts w:asciiTheme="minorBidi" w:hAnsiTheme="minorBidi"/>
          <w:sz w:val="22"/>
        </w:rPr>
        <w:t>Canada has one of the most decentralised health systems in the OECD. Constitutional powers to affect healthcare delivery, healthcare financing, hospitals regulation and policy response to pandemic falls within the provincial government jurisdiction whereas the federal government has border policy, procures vaccines and national monitoring (Hegele and Schnabel, 2021). This department geometrically restricts national standardisation in times of national health emergencies.</w:t>
      </w:r>
    </w:p>
    <w:p w14:paraId="562ECA6C" w14:textId="77777777" w:rsidR="00604090" w:rsidRPr="00D53E56" w:rsidRDefault="00604090" w:rsidP="00947159">
      <w:pPr>
        <w:pStyle w:val="Heading3"/>
        <w:rPr>
          <w:rFonts w:asciiTheme="minorBidi" w:hAnsiTheme="minorBidi" w:cstheme="minorBidi"/>
        </w:rPr>
      </w:pPr>
      <w:bookmarkStart w:id="21" w:name="_Toc216711827"/>
      <w:r w:rsidRPr="00D53E56">
        <w:rPr>
          <w:rFonts w:asciiTheme="minorBidi" w:hAnsiTheme="minorBidi" w:cstheme="minorBidi"/>
        </w:rPr>
        <w:t>2.4.2 Firm Provincial Decentralisation.</w:t>
      </w:r>
      <w:bookmarkEnd w:id="21"/>
    </w:p>
    <w:p w14:paraId="33B5FCB3" w14:textId="056EC030" w:rsidR="00604090" w:rsidRPr="00D53E56" w:rsidRDefault="00604090" w:rsidP="000B39B4">
      <w:pPr>
        <w:rPr>
          <w:rFonts w:asciiTheme="minorBidi" w:hAnsiTheme="minorBidi"/>
          <w:sz w:val="22"/>
        </w:rPr>
      </w:pPr>
      <w:r w:rsidRPr="00D53E56">
        <w:rPr>
          <w:rFonts w:asciiTheme="minorBidi" w:hAnsiTheme="minorBidi"/>
          <w:sz w:val="22"/>
        </w:rPr>
        <w:t>In the case of COVID-19, the timeline of lockdown, testing policy and vaccine rollout sequence were done in the provinces independently. During the pandemic, Ontario, Quebec, and Alberta took radically different containment approaches (Cyr et al., 2021). This division slowed down the process of coordinated national response in initial stages of transmission.</w:t>
      </w:r>
    </w:p>
    <w:p w14:paraId="67AC2DDA" w14:textId="77777777" w:rsidR="00604090" w:rsidRPr="00D53E56" w:rsidRDefault="00604090" w:rsidP="00947159">
      <w:pPr>
        <w:pStyle w:val="Heading3"/>
        <w:rPr>
          <w:rFonts w:asciiTheme="minorBidi" w:hAnsiTheme="minorBidi" w:cstheme="minorBidi"/>
        </w:rPr>
      </w:pPr>
      <w:bookmarkStart w:id="22" w:name="_Toc216711828"/>
      <w:r w:rsidRPr="00D53E56">
        <w:rPr>
          <w:rFonts w:asciiTheme="minorBidi" w:hAnsiTheme="minorBidi" w:cstheme="minorBidi"/>
        </w:rPr>
        <w:t>2.4.3 Federal-Provincial Co-ordination in the time of the pandemic.</w:t>
      </w:r>
      <w:bookmarkEnd w:id="22"/>
    </w:p>
    <w:p w14:paraId="533C4B40" w14:textId="04CFA0CC" w:rsidR="00604090" w:rsidRPr="00D53E56" w:rsidRDefault="00604090" w:rsidP="000B39B4">
      <w:pPr>
        <w:rPr>
          <w:rFonts w:asciiTheme="minorBidi" w:hAnsiTheme="minorBidi"/>
          <w:sz w:val="22"/>
        </w:rPr>
      </w:pPr>
      <w:r w:rsidRPr="00D53E56">
        <w:rPr>
          <w:rFonts w:asciiTheme="minorBidi" w:hAnsiTheme="minorBidi"/>
          <w:sz w:val="22"/>
        </w:rPr>
        <w:t>The federal government was more of a financial and logistical coordinator. Centrally financed national emergency wage subsidies, provincial hospital surge funds and provincial vaccine procurement were operationalised at the provincial level (Government of Canada, 2021). The coordination was based on voluntary compliance between various governments as opposed to compulsory standardisation.</w:t>
      </w:r>
    </w:p>
    <w:p w14:paraId="4B1FBA21" w14:textId="77777777" w:rsidR="00604090" w:rsidRPr="00D53E56" w:rsidRDefault="00604090" w:rsidP="00947159">
      <w:pPr>
        <w:pStyle w:val="Heading3"/>
        <w:rPr>
          <w:rFonts w:asciiTheme="minorBidi" w:hAnsiTheme="minorBidi" w:cstheme="minorBidi"/>
        </w:rPr>
      </w:pPr>
      <w:bookmarkStart w:id="23" w:name="_Toc216711829"/>
      <w:r w:rsidRPr="00D53E56">
        <w:rPr>
          <w:rFonts w:asciiTheme="minorBidi" w:hAnsiTheme="minorBidi" w:cstheme="minorBidi"/>
        </w:rPr>
        <w:t>2.4.4 Benefits of the Decentralised Health Model.</w:t>
      </w:r>
      <w:bookmarkEnd w:id="23"/>
    </w:p>
    <w:p w14:paraId="288A1EC5" w14:textId="416F57D0" w:rsidR="00D53E56" w:rsidRPr="00F05BB1" w:rsidRDefault="00604090" w:rsidP="00F05BB1">
      <w:pPr>
        <w:rPr>
          <w:rFonts w:asciiTheme="minorBidi" w:hAnsiTheme="minorBidi"/>
          <w:sz w:val="22"/>
        </w:rPr>
      </w:pPr>
      <w:r w:rsidRPr="00D53E56">
        <w:rPr>
          <w:rFonts w:asciiTheme="minorBidi" w:hAnsiTheme="minorBidi"/>
          <w:sz w:val="22"/>
        </w:rPr>
        <w:t>Contextual policy adjustment based on the population density, healthcare infrastructure, and epidemiological risk has been made possible by decentralisation. Strict border control measures and early waves of zero-COVID status were realised in Atlantic provinces (Detsky and Bogoch, 2021). This regional autonomy made it possible to prevent the situation through specific containment measures in areas that failed to comply with strict centralised rule.</w:t>
      </w:r>
    </w:p>
    <w:p w14:paraId="00449F39" w14:textId="7F317CB5" w:rsidR="00604090" w:rsidRPr="00D53E56" w:rsidRDefault="00604090" w:rsidP="00947159">
      <w:pPr>
        <w:pStyle w:val="Heading3"/>
        <w:rPr>
          <w:rFonts w:asciiTheme="minorBidi" w:hAnsiTheme="minorBidi" w:cstheme="minorBidi"/>
        </w:rPr>
      </w:pPr>
      <w:bookmarkStart w:id="24" w:name="_Toc216711830"/>
      <w:r w:rsidRPr="00D53E56">
        <w:rPr>
          <w:rFonts w:asciiTheme="minorBidi" w:hAnsiTheme="minorBidi" w:cstheme="minorBidi"/>
        </w:rPr>
        <w:t>2.4.5 Supply Chain, Vaccine Procurement and Data Fragmentation.</w:t>
      </w:r>
      <w:bookmarkEnd w:id="24"/>
    </w:p>
    <w:p w14:paraId="1B2BE3C4" w14:textId="705B7201" w:rsidR="00604090" w:rsidRPr="00D53E56" w:rsidRDefault="00604090" w:rsidP="00D53E56">
      <w:pPr>
        <w:rPr>
          <w:rFonts w:asciiTheme="minorBidi" w:hAnsiTheme="minorBidi"/>
          <w:sz w:val="22"/>
        </w:rPr>
      </w:pPr>
      <w:r w:rsidRPr="00D53E56">
        <w:rPr>
          <w:rFonts w:asciiTheme="minorBidi" w:hAnsiTheme="minorBidi"/>
          <w:sz w:val="22"/>
        </w:rPr>
        <w:t xml:space="preserve">The lack of domestic vaccine manufacturing in Canada was necessitated by the need to use global procurement mechanisms. At the beginning of 2021, vaccine shortages postponed rollout plans by up to eight weeks compared to the United Kingdom and the United States (Government of Canada, 2021). Moreover, the interprovincial data fragmentation of provincial </w:t>
      </w:r>
      <w:r w:rsidRPr="00D53E56">
        <w:rPr>
          <w:rFonts w:asciiTheme="minorBidi" w:hAnsiTheme="minorBidi"/>
          <w:sz w:val="22"/>
        </w:rPr>
        <w:lastRenderedPageBreak/>
        <w:t>reporting systems slowed down the national epidemiological modelling and national risk assessment (Cyr et al., 2021).</w:t>
      </w:r>
    </w:p>
    <w:p w14:paraId="7DCD8D92" w14:textId="35DAA33A" w:rsidR="00604090" w:rsidRPr="00D53E56" w:rsidRDefault="00604090" w:rsidP="00947159">
      <w:pPr>
        <w:pStyle w:val="Heading3"/>
        <w:rPr>
          <w:rFonts w:asciiTheme="minorBidi" w:hAnsiTheme="minorBidi" w:cstheme="minorBidi"/>
        </w:rPr>
      </w:pPr>
      <w:bookmarkStart w:id="25" w:name="_Toc216711831"/>
      <w:r w:rsidRPr="00D53E56">
        <w:rPr>
          <w:rFonts w:asciiTheme="minorBidi" w:hAnsiTheme="minorBidi" w:cstheme="minorBidi"/>
        </w:rPr>
        <w:t>2.4.6 Performance in terms of Health outcomes and Vaccination.</w:t>
      </w:r>
      <w:bookmarkEnd w:id="25"/>
    </w:p>
    <w:p w14:paraId="58EDCEFD" w14:textId="111E7140" w:rsidR="008334C1" w:rsidRPr="00D53E56" w:rsidRDefault="008334C1" w:rsidP="00604090">
      <w:pPr>
        <w:rPr>
          <w:rFonts w:asciiTheme="minorBidi" w:hAnsiTheme="minorBidi"/>
          <w:sz w:val="22"/>
        </w:rPr>
      </w:pPr>
      <w:r w:rsidRPr="00D53E56">
        <w:rPr>
          <w:rFonts w:asciiTheme="minorBidi" w:hAnsiTheme="minorBidi"/>
          <w:noProof/>
        </w:rPr>
        <w:drawing>
          <wp:anchor distT="0" distB="0" distL="114300" distR="114300" simplePos="0" relativeHeight="251673600" behindDoc="0" locked="0" layoutInCell="1" allowOverlap="1" wp14:anchorId="40826D3F" wp14:editId="457F4874">
            <wp:simplePos x="0" y="0"/>
            <wp:positionH relativeFrom="margin">
              <wp:align>center</wp:align>
            </wp:positionH>
            <wp:positionV relativeFrom="paragraph">
              <wp:posOffset>111125</wp:posOffset>
            </wp:positionV>
            <wp:extent cx="4967800" cy="2994660"/>
            <wp:effectExtent l="0" t="0" r="4445" b="0"/>
            <wp:wrapSquare wrapText="bothSides"/>
            <wp:docPr id="1717990686" name="Picture 6" descr="What explains the striking differences in vaccination uptak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7" descr="What explains the striking differences in vaccination uptake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967800" cy="29946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C0B6468" w14:textId="77777777" w:rsidR="008334C1" w:rsidRPr="00D53E56" w:rsidRDefault="008334C1" w:rsidP="00604090">
      <w:pPr>
        <w:rPr>
          <w:rFonts w:asciiTheme="minorBidi" w:hAnsiTheme="minorBidi"/>
          <w:sz w:val="22"/>
        </w:rPr>
      </w:pPr>
    </w:p>
    <w:p w14:paraId="32DBA8EC" w14:textId="77777777" w:rsidR="008334C1" w:rsidRPr="00D53E56" w:rsidRDefault="008334C1" w:rsidP="00604090">
      <w:pPr>
        <w:rPr>
          <w:rFonts w:asciiTheme="minorBidi" w:hAnsiTheme="minorBidi"/>
          <w:sz w:val="22"/>
        </w:rPr>
      </w:pPr>
    </w:p>
    <w:p w14:paraId="14FF3FB3" w14:textId="77777777" w:rsidR="008334C1" w:rsidRPr="00D53E56" w:rsidRDefault="008334C1" w:rsidP="00604090">
      <w:pPr>
        <w:rPr>
          <w:rFonts w:asciiTheme="minorBidi" w:hAnsiTheme="minorBidi"/>
          <w:sz w:val="22"/>
        </w:rPr>
      </w:pPr>
    </w:p>
    <w:p w14:paraId="45458BCB" w14:textId="77777777" w:rsidR="008334C1" w:rsidRPr="00D53E56" w:rsidRDefault="008334C1" w:rsidP="00604090">
      <w:pPr>
        <w:rPr>
          <w:rFonts w:asciiTheme="minorBidi" w:hAnsiTheme="minorBidi"/>
          <w:sz w:val="22"/>
        </w:rPr>
      </w:pPr>
    </w:p>
    <w:p w14:paraId="577D72B7" w14:textId="77777777" w:rsidR="008334C1" w:rsidRPr="00D53E56" w:rsidRDefault="008334C1" w:rsidP="00604090">
      <w:pPr>
        <w:rPr>
          <w:rFonts w:asciiTheme="minorBidi" w:hAnsiTheme="minorBidi"/>
          <w:sz w:val="22"/>
        </w:rPr>
      </w:pPr>
    </w:p>
    <w:p w14:paraId="4EB8D79E" w14:textId="77777777" w:rsidR="008334C1" w:rsidRPr="00D53E56" w:rsidRDefault="008334C1" w:rsidP="00604090">
      <w:pPr>
        <w:rPr>
          <w:rFonts w:asciiTheme="minorBidi" w:hAnsiTheme="minorBidi"/>
          <w:sz w:val="22"/>
        </w:rPr>
      </w:pPr>
    </w:p>
    <w:p w14:paraId="12BF6126" w14:textId="77777777" w:rsidR="008334C1" w:rsidRPr="00D53E56" w:rsidRDefault="008334C1" w:rsidP="00604090">
      <w:pPr>
        <w:rPr>
          <w:rFonts w:asciiTheme="minorBidi" w:hAnsiTheme="minorBidi"/>
          <w:sz w:val="22"/>
        </w:rPr>
      </w:pPr>
    </w:p>
    <w:p w14:paraId="0DC9D426" w14:textId="77777777" w:rsidR="008334C1" w:rsidRPr="00D53E56" w:rsidRDefault="008334C1" w:rsidP="00604090">
      <w:pPr>
        <w:rPr>
          <w:rFonts w:asciiTheme="minorBidi" w:hAnsiTheme="minorBidi"/>
          <w:sz w:val="22"/>
        </w:rPr>
      </w:pPr>
    </w:p>
    <w:p w14:paraId="3026B9A5" w14:textId="57EB64E9" w:rsidR="008334C1" w:rsidRPr="00D53E56" w:rsidRDefault="008334C1" w:rsidP="00604090">
      <w:pPr>
        <w:rPr>
          <w:rFonts w:asciiTheme="minorBidi" w:hAnsiTheme="minorBidi"/>
          <w:sz w:val="22"/>
        </w:rPr>
      </w:pPr>
      <w:r w:rsidRPr="00D53E56">
        <w:rPr>
          <w:rFonts w:asciiTheme="minorBidi" w:hAnsiTheme="minorBidi"/>
          <w:noProof/>
        </w:rPr>
        <mc:AlternateContent>
          <mc:Choice Requires="wps">
            <w:drawing>
              <wp:anchor distT="0" distB="0" distL="114300" distR="114300" simplePos="0" relativeHeight="251675648" behindDoc="0" locked="0" layoutInCell="1" allowOverlap="1" wp14:anchorId="6F188903" wp14:editId="4577CD69">
                <wp:simplePos x="0" y="0"/>
                <wp:positionH relativeFrom="margin">
                  <wp:align>center</wp:align>
                </wp:positionH>
                <wp:positionV relativeFrom="paragraph">
                  <wp:posOffset>212725</wp:posOffset>
                </wp:positionV>
                <wp:extent cx="2994660" cy="635"/>
                <wp:effectExtent l="0" t="0" r="0" b="0"/>
                <wp:wrapSquare wrapText="bothSides"/>
                <wp:docPr id="1296271016" name="Text Box 1"/>
                <wp:cNvGraphicFramePr/>
                <a:graphic xmlns:a="http://schemas.openxmlformats.org/drawingml/2006/main">
                  <a:graphicData uri="http://schemas.microsoft.com/office/word/2010/wordprocessingShape">
                    <wps:wsp>
                      <wps:cNvSpPr txBox="1"/>
                      <wps:spPr>
                        <a:xfrm>
                          <a:off x="0" y="0"/>
                          <a:ext cx="2994660" cy="635"/>
                        </a:xfrm>
                        <a:prstGeom prst="rect">
                          <a:avLst/>
                        </a:prstGeom>
                        <a:solidFill>
                          <a:prstClr val="white"/>
                        </a:solidFill>
                        <a:ln>
                          <a:noFill/>
                        </a:ln>
                      </wps:spPr>
                      <wps:txbx>
                        <w:txbxContent>
                          <w:p w14:paraId="473D77E5" w14:textId="7EFFE6C7" w:rsidR="008334C1" w:rsidRPr="008334C1" w:rsidRDefault="008334C1" w:rsidP="008334C1">
                            <w:pPr>
                              <w:pStyle w:val="Caption"/>
                              <w:rPr>
                                <w:b/>
                                <w:bCs/>
                                <w:noProof/>
                                <w:szCs w:val="22"/>
                              </w:rPr>
                            </w:pPr>
                            <w:r w:rsidRPr="008334C1">
                              <w:rPr>
                                <w:b/>
                                <w:bCs/>
                              </w:rPr>
                              <w:t xml:space="preserve">Figure </w:t>
                            </w:r>
                            <w:r w:rsidR="00F05BB1">
                              <w:rPr>
                                <w:b/>
                                <w:bCs/>
                              </w:rPr>
                              <w:t>5</w:t>
                            </w:r>
                            <w:r w:rsidRPr="008334C1">
                              <w:rPr>
                                <w:b/>
                                <w:bCs/>
                                <w:lang w:val="en-US"/>
                              </w:rPr>
                              <w:t xml:space="preserve"> Canada vs Other High-Income Countries (Deaths </w:t>
                            </w:r>
                            <w:r w:rsidR="00AC5D3A">
                              <w:rPr>
                                <w:b/>
                                <w:bCs/>
                                <w:lang w:val="en-US"/>
                              </w:rPr>
                              <w:t>and</w:t>
                            </w:r>
                            <w:r w:rsidRPr="008334C1">
                              <w:rPr>
                                <w:b/>
                                <w:bCs/>
                                <w:lang w:val="en-US"/>
                              </w:rPr>
                              <w:t xml:space="preserve"> Vaccination Comparison) (Navarro and Velasco, 2022)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F188903" id="_x0000_s1030" type="#_x0000_t202" style="position:absolute;left:0;text-align:left;margin-left:0;margin-top:16.75pt;width:235.8pt;height:.05pt;z-index:25167564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" stroked="f">
                <v:textbox style="mso-fit-shape-to-text:t" inset="0,0,0,0">
                  <w:txbxContent>
                    <w:p w14:paraId="473D77E5" w14:textId="7EFFE6C7" w:rsidR="008334C1" w:rsidRPr="008334C1" w:rsidRDefault="008334C1" w:rsidP="008334C1">
                      <w:pPr>
                        <w:pStyle w:val="Caption"/>
                        <w:rPr>
                          <w:b/>
                          <w:bCs/>
                          <w:noProof/>
                          <w:szCs w:val="22"/>
                        </w:rPr>
                      </w:pPr>
                      <w:r w:rsidRPr="008334C1">
                        <w:rPr>
                          <w:b/>
                          <w:bCs/>
                        </w:rPr>
                        <w:t xml:space="preserve">Figure </w:t>
                      </w:r>
                      <w:r w:rsidR="00F05BB1">
                        <w:rPr>
                          <w:b/>
                          <w:bCs/>
                        </w:rPr>
                        <w:t>5</w:t>
                      </w:r>
                      <w:r w:rsidRPr="008334C1">
                        <w:rPr>
                          <w:b/>
                          <w:bCs/>
                          <w:lang w:val="en-US"/>
                        </w:rPr>
                        <w:t xml:space="preserve"> Canada vs Other High-Income Countries (Deaths </w:t>
                      </w:r>
                      <w:r w:rsidR="00AC5D3A">
                        <w:rPr>
                          <w:b/>
                          <w:bCs/>
                          <w:lang w:val="en-US"/>
                        </w:rPr>
                        <w:t>and</w:t>
                      </w:r>
                      <w:r w:rsidRPr="008334C1">
                        <w:rPr>
                          <w:b/>
                          <w:bCs/>
                          <w:lang w:val="en-US"/>
                        </w:rPr>
                        <w:t xml:space="preserve"> Vaccination Comparison) (Navarro and Velasco, 2022)</w:t>
                      </w:r>
                    </w:p>
                  </w:txbxContent>
                </v:textbox>
                <w10:wrap type="square" anchorx="margin"/>
              </v:shape>
            </w:pict>
          </mc:Fallback>
        </mc:AlternateContent>
      </w:r>
    </w:p>
    <w:p w14:paraId="74667771" w14:textId="77777777" w:rsidR="008334C1" w:rsidRPr="00D53E56" w:rsidRDefault="008334C1" w:rsidP="00604090">
      <w:pPr>
        <w:rPr>
          <w:rFonts w:asciiTheme="minorBidi" w:hAnsiTheme="minorBidi"/>
          <w:sz w:val="22"/>
        </w:rPr>
      </w:pPr>
    </w:p>
    <w:p w14:paraId="70114725" w14:textId="77777777" w:rsidR="008334C1" w:rsidRPr="00D53E56" w:rsidRDefault="008334C1" w:rsidP="00604090">
      <w:pPr>
        <w:rPr>
          <w:rFonts w:asciiTheme="minorBidi" w:hAnsiTheme="minorBidi"/>
          <w:sz w:val="22"/>
        </w:rPr>
      </w:pPr>
    </w:p>
    <w:p w14:paraId="2E37E4EE" w14:textId="10F00CC5" w:rsidR="008334C1" w:rsidRPr="00F05BB1" w:rsidRDefault="00604090" w:rsidP="00F05BB1">
      <w:pPr>
        <w:rPr>
          <w:rFonts w:asciiTheme="minorBidi" w:hAnsiTheme="minorBidi"/>
          <w:sz w:val="22"/>
        </w:rPr>
      </w:pPr>
      <w:r w:rsidRPr="00D53E56">
        <w:rPr>
          <w:rFonts w:asciiTheme="minorBidi" w:hAnsiTheme="minorBidi"/>
          <w:sz w:val="22"/>
        </w:rPr>
        <w:t>By late 2022, Covid-19 resulted in some 51,000 deaths in Canada. As of mid-2021, more than 82% of the total population is fully vaccinated, though initial vaccination was in the lowest quartile of high-income countries (Detsky and Bogoch, 2021). Nevertheless, the rapid regional acceleration occurred when supply stabilised due to the decentralised delivery.</w:t>
      </w:r>
    </w:p>
    <w:p w14:paraId="180A10ED" w14:textId="7C92FE6F" w:rsidR="00DB635D" w:rsidRPr="00D53E56" w:rsidRDefault="00DB635D" w:rsidP="00947159">
      <w:pPr>
        <w:pStyle w:val="Heading2"/>
        <w:rPr>
          <w:rFonts w:asciiTheme="minorBidi" w:hAnsiTheme="minorBidi" w:cstheme="minorBidi"/>
        </w:rPr>
      </w:pPr>
      <w:bookmarkStart w:id="26" w:name="_Toc216711832"/>
      <w:r w:rsidRPr="00D53E56">
        <w:rPr>
          <w:rFonts w:asciiTheme="minorBidi" w:hAnsiTheme="minorBidi" w:cstheme="minorBidi"/>
        </w:rPr>
        <w:t>2.5 Comparative Evaluation of Health System Approaches</w:t>
      </w:r>
      <w:bookmarkEnd w:id="26"/>
    </w:p>
    <w:p w14:paraId="55381669" w14:textId="77777777" w:rsidR="00DB635D" w:rsidRPr="00D53E56" w:rsidRDefault="00DB635D" w:rsidP="00947159">
      <w:pPr>
        <w:pStyle w:val="Heading3"/>
        <w:rPr>
          <w:rFonts w:asciiTheme="minorBidi" w:hAnsiTheme="minorBidi" w:cstheme="minorBidi"/>
        </w:rPr>
      </w:pPr>
      <w:bookmarkStart w:id="27" w:name="_Toc216711833"/>
      <w:r w:rsidRPr="00D53E56">
        <w:rPr>
          <w:rFonts w:asciiTheme="minorBidi" w:hAnsiTheme="minorBidi" w:cstheme="minorBidi"/>
        </w:rPr>
        <w:t>2.5.1 Centralisation vs Decentralisation: Comparative Strengths</w:t>
      </w:r>
      <w:bookmarkEnd w:id="27"/>
    </w:p>
    <w:tbl>
      <w:tblPr>
        <w:tblStyle w:val="GridTable3-Accent5"/>
        <w:tblW w:w="0" w:type="auto"/>
        <w:tblLook w:val="04A0" w:firstRow="1" w:lastRow="0" w:firstColumn="1" w:lastColumn="0" w:noHBand="0" w:noVBand="1"/>
      </w:tblPr>
      <w:tblGrid>
        <w:gridCol w:w="2530"/>
        <w:gridCol w:w="2133"/>
        <w:gridCol w:w="2109"/>
        <w:gridCol w:w="2254"/>
      </w:tblGrid>
      <w:tr w:rsidR="00DB635D" w:rsidRPr="00DB635D" w14:paraId="5FD26B62" w14:textId="77777777" w:rsidTr="00D53E56">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shd w:val="clear" w:color="auto" w:fill="8EAADB" w:themeFill="accent1" w:themeFillTint="99"/>
            <w:hideMark/>
          </w:tcPr>
          <w:p w14:paraId="63C08A77" w14:textId="77777777" w:rsidR="00DB635D" w:rsidRPr="00DB635D" w:rsidRDefault="00DB635D" w:rsidP="00DB635D">
            <w:pPr>
              <w:spacing w:after="160"/>
              <w:rPr>
                <w:rFonts w:asciiTheme="minorBidi" w:hAnsiTheme="minorBidi"/>
                <w:sz w:val="22"/>
              </w:rPr>
            </w:pPr>
            <w:r w:rsidRPr="00DB635D">
              <w:rPr>
                <w:rFonts w:asciiTheme="minorBidi" w:hAnsiTheme="minorBidi"/>
                <w:sz w:val="22"/>
              </w:rPr>
              <w:t>Dimension</w:t>
            </w:r>
          </w:p>
        </w:tc>
        <w:tc>
          <w:tcPr>
            <w:tcW w:w="0" w:type="auto"/>
            <w:shd w:val="clear" w:color="auto" w:fill="8EAADB" w:themeFill="accent1" w:themeFillTint="99"/>
            <w:hideMark/>
          </w:tcPr>
          <w:p w14:paraId="6C8CECA4" w14:textId="77777777" w:rsidR="00DB635D" w:rsidRPr="00DB635D" w:rsidRDefault="00DB635D" w:rsidP="00DB635D">
            <w:pPr>
              <w:spacing w:after="160"/>
              <w:cnfStyle w:val="100000000000" w:firstRow="1" w:lastRow="0" w:firstColumn="0" w:lastColumn="0" w:oddVBand="0" w:evenVBand="0" w:oddHBand="0" w:evenHBand="0" w:firstRowFirstColumn="0" w:firstRowLastColumn="0" w:lastRowFirstColumn="0" w:lastRowLastColumn="0"/>
              <w:rPr>
                <w:rFonts w:asciiTheme="minorBidi" w:hAnsiTheme="minorBidi"/>
                <w:sz w:val="22"/>
              </w:rPr>
            </w:pPr>
            <w:r w:rsidRPr="00DB635D">
              <w:rPr>
                <w:rFonts w:asciiTheme="minorBidi" w:hAnsiTheme="minorBidi"/>
                <w:sz w:val="22"/>
              </w:rPr>
              <w:t>Spain</w:t>
            </w:r>
          </w:p>
        </w:tc>
        <w:tc>
          <w:tcPr>
            <w:tcW w:w="0" w:type="auto"/>
            <w:shd w:val="clear" w:color="auto" w:fill="8EAADB" w:themeFill="accent1" w:themeFillTint="99"/>
            <w:hideMark/>
          </w:tcPr>
          <w:p w14:paraId="755F419E" w14:textId="77777777" w:rsidR="00DB635D" w:rsidRPr="00DB635D" w:rsidRDefault="00DB635D" w:rsidP="00DB635D">
            <w:pPr>
              <w:spacing w:after="160"/>
              <w:cnfStyle w:val="100000000000" w:firstRow="1" w:lastRow="0" w:firstColumn="0" w:lastColumn="0" w:oddVBand="0" w:evenVBand="0" w:oddHBand="0" w:evenHBand="0" w:firstRowFirstColumn="0" w:firstRowLastColumn="0" w:lastRowFirstColumn="0" w:lastRowLastColumn="0"/>
              <w:rPr>
                <w:rFonts w:asciiTheme="minorBidi" w:hAnsiTheme="minorBidi"/>
                <w:sz w:val="22"/>
              </w:rPr>
            </w:pPr>
            <w:r w:rsidRPr="00DB635D">
              <w:rPr>
                <w:rFonts w:asciiTheme="minorBidi" w:hAnsiTheme="minorBidi"/>
                <w:sz w:val="22"/>
              </w:rPr>
              <w:t>South Korea</w:t>
            </w:r>
          </w:p>
        </w:tc>
        <w:tc>
          <w:tcPr>
            <w:tcW w:w="0" w:type="auto"/>
            <w:shd w:val="clear" w:color="auto" w:fill="8EAADB" w:themeFill="accent1" w:themeFillTint="99"/>
            <w:hideMark/>
          </w:tcPr>
          <w:p w14:paraId="626535EB" w14:textId="77777777" w:rsidR="00DB635D" w:rsidRPr="00DB635D" w:rsidRDefault="00DB635D" w:rsidP="00DB635D">
            <w:pPr>
              <w:spacing w:after="160"/>
              <w:cnfStyle w:val="100000000000" w:firstRow="1" w:lastRow="0" w:firstColumn="0" w:lastColumn="0" w:oddVBand="0" w:evenVBand="0" w:oddHBand="0" w:evenHBand="0" w:firstRowFirstColumn="0" w:firstRowLastColumn="0" w:lastRowFirstColumn="0" w:lastRowLastColumn="0"/>
              <w:rPr>
                <w:rFonts w:asciiTheme="minorBidi" w:hAnsiTheme="minorBidi"/>
                <w:sz w:val="22"/>
              </w:rPr>
            </w:pPr>
            <w:r w:rsidRPr="00DB635D">
              <w:rPr>
                <w:rFonts w:asciiTheme="minorBidi" w:hAnsiTheme="minorBidi"/>
                <w:sz w:val="22"/>
              </w:rPr>
              <w:t>Canada</w:t>
            </w:r>
          </w:p>
        </w:tc>
      </w:tr>
      <w:tr w:rsidR="00DB635D" w:rsidRPr="00DB635D" w14:paraId="245D8990" w14:textId="77777777" w:rsidTr="00D53E5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D9D9D9" w:themeFill="background1" w:themeFillShade="D9"/>
            <w:hideMark/>
          </w:tcPr>
          <w:p w14:paraId="266E87D6" w14:textId="77777777" w:rsidR="00DB635D" w:rsidRPr="00DB635D" w:rsidRDefault="00DB635D" w:rsidP="00D53E56">
            <w:pPr>
              <w:spacing w:after="160"/>
              <w:jc w:val="left"/>
              <w:rPr>
                <w:rFonts w:asciiTheme="minorBidi" w:hAnsiTheme="minorBidi"/>
                <w:sz w:val="22"/>
              </w:rPr>
            </w:pPr>
            <w:r w:rsidRPr="00DB635D">
              <w:rPr>
                <w:rFonts w:asciiTheme="minorBidi" w:hAnsiTheme="minorBidi"/>
                <w:sz w:val="22"/>
              </w:rPr>
              <w:t>Governance Structure</w:t>
            </w:r>
          </w:p>
        </w:tc>
        <w:tc>
          <w:tcPr>
            <w:tcW w:w="0" w:type="auto"/>
            <w:hideMark/>
          </w:tcPr>
          <w:p w14:paraId="795DF288" w14:textId="77777777" w:rsidR="00DB635D" w:rsidRPr="00DB635D" w:rsidRDefault="00DB635D" w:rsidP="00DB635D">
            <w:pPr>
              <w:spacing w:after="160"/>
              <w:cnfStyle w:val="000000100000" w:firstRow="0" w:lastRow="0" w:firstColumn="0" w:lastColumn="0" w:oddVBand="0" w:evenVBand="0" w:oddHBand="1" w:evenHBand="0" w:firstRowFirstColumn="0" w:firstRowLastColumn="0" w:lastRowFirstColumn="0" w:lastRowLastColumn="0"/>
              <w:rPr>
                <w:rFonts w:asciiTheme="minorBidi" w:hAnsiTheme="minorBidi"/>
                <w:sz w:val="22"/>
              </w:rPr>
            </w:pPr>
            <w:r w:rsidRPr="00DB635D">
              <w:rPr>
                <w:rFonts w:asciiTheme="minorBidi" w:hAnsiTheme="minorBidi"/>
                <w:sz w:val="22"/>
              </w:rPr>
              <w:t>Highly decentralised</w:t>
            </w:r>
          </w:p>
        </w:tc>
        <w:tc>
          <w:tcPr>
            <w:tcW w:w="0" w:type="auto"/>
            <w:hideMark/>
          </w:tcPr>
          <w:p w14:paraId="242E4AC9" w14:textId="77777777" w:rsidR="00DB635D" w:rsidRPr="00DB635D" w:rsidRDefault="00DB635D" w:rsidP="00DB635D">
            <w:pPr>
              <w:spacing w:after="160"/>
              <w:cnfStyle w:val="000000100000" w:firstRow="0" w:lastRow="0" w:firstColumn="0" w:lastColumn="0" w:oddVBand="0" w:evenVBand="0" w:oddHBand="1" w:evenHBand="0" w:firstRowFirstColumn="0" w:firstRowLastColumn="0" w:lastRowFirstColumn="0" w:lastRowLastColumn="0"/>
              <w:rPr>
                <w:rFonts w:asciiTheme="minorBidi" w:hAnsiTheme="minorBidi"/>
                <w:sz w:val="22"/>
              </w:rPr>
            </w:pPr>
            <w:r w:rsidRPr="00DB635D">
              <w:rPr>
                <w:rFonts w:asciiTheme="minorBidi" w:hAnsiTheme="minorBidi"/>
                <w:sz w:val="22"/>
              </w:rPr>
              <w:t>Highly centralised</w:t>
            </w:r>
          </w:p>
        </w:tc>
        <w:tc>
          <w:tcPr>
            <w:tcW w:w="0" w:type="auto"/>
            <w:hideMark/>
          </w:tcPr>
          <w:p w14:paraId="1EF7D2C5" w14:textId="77777777" w:rsidR="00DB635D" w:rsidRPr="00DB635D" w:rsidRDefault="00DB635D" w:rsidP="00DB635D">
            <w:pPr>
              <w:spacing w:after="160"/>
              <w:cnfStyle w:val="000000100000" w:firstRow="0" w:lastRow="0" w:firstColumn="0" w:lastColumn="0" w:oddVBand="0" w:evenVBand="0" w:oddHBand="1" w:evenHBand="0" w:firstRowFirstColumn="0" w:firstRowLastColumn="0" w:lastRowFirstColumn="0" w:lastRowLastColumn="0"/>
              <w:rPr>
                <w:rFonts w:asciiTheme="minorBidi" w:hAnsiTheme="minorBidi"/>
                <w:sz w:val="22"/>
              </w:rPr>
            </w:pPr>
            <w:r w:rsidRPr="00DB635D">
              <w:rPr>
                <w:rFonts w:asciiTheme="minorBidi" w:hAnsiTheme="minorBidi"/>
                <w:sz w:val="22"/>
              </w:rPr>
              <w:t>Federal decentralised</w:t>
            </w:r>
          </w:p>
        </w:tc>
      </w:tr>
      <w:tr w:rsidR="00DB635D" w:rsidRPr="00DB635D" w14:paraId="2B65170D" w14:textId="77777777" w:rsidTr="00D53E56">
        <w:tc>
          <w:tcPr>
            <w:cnfStyle w:val="001000000000" w:firstRow="0" w:lastRow="0" w:firstColumn="1" w:lastColumn="0" w:oddVBand="0" w:evenVBand="0" w:oddHBand="0" w:evenHBand="0" w:firstRowFirstColumn="0" w:firstRowLastColumn="0" w:lastRowFirstColumn="0" w:lastRowLastColumn="0"/>
            <w:tcW w:w="0" w:type="auto"/>
            <w:shd w:val="clear" w:color="auto" w:fill="D9D9D9" w:themeFill="background1" w:themeFillShade="D9"/>
            <w:hideMark/>
          </w:tcPr>
          <w:p w14:paraId="3373236B" w14:textId="77777777" w:rsidR="00DB635D" w:rsidRPr="00DB635D" w:rsidRDefault="00DB635D" w:rsidP="00D53E56">
            <w:pPr>
              <w:spacing w:after="160"/>
              <w:jc w:val="left"/>
              <w:rPr>
                <w:rFonts w:asciiTheme="minorBidi" w:hAnsiTheme="minorBidi"/>
                <w:sz w:val="22"/>
              </w:rPr>
            </w:pPr>
            <w:r w:rsidRPr="00DB635D">
              <w:rPr>
                <w:rFonts w:asciiTheme="minorBidi" w:hAnsiTheme="minorBidi"/>
                <w:sz w:val="22"/>
              </w:rPr>
              <w:t>Crisis Decision Authority</w:t>
            </w:r>
          </w:p>
        </w:tc>
        <w:tc>
          <w:tcPr>
            <w:tcW w:w="0" w:type="auto"/>
            <w:hideMark/>
          </w:tcPr>
          <w:p w14:paraId="63228BFF" w14:textId="77777777" w:rsidR="00DB635D" w:rsidRPr="00DB635D" w:rsidRDefault="00DB635D" w:rsidP="00DB635D">
            <w:pPr>
              <w:spacing w:after="160"/>
              <w:cnfStyle w:val="000000000000" w:firstRow="0" w:lastRow="0" w:firstColumn="0" w:lastColumn="0" w:oddVBand="0" w:evenVBand="0" w:oddHBand="0" w:evenHBand="0" w:firstRowFirstColumn="0" w:firstRowLastColumn="0" w:lastRowFirstColumn="0" w:lastRowLastColumn="0"/>
              <w:rPr>
                <w:rFonts w:asciiTheme="minorBidi" w:hAnsiTheme="minorBidi"/>
                <w:sz w:val="22"/>
              </w:rPr>
            </w:pPr>
            <w:r w:rsidRPr="00DB635D">
              <w:rPr>
                <w:rFonts w:asciiTheme="minorBidi" w:hAnsiTheme="minorBidi"/>
                <w:sz w:val="22"/>
              </w:rPr>
              <w:t>Mixed</w:t>
            </w:r>
          </w:p>
        </w:tc>
        <w:tc>
          <w:tcPr>
            <w:tcW w:w="0" w:type="auto"/>
            <w:hideMark/>
          </w:tcPr>
          <w:p w14:paraId="3F61A475" w14:textId="77777777" w:rsidR="00DB635D" w:rsidRPr="00DB635D" w:rsidRDefault="00DB635D" w:rsidP="00DB635D">
            <w:pPr>
              <w:spacing w:after="160"/>
              <w:cnfStyle w:val="000000000000" w:firstRow="0" w:lastRow="0" w:firstColumn="0" w:lastColumn="0" w:oddVBand="0" w:evenVBand="0" w:oddHBand="0" w:evenHBand="0" w:firstRowFirstColumn="0" w:firstRowLastColumn="0" w:lastRowFirstColumn="0" w:lastRowLastColumn="0"/>
              <w:rPr>
                <w:rFonts w:asciiTheme="minorBidi" w:hAnsiTheme="minorBidi"/>
                <w:sz w:val="22"/>
              </w:rPr>
            </w:pPr>
            <w:r w:rsidRPr="00DB635D">
              <w:rPr>
                <w:rFonts w:asciiTheme="minorBidi" w:hAnsiTheme="minorBidi"/>
                <w:sz w:val="22"/>
              </w:rPr>
              <w:t>National</w:t>
            </w:r>
          </w:p>
        </w:tc>
        <w:tc>
          <w:tcPr>
            <w:tcW w:w="0" w:type="auto"/>
            <w:hideMark/>
          </w:tcPr>
          <w:p w14:paraId="1FEEE8C8" w14:textId="77777777" w:rsidR="00DB635D" w:rsidRPr="00DB635D" w:rsidRDefault="00DB635D" w:rsidP="00DB635D">
            <w:pPr>
              <w:spacing w:after="160"/>
              <w:cnfStyle w:val="000000000000" w:firstRow="0" w:lastRow="0" w:firstColumn="0" w:lastColumn="0" w:oddVBand="0" w:evenVBand="0" w:oddHBand="0" w:evenHBand="0" w:firstRowFirstColumn="0" w:firstRowLastColumn="0" w:lastRowFirstColumn="0" w:lastRowLastColumn="0"/>
              <w:rPr>
                <w:rFonts w:asciiTheme="minorBidi" w:hAnsiTheme="minorBidi"/>
                <w:sz w:val="22"/>
              </w:rPr>
            </w:pPr>
            <w:r w:rsidRPr="00DB635D">
              <w:rPr>
                <w:rFonts w:asciiTheme="minorBidi" w:hAnsiTheme="minorBidi"/>
                <w:sz w:val="22"/>
              </w:rPr>
              <w:t>Provincial</w:t>
            </w:r>
          </w:p>
        </w:tc>
      </w:tr>
      <w:tr w:rsidR="00DB635D" w:rsidRPr="00DB635D" w14:paraId="08627AA1" w14:textId="77777777" w:rsidTr="00D53E5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D9D9D9" w:themeFill="background1" w:themeFillShade="D9"/>
            <w:hideMark/>
          </w:tcPr>
          <w:p w14:paraId="603211C2" w14:textId="77777777" w:rsidR="00DB635D" w:rsidRPr="00DB635D" w:rsidRDefault="00DB635D" w:rsidP="00D53E56">
            <w:pPr>
              <w:spacing w:after="160"/>
              <w:jc w:val="left"/>
              <w:rPr>
                <w:rFonts w:asciiTheme="minorBidi" w:hAnsiTheme="minorBidi"/>
                <w:sz w:val="22"/>
              </w:rPr>
            </w:pPr>
            <w:r w:rsidRPr="00DB635D">
              <w:rPr>
                <w:rFonts w:asciiTheme="minorBidi" w:hAnsiTheme="minorBidi"/>
                <w:sz w:val="22"/>
              </w:rPr>
              <w:t>Surveillance Integration</w:t>
            </w:r>
          </w:p>
        </w:tc>
        <w:tc>
          <w:tcPr>
            <w:tcW w:w="0" w:type="auto"/>
            <w:hideMark/>
          </w:tcPr>
          <w:p w14:paraId="7BE0169D" w14:textId="77777777" w:rsidR="00DB635D" w:rsidRPr="00DB635D" w:rsidRDefault="00DB635D" w:rsidP="00DB635D">
            <w:pPr>
              <w:spacing w:after="160"/>
              <w:cnfStyle w:val="000000100000" w:firstRow="0" w:lastRow="0" w:firstColumn="0" w:lastColumn="0" w:oddVBand="0" w:evenVBand="0" w:oddHBand="1" w:evenHBand="0" w:firstRowFirstColumn="0" w:firstRowLastColumn="0" w:lastRowFirstColumn="0" w:lastRowLastColumn="0"/>
              <w:rPr>
                <w:rFonts w:asciiTheme="minorBidi" w:hAnsiTheme="minorBidi"/>
                <w:sz w:val="22"/>
              </w:rPr>
            </w:pPr>
            <w:r w:rsidRPr="00DB635D">
              <w:rPr>
                <w:rFonts w:asciiTheme="minorBidi" w:hAnsiTheme="minorBidi"/>
                <w:sz w:val="22"/>
              </w:rPr>
              <w:t>Fragmented early</w:t>
            </w:r>
          </w:p>
        </w:tc>
        <w:tc>
          <w:tcPr>
            <w:tcW w:w="0" w:type="auto"/>
            <w:hideMark/>
          </w:tcPr>
          <w:p w14:paraId="5ED08EC0" w14:textId="77777777" w:rsidR="00DB635D" w:rsidRPr="00DB635D" w:rsidRDefault="00DB635D" w:rsidP="00DB635D">
            <w:pPr>
              <w:spacing w:after="160"/>
              <w:cnfStyle w:val="000000100000" w:firstRow="0" w:lastRow="0" w:firstColumn="0" w:lastColumn="0" w:oddVBand="0" w:evenVBand="0" w:oddHBand="1" w:evenHBand="0" w:firstRowFirstColumn="0" w:firstRowLastColumn="0" w:lastRowFirstColumn="0" w:lastRowLastColumn="0"/>
              <w:rPr>
                <w:rFonts w:asciiTheme="minorBidi" w:hAnsiTheme="minorBidi"/>
                <w:sz w:val="22"/>
              </w:rPr>
            </w:pPr>
            <w:r w:rsidRPr="00DB635D">
              <w:rPr>
                <w:rFonts w:asciiTheme="minorBidi" w:hAnsiTheme="minorBidi"/>
                <w:sz w:val="22"/>
              </w:rPr>
              <w:t>Fully integrated</w:t>
            </w:r>
          </w:p>
        </w:tc>
        <w:tc>
          <w:tcPr>
            <w:tcW w:w="0" w:type="auto"/>
            <w:hideMark/>
          </w:tcPr>
          <w:p w14:paraId="02015690" w14:textId="77777777" w:rsidR="00DB635D" w:rsidRPr="00DB635D" w:rsidRDefault="00DB635D" w:rsidP="00DB635D">
            <w:pPr>
              <w:spacing w:after="160"/>
              <w:cnfStyle w:val="000000100000" w:firstRow="0" w:lastRow="0" w:firstColumn="0" w:lastColumn="0" w:oddVBand="0" w:evenVBand="0" w:oddHBand="1" w:evenHBand="0" w:firstRowFirstColumn="0" w:firstRowLastColumn="0" w:lastRowFirstColumn="0" w:lastRowLastColumn="0"/>
              <w:rPr>
                <w:rFonts w:asciiTheme="minorBidi" w:hAnsiTheme="minorBidi"/>
                <w:sz w:val="22"/>
              </w:rPr>
            </w:pPr>
            <w:r w:rsidRPr="00DB635D">
              <w:rPr>
                <w:rFonts w:asciiTheme="minorBidi" w:hAnsiTheme="minorBidi"/>
                <w:sz w:val="22"/>
              </w:rPr>
              <w:t>Fragmented</w:t>
            </w:r>
          </w:p>
        </w:tc>
      </w:tr>
      <w:tr w:rsidR="00DB635D" w:rsidRPr="00DB635D" w14:paraId="0B597479" w14:textId="77777777" w:rsidTr="00D53E56">
        <w:tc>
          <w:tcPr>
            <w:cnfStyle w:val="001000000000" w:firstRow="0" w:lastRow="0" w:firstColumn="1" w:lastColumn="0" w:oddVBand="0" w:evenVBand="0" w:oddHBand="0" w:evenHBand="0" w:firstRowFirstColumn="0" w:firstRowLastColumn="0" w:lastRowFirstColumn="0" w:lastRowLastColumn="0"/>
            <w:tcW w:w="0" w:type="auto"/>
            <w:shd w:val="clear" w:color="auto" w:fill="D9D9D9" w:themeFill="background1" w:themeFillShade="D9"/>
            <w:hideMark/>
          </w:tcPr>
          <w:p w14:paraId="45071B54" w14:textId="77777777" w:rsidR="00DB635D" w:rsidRPr="00DB635D" w:rsidRDefault="00DB635D" w:rsidP="00D53E56">
            <w:pPr>
              <w:spacing w:after="160"/>
              <w:jc w:val="left"/>
              <w:rPr>
                <w:rFonts w:asciiTheme="minorBidi" w:hAnsiTheme="minorBidi"/>
                <w:sz w:val="22"/>
              </w:rPr>
            </w:pPr>
            <w:r w:rsidRPr="00DB635D">
              <w:rPr>
                <w:rFonts w:asciiTheme="minorBidi" w:hAnsiTheme="minorBidi"/>
                <w:sz w:val="22"/>
              </w:rPr>
              <w:lastRenderedPageBreak/>
              <w:t>Vaccination Delivery</w:t>
            </w:r>
          </w:p>
        </w:tc>
        <w:tc>
          <w:tcPr>
            <w:tcW w:w="0" w:type="auto"/>
            <w:hideMark/>
          </w:tcPr>
          <w:p w14:paraId="3CB02FC3" w14:textId="77777777" w:rsidR="00DB635D" w:rsidRPr="00DB635D" w:rsidRDefault="00DB635D" w:rsidP="00DB635D">
            <w:pPr>
              <w:spacing w:after="160"/>
              <w:cnfStyle w:val="000000000000" w:firstRow="0" w:lastRow="0" w:firstColumn="0" w:lastColumn="0" w:oddVBand="0" w:evenVBand="0" w:oddHBand="0" w:evenHBand="0" w:firstRowFirstColumn="0" w:firstRowLastColumn="0" w:lastRowFirstColumn="0" w:lastRowLastColumn="0"/>
              <w:rPr>
                <w:rFonts w:asciiTheme="minorBidi" w:hAnsiTheme="minorBidi"/>
                <w:sz w:val="22"/>
              </w:rPr>
            </w:pPr>
            <w:r w:rsidRPr="00DB635D">
              <w:rPr>
                <w:rFonts w:asciiTheme="minorBidi" w:hAnsiTheme="minorBidi"/>
                <w:sz w:val="22"/>
              </w:rPr>
              <w:t>Regionally efficient</w:t>
            </w:r>
          </w:p>
        </w:tc>
        <w:tc>
          <w:tcPr>
            <w:tcW w:w="0" w:type="auto"/>
            <w:hideMark/>
          </w:tcPr>
          <w:p w14:paraId="4E25169E" w14:textId="77777777" w:rsidR="00DB635D" w:rsidRPr="00DB635D" w:rsidRDefault="00DB635D" w:rsidP="00DB635D">
            <w:pPr>
              <w:spacing w:after="160"/>
              <w:cnfStyle w:val="000000000000" w:firstRow="0" w:lastRow="0" w:firstColumn="0" w:lastColumn="0" w:oddVBand="0" w:evenVBand="0" w:oddHBand="0" w:evenHBand="0" w:firstRowFirstColumn="0" w:firstRowLastColumn="0" w:lastRowFirstColumn="0" w:lastRowLastColumn="0"/>
              <w:rPr>
                <w:rFonts w:asciiTheme="minorBidi" w:hAnsiTheme="minorBidi"/>
                <w:sz w:val="22"/>
              </w:rPr>
            </w:pPr>
            <w:r w:rsidRPr="00DB635D">
              <w:rPr>
                <w:rFonts w:asciiTheme="minorBidi" w:hAnsiTheme="minorBidi"/>
                <w:sz w:val="22"/>
              </w:rPr>
              <w:t>Nationally controlled</w:t>
            </w:r>
          </w:p>
        </w:tc>
        <w:tc>
          <w:tcPr>
            <w:tcW w:w="0" w:type="auto"/>
            <w:hideMark/>
          </w:tcPr>
          <w:p w14:paraId="7FE18FE0" w14:textId="77777777" w:rsidR="00DB635D" w:rsidRPr="00DB635D" w:rsidRDefault="00DB635D" w:rsidP="00DB635D">
            <w:pPr>
              <w:spacing w:after="160"/>
              <w:cnfStyle w:val="000000000000" w:firstRow="0" w:lastRow="0" w:firstColumn="0" w:lastColumn="0" w:oddVBand="0" w:evenVBand="0" w:oddHBand="0" w:evenHBand="0" w:firstRowFirstColumn="0" w:firstRowLastColumn="0" w:lastRowFirstColumn="0" w:lastRowLastColumn="0"/>
              <w:rPr>
                <w:rFonts w:asciiTheme="minorBidi" w:hAnsiTheme="minorBidi"/>
                <w:sz w:val="22"/>
              </w:rPr>
            </w:pPr>
            <w:r w:rsidRPr="00DB635D">
              <w:rPr>
                <w:rFonts w:asciiTheme="minorBidi" w:hAnsiTheme="minorBidi"/>
                <w:sz w:val="22"/>
              </w:rPr>
              <w:t>Provincially delivered</w:t>
            </w:r>
          </w:p>
        </w:tc>
      </w:tr>
      <w:tr w:rsidR="00DB635D" w:rsidRPr="00DB635D" w14:paraId="02C04D80" w14:textId="77777777" w:rsidTr="00D53E5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D9D9D9" w:themeFill="background1" w:themeFillShade="D9"/>
            <w:hideMark/>
          </w:tcPr>
          <w:p w14:paraId="01D5EF3F" w14:textId="77777777" w:rsidR="00DB635D" w:rsidRPr="00DB635D" w:rsidRDefault="00DB635D" w:rsidP="00D53E56">
            <w:pPr>
              <w:spacing w:after="160"/>
              <w:jc w:val="left"/>
              <w:rPr>
                <w:rFonts w:asciiTheme="minorBidi" w:hAnsiTheme="minorBidi"/>
                <w:sz w:val="22"/>
              </w:rPr>
            </w:pPr>
            <w:r w:rsidRPr="00DB635D">
              <w:rPr>
                <w:rFonts w:asciiTheme="minorBidi" w:hAnsiTheme="minorBidi"/>
                <w:sz w:val="22"/>
              </w:rPr>
              <w:t>Early Pandemic Mortality</w:t>
            </w:r>
          </w:p>
        </w:tc>
        <w:tc>
          <w:tcPr>
            <w:tcW w:w="0" w:type="auto"/>
            <w:hideMark/>
          </w:tcPr>
          <w:p w14:paraId="0747FA97" w14:textId="77777777" w:rsidR="00DB635D" w:rsidRPr="00DB635D" w:rsidRDefault="00DB635D" w:rsidP="00DB635D">
            <w:pPr>
              <w:spacing w:after="160"/>
              <w:cnfStyle w:val="000000100000" w:firstRow="0" w:lastRow="0" w:firstColumn="0" w:lastColumn="0" w:oddVBand="0" w:evenVBand="0" w:oddHBand="1" w:evenHBand="0" w:firstRowFirstColumn="0" w:firstRowLastColumn="0" w:lastRowFirstColumn="0" w:lastRowLastColumn="0"/>
              <w:rPr>
                <w:rFonts w:asciiTheme="minorBidi" w:hAnsiTheme="minorBidi"/>
                <w:sz w:val="22"/>
              </w:rPr>
            </w:pPr>
            <w:r w:rsidRPr="00DB635D">
              <w:rPr>
                <w:rFonts w:asciiTheme="minorBidi" w:hAnsiTheme="minorBidi"/>
                <w:sz w:val="22"/>
              </w:rPr>
              <w:t>High</w:t>
            </w:r>
          </w:p>
        </w:tc>
        <w:tc>
          <w:tcPr>
            <w:tcW w:w="0" w:type="auto"/>
            <w:hideMark/>
          </w:tcPr>
          <w:p w14:paraId="6F6516E5" w14:textId="77777777" w:rsidR="00DB635D" w:rsidRPr="00DB635D" w:rsidRDefault="00DB635D" w:rsidP="00DB635D">
            <w:pPr>
              <w:spacing w:after="160"/>
              <w:cnfStyle w:val="000000100000" w:firstRow="0" w:lastRow="0" w:firstColumn="0" w:lastColumn="0" w:oddVBand="0" w:evenVBand="0" w:oddHBand="1" w:evenHBand="0" w:firstRowFirstColumn="0" w:firstRowLastColumn="0" w:lastRowFirstColumn="0" w:lastRowLastColumn="0"/>
              <w:rPr>
                <w:rFonts w:asciiTheme="minorBidi" w:hAnsiTheme="minorBidi"/>
                <w:sz w:val="22"/>
              </w:rPr>
            </w:pPr>
            <w:r w:rsidRPr="00DB635D">
              <w:rPr>
                <w:rFonts w:asciiTheme="minorBidi" w:hAnsiTheme="minorBidi"/>
                <w:sz w:val="22"/>
              </w:rPr>
              <w:t>Very low</w:t>
            </w:r>
          </w:p>
        </w:tc>
        <w:tc>
          <w:tcPr>
            <w:tcW w:w="0" w:type="auto"/>
            <w:hideMark/>
          </w:tcPr>
          <w:p w14:paraId="142C4E30" w14:textId="77777777" w:rsidR="00DB635D" w:rsidRPr="00DB635D" w:rsidRDefault="00DB635D" w:rsidP="00DB635D">
            <w:pPr>
              <w:spacing w:after="160"/>
              <w:cnfStyle w:val="000000100000" w:firstRow="0" w:lastRow="0" w:firstColumn="0" w:lastColumn="0" w:oddVBand="0" w:evenVBand="0" w:oddHBand="1" w:evenHBand="0" w:firstRowFirstColumn="0" w:firstRowLastColumn="0" w:lastRowFirstColumn="0" w:lastRowLastColumn="0"/>
              <w:rPr>
                <w:rFonts w:asciiTheme="minorBidi" w:hAnsiTheme="minorBidi"/>
                <w:sz w:val="22"/>
              </w:rPr>
            </w:pPr>
            <w:r w:rsidRPr="00DB635D">
              <w:rPr>
                <w:rFonts w:asciiTheme="minorBidi" w:hAnsiTheme="minorBidi"/>
                <w:sz w:val="22"/>
              </w:rPr>
              <w:t>Moderate</w:t>
            </w:r>
          </w:p>
        </w:tc>
      </w:tr>
    </w:tbl>
    <w:p w14:paraId="319A62B7" w14:textId="46B27F0F" w:rsidR="00604090" w:rsidRPr="00D53E56" w:rsidRDefault="00604090" w:rsidP="00D53E56">
      <w:pPr>
        <w:rPr>
          <w:rFonts w:asciiTheme="minorBidi" w:hAnsiTheme="minorBidi"/>
          <w:sz w:val="22"/>
        </w:rPr>
      </w:pPr>
      <w:r w:rsidRPr="00D53E56">
        <w:rPr>
          <w:rFonts w:asciiTheme="minorBidi" w:hAnsiTheme="minorBidi"/>
          <w:sz w:val="22"/>
        </w:rPr>
        <w:t>The centralised model in South Korea had better control of premature mortality and coordination of the system. The system of decentralised system in Spain did not work in the beginning but it revived greatly with the help of regional delivery of vaccines. The federal decentralisation of Canada postponed action but favoured contextual policy formulation.</w:t>
      </w:r>
    </w:p>
    <w:p w14:paraId="0AC9CE0A" w14:textId="77777777" w:rsidR="00604090" w:rsidRPr="00D53E56" w:rsidRDefault="00604090" w:rsidP="00947159">
      <w:pPr>
        <w:pStyle w:val="Heading3"/>
        <w:rPr>
          <w:rFonts w:asciiTheme="minorBidi" w:hAnsiTheme="minorBidi" w:cstheme="minorBidi"/>
        </w:rPr>
      </w:pPr>
      <w:bookmarkStart w:id="28" w:name="_Toc216711834"/>
      <w:r w:rsidRPr="00D53E56">
        <w:rPr>
          <w:rFonts w:asciiTheme="minorBidi" w:hAnsiTheme="minorBidi" w:cstheme="minorBidi"/>
        </w:rPr>
        <w:t>2.5.2 Policy Co-ordination, effectivity and crisis responsiveness.</w:t>
      </w:r>
      <w:bookmarkEnd w:id="28"/>
    </w:p>
    <w:p w14:paraId="45D67E76" w14:textId="3659025E" w:rsidR="00D53E56" w:rsidRPr="00F05BB1" w:rsidRDefault="00604090" w:rsidP="00F05BB1">
      <w:pPr>
        <w:rPr>
          <w:rFonts w:asciiTheme="minorBidi" w:hAnsiTheme="minorBidi"/>
          <w:sz w:val="22"/>
        </w:rPr>
      </w:pPr>
      <w:r w:rsidRPr="00D53E56">
        <w:rPr>
          <w:rFonts w:asciiTheme="minorBidi" w:hAnsiTheme="minorBidi"/>
          <w:sz w:val="22"/>
        </w:rPr>
        <w:t>In South Korea, centralised government allowed easy alignment of policies, whereas in Spain and Canada, the decentralised system had an institutional lag in coordination. Hegele and Schnabel (2021) affirm that the decentralised federations necessitated multifaceted intergovernmental talks, which postponed single mandate and increased initial transmission. But later, the decentralised adaptability was associated with increased efficiency in response with the growth of coordination mechanisms.</w:t>
      </w:r>
    </w:p>
    <w:p w14:paraId="5A383BCD" w14:textId="50C23776" w:rsidR="00604090" w:rsidRPr="00D53E56" w:rsidRDefault="00604090" w:rsidP="00947159">
      <w:pPr>
        <w:pStyle w:val="Heading3"/>
        <w:rPr>
          <w:rFonts w:asciiTheme="minorBidi" w:hAnsiTheme="minorBidi" w:cstheme="minorBidi"/>
        </w:rPr>
      </w:pPr>
      <w:bookmarkStart w:id="29" w:name="_Toc216711835"/>
      <w:r w:rsidRPr="00D53E56">
        <w:rPr>
          <w:rFonts w:asciiTheme="minorBidi" w:hAnsiTheme="minorBidi" w:cstheme="minorBidi"/>
        </w:rPr>
        <w:t>2.5.3 Mortality, Vaccination coverage and Public Trust Impact.</w:t>
      </w:r>
      <w:bookmarkEnd w:id="29"/>
    </w:p>
    <w:p w14:paraId="29879094" w14:textId="7AAB7594" w:rsidR="00D53E56" w:rsidRDefault="00AC5D3A" w:rsidP="007B0F55">
      <w:pPr>
        <w:rPr>
          <w:rFonts w:asciiTheme="minorBidi" w:eastAsiaTheme="majorEastAsia" w:hAnsiTheme="minorBidi"/>
          <w:b/>
          <w:color w:val="4472C4" w:themeColor="accent1"/>
          <w:sz w:val="32"/>
          <w:szCs w:val="32"/>
        </w:rPr>
      </w:pPr>
      <w:r w:rsidRPr="00AC5D3A">
        <w:rPr>
          <w:rFonts w:asciiTheme="minorBidi" w:hAnsiTheme="minorBidi"/>
          <w:sz w:val="22"/>
        </w:rPr>
        <w:t>The interplay between the system of governance and leadership capacity decisively determined mortality, vaccination coverage, and trust by the population in Spain, South Korea, and Canada. The lowest mortality rates were observed in South Korea in the initial and intermediate stages of the pandemic, which indicates the efficiency of centralised management of the crisis, rapid testing, and data-driven containment with a high level of compliance of the population (Assefa et al., 2022; Hong and Lim, 2023). In contrast, Spain had one of the highest early mortality rates in Europe because of the failure to coordinate the response and slow intervention, but then one of the most successful vaccination rates in the European Union as the intergovernmental coordination level stabilised and the population became more confident in the leadership of vaccination (Assefa et al., 2022). Canada had relatively average mortality rates, but vaccination coverage in the country was later than that of its counterparts because of the global supply shortage and decentralisation, although the rate of uptake was rapid once supply had been secured (Detsky and Bogoch, 2021). The growth of public trust took the same lines. South Korea was highly early institutional trusting, but became fatigued later, Spain fell and rose, on some fronts</w:t>
      </w:r>
      <w:r w:rsidR="008A416C">
        <w:rPr>
          <w:rFonts w:asciiTheme="minorBidi" w:hAnsiTheme="minorBidi"/>
          <w:sz w:val="22"/>
        </w:rPr>
        <w:t xml:space="preserve">. </w:t>
      </w:r>
      <w:r w:rsidR="00604090" w:rsidRPr="00D53E56">
        <w:rPr>
          <w:rFonts w:asciiTheme="minorBidi" w:hAnsiTheme="minorBidi"/>
          <w:sz w:val="22"/>
        </w:rPr>
        <w:t xml:space="preserve">There are three lessons at the system level. </w:t>
      </w:r>
      <w:r w:rsidR="00D53E56">
        <w:rPr>
          <w:rFonts w:asciiTheme="minorBidi" w:hAnsiTheme="minorBidi"/>
        </w:rPr>
        <w:br w:type="page"/>
      </w:r>
    </w:p>
    <w:p w14:paraId="407D68DF" w14:textId="39E1E128" w:rsidR="00604090" w:rsidRPr="00D53E56" w:rsidRDefault="00604090" w:rsidP="00947159">
      <w:pPr>
        <w:pStyle w:val="Heading1"/>
        <w:rPr>
          <w:rFonts w:asciiTheme="minorBidi" w:hAnsiTheme="minorBidi" w:cstheme="minorBidi"/>
        </w:rPr>
      </w:pPr>
      <w:bookmarkStart w:id="30" w:name="_Toc216711836"/>
      <w:r w:rsidRPr="00D53E56">
        <w:rPr>
          <w:rFonts w:asciiTheme="minorBidi" w:hAnsiTheme="minorBidi" w:cstheme="minorBidi"/>
        </w:rPr>
        <w:lastRenderedPageBreak/>
        <w:t>3. Leadership Style Critical Analysis in the Case of COVID-19.</w:t>
      </w:r>
      <w:bookmarkEnd w:id="30"/>
    </w:p>
    <w:p w14:paraId="262CF9E5" w14:textId="77777777" w:rsidR="00604090" w:rsidRPr="00D53E56" w:rsidRDefault="00604090" w:rsidP="00947159">
      <w:pPr>
        <w:pStyle w:val="Heading2"/>
        <w:rPr>
          <w:rFonts w:asciiTheme="minorBidi" w:hAnsiTheme="minorBidi" w:cstheme="minorBidi"/>
        </w:rPr>
      </w:pPr>
      <w:bookmarkStart w:id="31" w:name="_Toc216711837"/>
      <w:r w:rsidRPr="00D53E56">
        <w:rPr>
          <w:rFonts w:asciiTheme="minorBidi" w:hAnsiTheme="minorBidi" w:cstheme="minorBidi"/>
        </w:rPr>
        <w:t>3.1 Spain: Leadership Style and Decision-making about the pandemic.</w:t>
      </w:r>
      <w:bookmarkEnd w:id="31"/>
    </w:p>
    <w:p w14:paraId="267B9997" w14:textId="77777777" w:rsidR="00604090" w:rsidRPr="00D53E56" w:rsidRDefault="00604090" w:rsidP="00947159">
      <w:pPr>
        <w:pStyle w:val="Heading3"/>
        <w:rPr>
          <w:rFonts w:asciiTheme="minorBidi" w:hAnsiTheme="minorBidi" w:cstheme="minorBidi"/>
        </w:rPr>
      </w:pPr>
      <w:bookmarkStart w:id="32" w:name="_Toc216711838"/>
      <w:r w:rsidRPr="00D53E56">
        <w:rPr>
          <w:rFonts w:asciiTheme="minorBidi" w:hAnsiTheme="minorBidi" w:cstheme="minorBidi"/>
        </w:rPr>
        <w:t>3.1.1 Political and Public Health Leadership Structure Overview.</w:t>
      </w:r>
      <w:bookmarkEnd w:id="32"/>
    </w:p>
    <w:p w14:paraId="7816321E" w14:textId="3BD6011E" w:rsidR="00D53E56" w:rsidRPr="00F05BB1" w:rsidRDefault="008A416C" w:rsidP="00F05BB1">
      <w:pPr>
        <w:rPr>
          <w:rFonts w:asciiTheme="minorBidi" w:hAnsiTheme="minorBidi"/>
          <w:sz w:val="22"/>
        </w:rPr>
      </w:pPr>
      <w:r w:rsidRPr="008A416C">
        <w:rPr>
          <w:rFonts w:asciiTheme="minorBidi" w:hAnsiTheme="minorBidi"/>
          <w:sz w:val="22"/>
        </w:rPr>
        <w:t>The COVID-19 leadership model of Spain is a combination of transactional, bureaucratic, and weak early crisis leadership that functions on a highly-decentralised system. It can be seen that the reactive implementation of lockdowns and mobility restrictions by the central government when case thresholds soared were transactional, as they were not intended to effect coordination but rather through compliance mechanisms (López Casasnovas and Pifarré i Arolas, 2022). The initial decision-making was dominated by bureaucratic leadership since formal legal processes, inter-ministerial approvals, and jurisdictional negotiation made it difficult to take quick action against emerging epidemiological threats (Mattei and Del Pino, 2021). The ability of leadership to react to the crisis was initially very low, and the lack of risk communication and the competing authority between central and regional leaders were sabotaging uniform national response. With time, leadership became more efficient in terms of coordinating the crisis, especially in vaccination rollout, and it is shown that the leadership success in Spain improved when the intergovernmental mechanisms became stable and the strategic alignment grew (Navarro and Velasco, 2022).</w:t>
      </w:r>
    </w:p>
    <w:p w14:paraId="6F1370B1" w14:textId="31C1EFB8" w:rsidR="008334C1" w:rsidRPr="00F05BB1" w:rsidRDefault="00604090" w:rsidP="00D53E56">
      <w:pPr>
        <w:pStyle w:val="Heading3"/>
        <w:rPr>
          <w:rFonts w:ascii="Arial" w:hAnsi="Arial" w:cs="Arial"/>
        </w:rPr>
      </w:pPr>
      <w:bookmarkStart w:id="33" w:name="_Toc216711839"/>
      <w:r w:rsidRPr="00F05BB1">
        <w:rPr>
          <w:rFonts w:ascii="Arial" w:hAnsi="Arial" w:cs="Arial"/>
        </w:rPr>
        <w:t>3.1.2 Theories of Leadership Applied to Spain in COVID-19 Response.</w:t>
      </w:r>
      <w:bookmarkEnd w:id="33"/>
    </w:p>
    <w:p w14:paraId="5692AA64" w14:textId="7B0E4FAC" w:rsidR="00604090" w:rsidRPr="00D53E56" w:rsidRDefault="008334C1" w:rsidP="00604090">
      <w:pPr>
        <w:rPr>
          <w:rFonts w:asciiTheme="minorBidi" w:hAnsiTheme="minorBidi"/>
          <w:b/>
          <w:bCs/>
          <w:sz w:val="22"/>
        </w:rPr>
      </w:pPr>
      <w:r w:rsidRPr="00D53E56">
        <w:rPr>
          <w:rFonts w:asciiTheme="minorBidi" w:hAnsiTheme="minorBidi"/>
          <w:noProof/>
        </w:rPr>
        <w:drawing>
          <wp:anchor distT="0" distB="0" distL="114300" distR="114300" simplePos="0" relativeHeight="251676672" behindDoc="0" locked="0" layoutInCell="1" allowOverlap="1" wp14:anchorId="0C3D1E78" wp14:editId="1468298A">
            <wp:simplePos x="0" y="0"/>
            <wp:positionH relativeFrom="margin">
              <wp:align>center</wp:align>
            </wp:positionH>
            <wp:positionV relativeFrom="paragraph">
              <wp:posOffset>344008</wp:posOffset>
            </wp:positionV>
            <wp:extent cx="4154170" cy="2827020"/>
            <wp:effectExtent l="0" t="0" r="0" b="0"/>
            <wp:wrapSquare wrapText="bothSides"/>
            <wp:docPr id="794601913" name="Picture 7" descr="Transactional Leadership | Leadership Training from EP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9" descr="Transactional Leadership | Leadership Training from EPM"/>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b="12898"/>
                    <a:stretch>
                      <a:fillRect/>
                    </a:stretch>
                  </pic:blipFill>
                  <pic:spPr bwMode="auto">
                    <a:xfrm>
                      <a:off x="0" y="0"/>
                      <a:ext cx="4154776" cy="2827432"/>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04090" w:rsidRPr="00D53E56">
        <w:rPr>
          <w:rFonts w:asciiTheme="minorBidi" w:hAnsiTheme="minorBidi"/>
          <w:b/>
          <w:bCs/>
          <w:sz w:val="22"/>
        </w:rPr>
        <w:t>Transactional Leadership (reacting decision-making, enforcing policies):</w:t>
      </w:r>
    </w:p>
    <w:p w14:paraId="7444E3AC" w14:textId="742B6333" w:rsidR="008334C1" w:rsidRPr="00D53E56" w:rsidRDefault="008334C1" w:rsidP="00604090">
      <w:pPr>
        <w:rPr>
          <w:rFonts w:asciiTheme="minorBidi" w:hAnsiTheme="minorBidi"/>
          <w:sz w:val="22"/>
        </w:rPr>
      </w:pPr>
    </w:p>
    <w:p w14:paraId="3D9EAB7B" w14:textId="77777777" w:rsidR="008334C1" w:rsidRPr="00D53E56" w:rsidRDefault="008334C1" w:rsidP="00604090">
      <w:pPr>
        <w:rPr>
          <w:rFonts w:asciiTheme="minorBidi" w:hAnsiTheme="minorBidi"/>
          <w:sz w:val="22"/>
        </w:rPr>
      </w:pPr>
    </w:p>
    <w:p w14:paraId="31AB97C3" w14:textId="77777777" w:rsidR="008334C1" w:rsidRPr="00D53E56" w:rsidRDefault="008334C1" w:rsidP="00604090">
      <w:pPr>
        <w:rPr>
          <w:rFonts w:asciiTheme="minorBidi" w:hAnsiTheme="minorBidi"/>
          <w:sz w:val="22"/>
        </w:rPr>
      </w:pPr>
    </w:p>
    <w:p w14:paraId="0EB1E500" w14:textId="77777777" w:rsidR="008334C1" w:rsidRPr="00D53E56" w:rsidRDefault="008334C1" w:rsidP="00604090">
      <w:pPr>
        <w:rPr>
          <w:rFonts w:asciiTheme="minorBidi" w:hAnsiTheme="minorBidi"/>
          <w:sz w:val="22"/>
        </w:rPr>
      </w:pPr>
    </w:p>
    <w:p w14:paraId="0B7394DA" w14:textId="77777777" w:rsidR="008334C1" w:rsidRPr="00D53E56" w:rsidRDefault="008334C1" w:rsidP="00604090">
      <w:pPr>
        <w:rPr>
          <w:rFonts w:asciiTheme="minorBidi" w:hAnsiTheme="minorBidi"/>
          <w:sz w:val="22"/>
        </w:rPr>
      </w:pPr>
    </w:p>
    <w:p w14:paraId="72C4673C" w14:textId="77777777" w:rsidR="008334C1" w:rsidRPr="00D53E56" w:rsidRDefault="008334C1" w:rsidP="00604090">
      <w:pPr>
        <w:rPr>
          <w:rFonts w:asciiTheme="minorBidi" w:hAnsiTheme="minorBidi"/>
          <w:sz w:val="22"/>
        </w:rPr>
      </w:pPr>
    </w:p>
    <w:p w14:paraId="281E17DB" w14:textId="77777777" w:rsidR="008334C1" w:rsidRPr="00D53E56" w:rsidRDefault="008334C1" w:rsidP="00604090">
      <w:pPr>
        <w:rPr>
          <w:rFonts w:asciiTheme="minorBidi" w:hAnsiTheme="minorBidi"/>
          <w:sz w:val="22"/>
        </w:rPr>
      </w:pPr>
    </w:p>
    <w:p w14:paraId="435AE127" w14:textId="1BF5AD20" w:rsidR="008334C1" w:rsidRPr="00D53E56" w:rsidRDefault="008334C1" w:rsidP="00604090">
      <w:pPr>
        <w:rPr>
          <w:rFonts w:asciiTheme="minorBidi" w:hAnsiTheme="minorBidi"/>
          <w:sz w:val="22"/>
        </w:rPr>
      </w:pPr>
      <w:r w:rsidRPr="00D53E56">
        <w:rPr>
          <w:rFonts w:asciiTheme="minorBidi" w:hAnsiTheme="minorBidi"/>
          <w:noProof/>
        </w:rPr>
        <mc:AlternateContent>
          <mc:Choice Requires="wps">
            <w:drawing>
              <wp:anchor distT="0" distB="0" distL="114300" distR="114300" simplePos="0" relativeHeight="251678720" behindDoc="0" locked="0" layoutInCell="1" allowOverlap="1" wp14:anchorId="0CD79372" wp14:editId="417117FA">
                <wp:simplePos x="0" y="0"/>
                <wp:positionH relativeFrom="margin">
                  <wp:align>center</wp:align>
                </wp:positionH>
                <wp:positionV relativeFrom="paragraph">
                  <wp:posOffset>148590</wp:posOffset>
                </wp:positionV>
                <wp:extent cx="3093720" cy="635"/>
                <wp:effectExtent l="0" t="0" r="0" b="8255"/>
                <wp:wrapSquare wrapText="bothSides"/>
                <wp:docPr id="1451890625" name="Text Box 1"/>
                <wp:cNvGraphicFramePr/>
                <a:graphic xmlns:a="http://schemas.openxmlformats.org/drawingml/2006/main">
                  <a:graphicData uri="http://schemas.microsoft.com/office/word/2010/wordprocessingShape">
                    <wps:wsp>
                      <wps:cNvSpPr txBox="1"/>
                      <wps:spPr>
                        <a:xfrm>
                          <a:off x="0" y="0"/>
                          <a:ext cx="3093720" cy="635"/>
                        </a:xfrm>
                        <a:prstGeom prst="rect">
                          <a:avLst/>
                        </a:prstGeom>
                        <a:solidFill>
                          <a:prstClr val="white"/>
                        </a:solidFill>
                        <a:ln>
                          <a:noFill/>
                        </a:ln>
                      </wps:spPr>
                      <wps:txbx>
                        <w:txbxContent>
                          <w:p w14:paraId="4DB2F6D9" w14:textId="3ED63C59" w:rsidR="008334C1" w:rsidRPr="008334C1" w:rsidRDefault="008334C1" w:rsidP="008334C1">
                            <w:pPr>
                              <w:pStyle w:val="Caption"/>
                              <w:rPr>
                                <w:b/>
                                <w:bCs/>
                                <w:noProof/>
                                <w:szCs w:val="22"/>
                              </w:rPr>
                            </w:pPr>
                            <w:r w:rsidRPr="008334C1">
                              <w:rPr>
                                <w:b/>
                                <w:bCs/>
                              </w:rPr>
                              <w:t xml:space="preserve">Figure </w:t>
                            </w:r>
                            <w:r w:rsidR="00F05BB1">
                              <w:rPr>
                                <w:b/>
                                <w:bCs/>
                              </w:rPr>
                              <w:t>6</w:t>
                            </w:r>
                            <w:r w:rsidRPr="008334C1">
                              <w:rPr>
                                <w:b/>
                                <w:bCs/>
                                <w:lang w:val="en-US"/>
                              </w:rPr>
                              <w:t xml:space="preserve"> Transactional Leadership</w:t>
                            </w:r>
                            <w:r>
                              <w:rPr>
                                <w:b/>
                                <w:bCs/>
                                <w:lang w:val="en-US"/>
                              </w:rPr>
                              <w:t xml:space="preserve"> </w:t>
                            </w:r>
                            <w:r w:rsidRPr="008334C1">
                              <w:rPr>
                                <w:b/>
                                <w:bCs/>
                                <w:lang w:val="en-US"/>
                              </w:rPr>
                              <w:t>(Mattei and Del Pino, 2021)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CD79372" id="_x0000_s1031" type="#_x0000_t202" style="position:absolute;left:0;text-align:left;margin-left:0;margin-top:11.7pt;width:243.6pt;height:.05pt;z-index:251678720;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" stroked="f">
                <v:textbox style="mso-fit-shape-to-text:t" inset="0,0,0,0">
                  <w:txbxContent>
                    <w:p w14:paraId="4DB2F6D9" w14:textId="3ED63C59" w:rsidR="008334C1" w:rsidRPr="008334C1" w:rsidRDefault="008334C1" w:rsidP="008334C1">
                      <w:pPr>
                        <w:pStyle w:val="Caption"/>
                        <w:rPr>
                          <w:b/>
                          <w:bCs/>
                          <w:noProof/>
                          <w:szCs w:val="22"/>
                        </w:rPr>
                      </w:pPr>
                      <w:r w:rsidRPr="008334C1">
                        <w:rPr>
                          <w:b/>
                          <w:bCs/>
                        </w:rPr>
                        <w:t xml:space="preserve">Figure </w:t>
                      </w:r>
                      <w:r w:rsidR="00F05BB1">
                        <w:rPr>
                          <w:b/>
                          <w:bCs/>
                        </w:rPr>
                        <w:t>6</w:t>
                      </w:r>
                      <w:r w:rsidRPr="008334C1">
                        <w:rPr>
                          <w:b/>
                          <w:bCs/>
                          <w:lang w:val="en-US"/>
                        </w:rPr>
                        <w:t xml:space="preserve"> Transactional Leadership</w:t>
                      </w:r>
                      <w:r>
                        <w:rPr>
                          <w:b/>
                          <w:bCs/>
                          <w:lang w:val="en-US"/>
                        </w:rPr>
                        <w:t xml:space="preserve"> </w:t>
                      </w:r>
                      <w:r w:rsidRPr="008334C1">
                        <w:rPr>
                          <w:b/>
                          <w:bCs/>
                          <w:lang w:val="en-US"/>
                        </w:rPr>
                        <w:t>(Mattei and Del Pino, 2021)</w:t>
                      </w:r>
                    </w:p>
                  </w:txbxContent>
                </v:textbox>
                <w10:wrap type="square" anchorx="margin"/>
              </v:shape>
            </w:pict>
          </mc:Fallback>
        </mc:AlternateContent>
      </w:r>
    </w:p>
    <w:p w14:paraId="0318E225" w14:textId="704E35D7" w:rsidR="00D53E56" w:rsidRPr="00F05BB1" w:rsidRDefault="00A96D41" w:rsidP="00F05BB1">
      <w:pPr>
        <w:rPr>
          <w:rFonts w:asciiTheme="minorBidi" w:hAnsiTheme="minorBidi"/>
          <w:sz w:val="22"/>
        </w:rPr>
      </w:pPr>
      <w:r w:rsidRPr="00E87ECB">
        <w:rPr>
          <w:rFonts w:asciiTheme="minorBidi" w:hAnsiTheme="minorBidi"/>
          <w:sz w:val="22"/>
        </w:rPr>
        <w:lastRenderedPageBreak/>
        <w:t>At the beginning of Spanish governance, the leadership was transactional, adjusting to deteriorating situations with reactive lockdowns, curfews, and movement restrictions which were implemented and sanctioned by law, instead of being preventive (López Casasnovas and Pifarré i Arolas, 2022). The relations between the central and the regional divisions were based on conditional compliance, as opposed to common strategic vision.</w:t>
      </w:r>
    </w:p>
    <w:p w14:paraId="30B0EC59" w14:textId="068DA5A8" w:rsidR="00604090" w:rsidRPr="00D53E56" w:rsidRDefault="00D53E56" w:rsidP="00D53E56">
      <w:pPr>
        <w:spacing w:line="259" w:lineRule="auto"/>
        <w:jc w:val="left"/>
        <w:rPr>
          <w:rFonts w:asciiTheme="minorBidi" w:hAnsiTheme="minorBidi"/>
          <w:b/>
          <w:bCs/>
          <w:sz w:val="22"/>
        </w:rPr>
      </w:pPr>
      <w:r w:rsidRPr="00D53E56">
        <w:rPr>
          <w:rFonts w:asciiTheme="minorBidi" w:hAnsiTheme="minorBidi"/>
          <w:noProof/>
        </w:rPr>
        <w:drawing>
          <wp:anchor distT="0" distB="0" distL="114300" distR="114300" simplePos="0" relativeHeight="251679744" behindDoc="0" locked="0" layoutInCell="1" allowOverlap="1" wp14:anchorId="33046795" wp14:editId="7A3C6A7F">
            <wp:simplePos x="0" y="0"/>
            <wp:positionH relativeFrom="margin">
              <wp:align>center</wp:align>
            </wp:positionH>
            <wp:positionV relativeFrom="paragraph">
              <wp:posOffset>297180</wp:posOffset>
            </wp:positionV>
            <wp:extent cx="3870266" cy="2209800"/>
            <wp:effectExtent l="0" t="0" r="0" b="0"/>
            <wp:wrapNone/>
            <wp:docPr id="176846656" name="Picture 8" descr="9 Leadership Styles: Types, Examples, And Advant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1" descr="9 Leadership Styles: Types, Examples, And Advantages"/>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a:stretch>
                      <a:fillRect/>
                    </a:stretch>
                  </pic:blipFill>
                  <pic:spPr bwMode="auto">
                    <a:xfrm>
                      <a:off x="0" y="0"/>
                      <a:ext cx="3870960" cy="2210196"/>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04090" w:rsidRPr="00D53E56">
        <w:rPr>
          <w:rFonts w:asciiTheme="minorBidi" w:hAnsiTheme="minorBidi"/>
          <w:b/>
          <w:bCs/>
          <w:sz w:val="22"/>
        </w:rPr>
        <w:t>Bureaucratic Leadership (stuck in red tape):</w:t>
      </w:r>
    </w:p>
    <w:p w14:paraId="45117561" w14:textId="77777777" w:rsidR="00D53E56" w:rsidRPr="00D53E56" w:rsidRDefault="00D53E56" w:rsidP="00CE4A65">
      <w:pPr>
        <w:rPr>
          <w:rFonts w:asciiTheme="minorBidi" w:hAnsiTheme="minorBidi"/>
          <w:sz w:val="22"/>
        </w:rPr>
      </w:pPr>
    </w:p>
    <w:p w14:paraId="57EDB3B7" w14:textId="77777777" w:rsidR="00D53E56" w:rsidRPr="00D53E56" w:rsidRDefault="00D53E56" w:rsidP="00CE4A65">
      <w:pPr>
        <w:rPr>
          <w:rFonts w:asciiTheme="minorBidi" w:hAnsiTheme="minorBidi"/>
          <w:sz w:val="22"/>
        </w:rPr>
      </w:pPr>
    </w:p>
    <w:p w14:paraId="6E5D3E57" w14:textId="77777777" w:rsidR="00D53E56" w:rsidRPr="00D53E56" w:rsidRDefault="00D53E56" w:rsidP="00CE4A65">
      <w:pPr>
        <w:rPr>
          <w:rFonts w:asciiTheme="minorBidi" w:hAnsiTheme="minorBidi"/>
          <w:sz w:val="22"/>
        </w:rPr>
      </w:pPr>
    </w:p>
    <w:p w14:paraId="0E214A56" w14:textId="77777777" w:rsidR="00D53E56" w:rsidRPr="00D53E56" w:rsidRDefault="00D53E56" w:rsidP="00CE4A65">
      <w:pPr>
        <w:rPr>
          <w:rFonts w:asciiTheme="minorBidi" w:hAnsiTheme="minorBidi"/>
          <w:sz w:val="22"/>
        </w:rPr>
      </w:pPr>
    </w:p>
    <w:p w14:paraId="21351FC0" w14:textId="77777777" w:rsidR="00D53E56" w:rsidRPr="00D53E56" w:rsidRDefault="00D53E56" w:rsidP="00CE4A65">
      <w:pPr>
        <w:rPr>
          <w:rFonts w:asciiTheme="minorBidi" w:hAnsiTheme="minorBidi"/>
          <w:sz w:val="22"/>
        </w:rPr>
      </w:pPr>
    </w:p>
    <w:p w14:paraId="10948221" w14:textId="77777777" w:rsidR="00D53E56" w:rsidRPr="00D53E56" w:rsidRDefault="00D53E56" w:rsidP="00CE4A65">
      <w:pPr>
        <w:rPr>
          <w:rFonts w:asciiTheme="minorBidi" w:hAnsiTheme="minorBidi"/>
          <w:sz w:val="22"/>
        </w:rPr>
      </w:pPr>
    </w:p>
    <w:p w14:paraId="352F4EB0" w14:textId="4E15585A" w:rsidR="00D53E56" w:rsidRPr="00D53E56" w:rsidRDefault="00D53E56" w:rsidP="00CE4A65">
      <w:pPr>
        <w:rPr>
          <w:rFonts w:asciiTheme="minorBidi" w:hAnsiTheme="minorBidi"/>
          <w:sz w:val="22"/>
        </w:rPr>
      </w:pPr>
    </w:p>
    <w:p w14:paraId="2B63F96C" w14:textId="23EB55E1" w:rsidR="00D53E56" w:rsidRPr="00D53E56" w:rsidRDefault="00D53E56" w:rsidP="00CE4A65">
      <w:pPr>
        <w:rPr>
          <w:rFonts w:asciiTheme="minorBidi" w:hAnsiTheme="minorBidi"/>
          <w:sz w:val="22"/>
        </w:rPr>
      </w:pPr>
      <w:r w:rsidRPr="00D53E56">
        <w:rPr>
          <w:rFonts w:asciiTheme="minorBidi" w:hAnsiTheme="minorBidi"/>
          <w:noProof/>
        </w:rPr>
        <mc:AlternateContent>
          <mc:Choice Requires="wps">
            <w:drawing>
              <wp:anchor distT="0" distB="0" distL="114300" distR="114300" simplePos="0" relativeHeight="251681792" behindDoc="0" locked="0" layoutInCell="1" allowOverlap="1" wp14:anchorId="4D8F8FD4" wp14:editId="64319F6A">
                <wp:simplePos x="0" y="0"/>
                <wp:positionH relativeFrom="margin">
                  <wp:align>center</wp:align>
                </wp:positionH>
                <wp:positionV relativeFrom="paragraph">
                  <wp:posOffset>3810</wp:posOffset>
                </wp:positionV>
                <wp:extent cx="2994660" cy="635"/>
                <wp:effectExtent l="0" t="0" r="0" b="8255"/>
                <wp:wrapSquare wrapText="bothSides"/>
                <wp:docPr id="1041541705" name="Text Box 1"/>
                <wp:cNvGraphicFramePr/>
                <a:graphic xmlns:a="http://schemas.openxmlformats.org/drawingml/2006/main">
                  <a:graphicData uri="http://schemas.microsoft.com/office/word/2010/wordprocessingShape">
                    <wps:wsp>
                      <wps:cNvSpPr txBox="1"/>
                      <wps:spPr>
                        <a:xfrm>
                          <a:off x="0" y="0"/>
                          <a:ext cx="2994660" cy="635"/>
                        </a:xfrm>
                        <a:prstGeom prst="rect">
                          <a:avLst/>
                        </a:prstGeom>
                        <a:solidFill>
                          <a:prstClr val="white"/>
                        </a:solidFill>
                        <a:ln>
                          <a:noFill/>
                        </a:ln>
                      </wps:spPr>
                      <wps:txbx>
                        <w:txbxContent>
                          <w:p w14:paraId="28D0AAE8" w14:textId="23EBF9A4" w:rsidR="00D53E56" w:rsidRPr="00D53E56" w:rsidRDefault="00D53E56" w:rsidP="00D53E56">
                            <w:pPr>
                              <w:pStyle w:val="Caption"/>
                              <w:rPr>
                                <w:b/>
                                <w:bCs/>
                                <w:noProof/>
                                <w:szCs w:val="22"/>
                              </w:rPr>
                            </w:pPr>
                            <w:r w:rsidRPr="00D53E56">
                              <w:rPr>
                                <w:b/>
                                <w:bCs/>
                              </w:rPr>
                              <w:t xml:space="preserve">Figure </w:t>
                            </w:r>
                            <w:r w:rsidR="00F05BB1">
                              <w:rPr>
                                <w:b/>
                                <w:bCs/>
                              </w:rPr>
                              <w:t>7</w:t>
                            </w:r>
                            <w:r w:rsidRPr="00D53E56">
                              <w:rPr>
                                <w:b/>
                                <w:bCs/>
                                <w:lang w:val="en-US"/>
                              </w:rPr>
                              <w:t xml:space="preserve"> Bureaucratic Leadership (Mattei and Del Pino, 2021)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D8F8FD4" id="_x0000_s1032" type="#_x0000_t202" style="position:absolute;left:0;text-align:left;margin-left:0;margin-top:.3pt;width:235.8pt;height:.05pt;z-index:25168179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" stroked="f">
                <v:textbox style="mso-fit-shape-to-text:t" inset="0,0,0,0">
                  <w:txbxContent>
                    <w:p w14:paraId="28D0AAE8" w14:textId="23EBF9A4" w:rsidR="00D53E56" w:rsidRPr="00D53E56" w:rsidRDefault="00D53E56" w:rsidP="00D53E56">
                      <w:pPr>
                        <w:pStyle w:val="Caption"/>
                        <w:rPr>
                          <w:b/>
                          <w:bCs/>
                          <w:noProof/>
                          <w:szCs w:val="22"/>
                        </w:rPr>
                      </w:pPr>
                      <w:r w:rsidRPr="00D53E56">
                        <w:rPr>
                          <w:b/>
                          <w:bCs/>
                        </w:rPr>
                        <w:t xml:space="preserve">Figure </w:t>
                      </w:r>
                      <w:r w:rsidR="00F05BB1">
                        <w:rPr>
                          <w:b/>
                          <w:bCs/>
                        </w:rPr>
                        <w:t>7</w:t>
                      </w:r>
                      <w:r w:rsidRPr="00D53E56">
                        <w:rPr>
                          <w:b/>
                          <w:bCs/>
                          <w:lang w:val="en-US"/>
                        </w:rPr>
                        <w:t xml:space="preserve"> Bureaucratic Leadership (Mattei and Del Pino, 2021)</w:t>
                      </w:r>
                    </w:p>
                  </w:txbxContent>
                </v:textbox>
                <w10:wrap type="square" anchorx="margin"/>
              </v:shape>
            </w:pict>
          </mc:Fallback>
        </mc:AlternateContent>
      </w:r>
    </w:p>
    <w:p w14:paraId="0D5F68C4" w14:textId="443212ED" w:rsidR="00CE4A65" w:rsidRPr="00D53E56" w:rsidRDefault="00A96D41" w:rsidP="00A96D41">
      <w:pPr>
        <w:rPr>
          <w:rFonts w:asciiTheme="minorBidi" w:hAnsiTheme="minorBidi"/>
          <w:sz w:val="22"/>
        </w:rPr>
      </w:pPr>
      <w:r w:rsidRPr="00E87ECB">
        <w:rPr>
          <w:rFonts w:asciiTheme="minorBidi" w:hAnsiTheme="minorBidi"/>
          <w:sz w:val="22"/>
        </w:rPr>
        <w:t xml:space="preserve">Early crisis governance was characterised by bureaucratic leadership where decisions were made by being filtered by legal processes, </w:t>
      </w:r>
      <w:r w:rsidR="00F05BB1" w:rsidRPr="00E87ECB">
        <w:rPr>
          <w:rFonts w:asciiTheme="minorBidi" w:hAnsiTheme="minorBidi"/>
          <w:sz w:val="22"/>
        </w:rPr>
        <w:t>inter-ministerial</w:t>
      </w:r>
      <w:r w:rsidRPr="00E87ECB">
        <w:rPr>
          <w:rFonts w:asciiTheme="minorBidi" w:hAnsiTheme="minorBidi"/>
          <w:sz w:val="22"/>
        </w:rPr>
        <w:t xml:space="preserve"> coordination and regulatory restrictions. This reliance on administrative practises slowed the announcement of the state of alarm and the increase in the testing and surveillance system (Mattei and Del Pino, 2021).</w:t>
      </w:r>
    </w:p>
    <w:p w14:paraId="43D3860B" w14:textId="01A7DEEA" w:rsidR="00604090" w:rsidRPr="00D53E56" w:rsidRDefault="00604090" w:rsidP="00CE4A65">
      <w:pPr>
        <w:rPr>
          <w:rFonts w:asciiTheme="minorBidi" w:hAnsiTheme="minorBidi"/>
          <w:b/>
          <w:bCs/>
          <w:sz w:val="22"/>
        </w:rPr>
      </w:pPr>
      <w:r w:rsidRPr="00D53E56">
        <w:rPr>
          <w:rFonts w:asciiTheme="minorBidi" w:hAnsiTheme="minorBidi"/>
          <w:b/>
          <w:bCs/>
          <w:sz w:val="22"/>
        </w:rPr>
        <w:t xml:space="preserve">Crisis Leadership (Weak early phase): </w:t>
      </w:r>
    </w:p>
    <w:p w14:paraId="7D6A6775" w14:textId="19BE3DD1" w:rsidR="00D53E56" w:rsidRPr="00D53E56" w:rsidRDefault="00D53E56" w:rsidP="00604090">
      <w:pPr>
        <w:rPr>
          <w:rFonts w:asciiTheme="minorBidi" w:hAnsiTheme="minorBidi"/>
          <w:sz w:val="22"/>
        </w:rPr>
      </w:pPr>
      <w:r w:rsidRPr="00D53E56">
        <w:rPr>
          <w:rFonts w:asciiTheme="minorBidi" w:hAnsiTheme="minorBidi"/>
          <w:noProof/>
        </w:rPr>
        <w:drawing>
          <wp:anchor distT="0" distB="0" distL="114300" distR="114300" simplePos="0" relativeHeight="251682816" behindDoc="0" locked="0" layoutInCell="1" allowOverlap="1" wp14:anchorId="716E6BE4" wp14:editId="4620FAA5">
            <wp:simplePos x="0" y="0"/>
            <wp:positionH relativeFrom="margin">
              <wp:align>center</wp:align>
            </wp:positionH>
            <wp:positionV relativeFrom="paragraph">
              <wp:posOffset>10795</wp:posOffset>
            </wp:positionV>
            <wp:extent cx="4274820" cy="2255400"/>
            <wp:effectExtent l="0" t="0" r="0" b="0"/>
            <wp:wrapSquare wrapText="bothSides"/>
            <wp:docPr id="86967931" name="Picture 9" descr="4 Principles of Crisis Leadership | Tucker/H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3" descr="4 Principles of Crisis Leadership | Tucker/Hall"/>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274820" cy="2255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A4D97CC" w14:textId="77777777" w:rsidR="00D53E56" w:rsidRPr="00D53E56" w:rsidRDefault="00D53E56" w:rsidP="00604090">
      <w:pPr>
        <w:rPr>
          <w:rFonts w:asciiTheme="minorBidi" w:hAnsiTheme="minorBidi"/>
          <w:sz w:val="22"/>
        </w:rPr>
      </w:pPr>
    </w:p>
    <w:p w14:paraId="4536DED4" w14:textId="77777777" w:rsidR="00D53E56" w:rsidRPr="00D53E56" w:rsidRDefault="00D53E56" w:rsidP="00604090">
      <w:pPr>
        <w:rPr>
          <w:rFonts w:asciiTheme="minorBidi" w:hAnsiTheme="minorBidi"/>
          <w:sz w:val="22"/>
        </w:rPr>
      </w:pPr>
    </w:p>
    <w:p w14:paraId="146167CA" w14:textId="77777777" w:rsidR="00D53E56" w:rsidRPr="00D53E56" w:rsidRDefault="00D53E56" w:rsidP="00604090">
      <w:pPr>
        <w:rPr>
          <w:rFonts w:asciiTheme="minorBidi" w:hAnsiTheme="minorBidi"/>
          <w:sz w:val="22"/>
        </w:rPr>
      </w:pPr>
    </w:p>
    <w:p w14:paraId="1B9D91ED" w14:textId="77777777" w:rsidR="00D53E56" w:rsidRPr="00D53E56" w:rsidRDefault="00D53E56" w:rsidP="00604090">
      <w:pPr>
        <w:rPr>
          <w:rFonts w:asciiTheme="minorBidi" w:hAnsiTheme="minorBidi"/>
          <w:sz w:val="22"/>
        </w:rPr>
      </w:pPr>
    </w:p>
    <w:p w14:paraId="57C813BA" w14:textId="77777777" w:rsidR="00D53E56" w:rsidRPr="00D53E56" w:rsidRDefault="00D53E56" w:rsidP="00604090">
      <w:pPr>
        <w:rPr>
          <w:rFonts w:asciiTheme="minorBidi" w:hAnsiTheme="minorBidi"/>
          <w:sz w:val="22"/>
        </w:rPr>
      </w:pPr>
    </w:p>
    <w:p w14:paraId="5319F236" w14:textId="66AE8AFC" w:rsidR="00D53E56" w:rsidRPr="00D53E56" w:rsidRDefault="00D53E56" w:rsidP="00604090">
      <w:pPr>
        <w:rPr>
          <w:rFonts w:asciiTheme="minorBidi" w:hAnsiTheme="minorBidi"/>
          <w:sz w:val="22"/>
        </w:rPr>
      </w:pPr>
    </w:p>
    <w:p w14:paraId="0637BEC3" w14:textId="5116DCC2" w:rsidR="00D53E56" w:rsidRPr="00D53E56" w:rsidRDefault="00D53E56" w:rsidP="00604090">
      <w:pPr>
        <w:rPr>
          <w:rFonts w:asciiTheme="minorBidi" w:hAnsiTheme="minorBidi"/>
          <w:sz w:val="22"/>
        </w:rPr>
      </w:pPr>
      <w:r w:rsidRPr="00D53E56">
        <w:rPr>
          <w:rFonts w:asciiTheme="minorBidi" w:hAnsiTheme="minorBidi"/>
          <w:noProof/>
        </w:rPr>
        <mc:AlternateContent>
          <mc:Choice Requires="wps">
            <w:drawing>
              <wp:anchor distT="0" distB="0" distL="114300" distR="114300" simplePos="0" relativeHeight="251684864" behindDoc="1" locked="0" layoutInCell="1" allowOverlap="1" wp14:anchorId="1EEF02C5" wp14:editId="5DF5130E">
                <wp:simplePos x="0" y="0"/>
                <wp:positionH relativeFrom="margin">
                  <wp:align>center</wp:align>
                </wp:positionH>
                <wp:positionV relativeFrom="paragraph">
                  <wp:posOffset>5715</wp:posOffset>
                </wp:positionV>
                <wp:extent cx="2659380" cy="635"/>
                <wp:effectExtent l="0" t="0" r="7620" b="8255"/>
                <wp:wrapSquare wrapText="bothSides"/>
                <wp:docPr id="1374544598" name="Text Box 1"/>
                <wp:cNvGraphicFramePr/>
                <a:graphic xmlns:a="http://schemas.openxmlformats.org/drawingml/2006/main">
                  <a:graphicData uri="http://schemas.microsoft.com/office/word/2010/wordprocessingShape">
                    <wps:wsp>
                      <wps:cNvSpPr txBox="1"/>
                      <wps:spPr>
                        <a:xfrm>
                          <a:off x="0" y="0"/>
                          <a:ext cx="2659380" cy="635"/>
                        </a:xfrm>
                        <a:prstGeom prst="rect">
                          <a:avLst/>
                        </a:prstGeom>
                        <a:solidFill>
                          <a:prstClr val="white"/>
                        </a:solidFill>
                        <a:ln>
                          <a:noFill/>
                        </a:ln>
                      </wps:spPr>
                      <wps:txbx>
                        <w:txbxContent>
                          <w:p w14:paraId="4644AA03" w14:textId="35A06FD5" w:rsidR="00D53E56" w:rsidRPr="00D53E56" w:rsidRDefault="00D53E56" w:rsidP="00D53E56">
                            <w:pPr>
                              <w:pStyle w:val="Caption"/>
                              <w:rPr>
                                <w:b/>
                                <w:bCs/>
                                <w:noProof/>
                                <w:szCs w:val="22"/>
                              </w:rPr>
                            </w:pPr>
                            <w:r w:rsidRPr="00D53E56">
                              <w:rPr>
                                <w:b/>
                                <w:bCs/>
                              </w:rPr>
                              <w:t xml:space="preserve">Figure </w:t>
                            </w:r>
                            <w:r w:rsidR="00F05BB1">
                              <w:rPr>
                                <w:b/>
                                <w:bCs/>
                              </w:rPr>
                              <w:t>8</w:t>
                            </w:r>
                            <w:r w:rsidRPr="00D53E56">
                              <w:rPr>
                                <w:b/>
                                <w:bCs/>
                                <w:lang w:val="en-US"/>
                              </w:rPr>
                              <w:t xml:space="preserve"> Crisis Leadership (Mattei and Del Pino, 2021)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EEF02C5" id="_x0000_s1033" type="#_x0000_t202" style="position:absolute;left:0;text-align:left;margin-left:0;margin-top:.45pt;width:209.4pt;height:.05pt;z-index:-25163161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" stroked="f">
                <v:textbox style="mso-fit-shape-to-text:t" inset="0,0,0,0">
                  <w:txbxContent>
                    <w:p w14:paraId="4644AA03" w14:textId="35A06FD5" w:rsidR="00D53E56" w:rsidRPr="00D53E56" w:rsidRDefault="00D53E56" w:rsidP="00D53E56">
                      <w:pPr>
                        <w:pStyle w:val="Caption"/>
                        <w:rPr>
                          <w:b/>
                          <w:bCs/>
                          <w:noProof/>
                          <w:szCs w:val="22"/>
                        </w:rPr>
                      </w:pPr>
                      <w:r w:rsidRPr="00D53E56">
                        <w:rPr>
                          <w:b/>
                          <w:bCs/>
                        </w:rPr>
                        <w:t xml:space="preserve">Figure </w:t>
                      </w:r>
                      <w:r w:rsidR="00F05BB1">
                        <w:rPr>
                          <w:b/>
                          <w:bCs/>
                        </w:rPr>
                        <w:t>8</w:t>
                      </w:r>
                      <w:r w:rsidRPr="00D53E56">
                        <w:rPr>
                          <w:b/>
                          <w:bCs/>
                          <w:lang w:val="en-US"/>
                        </w:rPr>
                        <w:t xml:space="preserve"> Crisis Leadership (Mattei and Del Pino, 2021)</w:t>
                      </w:r>
                    </w:p>
                  </w:txbxContent>
                </v:textbox>
                <w10:wrap type="square" anchorx="margin"/>
              </v:shape>
            </w:pict>
          </mc:Fallback>
        </mc:AlternateContent>
      </w:r>
    </w:p>
    <w:p w14:paraId="1F4E8E74" w14:textId="7B35B707" w:rsidR="00A96D41" w:rsidRDefault="00A96D41" w:rsidP="00A96D41">
      <w:pPr>
        <w:rPr>
          <w:rFonts w:asciiTheme="minorBidi" w:hAnsiTheme="minorBidi"/>
          <w:sz w:val="22"/>
        </w:rPr>
      </w:pPr>
      <w:r w:rsidRPr="00E87ECB">
        <w:rPr>
          <w:rFonts w:asciiTheme="minorBidi" w:hAnsiTheme="minorBidi"/>
          <w:sz w:val="22"/>
        </w:rPr>
        <w:lastRenderedPageBreak/>
        <w:t>The early management of crisis was poor, where the threat was not identified promptly, there was no consistency in the risk communication, and the leadership was not unified. Nonetheless, the situation improved in late 2020 because additional stable intergovernmental coordination forums, as well as more presented vaccine communication strategies, emerged (Waitzberg et al., 2022; Navarro and Velasco, 2022).</w:t>
      </w:r>
    </w:p>
    <w:p w14:paraId="7D1647D9" w14:textId="6468B0AB" w:rsidR="00604090" w:rsidRPr="00F05BB1" w:rsidRDefault="00604090" w:rsidP="00A96D41">
      <w:pPr>
        <w:pStyle w:val="Heading3"/>
        <w:rPr>
          <w:rFonts w:ascii="Arial" w:hAnsi="Arial" w:cs="Arial"/>
        </w:rPr>
      </w:pPr>
      <w:bookmarkStart w:id="34" w:name="_Toc216711840"/>
      <w:r w:rsidRPr="00F05BB1">
        <w:rPr>
          <w:rFonts w:ascii="Arial" w:hAnsi="Arial" w:cs="Arial"/>
        </w:rPr>
        <w:t>3.1.3 Early Delay, Risk Communication, and Strategic Failure.</w:t>
      </w:r>
      <w:bookmarkEnd w:id="34"/>
    </w:p>
    <w:p w14:paraId="106CE898" w14:textId="2923EAAA" w:rsidR="00604090" w:rsidRPr="00D53E56" w:rsidRDefault="00A96D41" w:rsidP="00A96D41">
      <w:pPr>
        <w:rPr>
          <w:rFonts w:asciiTheme="minorBidi" w:hAnsiTheme="minorBidi"/>
          <w:sz w:val="22"/>
        </w:rPr>
      </w:pPr>
      <w:r w:rsidRPr="00E87ECB">
        <w:rPr>
          <w:rFonts w:asciiTheme="minorBidi" w:hAnsiTheme="minorBidi"/>
          <w:sz w:val="22"/>
        </w:rPr>
        <w:t>The failure in the early leadership of Spain was symptomatic of delays in the identification of community transmission, underestimating the risk of overflow in the hospital, and implementing precautionary measures. Though outbreaks have been increasing in Italy, the Spanish authorities stressed political agreement and certainty of the law over fast containment (Mattei and Del Pino, 2021). Transactional and bureaucratic inclinations came together: action was decisive when some vital thresholds were reached and long protracted procedural negotiation had ended. Reassurance and alarm messages given by the government changed hands, undermining the credibility of the message and allowing misinformation to spread (Nicola et al., 2020). The lack of a coherent crisis discourse coupled with extreme political polarisation damaged the collective mobilisation in the first wave and added to one of the largest early mortality burdens in Southern Europe (López Casasnovas and Pifarré i Arolas, 2022).</w:t>
      </w:r>
    </w:p>
    <w:p w14:paraId="5DB72105" w14:textId="26C937C3" w:rsidR="00604090" w:rsidRPr="00D53E56" w:rsidRDefault="00604090" w:rsidP="00947159">
      <w:pPr>
        <w:pStyle w:val="Heading3"/>
        <w:rPr>
          <w:rFonts w:asciiTheme="minorBidi" w:hAnsiTheme="minorBidi" w:cstheme="minorBidi"/>
        </w:rPr>
      </w:pPr>
      <w:bookmarkStart w:id="35" w:name="_Toc216711841"/>
      <w:r w:rsidRPr="00D53E56">
        <w:rPr>
          <w:rFonts w:asciiTheme="minorBidi" w:hAnsiTheme="minorBidi" w:cstheme="minorBidi"/>
        </w:rPr>
        <w:t>3.1.4 Crisis Management and Vaccination Leadership Transition.</w:t>
      </w:r>
      <w:bookmarkEnd w:id="35"/>
    </w:p>
    <w:p w14:paraId="120BD9AD" w14:textId="1788B233" w:rsidR="00D53E56" w:rsidRPr="00F05BB1" w:rsidRDefault="00A96D41" w:rsidP="00F05BB1">
      <w:pPr>
        <w:rPr>
          <w:rFonts w:asciiTheme="minorBidi" w:hAnsiTheme="minorBidi"/>
          <w:sz w:val="22"/>
        </w:rPr>
      </w:pPr>
      <w:r w:rsidRPr="00E87ECB">
        <w:rPr>
          <w:rFonts w:asciiTheme="minorBidi" w:hAnsiTheme="minorBidi"/>
          <w:sz w:val="22"/>
        </w:rPr>
        <w:t>Since the end of 2020, Spanish leadership shifted towards more adaptive crisis governance especially on the vaccination strategy. National procurement was coordinated at the central level, prioritisation frameworks announced, and quantitative coverage targets were set, and regional services deliver them through the existing health infrastructures (Navarro and Velasco, 2022). This was a change of centralised strategic direction and decentralised implementation forms of crisis leadership. Primary care leaders embraced digitally facilitated reconfigurations of services and redeployments of their workforce in what Pulido-Fuentes et al. (2022) coin as liquid healthcare. The political communication became more and more related to scientific principles and the emphasis returned to the idea of vaccination as a nation-wide project. The swift increase in the level of vaccination in Spain helped the country to become a leader in immunisation in Europe, and it was a manifestation of learning about leadership and adaptation to an institution (Sánchez-Bayón et al., 2022).</w:t>
      </w:r>
    </w:p>
    <w:p w14:paraId="4CAEEF51" w14:textId="6CA85D30" w:rsidR="00CD412A" w:rsidRPr="00D53E56" w:rsidRDefault="00CD412A" w:rsidP="00947159">
      <w:pPr>
        <w:pStyle w:val="Heading3"/>
        <w:rPr>
          <w:rFonts w:asciiTheme="minorBidi" w:hAnsiTheme="minorBidi" w:cstheme="minorBidi"/>
        </w:rPr>
      </w:pPr>
      <w:bookmarkStart w:id="36" w:name="_Toc216711842"/>
      <w:r w:rsidRPr="00D53E56">
        <w:rPr>
          <w:rFonts w:asciiTheme="minorBidi" w:hAnsiTheme="minorBidi" w:cstheme="minorBidi"/>
        </w:rPr>
        <w:t>3.1.5 Strengths and Weaknesses of Leadership Approach</w:t>
      </w:r>
      <w:bookmarkEnd w:id="36"/>
    </w:p>
    <w:p w14:paraId="3182EAA2" w14:textId="207B9A59" w:rsidR="00604090" w:rsidRPr="00D53E56" w:rsidRDefault="00A96D41" w:rsidP="00A96D41">
      <w:pPr>
        <w:rPr>
          <w:rFonts w:asciiTheme="minorBidi" w:hAnsiTheme="minorBidi"/>
          <w:sz w:val="22"/>
        </w:rPr>
      </w:pPr>
      <w:r w:rsidRPr="00E87ECB">
        <w:rPr>
          <w:rFonts w:asciiTheme="minorBidi" w:hAnsiTheme="minorBidi"/>
          <w:sz w:val="22"/>
        </w:rPr>
        <w:t xml:space="preserve">The strengths of the leadership of Spain are its institutional learning abilities, the selective recentralisation of the subsequent stages of the crisis, and the subsequent stabilisation of the </w:t>
      </w:r>
      <w:r w:rsidRPr="00E87ECB">
        <w:rPr>
          <w:rFonts w:asciiTheme="minorBidi" w:hAnsiTheme="minorBidi"/>
          <w:sz w:val="22"/>
        </w:rPr>
        <w:lastRenderedPageBreak/>
        <w:t>intergovernmental coordination mechanisms (Navarro and Velasco, 2022). The consistency of the political rhetoric with technical background enhanced the compliance of behaviour and brought back some consistency in the response management. Nevertheless, structural weaknesses were still important. Initial bureaucratic stagnation, political rivalry, and enforcement through transactions without the prospective mitigation of risks led to extreme initial health system congestion and staff burnout (Nicola et al., 2020; Waitzberg et al., 2022). Also, the repetition between the central control and decentralised discretion eroded the agility that sustained crisis control, supporting institutional uncertainty (Janssen and Van der Voort, 2020).</w:t>
      </w:r>
    </w:p>
    <w:p w14:paraId="06701A74" w14:textId="77777777" w:rsidR="00604090" w:rsidRPr="00D53E56" w:rsidRDefault="00604090" w:rsidP="00947159">
      <w:pPr>
        <w:pStyle w:val="Heading3"/>
        <w:rPr>
          <w:rFonts w:asciiTheme="minorBidi" w:hAnsiTheme="minorBidi" w:cstheme="minorBidi"/>
        </w:rPr>
      </w:pPr>
      <w:bookmarkStart w:id="37" w:name="_Toc216711843"/>
      <w:r w:rsidRPr="00D53E56">
        <w:rPr>
          <w:rFonts w:asciiTheme="minorBidi" w:hAnsiTheme="minorBidi" w:cstheme="minorBidi"/>
        </w:rPr>
        <w:t>3.1.6 The role of leadership in the matter of public trust and health.</w:t>
      </w:r>
      <w:bookmarkEnd w:id="37"/>
    </w:p>
    <w:p w14:paraId="64AC6405" w14:textId="2A10B41B" w:rsidR="00D53E56" w:rsidRPr="00F05BB1" w:rsidRDefault="00A96D41" w:rsidP="00F05BB1">
      <w:pPr>
        <w:rPr>
          <w:rFonts w:asciiTheme="minorBidi" w:hAnsiTheme="minorBidi"/>
          <w:sz w:val="22"/>
        </w:rPr>
      </w:pPr>
      <w:r w:rsidRPr="00E87ECB">
        <w:rPr>
          <w:rFonts w:asciiTheme="minorBidi" w:hAnsiTheme="minorBidi"/>
          <w:sz w:val="22"/>
        </w:rPr>
        <w:t>During the pandemic, the Spanish leadership gained trust and lost it asymmetrically, among the people. Poor political management at the start, mixed messages and political hostility undermined trust in political institutions leading to social outbursts and public scepticism (López Casasnovas and Pifarré i Arolas, 2022). Nevertheless, the success of vaccination and stabilisation of the healthcare system in the future partly rebuilt trust towards professional and institutional leadership as opposed to political elites (Smithson, 2022). Health outcomes followed this same pattern: there was a disastrous initial excess mortality, then massive catastrophic reductions in hospitalisation and catastrophic mortality previous to vaccination. Spain, therefore, demonstrates how the development of leadership in crises can change the level of trust of people as well as the epidemiological results, though, at the cost of significant negative consequences that could be avoided.</w:t>
      </w:r>
    </w:p>
    <w:p w14:paraId="0A90BAC2" w14:textId="080FE40C" w:rsidR="00604090" w:rsidRPr="00D53E56" w:rsidRDefault="00604090" w:rsidP="00947159">
      <w:pPr>
        <w:pStyle w:val="Heading2"/>
        <w:rPr>
          <w:rFonts w:asciiTheme="minorBidi" w:hAnsiTheme="minorBidi" w:cstheme="minorBidi"/>
        </w:rPr>
      </w:pPr>
      <w:bookmarkStart w:id="38" w:name="_Toc216711844"/>
      <w:r w:rsidRPr="00D53E56">
        <w:rPr>
          <w:rFonts w:asciiTheme="minorBidi" w:hAnsiTheme="minorBidi" w:cstheme="minorBidi"/>
        </w:rPr>
        <w:t>3.2 South Korea: Pandemic Decision-making and Leadership Style.</w:t>
      </w:r>
      <w:bookmarkEnd w:id="38"/>
    </w:p>
    <w:p w14:paraId="6D594D9C" w14:textId="77777777" w:rsidR="00604090" w:rsidRPr="00D53E56" w:rsidRDefault="00604090" w:rsidP="00947159">
      <w:pPr>
        <w:pStyle w:val="Heading3"/>
        <w:rPr>
          <w:rFonts w:asciiTheme="minorBidi" w:hAnsiTheme="minorBidi" w:cstheme="minorBidi"/>
        </w:rPr>
      </w:pPr>
      <w:bookmarkStart w:id="39" w:name="_Toc216711845"/>
      <w:r w:rsidRPr="00D53E56">
        <w:rPr>
          <w:rFonts w:asciiTheme="minorBidi" w:hAnsiTheme="minorBidi" w:cstheme="minorBidi"/>
        </w:rPr>
        <w:t>3.2.1 Emergency Leadership Structure Directed by the Government.</w:t>
      </w:r>
      <w:bookmarkEnd w:id="39"/>
    </w:p>
    <w:p w14:paraId="16034F2A" w14:textId="46BCCFBF" w:rsidR="00604090" w:rsidRPr="00D53E56" w:rsidRDefault="008A416C" w:rsidP="008A416C">
      <w:pPr>
        <w:rPr>
          <w:rFonts w:asciiTheme="minorBidi" w:hAnsiTheme="minorBidi"/>
          <w:sz w:val="22"/>
        </w:rPr>
      </w:pPr>
      <w:r w:rsidRPr="008A416C">
        <w:rPr>
          <w:rFonts w:asciiTheme="minorBidi" w:hAnsiTheme="minorBidi"/>
          <w:sz w:val="22"/>
        </w:rPr>
        <w:t xml:space="preserve">The response to the pandemic in South Korea is an example of how the effective application of transformational, crisis, and distributed leadership might be combined in a highly centralised governance structure. The process of transformational leadership was marked by a national vision of transparency, collective responsibility, and social trust that helped unite the masses of people in obedience and social solidarity (Moon, 2020; Kim, 2021). Early identification of threats, swift increase in the levels of response, and continuous decision-making based on facts became highly institutionalised and coordinated by central command structures to be on crisis leadership (Kim et al., 2020). Distributed leadership was used as an addition to central authority and was summarised by active involvement of local governments, scientific institutions, and actors in the private sector in testing, surveillance, and innovation and allowed to quickly increase system capacity (Yeo and Lee, 2021). Such a set- up provided consistency, </w:t>
      </w:r>
      <w:r w:rsidRPr="008A416C">
        <w:rPr>
          <w:rFonts w:asciiTheme="minorBidi" w:hAnsiTheme="minorBidi"/>
          <w:sz w:val="22"/>
        </w:rPr>
        <w:lastRenderedPageBreak/>
        <w:t xml:space="preserve">expediency, and flexibility to make South Korea a model in controlling pandemics around the world (Oh, 2022). </w:t>
      </w:r>
    </w:p>
    <w:p w14:paraId="1800AA8B" w14:textId="5C1BB63F" w:rsidR="00604090" w:rsidRPr="00D53E56" w:rsidRDefault="00947159" w:rsidP="00947159">
      <w:pPr>
        <w:pStyle w:val="Heading3"/>
        <w:rPr>
          <w:rFonts w:asciiTheme="minorBidi" w:hAnsiTheme="minorBidi" w:cstheme="minorBidi"/>
        </w:rPr>
      </w:pPr>
      <w:bookmarkStart w:id="40" w:name="_Toc216711846"/>
      <w:r w:rsidRPr="00D53E56">
        <w:rPr>
          <w:rFonts w:asciiTheme="minorBidi" w:hAnsiTheme="minorBidi" w:cstheme="minorBidi"/>
        </w:rPr>
        <w:t xml:space="preserve">3.2.2 </w:t>
      </w:r>
      <w:r w:rsidR="00604090" w:rsidRPr="00D53E56">
        <w:rPr>
          <w:rFonts w:asciiTheme="minorBidi" w:hAnsiTheme="minorBidi" w:cstheme="minorBidi"/>
        </w:rPr>
        <w:t>Application of Transformational, Crisis and Distributed Leadership.</w:t>
      </w:r>
      <w:bookmarkEnd w:id="40"/>
    </w:p>
    <w:p w14:paraId="6C9B5762" w14:textId="77777777" w:rsidR="00604090" w:rsidRPr="00D53E56" w:rsidRDefault="00604090" w:rsidP="00604090">
      <w:pPr>
        <w:rPr>
          <w:rFonts w:asciiTheme="minorBidi" w:hAnsiTheme="minorBidi"/>
          <w:b/>
          <w:bCs/>
          <w:sz w:val="22"/>
        </w:rPr>
      </w:pPr>
      <w:r w:rsidRPr="00D53E56">
        <w:rPr>
          <w:rFonts w:asciiTheme="minorBidi" w:hAnsiTheme="minorBidi"/>
          <w:b/>
          <w:bCs/>
          <w:sz w:val="22"/>
        </w:rPr>
        <w:t>Transformational Leadership:</w:t>
      </w:r>
    </w:p>
    <w:p w14:paraId="1E742FFB" w14:textId="2EB6A222" w:rsidR="00604090" w:rsidRPr="00D53E56" w:rsidRDefault="00A96D41" w:rsidP="00A96D41">
      <w:pPr>
        <w:rPr>
          <w:rFonts w:asciiTheme="minorBidi" w:hAnsiTheme="minorBidi"/>
          <w:sz w:val="22"/>
        </w:rPr>
      </w:pPr>
      <w:r w:rsidRPr="00E87ECB">
        <w:rPr>
          <w:rFonts w:asciiTheme="minorBidi" w:hAnsiTheme="minorBidi"/>
          <w:sz w:val="22"/>
        </w:rPr>
        <w:t>Leaders of South Koreans expressed a national mission based on transparency, common sacrifice and collective responsibility. Such framing stimulated a lot of cooperation among the citizens and strengthened their trust in institutions (Moon, 2020; Kim, 2021).</w:t>
      </w:r>
    </w:p>
    <w:p w14:paraId="6A6180E1" w14:textId="77777777" w:rsidR="00604090" w:rsidRPr="00D53E56" w:rsidRDefault="00604090" w:rsidP="00604090">
      <w:pPr>
        <w:rPr>
          <w:rFonts w:asciiTheme="minorBidi" w:hAnsiTheme="minorBidi"/>
          <w:b/>
          <w:bCs/>
          <w:sz w:val="22"/>
        </w:rPr>
      </w:pPr>
      <w:r w:rsidRPr="00D53E56">
        <w:rPr>
          <w:rFonts w:asciiTheme="minorBidi" w:hAnsiTheme="minorBidi"/>
          <w:b/>
          <w:bCs/>
          <w:sz w:val="22"/>
        </w:rPr>
        <w:t>Crisis Leadership:</w:t>
      </w:r>
    </w:p>
    <w:p w14:paraId="399A29A1" w14:textId="70C2EE26" w:rsidR="00604090" w:rsidRPr="00D53E56" w:rsidRDefault="00A96D41" w:rsidP="00A96D41">
      <w:pPr>
        <w:rPr>
          <w:rFonts w:asciiTheme="minorBidi" w:hAnsiTheme="minorBidi"/>
          <w:sz w:val="22"/>
        </w:rPr>
      </w:pPr>
      <w:r w:rsidRPr="00E87ECB">
        <w:rPr>
          <w:rFonts w:asciiTheme="minorBidi" w:hAnsiTheme="minorBidi"/>
          <w:sz w:val="22"/>
        </w:rPr>
        <w:t>Early detection of threats, rapid increase in the national response level, and consistent evidence-based briefings to the population were the aspects of the crisis leadership. Epidemiological dynamic data enabled leaders to modify the distancing policies in real-time (Kim et al., 2020; Nicola et al., 2020).</w:t>
      </w:r>
    </w:p>
    <w:p w14:paraId="6A3BE2EC" w14:textId="77777777" w:rsidR="00604090" w:rsidRPr="00D53E56" w:rsidRDefault="00604090" w:rsidP="00604090">
      <w:pPr>
        <w:rPr>
          <w:rFonts w:asciiTheme="minorBidi" w:hAnsiTheme="minorBidi"/>
          <w:b/>
          <w:bCs/>
          <w:sz w:val="22"/>
        </w:rPr>
      </w:pPr>
      <w:r w:rsidRPr="00D53E56">
        <w:rPr>
          <w:rFonts w:asciiTheme="minorBidi" w:hAnsiTheme="minorBidi"/>
          <w:b/>
          <w:bCs/>
          <w:sz w:val="22"/>
        </w:rPr>
        <w:t>Distributed Leadership:</w:t>
      </w:r>
    </w:p>
    <w:p w14:paraId="799F43E9" w14:textId="189ECA1F" w:rsidR="00AC5D3A" w:rsidRPr="00F05BB1" w:rsidRDefault="00A96D41" w:rsidP="00F05BB1">
      <w:pPr>
        <w:rPr>
          <w:rFonts w:asciiTheme="minorBidi" w:hAnsiTheme="minorBidi"/>
          <w:sz w:val="22"/>
        </w:rPr>
      </w:pPr>
      <w:r w:rsidRPr="00E87ECB">
        <w:rPr>
          <w:rFonts w:asciiTheme="minorBidi" w:hAnsiTheme="minorBidi"/>
          <w:sz w:val="22"/>
        </w:rPr>
        <w:t>There was scattered leadership in the local governments, laboratories, technology companies and civil society. Multi-actor co-production of solutions like drive-through testing and digital contact tracing was made possible by central authorities, which increased the capacity of the system and innovation (Yeo and Lee, 2021).</w:t>
      </w:r>
    </w:p>
    <w:p w14:paraId="6397C494" w14:textId="5C7B19F2" w:rsidR="00604090" w:rsidRPr="00D53E56" w:rsidRDefault="00604090" w:rsidP="00947159">
      <w:pPr>
        <w:pStyle w:val="Heading3"/>
        <w:rPr>
          <w:rFonts w:asciiTheme="minorBidi" w:hAnsiTheme="minorBidi" w:cstheme="minorBidi"/>
        </w:rPr>
      </w:pPr>
      <w:bookmarkStart w:id="41" w:name="_Toc216711847"/>
      <w:r w:rsidRPr="00D53E56">
        <w:rPr>
          <w:rFonts w:asciiTheme="minorBidi" w:hAnsiTheme="minorBidi" w:cstheme="minorBidi"/>
        </w:rPr>
        <w:t>3.2.3 Openness, Data-Based Decision-Making, and Civil Disobedience.</w:t>
      </w:r>
      <w:bookmarkEnd w:id="41"/>
    </w:p>
    <w:p w14:paraId="46C23CE5" w14:textId="44A725C3" w:rsidR="00A96D41" w:rsidRPr="00A96D41" w:rsidRDefault="00A96D41" w:rsidP="00A96D41">
      <w:pPr>
        <w:rPr>
          <w:rFonts w:asciiTheme="minorBidi" w:hAnsiTheme="minorBidi"/>
          <w:sz w:val="22"/>
        </w:rPr>
      </w:pPr>
      <w:r w:rsidRPr="00E87ECB">
        <w:rPr>
          <w:rFonts w:asciiTheme="minorBidi" w:hAnsiTheme="minorBidi"/>
          <w:sz w:val="22"/>
        </w:rPr>
        <w:t>Transparency is a leadership principle that is institutionalised in South Korea. The case paths, cluster positions, and reasoning behind the policy were published in daily briefings, and backed with integrated digital surveillance infrastructure (Moon, 2020). The governance became data-driven to allow fast resources allocation and discriminate but not prohibit (Kim, 2021). Combined consent by the public at an early stage indicated trust in the competence of the leadership and equity (Oh, 2022), whereas the beneficial effect of specific constraints was less economic devastation and increased policy legitimacy.</w:t>
      </w:r>
    </w:p>
    <w:p w14:paraId="24B8CFFD" w14:textId="6B30B5FB" w:rsidR="00604090" w:rsidRPr="00D53E56" w:rsidRDefault="00604090" w:rsidP="00A96D41">
      <w:pPr>
        <w:pStyle w:val="Heading3"/>
      </w:pPr>
      <w:bookmarkStart w:id="42" w:name="_Toc216711848"/>
      <w:r w:rsidRPr="00D53E56">
        <w:t xml:space="preserve">3.2.4 </w:t>
      </w:r>
      <w:r w:rsidRPr="00F05BB1">
        <w:rPr>
          <w:rFonts w:ascii="Arial" w:hAnsi="Arial" w:cs="Arial"/>
        </w:rPr>
        <w:t>Institutional Trust and Stakeholder Collaboration.</w:t>
      </w:r>
      <w:bookmarkEnd w:id="42"/>
    </w:p>
    <w:p w14:paraId="250288E9" w14:textId="61AB46C8" w:rsidR="00A96D41" w:rsidRDefault="00A96D41" w:rsidP="00A96D41">
      <w:pPr>
        <w:rPr>
          <w:rFonts w:asciiTheme="minorBidi" w:hAnsiTheme="minorBidi"/>
          <w:sz w:val="22"/>
        </w:rPr>
      </w:pPr>
      <w:r w:rsidRPr="00E87ECB">
        <w:rPr>
          <w:rFonts w:asciiTheme="minorBidi" w:hAnsiTheme="minorBidi"/>
          <w:sz w:val="22"/>
        </w:rPr>
        <w:t>The cross-sectoral cooperation with academic experts, diagnostics producers, technological companies, and civic organisations was intentionally developed by the leadership (Yeo and Lee, 2021). Mass test production was hastened by rapid regulatory approvals and national protocols were adjusted to the realities on the ground by local governments. International health diplomacy also added to the effect of domestic legitimacy by portraying South Korea as a world leader in pandemic governance (Javed and Chattu, 2020).</w:t>
      </w:r>
    </w:p>
    <w:p w14:paraId="3BA81EDD" w14:textId="069F36B6" w:rsidR="00604090" w:rsidRPr="00D53E56" w:rsidRDefault="00604090" w:rsidP="00A96D41">
      <w:pPr>
        <w:pStyle w:val="Heading3"/>
      </w:pPr>
      <w:bookmarkStart w:id="43" w:name="_Toc216711849"/>
      <w:r w:rsidRPr="00D53E56">
        <w:lastRenderedPageBreak/>
        <w:t xml:space="preserve">3.2.5 </w:t>
      </w:r>
      <w:r w:rsidRPr="00F05BB1">
        <w:rPr>
          <w:rFonts w:ascii="Arial" w:hAnsi="Arial" w:cs="Arial"/>
        </w:rPr>
        <w:t>Leadership Approach Strengths and Limitations.</w:t>
      </w:r>
      <w:bookmarkEnd w:id="43"/>
    </w:p>
    <w:p w14:paraId="1EC69783" w14:textId="119D6562" w:rsidR="00604090" w:rsidRPr="00D53E56" w:rsidRDefault="00A96D41" w:rsidP="00A96D41">
      <w:pPr>
        <w:rPr>
          <w:rFonts w:asciiTheme="minorBidi" w:hAnsiTheme="minorBidi"/>
          <w:sz w:val="22"/>
        </w:rPr>
      </w:pPr>
      <w:r w:rsidRPr="00E87ECB">
        <w:rPr>
          <w:rFonts w:asciiTheme="minorBidi" w:hAnsiTheme="minorBidi"/>
          <w:sz w:val="22"/>
        </w:rPr>
        <w:t>The leadership of South Korea used agility, scientific integration, institutional coherence, and without national lockdowns, early containment was achieved (Kim et al., 2020; Nicola et al., 2020). Continuous policy recalibration was an evident form of operationalisation of adaptive governance principles that Janssen and Van der Voort (2020) identified. Nevertheless, comprehensive electronic surveillance created ethical issues on privacy and extended behavioural control diminished adherence in subsequent waves (Oh, 2022; Hong and Lim, 2023).</w:t>
      </w:r>
    </w:p>
    <w:p w14:paraId="323B7EFE" w14:textId="20C437A6" w:rsidR="00CD412A" w:rsidRPr="00D53E56" w:rsidRDefault="00CD412A" w:rsidP="00947159">
      <w:pPr>
        <w:pStyle w:val="Heading3"/>
        <w:rPr>
          <w:rFonts w:asciiTheme="minorBidi" w:hAnsiTheme="minorBidi" w:cstheme="minorBidi"/>
        </w:rPr>
      </w:pPr>
      <w:bookmarkStart w:id="44" w:name="_Toc216711850"/>
      <w:r w:rsidRPr="00D53E56">
        <w:rPr>
          <w:rFonts w:asciiTheme="minorBidi" w:hAnsiTheme="minorBidi" w:cstheme="minorBidi"/>
        </w:rPr>
        <w:t>3.2.6 Leadership Impact on Public Trust and Global Recognition</w:t>
      </w:r>
      <w:bookmarkEnd w:id="44"/>
    </w:p>
    <w:p w14:paraId="24479C73" w14:textId="6D827967" w:rsidR="00AC5D3A" w:rsidRPr="00F05BB1" w:rsidRDefault="00A96D41" w:rsidP="00F05BB1">
      <w:pPr>
        <w:rPr>
          <w:rFonts w:asciiTheme="minorBidi" w:hAnsiTheme="minorBidi"/>
          <w:sz w:val="22"/>
        </w:rPr>
      </w:pPr>
      <w:r w:rsidRPr="00E87ECB">
        <w:rPr>
          <w:rFonts w:asciiTheme="minorBidi" w:hAnsiTheme="minorBidi"/>
          <w:sz w:val="22"/>
        </w:rPr>
        <w:t>The South Korean leaders obtained a great level of initial public trust, especially in the KDCA and expert-governance (Kim, 2021; Yeo and Lee, 2021). The confidence at home was strengthened by international recognition (Javed and Chattu, 2020). Trust in the later Omicron waves also dropped because of exhaustion and financial constraints, but the effectiveness of the leadership was relatively high, which had been translated into reduced cumulative mortality and long-term health system stability (Oh, 2022).</w:t>
      </w:r>
    </w:p>
    <w:p w14:paraId="6E10D850" w14:textId="6DFD2A2B" w:rsidR="00604090" w:rsidRPr="00D53E56" w:rsidRDefault="00604090" w:rsidP="00947159">
      <w:pPr>
        <w:pStyle w:val="Heading2"/>
        <w:rPr>
          <w:rFonts w:asciiTheme="minorBidi" w:hAnsiTheme="minorBidi" w:cstheme="minorBidi"/>
        </w:rPr>
      </w:pPr>
      <w:bookmarkStart w:id="45" w:name="_Toc216711851"/>
      <w:r w:rsidRPr="00D53E56">
        <w:rPr>
          <w:rFonts w:asciiTheme="minorBidi" w:hAnsiTheme="minorBidi" w:cstheme="minorBidi"/>
        </w:rPr>
        <w:t>3.3 Canada: Decision-Making and Leadership Style during pandemic.</w:t>
      </w:r>
      <w:bookmarkEnd w:id="45"/>
    </w:p>
    <w:p w14:paraId="17475D4A" w14:textId="6F5A0238" w:rsidR="00604090" w:rsidRPr="00D53E56" w:rsidRDefault="003E74B4" w:rsidP="00947159">
      <w:pPr>
        <w:pStyle w:val="Heading3"/>
        <w:rPr>
          <w:rFonts w:asciiTheme="minorBidi" w:hAnsiTheme="minorBidi" w:cstheme="minorBidi"/>
        </w:rPr>
      </w:pPr>
      <w:bookmarkStart w:id="46" w:name="_Toc216711852"/>
      <w:r>
        <w:rPr>
          <w:noProof/>
        </w:rPr>
        <w:drawing>
          <wp:anchor distT="0" distB="0" distL="114300" distR="114300" simplePos="0" relativeHeight="251685888" behindDoc="0" locked="0" layoutInCell="1" allowOverlap="1" wp14:anchorId="4DA7FF0E" wp14:editId="743D38E9">
            <wp:simplePos x="0" y="0"/>
            <wp:positionH relativeFrom="margin">
              <wp:align>center</wp:align>
            </wp:positionH>
            <wp:positionV relativeFrom="paragraph">
              <wp:posOffset>350520</wp:posOffset>
            </wp:positionV>
            <wp:extent cx="4610100" cy="3058160"/>
            <wp:effectExtent l="0" t="0" r="0" b="8890"/>
            <wp:wrapSquare wrapText="bothSides"/>
            <wp:docPr id="1616859602" name="Picture 10" descr="History of Health and Social Transfers - Canada.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istory of Health and Social Transfers - Canada.ca"/>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610100" cy="30581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04090" w:rsidRPr="00D53E56">
        <w:rPr>
          <w:rFonts w:asciiTheme="minorBidi" w:hAnsiTheme="minorBidi" w:cstheme="minorBidi"/>
        </w:rPr>
        <w:t>3.3.1 Federal Executive Leadership and National Co-ordination.</w:t>
      </w:r>
      <w:bookmarkEnd w:id="46"/>
    </w:p>
    <w:p w14:paraId="2EDC0EA7" w14:textId="65A433DC" w:rsidR="003E74B4" w:rsidRDefault="003E74B4" w:rsidP="00A96D41">
      <w:pPr>
        <w:rPr>
          <w:rFonts w:asciiTheme="minorBidi" w:hAnsiTheme="minorBidi"/>
          <w:sz w:val="22"/>
        </w:rPr>
      </w:pPr>
    </w:p>
    <w:p w14:paraId="489BFDC8" w14:textId="77777777" w:rsidR="003E74B4" w:rsidRDefault="003E74B4" w:rsidP="00A96D41">
      <w:pPr>
        <w:rPr>
          <w:rFonts w:asciiTheme="minorBidi" w:hAnsiTheme="minorBidi"/>
          <w:sz w:val="22"/>
        </w:rPr>
      </w:pPr>
    </w:p>
    <w:p w14:paraId="4239DE89" w14:textId="77777777" w:rsidR="003E74B4" w:rsidRDefault="003E74B4" w:rsidP="00A96D41">
      <w:pPr>
        <w:rPr>
          <w:rFonts w:asciiTheme="minorBidi" w:hAnsiTheme="minorBidi"/>
          <w:sz w:val="22"/>
        </w:rPr>
      </w:pPr>
    </w:p>
    <w:p w14:paraId="45337B04" w14:textId="77777777" w:rsidR="003E74B4" w:rsidRDefault="003E74B4" w:rsidP="00A96D41">
      <w:pPr>
        <w:rPr>
          <w:rFonts w:asciiTheme="minorBidi" w:hAnsiTheme="minorBidi"/>
          <w:sz w:val="22"/>
        </w:rPr>
      </w:pPr>
    </w:p>
    <w:p w14:paraId="0A97E54D" w14:textId="77777777" w:rsidR="003E74B4" w:rsidRDefault="003E74B4" w:rsidP="00A96D41">
      <w:pPr>
        <w:rPr>
          <w:rFonts w:asciiTheme="minorBidi" w:hAnsiTheme="minorBidi"/>
          <w:sz w:val="22"/>
        </w:rPr>
      </w:pPr>
    </w:p>
    <w:p w14:paraId="5C3144BE" w14:textId="77777777" w:rsidR="003E74B4" w:rsidRDefault="003E74B4" w:rsidP="00A96D41">
      <w:pPr>
        <w:rPr>
          <w:rFonts w:asciiTheme="minorBidi" w:hAnsiTheme="minorBidi"/>
          <w:sz w:val="22"/>
        </w:rPr>
      </w:pPr>
    </w:p>
    <w:p w14:paraId="199B2835" w14:textId="77777777" w:rsidR="003E74B4" w:rsidRDefault="003E74B4" w:rsidP="00A96D41">
      <w:pPr>
        <w:rPr>
          <w:rFonts w:asciiTheme="minorBidi" w:hAnsiTheme="minorBidi"/>
          <w:sz w:val="22"/>
        </w:rPr>
      </w:pPr>
    </w:p>
    <w:p w14:paraId="03CD776B" w14:textId="77777777" w:rsidR="003E74B4" w:rsidRDefault="003E74B4" w:rsidP="00A96D41">
      <w:pPr>
        <w:rPr>
          <w:rFonts w:asciiTheme="minorBidi" w:hAnsiTheme="minorBidi"/>
          <w:sz w:val="22"/>
        </w:rPr>
      </w:pPr>
    </w:p>
    <w:p w14:paraId="2C277F75" w14:textId="77777777" w:rsidR="003E74B4" w:rsidRDefault="003E74B4" w:rsidP="00A96D41">
      <w:pPr>
        <w:rPr>
          <w:rFonts w:asciiTheme="minorBidi" w:hAnsiTheme="minorBidi"/>
          <w:sz w:val="22"/>
        </w:rPr>
      </w:pPr>
    </w:p>
    <w:p w14:paraId="0A4D6B7A" w14:textId="6B140990" w:rsidR="003E74B4" w:rsidRDefault="003E74B4" w:rsidP="00A96D41">
      <w:pPr>
        <w:rPr>
          <w:rFonts w:asciiTheme="minorBidi" w:hAnsiTheme="minorBidi"/>
          <w:sz w:val="22"/>
        </w:rPr>
      </w:pPr>
      <w:r>
        <w:rPr>
          <w:noProof/>
        </w:rPr>
        <mc:AlternateContent>
          <mc:Choice Requires="wps">
            <w:drawing>
              <wp:anchor distT="0" distB="0" distL="114300" distR="114300" simplePos="0" relativeHeight="251687936" behindDoc="0" locked="0" layoutInCell="1" allowOverlap="1" wp14:anchorId="5C254B3F" wp14:editId="5822E535">
                <wp:simplePos x="0" y="0"/>
                <wp:positionH relativeFrom="margin">
                  <wp:align>center</wp:align>
                </wp:positionH>
                <wp:positionV relativeFrom="paragraph">
                  <wp:posOffset>102870</wp:posOffset>
                </wp:positionV>
                <wp:extent cx="2697480" cy="635"/>
                <wp:effectExtent l="0" t="0" r="7620" b="0"/>
                <wp:wrapSquare wrapText="bothSides"/>
                <wp:docPr id="1235194389" name="Text Box 1"/>
                <wp:cNvGraphicFramePr/>
                <a:graphic xmlns:a="http://schemas.openxmlformats.org/drawingml/2006/main">
                  <a:graphicData uri="http://schemas.microsoft.com/office/word/2010/wordprocessingShape">
                    <wps:wsp>
                      <wps:cNvSpPr txBox="1"/>
                      <wps:spPr>
                        <a:xfrm>
                          <a:off x="0" y="0"/>
                          <a:ext cx="2697480" cy="635"/>
                        </a:xfrm>
                        <a:prstGeom prst="rect">
                          <a:avLst/>
                        </a:prstGeom>
                        <a:solidFill>
                          <a:prstClr val="white"/>
                        </a:solidFill>
                        <a:ln>
                          <a:noFill/>
                        </a:ln>
                      </wps:spPr>
                      <wps:txbx>
                        <w:txbxContent>
                          <w:p w14:paraId="39C3A353" w14:textId="3EFEA472" w:rsidR="003E74B4" w:rsidRPr="003E74B4" w:rsidRDefault="003E74B4" w:rsidP="003E74B4">
                            <w:pPr>
                              <w:pStyle w:val="Caption"/>
                              <w:rPr>
                                <w:b/>
                                <w:bCs/>
                                <w:noProof/>
                              </w:rPr>
                            </w:pPr>
                            <w:r w:rsidRPr="003E74B4">
                              <w:rPr>
                                <w:b/>
                                <w:bCs/>
                              </w:rPr>
                              <w:t xml:space="preserve">Figure </w:t>
                            </w:r>
                            <w:r w:rsidR="00F05BB1">
                              <w:rPr>
                                <w:b/>
                                <w:bCs/>
                              </w:rPr>
                              <w:t>9</w:t>
                            </w:r>
                            <w:r w:rsidRPr="003E74B4">
                              <w:rPr>
                                <w:b/>
                                <w:bCs/>
                                <w:lang w:val="en-US"/>
                              </w:rPr>
                              <w:t xml:space="preserve"> Federal Fiscal Transfers &amp; Economic Support (Coordination Mechanism) (Kemei et al., 2023)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C254B3F" id="_x0000_s1034" type="#_x0000_t202" style="position:absolute;left:0;text-align:left;margin-left:0;margin-top:8.1pt;width:212.4pt;height:.05pt;z-index:25168793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" stroked="f">
                <v:textbox style="mso-fit-shape-to-text:t" inset="0,0,0,0">
                  <w:txbxContent>
                    <w:p w14:paraId="39C3A353" w14:textId="3EFEA472" w:rsidR="003E74B4" w:rsidRPr="003E74B4" w:rsidRDefault="003E74B4" w:rsidP="003E74B4">
                      <w:pPr>
                        <w:pStyle w:val="Caption"/>
                        <w:rPr>
                          <w:b/>
                          <w:bCs/>
                          <w:noProof/>
                        </w:rPr>
                      </w:pPr>
                      <w:r w:rsidRPr="003E74B4">
                        <w:rPr>
                          <w:b/>
                          <w:bCs/>
                        </w:rPr>
                        <w:t xml:space="preserve">Figure </w:t>
                      </w:r>
                      <w:r w:rsidR="00F05BB1">
                        <w:rPr>
                          <w:b/>
                          <w:bCs/>
                        </w:rPr>
                        <w:t>9</w:t>
                      </w:r>
                      <w:r w:rsidRPr="003E74B4">
                        <w:rPr>
                          <w:b/>
                          <w:bCs/>
                          <w:lang w:val="en-US"/>
                        </w:rPr>
                        <w:t xml:space="preserve"> Federal Fiscal Transfers &amp; Economic Support (Coordination Mechanism) (Kemei et al., 2023)</w:t>
                      </w:r>
                    </w:p>
                  </w:txbxContent>
                </v:textbox>
                <w10:wrap type="square" anchorx="margin"/>
              </v:shape>
            </w:pict>
          </mc:Fallback>
        </mc:AlternateContent>
      </w:r>
    </w:p>
    <w:p w14:paraId="203D8662" w14:textId="77777777" w:rsidR="003E74B4" w:rsidRDefault="003E74B4" w:rsidP="00A96D41">
      <w:pPr>
        <w:rPr>
          <w:rFonts w:asciiTheme="minorBidi" w:hAnsiTheme="minorBidi"/>
          <w:sz w:val="22"/>
        </w:rPr>
      </w:pPr>
    </w:p>
    <w:p w14:paraId="3D27D806" w14:textId="77777777" w:rsidR="003E74B4" w:rsidRPr="008A416C" w:rsidRDefault="003E74B4" w:rsidP="003E74B4">
      <w:pPr>
        <w:rPr>
          <w:rFonts w:asciiTheme="minorBidi" w:hAnsiTheme="minorBidi"/>
          <w:sz w:val="22"/>
        </w:rPr>
      </w:pPr>
      <w:r w:rsidRPr="008A416C">
        <w:rPr>
          <w:rFonts w:asciiTheme="minorBidi" w:hAnsiTheme="minorBidi"/>
          <w:sz w:val="22"/>
        </w:rPr>
        <w:lastRenderedPageBreak/>
        <w:t>The chart shows that the growth in the Canadian federal health and social transfers has been large and sustained between the mid-1990s and 202021. Increase in funding was to more than 60 billion as compared to less than 20 billion due to the increase in Canada Health Transfer and Canada Social Transfer. This pattern is an indication of growing federal financial integration and provincial health and social system funding with time. The federal executive leadership of Canada in the COVID-19 can be described using the theories of democratic, collaborative and crisis leadership in a decentralised federal system. The federal government’s insistence on consulting with provinces, Indigenous leaders, and public health experts prior to making major decisions reflected democratic leadership and privileged legitimacy and shared ownership over unilateral power (Migone, 2020). Fiscal transfers, joint taskforces, and negotiated policy alignment are examples of collaborative leadership, which allowed provinces to respond uniquely and had the advantage of federal coordination and resources (Marchildon and Di Matteo, 2021). Federal measures in areas of national jurisdiction, initially in border controls, massive economic aid, and centralised vaccination purchases led to the development of crisis leadership, positioning COVID-19 as a national emergency that demands exceptionality (Nicola et al., 2020). Political and scientific leadership convergence that was enforced during the national briefings also enhanced communicative unity and social trust. All of these leadership styles illustrate that the federal executive of Canada applied its influence in the form of coordination, persuasion, and mobilisation of resources instead of commanding and achieving a unifying but negotiated means of pandemic response.</w:t>
      </w:r>
    </w:p>
    <w:p w14:paraId="441DCEEF" w14:textId="66ED6AD2" w:rsidR="00604090" w:rsidRPr="003E74B4" w:rsidRDefault="00604090" w:rsidP="003E74B4">
      <w:pPr>
        <w:pStyle w:val="Heading3"/>
        <w:rPr>
          <w:rFonts w:asciiTheme="majorBidi" w:hAnsiTheme="majorBidi"/>
          <w:szCs w:val="24"/>
        </w:rPr>
      </w:pPr>
      <w:bookmarkStart w:id="47" w:name="_Toc216711853"/>
      <w:r w:rsidRPr="00D53E56">
        <w:t xml:space="preserve">3.3.2 </w:t>
      </w:r>
      <w:r w:rsidRPr="00F05BB1">
        <w:rPr>
          <w:rFonts w:ascii="Arial" w:hAnsi="Arial" w:cs="Arial"/>
        </w:rPr>
        <w:t>Democratic, Collaborative and Crisis Leadership.</w:t>
      </w:r>
      <w:bookmarkEnd w:id="47"/>
    </w:p>
    <w:p w14:paraId="25A31262" w14:textId="0B43ECC1" w:rsidR="008A416C" w:rsidRPr="007B0F55" w:rsidRDefault="008A416C" w:rsidP="007B0F55">
      <w:pPr>
        <w:rPr>
          <w:rFonts w:asciiTheme="minorBidi" w:hAnsiTheme="minorBidi"/>
          <w:sz w:val="22"/>
        </w:rPr>
      </w:pPr>
      <w:r w:rsidRPr="007B0F55">
        <w:rPr>
          <w:rFonts w:asciiTheme="minorBidi" w:hAnsiTheme="minorBidi"/>
          <w:sz w:val="22"/>
        </w:rPr>
        <w:t>Democratic Leadership:</w:t>
      </w:r>
      <w:r w:rsidR="007B0F55">
        <w:rPr>
          <w:rFonts w:asciiTheme="minorBidi" w:hAnsiTheme="minorBidi"/>
          <w:sz w:val="22"/>
        </w:rPr>
        <w:t xml:space="preserve"> </w:t>
      </w:r>
      <w:r w:rsidRPr="007B0F55">
        <w:rPr>
          <w:rFonts w:asciiTheme="minorBidi" w:hAnsiTheme="minorBidi"/>
          <w:sz w:val="22"/>
        </w:rPr>
        <w:t>The federal leaders valued consultation with provinces, Indigenous leaders, and expertise bodies before making big moves, which is an indicator of collective ownership of decisions (Migone, 2020).</w:t>
      </w:r>
    </w:p>
    <w:p w14:paraId="690150A5" w14:textId="3AF0648F" w:rsidR="008A416C" w:rsidRPr="007B0F55" w:rsidRDefault="008A416C" w:rsidP="007B0F55">
      <w:pPr>
        <w:rPr>
          <w:rFonts w:asciiTheme="minorBidi" w:hAnsiTheme="minorBidi"/>
          <w:sz w:val="22"/>
        </w:rPr>
      </w:pPr>
      <w:r w:rsidRPr="007B0F55">
        <w:rPr>
          <w:rFonts w:asciiTheme="minorBidi" w:hAnsiTheme="minorBidi"/>
          <w:sz w:val="22"/>
        </w:rPr>
        <w:t>Collaborative Leadership:</w:t>
      </w:r>
      <w:r w:rsidR="007B0F55">
        <w:rPr>
          <w:rFonts w:asciiTheme="minorBidi" w:hAnsiTheme="minorBidi"/>
          <w:sz w:val="22"/>
        </w:rPr>
        <w:t xml:space="preserve"> </w:t>
      </w:r>
      <w:r w:rsidRPr="007B0F55">
        <w:rPr>
          <w:rFonts w:asciiTheme="minorBidi" w:hAnsiTheme="minorBidi"/>
          <w:sz w:val="22"/>
        </w:rPr>
        <w:t>Provincial health systems were supported by intergovernmental taskforces and cost-sharing agreements without interfering with the local authority of policy-making (Marchildon and Di Matteo, 2021).</w:t>
      </w:r>
    </w:p>
    <w:p w14:paraId="5A4E3333" w14:textId="768FCCBD" w:rsidR="008A416C" w:rsidRPr="008A416C" w:rsidRDefault="008A416C" w:rsidP="007B0F55">
      <w:pPr>
        <w:rPr>
          <w:rFonts w:asciiTheme="minorBidi" w:hAnsiTheme="minorBidi"/>
          <w:sz w:val="22"/>
        </w:rPr>
      </w:pPr>
      <w:r w:rsidRPr="007B0F55">
        <w:rPr>
          <w:rFonts w:asciiTheme="minorBidi" w:hAnsiTheme="minorBidi"/>
          <w:sz w:val="22"/>
        </w:rPr>
        <w:t>Crisis Leadership:</w:t>
      </w:r>
      <w:r w:rsidR="007B0F55">
        <w:rPr>
          <w:rFonts w:asciiTheme="minorBidi" w:hAnsiTheme="minorBidi"/>
          <w:sz w:val="22"/>
        </w:rPr>
        <w:t xml:space="preserve"> </w:t>
      </w:r>
      <w:r w:rsidRPr="007B0F55">
        <w:rPr>
          <w:rFonts w:asciiTheme="minorBidi" w:hAnsiTheme="minorBidi"/>
          <w:sz w:val="22"/>
        </w:rPr>
        <w:t>This was achieved by providing economic assistance on a massive scale, closing borders, and purchasing vaccines but, due to jurisdictional boundaries, central authorities could not issue directives (Nicola et al., 2020).</w:t>
      </w:r>
      <w:r>
        <w:br w:type="page"/>
      </w:r>
    </w:p>
    <w:p w14:paraId="1D4E7A3D" w14:textId="324348D7" w:rsidR="00604090" w:rsidRPr="00F05BB1" w:rsidRDefault="00604090" w:rsidP="008A416C">
      <w:pPr>
        <w:pStyle w:val="Heading3"/>
        <w:rPr>
          <w:rFonts w:ascii="Arial" w:hAnsi="Arial" w:cs="Arial"/>
        </w:rPr>
      </w:pPr>
      <w:bookmarkStart w:id="48" w:name="_Toc216711854"/>
      <w:r w:rsidRPr="00F05BB1">
        <w:rPr>
          <w:rFonts w:ascii="Arial" w:hAnsi="Arial" w:cs="Arial"/>
        </w:rPr>
        <w:lastRenderedPageBreak/>
        <w:t>3.3.3 Federal-Provincial Negotiation and Consensus Building.</w:t>
      </w:r>
      <w:bookmarkEnd w:id="48"/>
    </w:p>
    <w:p w14:paraId="66EEE9C2" w14:textId="050F163B" w:rsidR="00F46DD0" w:rsidRPr="00D53E56" w:rsidRDefault="00A96D41" w:rsidP="008A416C">
      <w:pPr>
        <w:rPr>
          <w:rFonts w:asciiTheme="minorBidi" w:hAnsiTheme="minorBidi"/>
          <w:sz w:val="22"/>
        </w:rPr>
      </w:pPr>
      <w:r w:rsidRPr="00E87ECB">
        <w:rPr>
          <w:rFonts w:asciiTheme="minorBidi" w:hAnsiTheme="minorBidi"/>
          <w:sz w:val="22"/>
        </w:rPr>
        <w:t>The common meetings of the First Ministers and intergovernmental health forums attempted to align the policy across the provinces but still did not achieve implementation diversity. Epidemiological asymmetry and confusion among the population were the consequences of the provincial difference in timing and strength of lockdowns (Marchildon and Di Matteo, 2021; Migone, 2020). The federal position as an organiser and not a dictator added to the validity of collaboration but undermined the decisiveness of the crisis response.</w:t>
      </w:r>
    </w:p>
    <w:p w14:paraId="2CE13385" w14:textId="6B98FB55" w:rsidR="00604090" w:rsidRPr="00D53E56" w:rsidRDefault="00604090" w:rsidP="00947159">
      <w:pPr>
        <w:pStyle w:val="Heading3"/>
        <w:rPr>
          <w:rFonts w:asciiTheme="minorBidi" w:hAnsiTheme="minorBidi" w:cstheme="minorBidi"/>
        </w:rPr>
      </w:pPr>
      <w:bookmarkStart w:id="49" w:name="_Toc216711855"/>
      <w:r w:rsidRPr="00D53E56">
        <w:rPr>
          <w:rFonts w:asciiTheme="minorBidi" w:hAnsiTheme="minorBidi" w:cstheme="minorBidi"/>
        </w:rPr>
        <w:t>3.3.4 Procurement of Vaccines and political accountability.</w:t>
      </w:r>
      <w:bookmarkEnd w:id="49"/>
    </w:p>
    <w:p w14:paraId="33399808" w14:textId="6A232C94" w:rsidR="00A96D41" w:rsidRDefault="00A96D41" w:rsidP="00A96D41">
      <w:pPr>
        <w:rPr>
          <w:rFonts w:asciiTheme="minorBidi" w:hAnsiTheme="minorBidi"/>
          <w:sz w:val="22"/>
        </w:rPr>
      </w:pPr>
      <w:r w:rsidRPr="00E87ECB">
        <w:rPr>
          <w:rFonts w:asciiTheme="minorBidi" w:hAnsiTheme="minorBidi"/>
          <w:sz w:val="22"/>
        </w:rPr>
        <w:t>The federal government took over the purchase of vaccines internationally. Initial delays led to political criticism, but the level of supply stabilisation later allowed it to expand quickly (Marchildon and Di Matteo, 2021). There was a lack of accountability and the federal leadership was accused of lagging in procurement and provinces of failure to make distribution. Decentralised rollout capacity was enhanced with the help of federal logistics support and national communication campaigns (Nicola et al., 2020).</w:t>
      </w:r>
    </w:p>
    <w:p w14:paraId="5F0F8F9E" w14:textId="413F44A7" w:rsidR="00604090" w:rsidRPr="00F05BB1" w:rsidRDefault="00604090" w:rsidP="00A96D41">
      <w:pPr>
        <w:pStyle w:val="Heading3"/>
        <w:rPr>
          <w:rFonts w:ascii="Arial" w:hAnsi="Arial" w:cs="Arial"/>
        </w:rPr>
      </w:pPr>
      <w:bookmarkStart w:id="50" w:name="_Toc216711856"/>
      <w:r w:rsidRPr="00F05BB1">
        <w:rPr>
          <w:rFonts w:ascii="Arial" w:hAnsi="Arial" w:cs="Arial"/>
        </w:rPr>
        <w:t>3.3.5 Strengths Weaknesses of Leadership Approach.</w:t>
      </w:r>
      <w:bookmarkEnd w:id="50"/>
    </w:p>
    <w:p w14:paraId="35E9F3EB" w14:textId="051C89F7" w:rsidR="00604090" w:rsidRPr="00D53E56" w:rsidRDefault="00A96D41" w:rsidP="00A96D41">
      <w:pPr>
        <w:rPr>
          <w:rFonts w:asciiTheme="minorBidi" w:hAnsiTheme="minorBidi"/>
          <w:sz w:val="22"/>
        </w:rPr>
      </w:pPr>
      <w:r w:rsidRPr="00E87ECB">
        <w:rPr>
          <w:rFonts w:asciiTheme="minorBidi" w:hAnsiTheme="minorBidi"/>
          <w:sz w:val="22"/>
        </w:rPr>
        <w:t>Among the leadership strengths were national unity of narrative, massive fiscal mobilisation and cooperative federal-provincial relations (Marchildon and Di Matteo, 2021). Nevertheless, the governance through consensus slowed the implementation of strict containment strategies, which helps to form severe subsequent waves and extended stress on the health system in the future (Migone, 2020; Plouffe et al., 2021). The disadvantaged groups suffered higher than the rest, and equity constraints in collaborative leadership arrangements became evident (Kemei et al., 2023).</w:t>
      </w:r>
    </w:p>
    <w:p w14:paraId="6B3F42EE" w14:textId="77777777" w:rsidR="00604090" w:rsidRPr="00D53E56" w:rsidRDefault="00604090" w:rsidP="00947159">
      <w:pPr>
        <w:pStyle w:val="Heading3"/>
        <w:rPr>
          <w:rFonts w:asciiTheme="minorBidi" w:hAnsiTheme="minorBidi" w:cstheme="minorBidi"/>
        </w:rPr>
      </w:pPr>
      <w:bookmarkStart w:id="51" w:name="_Toc216711857"/>
      <w:r w:rsidRPr="00D53E56">
        <w:rPr>
          <w:rFonts w:asciiTheme="minorBidi" w:hAnsiTheme="minorBidi" w:cstheme="minorBidi"/>
        </w:rPr>
        <w:t>3.3.6 Leadership Effect on Population Trust and Vaccination Acceptance.</w:t>
      </w:r>
      <w:bookmarkEnd w:id="51"/>
    </w:p>
    <w:p w14:paraId="2B3087B7" w14:textId="63B315D9" w:rsidR="00CD412A" w:rsidRPr="00D53E56" w:rsidRDefault="00A96D41" w:rsidP="00A96D41">
      <w:pPr>
        <w:rPr>
          <w:rFonts w:asciiTheme="minorBidi" w:hAnsiTheme="minorBidi"/>
          <w:sz w:val="22"/>
        </w:rPr>
      </w:pPr>
      <w:r w:rsidRPr="00E87ECB">
        <w:rPr>
          <w:rFonts w:asciiTheme="minorBidi" w:hAnsiTheme="minorBidi"/>
          <w:sz w:val="22"/>
        </w:rPr>
        <w:t>Canadian leaders continued to have moderate to high trust in scientific authorities, and political trust was regionally divergent (Migone, 2020). There was no deception of uncertainty communicated by transparency, and strong vaccination rates were indicative of a long-standing persuasion ability despite initial supply shortages (Marchildon and Di Matteo, 2021). But, in reality, the long legislations, demonstrations, and stress in the workforce revealed the psychological and institutional burdens of long-term crisis governance (Plouffe et al., 2021).</w:t>
      </w:r>
    </w:p>
    <w:p w14:paraId="7F32EAE2" w14:textId="77777777" w:rsidR="00604090" w:rsidRPr="00CD412A" w:rsidRDefault="00604090" w:rsidP="00604090">
      <w:pPr>
        <w:rPr>
          <w:rFonts w:asciiTheme="minorBidi" w:hAnsiTheme="minorBidi"/>
          <w:sz w:val="22"/>
        </w:rPr>
      </w:pPr>
    </w:p>
    <w:p w14:paraId="289B3B14" w14:textId="77777777" w:rsidR="008A416C" w:rsidRDefault="008A416C">
      <w:pPr>
        <w:spacing w:line="259" w:lineRule="auto"/>
        <w:jc w:val="left"/>
        <w:rPr>
          <w:rFonts w:asciiTheme="minorBidi" w:eastAsia="Times New Roman" w:hAnsiTheme="minorBidi"/>
          <w:b/>
          <w:bCs/>
          <w:color w:val="4472C4" w:themeColor="accent1"/>
          <w:kern w:val="0"/>
          <w:sz w:val="28"/>
          <w:szCs w:val="28"/>
          <w14:ligatures w14:val="none"/>
        </w:rPr>
      </w:pPr>
      <w:r>
        <w:rPr>
          <w:rFonts w:asciiTheme="minorBidi" w:hAnsiTheme="minorBidi"/>
        </w:rPr>
        <w:br w:type="page"/>
      </w:r>
    </w:p>
    <w:p w14:paraId="7FD33764" w14:textId="2ED47BB9" w:rsidR="00CD412A" w:rsidRPr="00D53E56" w:rsidRDefault="00CD412A" w:rsidP="00947159">
      <w:pPr>
        <w:pStyle w:val="Heading2"/>
        <w:rPr>
          <w:rFonts w:asciiTheme="minorBidi" w:hAnsiTheme="minorBidi" w:cstheme="minorBidi"/>
        </w:rPr>
      </w:pPr>
      <w:bookmarkStart w:id="52" w:name="_Toc216711858"/>
      <w:r w:rsidRPr="00D53E56">
        <w:rPr>
          <w:rFonts w:asciiTheme="minorBidi" w:hAnsiTheme="minorBidi" w:cstheme="minorBidi"/>
        </w:rPr>
        <w:lastRenderedPageBreak/>
        <w:t>3.4 Comparative Leadership Evaluation</w:t>
      </w:r>
      <w:bookmarkEnd w:id="52"/>
    </w:p>
    <w:p w14:paraId="6500F535" w14:textId="07D5F2DA" w:rsidR="00CD412A" w:rsidRPr="00F05BB1" w:rsidRDefault="00CD412A" w:rsidP="008A416C">
      <w:pPr>
        <w:pStyle w:val="Heading3"/>
        <w:rPr>
          <w:rFonts w:ascii="Arial" w:hAnsi="Arial" w:cs="Arial"/>
        </w:rPr>
      </w:pPr>
      <w:bookmarkStart w:id="53" w:name="_Toc216711859"/>
      <w:r w:rsidRPr="00F05BB1">
        <w:rPr>
          <w:rFonts w:ascii="Arial" w:hAnsi="Arial" w:cs="Arial"/>
        </w:rPr>
        <w:t>3.4.1 Authoritarian, Transformational, and Collaborative Leadership Models</w:t>
      </w:r>
      <w:bookmarkEnd w:id="53"/>
    </w:p>
    <w:p w14:paraId="21AC6306" w14:textId="72976835" w:rsidR="00604090" w:rsidRPr="00D53E56" w:rsidRDefault="00A96D41" w:rsidP="00A96D41">
      <w:pPr>
        <w:rPr>
          <w:rFonts w:asciiTheme="minorBidi" w:hAnsiTheme="minorBidi"/>
          <w:sz w:val="22"/>
        </w:rPr>
      </w:pPr>
      <w:r w:rsidRPr="00E87ECB">
        <w:rPr>
          <w:rFonts w:asciiTheme="minorBidi" w:hAnsiTheme="minorBidi"/>
          <w:sz w:val="22"/>
        </w:rPr>
        <w:t>The leadership of Spain transformed to more coordinated and less bureaucratic-transactional and to stronger central authority institutionalised transformational and distributed leadership; Canada utilised the democratic and collaborative leadership subject to federalism (Kim, 2021; Nicola et al., 2020; Marchildon and Di Matteo, 2021).</w:t>
      </w:r>
    </w:p>
    <w:p w14:paraId="6D5FA93B" w14:textId="77777777" w:rsidR="00604090" w:rsidRPr="00D53E56" w:rsidRDefault="00604090" w:rsidP="00947159">
      <w:pPr>
        <w:pStyle w:val="Heading3"/>
        <w:rPr>
          <w:rFonts w:asciiTheme="minorBidi" w:hAnsiTheme="minorBidi" w:cstheme="minorBidi"/>
        </w:rPr>
      </w:pPr>
      <w:bookmarkStart w:id="54" w:name="_Toc216711860"/>
      <w:r w:rsidRPr="00D53E56">
        <w:rPr>
          <w:rFonts w:asciiTheme="minorBidi" w:hAnsiTheme="minorBidi" w:cstheme="minorBidi"/>
        </w:rPr>
        <w:t>3.4.2 The effects of the Leadership Styles on the performance of the system.</w:t>
      </w:r>
      <w:bookmarkEnd w:id="54"/>
    </w:p>
    <w:p w14:paraId="09EC244A" w14:textId="45F05793" w:rsidR="00604090" w:rsidRPr="00D53E56" w:rsidRDefault="00A96D41" w:rsidP="00A96D41">
      <w:pPr>
        <w:rPr>
          <w:rFonts w:asciiTheme="minorBidi" w:hAnsiTheme="minorBidi"/>
          <w:sz w:val="22"/>
        </w:rPr>
      </w:pPr>
      <w:r w:rsidRPr="00E87ECB">
        <w:rPr>
          <w:rFonts w:asciiTheme="minorBidi" w:hAnsiTheme="minorBidi"/>
          <w:sz w:val="22"/>
        </w:rPr>
        <w:t>South Korea provided transformational and agile crisis leadership that provided quick containment and early low mortality. The initial bureaucratic latency in Spain and negotiated federalism in Canada adversely affected the speed of initial response, resulting in increased future wave requirements (Kim et al., 2020; Mattei and Del Pino, 2021).</w:t>
      </w:r>
    </w:p>
    <w:p w14:paraId="4338D511" w14:textId="77777777" w:rsidR="00604090" w:rsidRPr="00D53E56" w:rsidRDefault="00604090" w:rsidP="00947159">
      <w:pPr>
        <w:pStyle w:val="Heading3"/>
        <w:rPr>
          <w:rFonts w:asciiTheme="minorBidi" w:hAnsiTheme="minorBidi" w:cstheme="minorBidi"/>
        </w:rPr>
      </w:pPr>
      <w:bookmarkStart w:id="55" w:name="_Toc216711861"/>
      <w:r w:rsidRPr="00D53E56">
        <w:rPr>
          <w:rFonts w:asciiTheme="minorBidi" w:hAnsiTheme="minorBidi" w:cstheme="minorBidi"/>
        </w:rPr>
        <w:t>3.4.3 Crisis communication, Leadership and compliance with policies.</w:t>
      </w:r>
      <w:bookmarkEnd w:id="55"/>
    </w:p>
    <w:p w14:paraId="7652D121" w14:textId="1FEA0DAB" w:rsidR="00604090" w:rsidRPr="00D53E56" w:rsidRDefault="00A96D41" w:rsidP="00A96D41">
      <w:pPr>
        <w:rPr>
          <w:rFonts w:asciiTheme="minorBidi" w:hAnsiTheme="minorBidi"/>
          <w:sz w:val="22"/>
        </w:rPr>
      </w:pPr>
      <w:r w:rsidRPr="00E87ECB">
        <w:rPr>
          <w:rFonts w:asciiTheme="minorBidi" w:hAnsiTheme="minorBidi"/>
          <w:sz w:val="22"/>
        </w:rPr>
        <w:t>The compliance and trust were enhanced by open professional-focused communication in South Korea and subsequent vaccine phase in Spain. But, on the contrary, adherence decreased during crucial times in Spain during the first wave and in some regions of Canada due to inconsistent messages and intergovernmental conflicts (Moon, 2020; Navarro and Velasco, 2022; Migone, 2020).</w:t>
      </w:r>
    </w:p>
    <w:p w14:paraId="622DC4AA" w14:textId="6AA79421" w:rsidR="00604090" w:rsidRPr="00F05BB1" w:rsidRDefault="00604090" w:rsidP="00AC5D3A">
      <w:pPr>
        <w:pStyle w:val="Heading3"/>
        <w:rPr>
          <w:rFonts w:ascii="Arial" w:hAnsi="Arial" w:cs="Arial"/>
        </w:rPr>
      </w:pPr>
      <w:bookmarkStart w:id="56" w:name="_Toc216711862"/>
      <w:r w:rsidRPr="00F05BB1">
        <w:rPr>
          <w:rFonts w:ascii="Arial" w:hAnsi="Arial" w:cs="Arial"/>
        </w:rPr>
        <w:t>3.4.4 Comparative Performance in Health system core-shock management.</w:t>
      </w:r>
      <w:bookmarkEnd w:id="56"/>
    </w:p>
    <w:p w14:paraId="148B07F3" w14:textId="77777777" w:rsidR="00A96D41" w:rsidRPr="00E87ECB" w:rsidRDefault="00A96D41" w:rsidP="00A96D41">
      <w:pPr>
        <w:rPr>
          <w:rFonts w:asciiTheme="minorBidi" w:hAnsiTheme="minorBidi"/>
          <w:sz w:val="22"/>
        </w:rPr>
      </w:pPr>
      <w:r w:rsidRPr="00E87ECB">
        <w:rPr>
          <w:rFonts w:asciiTheme="minorBidi" w:hAnsiTheme="minorBidi"/>
          <w:sz w:val="22"/>
        </w:rPr>
        <w:t>Combative leadership that had decisive authority concerning crises with participatory and distributed leadership was the most resilient. South Korea was the best integrator of this hybrid form, and Spain and Canada were partially convergent at later stages of vaccination. The comparative evidence validates that the effective leadership of the pandemic relies not on an individual leadership style but the ability to dynamically change between styles responding to the emerging pressures of the system (Janssen and Van der Voort, 2020; Smithson, 2022).</w:t>
      </w:r>
    </w:p>
    <w:p w14:paraId="10DE9A55" w14:textId="78C0B920" w:rsidR="00604090" w:rsidRPr="00D53E56" w:rsidRDefault="00604090" w:rsidP="00604090">
      <w:pPr>
        <w:rPr>
          <w:rFonts w:asciiTheme="minorBidi" w:hAnsiTheme="minorBidi"/>
          <w:sz w:val="22"/>
        </w:rPr>
      </w:pPr>
    </w:p>
    <w:p w14:paraId="46D369EC" w14:textId="77777777" w:rsidR="00604090" w:rsidRPr="00D53E56" w:rsidRDefault="00604090" w:rsidP="00604090">
      <w:pPr>
        <w:rPr>
          <w:rFonts w:asciiTheme="minorBidi" w:hAnsiTheme="minorBidi"/>
          <w:sz w:val="22"/>
        </w:rPr>
      </w:pPr>
    </w:p>
    <w:p w14:paraId="0A30DADC" w14:textId="77777777" w:rsidR="00D53E56" w:rsidRDefault="00D53E56">
      <w:pPr>
        <w:spacing w:line="259" w:lineRule="auto"/>
        <w:jc w:val="left"/>
        <w:rPr>
          <w:rFonts w:asciiTheme="minorBidi" w:eastAsiaTheme="majorEastAsia" w:hAnsiTheme="minorBidi"/>
          <w:b/>
          <w:color w:val="4472C4" w:themeColor="accent1"/>
          <w:sz w:val="32"/>
          <w:szCs w:val="32"/>
        </w:rPr>
      </w:pPr>
      <w:r>
        <w:rPr>
          <w:rFonts w:asciiTheme="minorBidi" w:hAnsiTheme="minorBidi"/>
        </w:rPr>
        <w:br w:type="page"/>
      </w:r>
    </w:p>
    <w:p w14:paraId="379361AB" w14:textId="42EFF257" w:rsidR="00604090" w:rsidRPr="00D53E56" w:rsidRDefault="00604090" w:rsidP="00947159">
      <w:pPr>
        <w:pStyle w:val="Heading1"/>
        <w:rPr>
          <w:rFonts w:asciiTheme="minorBidi" w:hAnsiTheme="minorBidi" w:cstheme="minorBidi"/>
        </w:rPr>
      </w:pPr>
      <w:bookmarkStart w:id="57" w:name="_Toc216711863"/>
      <w:r w:rsidRPr="00D53E56">
        <w:rPr>
          <w:rFonts w:asciiTheme="minorBidi" w:hAnsiTheme="minorBidi" w:cstheme="minorBidi"/>
        </w:rPr>
        <w:lastRenderedPageBreak/>
        <w:t>4. Conclusion</w:t>
      </w:r>
      <w:bookmarkEnd w:id="57"/>
      <w:r w:rsidRPr="00D53E56">
        <w:rPr>
          <w:rFonts w:asciiTheme="minorBidi" w:hAnsiTheme="minorBidi" w:cstheme="minorBidi"/>
        </w:rPr>
        <w:t xml:space="preserve"> </w:t>
      </w:r>
    </w:p>
    <w:p w14:paraId="498DCA16" w14:textId="2C16BC48" w:rsidR="00CD412A" w:rsidRPr="00D53E56" w:rsidRDefault="00604090" w:rsidP="00604090">
      <w:pPr>
        <w:rPr>
          <w:rFonts w:asciiTheme="minorBidi" w:hAnsiTheme="minorBidi"/>
          <w:sz w:val="22"/>
        </w:rPr>
      </w:pPr>
      <w:r w:rsidRPr="00D53E56">
        <w:rPr>
          <w:rFonts w:asciiTheme="minorBidi" w:hAnsiTheme="minorBidi"/>
          <w:sz w:val="22"/>
        </w:rPr>
        <w:t>This report has critically assessed the role of health system organisation and a leadership style in influencing the response of Spain, South Korea, and Canada to the COVID-19 pandemic. The discussion has shown that the containment and high public compliance was made possible in South Korea because of the centralised form of governance and transformational-distributed leadership. The highly decentralised structure in Spain initially contributed to the inability to provide coherent leadership on the matter of crises but eventually led to high performance in terms of vaccination due to better coordination. The federal and collaborative leadership in Canada provided political cohesion and good vaccine coverage, but there were delays in early response, indicating the problems with coordination. All in all, the interplay between the organisation of governance structures and the leadership behaviour was critical in the success of the pandemic and provides crucial insights into the future global health crisis.</w:t>
      </w:r>
    </w:p>
    <w:p w14:paraId="13AE92AC" w14:textId="77777777" w:rsidR="00F46DD0" w:rsidRPr="00D53E56" w:rsidRDefault="00F46DD0" w:rsidP="00604090">
      <w:pPr>
        <w:rPr>
          <w:rFonts w:asciiTheme="minorBidi" w:hAnsiTheme="minorBidi"/>
          <w:sz w:val="22"/>
        </w:rPr>
      </w:pPr>
    </w:p>
    <w:p w14:paraId="7B1D0FCF" w14:textId="77777777" w:rsidR="00D53E56" w:rsidRDefault="00D53E56">
      <w:pPr>
        <w:spacing w:line="259" w:lineRule="auto"/>
        <w:jc w:val="left"/>
        <w:rPr>
          <w:rFonts w:asciiTheme="minorBidi" w:eastAsiaTheme="majorEastAsia" w:hAnsiTheme="minorBidi"/>
          <w:b/>
          <w:color w:val="4472C4" w:themeColor="accent1"/>
          <w:sz w:val="32"/>
          <w:szCs w:val="32"/>
        </w:rPr>
      </w:pPr>
      <w:r>
        <w:rPr>
          <w:rFonts w:asciiTheme="minorBidi" w:hAnsiTheme="minorBidi"/>
        </w:rPr>
        <w:br w:type="page"/>
      </w:r>
    </w:p>
    <w:p w14:paraId="739193CD" w14:textId="0F48E8F1" w:rsidR="00F46DD0" w:rsidRPr="00D53E56" w:rsidRDefault="00F46DD0" w:rsidP="00947159">
      <w:pPr>
        <w:pStyle w:val="Heading1"/>
        <w:rPr>
          <w:rFonts w:asciiTheme="minorBidi" w:hAnsiTheme="minorBidi" w:cstheme="minorBidi"/>
        </w:rPr>
      </w:pPr>
      <w:bookmarkStart w:id="58" w:name="_Toc216711864"/>
      <w:r w:rsidRPr="00D53E56">
        <w:rPr>
          <w:rFonts w:asciiTheme="minorBidi" w:hAnsiTheme="minorBidi" w:cstheme="minorBidi"/>
        </w:rPr>
        <w:lastRenderedPageBreak/>
        <w:t>References</w:t>
      </w:r>
      <w:bookmarkEnd w:id="58"/>
    </w:p>
    <w:p w14:paraId="17B5EC89" w14:textId="77777777" w:rsidR="00F46DD0" w:rsidRPr="00D53E56" w:rsidRDefault="00F46DD0" w:rsidP="00F05BB1">
      <w:pPr>
        <w:pStyle w:val="NormalWeb"/>
        <w:spacing w:line="360" w:lineRule="auto"/>
        <w:jc w:val="both"/>
        <w:rPr>
          <w:rFonts w:asciiTheme="minorBidi" w:hAnsiTheme="minorBidi" w:cstheme="minorBidi"/>
          <w:sz w:val="22"/>
          <w:szCs w:val="22"/>
        </w:rPr>
      </w:pPr>
      <w:r w:rsidRPr="00D53E56">
        <w:rPr>
          <w:rFonts w:asciiTheme="minorBidi" w:hAnsiTheme="minorBidi" w:cstheme="minorBidi"/>
          <w:sz w:val="22"/>
          <w:szCs w:val="22"/>
        </w:rPr>
        <w:t>Assefa, Y., Gilks, C. F., Reid, S., van de Pas, R., Gete, D. G., and Van Damme, W. (2022). Analysis of the COVID-19 pandemic: lessons towards a more effective response to public health emergencies. </w:t>
      </w:r>
      <w:r w:rsidRPr="00D53E56">
        <w:rPr>
          <w:rFonts w:asciiTheme="minorBidi" w:hAnsiTheme="minorBidi" w:cstheme="minorBidi"/>
          <w:i/>
          <w:iCs/>
          <w:sz w:val="22"/>
          <w:szCs w:val="22"/>
        </w:rPr>
        <w:t>Globalization and health</w:t>
      </w:r>
      <w:r w:rsidRPr="00D53E56">
        <w:rPr>
          <w:rFonts w:asciiTheme="minorBidi" w:hAnsiTheme="minorBidi" w:cstheme="minorBidi"/>
          <w:sz w:val="22"/>
          <w:szCs w:val="22"/>
        </w:rPr>
        <w:t>, </w:t>
      </w:r>
      <w:r w:rsidRPr="00D53E56">
        <w:rPr>
          <w:rFonts w:asciiTheme="minorBidi" w:hAnsiTheme="minorBidi" w:cstheme="minorBidi"/>
          <w:i/>
          <w:iCs/>
          <w:sz w:val="22"/>
          <w:szCs w:val="22"/>
        </w:rPr>
        <w:t>18</w:t>
      </w:r>
      <w:r w:rsidRPr="00D53E56">
        <w:rPr>
          <w:rFonts w:asciiTheme="minorBidi" w:hAnsiTheme="minorBidi" w:cstheme="minorBidi"/>
          <w:sz w:val="22"/>
          <w:szCs w:val="22"/>
        </w:rPr>
        <w:t>(1), 10.</w:t>
      </w:r>
    </w:p>
    <w:p w14:paraId="39400E53" w14:textId="77777777" w:rsidR="00F46DD0" w:rsidRPr="00D53E56" w:rsidRDefault="00F46DD0" w:rsidP="00F05BB1">
      <w:pPr>
        <w:pStyle w:val="NormalWeb"/>
        <w:spacing w:line="360" w:lineRule="auto"/>
        <w:jc w:val="both"/>
        <w:rPr>
          <w:rFonts w:asciiTheme="minorBidi" w:hAnsiTheme="minorBidi" w:cstheme="minorBidi"/>
          <w:sz w:val="22"/>
          <w:szCs w:val="22"/>
        </w:rPr>
      </w:pPr>
      <w:r w:rsidRPr="00D53E56">
        <w:rPr>
          <w:rFonts w:asciiTheme="minorBidi" w:hAnsiTheme="minorBidi" w:cstheme="minorBidi"/>
          <w:sz w:val="22"/>
          <w:szCs w:val="22"/>
        </w:rPr>
        <w:t>Casula, M., and Pazos-Vidal, S. (2021). Assessing the multi-level government response to the COVID-19 crisis: Italy and Spain compared. </w:t>
      </w:r>
      <w:r w:rsidRPr="00D53E56">
        <w:rPr>
          <w:rFonts w:asciiTheme="minorBidi" w:hAnsiTheme="minorBidi" w:cstheme="minorBidi"/>
          <w:i/>
          <w:iCs/>
          <w:sz w:val="22"/>
          <w:szCs w:val="22"/>
        </w:rPr>
        <w:t>International Journal of Public Administration</w:t>
      </w:r>
      <w:r w:rsidRPr="00D53E56">
        <w:rPr>
          <w:rFonts w:asciiTheme="minorBidi" w:hAnsiTheme="minorBidi" w:cstheme="minorBidi"/>
          <w:sz w:val="22"/>
          <w:szCs w:val="22"/>
        </w:rPr>
        <w:t>, </w:t>
      </w:r>
      <w:r w:rsidRPr="00D53E56">
        <w:rPr>
          <w:rFonts w:asciiTheme="minorBidi" w:hAnsiTheme="minorBidi" w:cstheme="minorBidi"/>
          <w:i/>
          <w:iCs/>
          <w:sz w:val="22"/>
          <w:szCs w:val="22"/>
        </w:rPr>
        <w:t>44</w:t>
      </w:r>
      <w:r w:rsidRPr="00D53E56">
        <w:rPr>
          <w:rFonts w:asciiTheme="minorBidi" w:hAnsiTheme="minorBidi" w:cstheme="minorBidi"/>
          <w:sz w:val="22"/>
          <w:szCs w:val="22"/>
        </w:rPr>
        <w:t>(11-12), 994-1005.</w:t>
      </w:r>
    </w:p>
    <w:p w14:paraId="697255B9" w14:textId="77777777" w:rsidR="00F46DD0" w:rsidRPr="00D53E56" w:rsidRDefault="00F46DD0" w:rsidP="00F05BB1">
      <w:pPr>
        <w:pStyle w:val="NormalWeb"/>
        <w:spacing w:line="360" w:lineRule="auto"/>
        <w:jc w:val="both"/>
        <w:rPr>
          <w:rFonts w:asciiTheme="minorBidi" w:hAnsiTheme="minorBidi" w:cstheme="minorBidi"/>
          <w:sz w:val="22"/>
          <w:szCs w:val="22"/>
        </w:rPr>
      </w:pPr>
      <w:r w:rsidRPr="00D53E56">
        <w:rPr>
          <w:rFonts w:asciiTheme="minorBidi" w:hAnsiTheme="minorBidi" w:cstheme="minorBidi"/>
          <w:sz w:val="22"/>
          <w:szCs w:val="22"/>
        </w:rPr>
        <w:t>Choi, Y. J. (2020). The power of collaborative governance: The case of South Korea responding to COVID</w:t>
      </w:r>
      <w:r w:rsidRPr="00D53E56">
        <w:rPr>
          <w:rFonts w:ascii="Cambria Math" w:hAnsi="Cambria Math" w:cs="Cambria Math"/>
          <w:sz w:val="22"/>
          <w:szCs w:val="22"/>
        </w:rPr>
        <w:t>‐</w:t>
      </w:r>
      <w:r w:rsidRPr="00D53E56">
        <w:rPr>
          <w:rFonts w:asciiTheme="minorBidi" w:hAnsiTheme="minorBidi" w:cstheme="minorBidi"/>
          <w:sz w:val="22"/>
          <w:szCs w:val="22"/>
        </w:rPr>
        <w:t>19 pandemic.</w:t>
      </w:r>
      <w:r w:rsidRPr="00D53E56">
        <w:rPr>
          <w:rFonts w:ascii="Arial" w:hAnsi="Arial" w:cs="Arial"/>
          <w:sz w:val="22"/>
          <w:szCs w:val="22"/>
        </w:rPr>
        <w:t> </w:t>
      </w:r>
      <w:r w:rsidRPr="00D53E56">
        <w:rPr>
          <w:rFonts w:asciiTheme="minorBidi" w:hAnsiTheme="minorBidi" w:cstheme="minorBidi"/>
          <w:i/>
          <w:iCs/>
          <w:sz w:val="22"/>
          <w:szCs w:val="22"/>
        </w:rPr>
        <w:t>World Medical and Health Policy</w:t>
      </w:r>
      <w:r w:rsidRPr="00D53E56">
        <w:rPr>
          <w:rFonts w:asciiTheme="minorBidi" w:hAnsiTheme="minorBidi" w:cstheme="minorBidi"/>
          <w:sz w:val="22"/>
          <w:szCs w:val="22"/>
        </w:rPr>
        <w:t>, </w:t>
      </w:r>
      <w:r w:rsidRPr="00D53E56">
        <w:rPr>
          <w:rFonts w:asciiTheme="minorBidi" w:hAnsiTheme="minorBidi" w:cstheme="minorBidi"/>
          <w:i/>
          <w:iCs/>
          <w:sz w:val="22"/>
          <w:szCs w:val="22"/>
        </w:rPr>
        <w:t>12</w:t>
      </w:r>
      <w:r w:rsidRPr="00D53E56">
        <w:rPr>
          <w:rFonts w:asciiTheme="minorBidi" w:hAnsiTheme="minorBidi" w:cstheme="minorBidi"/>
          <w:sz w:val="22"/>
          <w:szCs w:val="22"/>
        </w:rPr>
        <w:t>(4), 430-442.</w:t>
      </w:r>
    </w:p>
    <w:p w14:paraId="624F96A9" w14:textId="77777777" w:rsidR="00F46DD0" w:rsidRPr="00D53E56" w:rsidRDefault="00F46DD0" w:rsidP="00F05BB1">
      <w:pPr>
        <w:pStyle w:val="NormalWeb"/>
        <w:spacing w:line="360" w:lineRule="auto"/>
        <w:jc w:val="both"/>
        <w:rPr>
          <w:rFonts w:asciiTheme="minorBidi" w:hAnsiTheme="minorBidi" w:cstheme="minorBidi"/>
          <w:sz w:val="22"/>
          <w:szCs w:val="22"/>
        </w:rPr>
      </w:pPr>
      <w:r w:rsidRPr="00D53E56">
        <w:rPr>
          <w:rFonts w:asciiTheme="minorBidi" w:hAnsiTheme="minorBidi" w:cstheme="minorBidi"/>
          <w:sz w:val="22"/>
          <w:szCs w:val="22"/>
        </w:rPr>
        <w:t>Cyr, A., Mondal, P., and Hansen, G. (2021). An inconsistent Canadian provincial and territorial response during the early COVID-19 pandemic. </w:t>
      </w:r>
      <w:r w:rsidRPr="00D53E56">
        <w:rPr>
          <w:rFonts w:asciiTheme="minorBidi" w:hAnsiTheme="minorBidi" w:cstheme="minorBidi"/>
          <w:i/>
          <w:iCs/>
          <w:sz w:val="22"/>
          <w:szCs w:val="22"/>
        </w:rPr>
        <w:t>Frontiers in Public Health</w:t>
      </w:r>
      <w:r w:rsidRPr="00D53E56">
        <w:rPr>
          <w:rFonts w:asciiTheme="minorBidi" w:hAnsiTheme="minorBidi" w:cstheme="minorBidi"/>
          <w:sz w:val="22"/>
          <w:szCs w:val="22"/>
        </w:rPr>
        <w:t>, </w:t>
      </w:r>
      <w:r w:rsidRPr="00D53E56">
        <w:rPr>
          <w:rFonts w:asciiTheme="minorBidi" w:hAnsiTheme="minorBidi" w:cstheme="minorBidi"/>
          <w:i/>
          <w:iCs/>
          <w:sz w:val="22"/>
          <w:szCs w:val="22"/>
        </w:rPr>
        <w:t>9</w:t>
      </w:r>
      <w:r w:rsidRPr="00D53E56">
        <w:rPr>
          <w:rFonts w:asciiTheme="minorBidi" w:hAnsiTheme="minorBidi" w:cstheme="minorBidi"/>
          <w:sz w:val="22"/>
          <w:szCs w:val="22"/>
        </w:rPr>
        <w:t>, 708903.</w:t>
      </w:r>
    </w:p>
    <w:p w14:paraId="2253C649" w14:textId="77777777" w:rsidR="00F46DD0" w:rsidRPr="00D53E56" w:rsidRDefault="00F46DD0" w:rsidP="00F05BB1">
      <w:pPr>
        <w:pStyle w:val="NormalWeb"/>
        <w:spacing w:line="360" w:lineRule="auto"/>
        <w:jc w:val="both"/>
        <w:rPr>
          <w:rFonts w:asciiTheme="minorBidi" w:hAnsiTheme="minorBidi" w:cstheme="minorBidi"/>
          <w:sz w:val="22"/>
          <w:szCs w:val="22"/>
        </w:rPr>
      </w:pPr>
      <w:r w:rsidRPr="00D53E56">
        <w:rPr>
          <w:rFonts w:asciiTheme="minorBidi" w:hAnsiTheme="minorBidi" w:cstheme="minorBidi"/>
          <w:sz w:val="22"/>
          <w:szCs w:val="22"/>
        </w:rPr>
        <w:t>Detsky, A. S., and Bogoch, I. I. (2021). COVID-19 in Canada: experience and response to waves 2 and 3. </w:t>
      </w:r>
      <w:r w:rsidRPr="00D53E56">
        <w:rPr>
          <w:rFonts w:asciiTheme="minorBidi" w:hAnsiTheme="minorBidi" w:cstheme="minorBidi"/>
          <w:i/>
          <w:iCs/>
          <w:sz w:val="22"/>
          <w:szCs w:val="22"/>
        </w:rPr>
        <w:t>Jama</w:t>
      </w:r>
      <w:r w:rsidRPr="00D53E56">
        <w:rPr>
          <w:rFonts w:asciiTheme="minorBidi" w:hAnsiTheme="minorBidi" w:cstheme="minorBidi"/>
          <w:sz w:val="22"/>
          <w:szCs w:val="22"/>
        </w:rPr>
        <w:t>, </w:t>
      </w:r>
      <w:r w:rsidRPr="00D53E56">
        <w:rPr>
          <w:rFonts w:asciiTheme="minorBidi" w:hAnsiTheme="minorBidi" w:cstheme="minorBidi"/>
          <w:i/>
          <w:iCs/>
          <w:sz w:val="22"/>
          <w:szCs w:val="22"/>
        </w:rPr>
        <w:t>326</w:t>
      </w:r>
      <w:r w:rsidRPr="00D53E56">
        <w:rPr>
          <w:rFonts w:asciiTheme="minorBidi" w:hAnsiTheme="minorBidi" w:cstheme="minorBidi"/>
          <w:sz w:val="22"/>
          <w:szCs w:val="22"/>
        </w:rPr>
        <w:t>(12), 1145-1146.</w:t>
      </w:r>
    </w:p>
    <w:p w14:paraId="02EA9FC9" w14:textId="77777777" w:rsidR="00F46DD0" w:rsidRPr="00D53E56" w:rsidRDefault="00F46DD0" w:rsidP="00F05BB1">
      <w:pPr>
        <w:pStyle w:val="NormalWeb"/>
        <w:spacing w:line="360" w:lineRule="auto"/>
        <w:jc w:val="both"/>
        <w:rPr>
          <w:rFonts w:asciiTheme="minorBidi" w:hAnsiTheme="minorBidi" w:cstheme="minorBidi"/>
          <w:sz w:val="22"/>
          <w:szCs w:val="22"/>
        </w:rPr>
      </w:pPr>
      <w:r w:rsidRPr="00D53E56">
        <w:rPr>
          <w:rFonts w:asciiTheme="minorBidi" w:hAnsiTheme="minorBidi" w:cstheme="minorBidi"/>
          <w:sz w:val="22"/>
          <w:szCs w:val="22"/>
        </w:rPr>
        <w:t>Dubé, M., Kaba, A., Cronin, T., Barnes, S., Fuselli, T., and Grant, V. (2020). COVID-19 pandemic preparation: using simulation for systems-based learning to prepare the largest healthcare workforce and system in Canada. </w:t>
      </w:r>
      <w:r w:rsidRPr="00D53E56">
        <w:rPr>
          <w:rFonts w:asciiTheme="minorBidi" w:hAnsiTheme="minorBidi" w:cstheme="minorBidi"/>
          <w:i/>
          <w:iCs/>
          <w:sz w:val="22"/>
          <w:szCs w:val="22"/>
        </w:rPr>
        <w:t>Advances in Simulation</w:t>
      </w:r>
      <w:r w:rsidRPr="00D53E56">
        <w:rPr>
          <w:rFonts w:asciiTheme="minorBidi" w:hAnsiTheme="minorBidi" w:cstheme="minorBidi"/>
          <w:sz w:val="22"/>
          <w:szCs w:val="22"/>
        </w:rPr>
        <w:t>, </w:t>
      </w:r>
      <w:r w:rsidRPr="00D53E56">
        <w:rPr>
          <w:rFonts w:asciiTheme="minorBidi" w:hAnsiTheme="minorBidi" w:cstheme="minorBidi"/>
          <w:i/>
          <w:iCs/>
          <w:sz w:val="22"/>
          <w:szCs w:val="22"/>
        </w:rPr>
        <w:t>5</w:t>
      </w:r>
      <w:r w:rsidRPr="00D53E56">
        <w:rPr>
          <w:rFonts w:asciiTheme="minorBidi" w:hAnsiTheme="minorBidi" w:cstheme="minorBidi"/>
          <w:sz w:val="22"/>
          <w:szCs w:val="22"/>
        </w:rPr>
        <w:t>(1), 22.</w:t>
      </w:r>
    </w:p>
    <w:p w14:paraId="7E009D82" w14:textId="77777777" w:rsidR="00F46DD0" w:rsidRPr="00D53E56" w:rsidRDefault="00F46DD0" w:rsidP="00F05BB1">
      <w:pPr>
        <w:pStyle w:val="NormalWeb"/>
        <w:spacing w:line="360" w:lineRule="auto"/>
        <w:jc w:val="both"/>
        <w:rPr>
          <w:rFonts w:asciiTheme="minorBidi" w:hAnsiTheme="minorBidi" w:cstheme="minorBidi"/>
          <w:sz w:val="22"/>
          <w:szCs w:val="22"/>
        </w:rPr>
      </w:pPr>
      <w:r w:rsidRPr="00D53E56">
        <w:rPr>
          <w:rFonts w:asciiTheme="minorBidi" w:hAnsiTheme="minorBidi" w:cstheme="minorBidi"/>
          <w:sz w:val="22"/>
          <w:szCs w:val="22"/>
        </w:rPr>
        <w:t>Erkoreka, M., and Hernando</w:t>
      </w:r>
      <w:r w:rsidRPr="00D53E56">
        <w:rPr>
          <w:rFonts w:ascii="Cambria Math" w:hAnsi="Cambria Math" w:cs="Cambria Math"/>
          <w:sz w:val="22"/>
          <w:szCs w:val="22"/>
        </w:rPr>
        <w:t>‐</w:t>
      </w:r>
      <w:r w:rsidRPr="00D53E56">
        <w:rPr>
          <w:rFonts w:asciiTheme="minorBidi" w:hAnsiTheme="minorBidi" w:cstheme="minorBidi"/>
          <w:sz w:val="22"/>
          <w:szCs w:val="22"/>
        </w:rPr>
        <w:t>P</w:t>
      </w:r>
      <w:r w:rsidRPr="00D53E56">
        <w:rPr>
          <w:rFonts w:ascii="Arial" w:hAnsi="Arial" w:cs="Arial"/>
          <w:sz w:val="22"/>
          <w:szCs w:val="22"/>
        </w:rPr>
        <w:t>é</w:t>
      </w:r>
      <w:r w:rsidRPr="00D53E56">
        <w:rPr>
          <w:rFonts w:asciiTheme="minorBidi" w:hAnsiTheme="minorBidi" w:cstheme="minorBidi"/>
          <w:sz w:val="22"/>
          <w:szCs w:val="22"/>
        </w:rPr>
        <w:t>rez, J. (2023). Decentralization: A handicap in fighting the COVID</w:t>
      </w:r>
      <w:r w:rsidRPr="00D53E56">
        <w:rPr>
          <w:rFonts w:ascii="Cambria Math" w:hAnsi="Cambria Math" w:cs="Cambria Math"/>
          <w:sz w:val="22"/>
          <w:szCs w:val="22"/>
        </w:rPr>
        <w:t>‐</w:t>
      </w:r>
      <w:r w:rsidRPr="00D53E56">
        <w:rPr>
          <w:rFonts w:asciiTheme="minorBidi" w:hAnsiTheme="minorBidi" w:cstheme="minorBidi"/>
          <w:sz w:val="22"/>
          <w:szCs w:val="22"/>
        </w:rPr>
        <w:t>19 pandemic? The response of the regional governments in Spain.</w:t>
      </w:r>
      <w:r w:rsidRPr="00D53E56">
        <w:rPr>
          <w:rFonts w:ascii="Arial" w:hAnsi="Arial" w:cs="Arial"/>
          <w:sz w:val="22"/>
          <w:szCs w:val="22"/>
        </w:rPr>
        <w:t> </w:t>
      </w:r>
      <w:r w:rsidRPr="00D53E56">
        <w:rPr>
          <w:rFonts w:asciiTheme="minorBidi" w:hAnsiTheme="minorBidi" w:cstheme="minorBidi"/>
          <w:i/>
          <w:iCs/>
          <w:sz w:val="22"/>
          <w:szCs w:val="22"/>
        </w:rPr>
        <w:t>Public Administration and Development</w:t>
      </w:r>
      <w:r w:rsidRPr="00D53E56">
        <w:rPr>
          <w:rFonts w:asciiTheme="minorBidi" w:hAnsiTheme="minorBidi" w:cstheme="minorBidi"/>
          <w:sz w:val="22"/>
          <w:szCs w:val="22"/>
        </w:rPr>
        <w:t>, </w:t>
      </w:r>
      <w:r w:rsidRPr="00D53E56">
        <w:rPr>
          <w:rFonts w:asciiTheme="minorBidi" w:hAnsiTheme="minorBidi" w:cstheme="minorBidi"/>
          <w:i/>
          <w:iCs/>
          <w:sz w:val="22"/>
          <w:szCs w:val="22"/>
        </w:rPr>
        <w:t>43</w:t>
      </w:r>
      <w:r w:rsidRPr="00D53E56">
        <w:rPr>
          <w:rFonts w:asciiTheme="minorBidi" w:hAnsiTheme="minorBidi" w:cstheme="minorBidi"/>
          <w:sz w:val="22"/>
          <w:szCs w:val="22"/>
        </w:rPr>
        <w:t>(2), 129-140.</w:t>
      </w:r>
    </w:p>
    <w:p w14:paraId="78A78CF8" w14:textId="77777777" w:rsidR="00F46DD0" w:rsidRPr="00D53E56" w:rsidRDefault="00F46DD0" w:rsidP="00F05BB1">
      <w:pPr>
        <w:pStyle w:val="NormalWeb"/>
        <w:spacing w:line="360" w:lineRule="auto"/>
        <w:jc w:val="both"/>
        <w:rPr>
          <w:rFonts w:asciiTheme="minorBidi" w:hAnsiTheme="minorBidi" w:cstheme="minorBidi"/>
          <w:sz w:val="22"/>
          <w:szCs w:val="22"/>
        </w:rPr>
      </w:pPr>
      <w:r w:rsidRPr="00D53E56">
        <w:rPr>
          <w:rFonts w:asciiTheme="minorBidi" w:hAnsiTheme="minorBidi" w:cstheme="minorBidi"/>
          <w:sz w:val="22"/>
          <w:szCs w:val="22"/>
        </w:rPr>
        <w:t>Figueroa, C. A., Harrison, R., Chauhan, A., and Meyer, L. (2019). Priorities and challenges for health leadership and workforce management globally: a rapid review. </w:t>
      </w:r>
      <w:r w:rsidRPr="00D53E56">
        <w:rPr>
          <w:rFonts w:asciiTheme="minorBidi" w:hAnsiTheme="minorBidi" w:cstheme="minorBidi"/>
          <w:i/>
          <w:iCs/>
          <w:sz w:val="22"/>
          <w:szCs w:val="22"/>
        </w:rPr>
        <w:t>BMC health services research</w:t>
      </w:r>
      <w:r w:rsidRPr="00D53E56">
        <w:rPr>
          <w:rFonts w:asciiTheme="minorBidi" w:hAnsiTheme="minorBidi" w:cstheme="minorBidi"/>
          <w:sz w:val="22"/>
          <w:szCs w:val="22"/>
        </w:rPr>
        <w:t>, </w:t>
      </w:r>
      <w:r w:rsidRPr="00D53E56">
        <w:rPr>
          <w:rFonts w:asciiTheme="minorBidi" w:hAnsiTheme="minorBidi" w:cstheme="minorBidi"/>
          <w:i/>
          <w:iCs/>
          <w:sz w:val="22"/>
          <w:szCs w:val="22"/>
        </w:rPr>
        <w:t>19</w:t>
      </w:r>
      <w:r w:rsidRPr="00D53E56">
        <w:rPr>
          <w:rFonts w:asciiTheme="minorBidi" w:hAnsiTheme="minorBidi" w:cstheme="minorBidi"/>
          <w:sz w:val="22"/>
          <w:szCs w:val="22"/>
        </w:rPr>
        <w:t>(1), 239.</w:t>
      </w:r>
    </w:p>
    <w:p w14:paraId="4ED809E4" w14:textId="77777777" w:rsidR="00F46DD0" w:rsidRPr="00D53E56" w:rsidRDefault="00F46DD0" w:rsidP="00F05BB1">
      <w:pPr>
        <w:pStyle w:val="NormalWeb"/>
        <w:spacing w:line="360" w:lineRule="auto"/>
        <w:jc w:val="both"/>
        <w:rPr>
          <w:rFonts w:asciiTheme="minorBidi" w:hAnsiTheme="minorBidi" w:cstheme="minorBidi"/>
          <w:sz w:val="22"/>
          <w:szCs w:val="22"/>
        </w:rPr>
      </w:pPr>
      <w:r w:rsidRPr="00D53E56">
        <w:rPr>
          <w:rFonts w:asciiTheme="minorBidi" w:hAnsiTheme="minorBidi" w:cstheme="minorBidi"/>
          <w:sz w:val="22"/>
          <w:szCs w:val="22"/>
        </w:rPr>
        <w:t>Glenn, J., Chaumont, C., and Villalobos Dintrans, P. (2021). Public health leadership in the times of COVID-19: a comparative case study of three countries. International Journal of Public Leadership, 17(1), 81-94.</w:t>
      </w:r>
    </w:p>
    <w:p w14:paraId="51005D26" w14:textId="77777777" w:rsidR="00F46DD0" w:rsidRPr="00D53E56" w:rsidRDefault="00F46DD0" w:rsidP="00F05BB1">
      <w:pPr>
        <w:pStyle w:val="NormalWeb"/>
        <w:spacing w:line="360" w:lineRule="auto"/>
        <w:jc w:val="both"/>
        <w:rPr>
          <w:rFonts w:asciiTheme="minorBidi" w:hAnsiTheme="minorBidi" w:cstheme="minorBidi"/>
          <w:sz w:val="22"/>
          <w:szCs w:val="22"/>
        </w:rPr>
      </w:pPr>
      <w:r w:rsidRPr="00D53E56">
        <w:rPr>
          <w:rFonts w:asciiTheme="minorBidi" w:hAnsiTheme="minorBidi" w:cstheme="minorBidi"/>
          <w:sz w:val="22"/>
          <w:szCs w:val="22"/>
        </w:rPr>
        <w:t xml:space="preserve">Government of Canada (2021) </w:t>
      </w:r>
      <w:r w:rsidRPr="00D53E56">
        <w:rPr>
          <w:rStyle w:val="Emphasis"/>
          <w:rFonts w:asciiTheme="minorBidi" w:hAnsiTheme="minorBidi" w:cstheme="minorBidi"/>
          <w:sz w:val="22"/>
          <w:szCs w:val="22"/>
        </w:rPr>
        <w:t>Canada’s COVID-19 Immunisation Plan</w:t>
      </w:r>
      <w:r w:rsidRPr="00D53E56">
        <w:rPr>
          <w:rFonts w:asciiTheme="minorBidi" w:hAnsiTheme="minorBidi" w:cstheme="minorBidi"/>
          <w:sz w:val="22"/>
          <w:szCs w:val="22"/>
        </w:rPr>
        <w:t>. Ottawa: Public Health Agency of Canada.</w:t>
      </w:r>
    </w:p>
    <w:p w14:paraId="1602552C" w14:textId="77777777" w:rsidR="00F46DD0" w:rsidRPr="00D53E56" w:rsidRDefault="00F46DD0" w:rsidP="00F05BB1">
      <w:pPr>
        <w:pStyle w:val="NormalWeb"/>
        <w:spacing w:line="360" w:lineRule="auto"/>
        <w:jc w:val="both"/>
        <w:rPr>
          <w:rFonts w:asciiTheme="minorBidi" w:hAnsiTheme="minorBidi" w:cstheme="minorBidi"/>
          <w:sz w:val="22"/>
          <w:szCs w:val="22"/>
        </w:rPr>
      </w:pPr>
      <w:r w:rsidRPr="00D53E56">
        <w:rPr>
          <w:rFonts w:asciiTheme="minorBidi" w:hAnsiTheme="minorBidi" w:cstheme="minorBidi"/>
          <w:sz w:val="22"/>
          <w:szCs w:val="22"/>
        </w:rPr>
        <w:lastRenderedPageBreak/>
        <w:t>Greer, S. L., Rozenblum, S., Falkenbach, M., Löblová, O., Jarman, H., Williams, N., and Wismar, M. (2022). Centralizing and decentralizing governance in the COVID-19 pandemic: The politics of credit and blame. </w:t>
      </w:r>
      <w:r w:rsidRPr="00D53E56">
        <w:rPr>
          <w:rFonts w:asciiTheme="minorBidi" w:hAnsiTheme="minorBidi" w:cstheme="minorBidi"/>
          <w:i/>
          <w:iCs/>
          <w:sz w:val="22"/>
          <w:szCs w:val="22"/>
        </w:rPr>
        <w:t>Health Policy</w:t>
      </w:r>
      <w:r w:rsidRPr="00D53E56">
        <w:rPr>
          <w:rFonts w:asciiTheme="minorBidi" w:hAnsiTheme="minorBidi" w:cstheme="minorBidi"/>
          <w:sz w:val="22"/>
          <w:szCs w:val="22"/>
        </w:rPr>
        <w:t>, </w:t>
      </w:r>
      <w:r w:rsidRPr="00D53E56">
        <w:rPr>
          <w:rFonts w:asciiTheme="minorBidi" w:hAnsiTheme="minorBidi" w:cstheme="minorBidi"/>
          <w:i/>
          <w:iCs/>
          <w:sz w:val="22"/>
          <w:szCs w:val="22"/>
        </w:rPr>
        <w:t>126</w:t>
      </w:r>
      <w:r w:rsidRPr="00D53E56">
        <w:rPr>
          <w:rFonts w:asciiTheme="minorBidi" w:hAnsiTheme="minorBidi" w:cstheme="minorBidi"/>
          <w:sz w:val="22"/>
          <w:szCs w:val="22"/>
        </w:rPr>
        <w:t>(5), 408-417.</w:t>
      </w:r>
    </w:p>
    <w:p w14:paraId="728A2EB5" w14:textId="77777777" w:rsidR="00F46DD0" w:rsidRPr="00D53E56" w:rsidRDefault="00F46DD0" w:rsidP="00F05BB1">
      <w:pPr>
        <w:pStyle w:val="NormalWeb"/>
        <w:spacing w:line="360" w:lineRule="auto"/>
        <w:jc w:val="both"/>
        <w:rPr>
          <w:rFonts w:asciiTheme="minorBidi" w:hAnsiTheme="minorBidi" w:cstheme="minorBidi"/>
          <w:sz w:val="22"/>
          <w:szCs w:val="22"/>
        </w:rPr>
      </w:pPr>
      <w:r w:rsidRPr="00D53E56">
        <w:rPr>
          <w:rFonts w:asciiTheme="minorBidi" w:hAnsiTheme="minorBidi" w:cstheme="minorBidi"/>
          <w:sz w:val="22"/>
          <w:szCs w:val="22"/>
        </w:rPr>
        <w:t xml:space="preserve">Greer, S.L. (2021) ‘National, regional and local public health in Spain and COVID-19’, </w:t>
      </w:r>
      <w:r w:rsidRPr="00D53E56">
        <w:rPr>
          <w:rStyle w:val="Emphasis"/>
          <w:rFonts w:asciiTheme="minorBidi" w:hAnsiTheme="minorBidi" w:cstheme="minorBidi"/>
          <w:sz w:val="22"/>
          <w:szCs w:val="22"/>
        </w:rPr>
        <w:t>Health Policy</w:t>
      </w:r>
      <w:r w:rsidRPr="00D53E56">
        <w:rPr>
          <w:rFonts w:asciiTheme="minorBidi" w:hAnsiTheme="minorBidi" w:cstheme="minorBidi"/>
          <w:sz w:val="22"/>
          <w:szCs w:val="22"/>
        </w:rPr>
        <w:t>, 125(4), pp. 528–534.</w:t>
      </w:r>
    </w:p>
    <w:p w14:paraId="3A2EB8A9" w14:textId="77777777" w:rsidR="00F46DD0" w:rsidRPr="00F05BB1" w:rsidRDefault="00F46DD0" w:rsidP="00F05BB1">
      <w:pPr>
        <w:rPr>
          <w:rFonts w:asciiTheme="minorBidi" w:hAnsiTheme="minorBidi"/>
          <w:sz w:val="22"/>
        </w:rPr>
      </w:pPr>
      <w:r w:rsidRPr="00F05BB1">
        <w:rPr>
          <w:rFonts w:asciiTheme="minorBidi" w:hAnsiTheme="minorBidi"/>
          <w:sz w:val="22"/>
        </w:rPr>
        <w:t xml:space="preserve">Greer, S.L., King, E.J., da Fonseca, E.M. and Peralta-Santos, A. (2020) ‘The comparative politics of COVID-19: The need to understand government responses’, </w:t>
      </w:r>
      <w:r w:rsidRPr="00F05BB1">
        <w:rPr>
          <w:rFonts w:asciiTheme="minorBidi" w:hAnsiTheme="minorBidi"/>
          <w:i/>
          <w:iCs/>
          <w:sz w:val="22"/>
        </w:rPr>
        <w:t>Global Public Health</w:t>
      </w:r>
      <w:r w:rsidRPr="00F05BB1">
        <w:rPr>
          <w:rFonts w:asciiTheme="minorBidi" w:hAnsiTheme="minorBidi"/>
          <w:sz w:val="22"/>
        </w:rPr>
        <w:t>, 15(9), pp. 1413–1416.</w:t>
      </w:r>
    </w:p>
    <w:p w14:paraId="2D6EFC3E" w14:textId="77777777" w:rsidR="00F46DD0" w:rsidRPr="00D53E56" w:rsidRDefault="00F46DD0" w:rsidP="00F05BB1">
      <w:pPr>
        <w:pStyle w:val="NormalWeb"/>
        <w:spacing w:line="360" w:lineRule="auto"/>
        <w:jc w:val="both"/>
        <w:rPr>
          <w:rFonts w:asciiTheme="minorBidi" w:hAnsiTheme="minorBidi" w:cstheme="minorBidi"/>
          <w:sz w:val="22"/>
          <w:szCs w:val="22"/>
        </w:rPr>
      </w:pPr>
      <w:r w:rsidRPr="00D53E56">
        <w:rPr>
          <w:rFonts w:asciiTheme="minorBidi" w:hAnsiTheme="minorBidi" w:cstheme="minorBidi"/>
          <w:sz w:val="22"/>
          <w:szCs w:val="22"/>
        </w:rPr>
        <w:t>Haldane, V., De Foo, C., Abdalla, S. M., Jung, A. S., Tan, M., Wu, S., ... and Legido-Quigley, H. (2021). Health systems resilience in managing the COVID-19 pandemic: lessons from 28 countries. </w:t>
      </w:r>
      <w:r w:rsidRPr="00D53E56">
        <w:rPr>
          <w:rFonts w:asciiTheme="minorBidi" w:hAnsiTheme="minorBidi" w:cstheme="minorBidi"/>
          <w:i/>
          <w:iCs/>
          <w:sz w:val="22"/>
          <w:szCs w:val="22"/>
        </w:rPr>
        <w:t>Nature medicine</w:t>
      </w:r>
      <w:r w:rsidRPr="00D53E56">
        <w:rPr>
          <w:rFonts w:asciiTheme="minorBidi" w:hAnsiTheme="minorBidi" w:cstheme="minorBidi"/>
          <w:sz w:val="22"/>
          <w:szCs w:val="22"/>
        </w:rPr>
        <w:t>, </w:t>
      </w:r>
      <w:r w:rsidRPr="00D53E56">
        <w:rPr>
          <w:rFonts w:asciiTheme="minorBidi" w:hAnsiTheme="minorBidi" w:cstheme="minorBidi"/>
          <w:i/>
          <w:iCs/>
          <w:sz w:val="22"/>
          <w:szCs w:val="22"/>
        </w:rPr>
        <w:t>27</w:t>
      </w:r>
      <w:r w:rsidRPr="00D53E56">
        <w:rPr>
          <w:rFonts w:asciiTheme="minorBidi" w:hAnsiTheme="minorBidi" w:cstheme="minorBidi"/>
          <w:sz w:val="22"/>
          <w:szCs w:val="22"/>
        </w:rPr>
        <w:t>(6), 964-980.</w:t>
      </w:r>
    </w:p>
    <w:p w14:paraId="15CFAFFE" w14:textId="77777777" w:rsidR="00F46DD0" w:rsidRPr="00D53E56" w:rsidRDefault="00F46DD0" w:rsidP="00F05BB1">
      <w:pPr>
        <w:pStyle w:val="NormalWeb"/>
        <w:spacing w:line="360" w:lineRule="auto"/>
        <w:jc w:val="both"/>
        <w:rPr>
          <w:rFonts w:asciiTheme="minorBidi" w:hAnsiTheme="minorBidi" w:cstheme="minorBidi"/>
          <w:sz w:val="22"/>
          <w:szCs w:val="22"/>
        </w:rPr>
      </w:pPr>
      <w:r w:rsidRPr="00D53E56">
        <w:rPr>
          <w:rFonts w:asciiTheme="minorBidi" w:hAnsiTheme="minorBidi" w:cstheme="minorBidi"/>
          <w:sz w:val="22"/>
          <w:szCs w:val="22"/>
        </w:rPr>
        <w:t>Hegele, Y., and Schnabel, J. (2021). Federalism and the management of the COVID-19 crisis: centralisation, decentralisation and (non-) coordination. </w:t>
      </w:r>
      <w:r w:rsidRPr="00D53E56">
        <w:rPr>
          <w:rFonts w:asciiTheme="minorBidi" w:hAnsiTheme="minorBidi" w:cstheme="minorBidi"/>
          <w:i/>
          <w:iCs/>
          <w:sz w:val="22"/>
          <w:szCs w:val="22"/>
        </w:rPr>
        <w:t>West European Politics</w:t>
      </w:r>
      <w:r w:rsidRPr="00D53E56">
        <w:rPr>
          <w:rFonts w:asciiTheme="minorBidi" w:hAnsiTheme="minorBidi" w:cstheme="minorBidi"/>
          <w:sz w:val="22"/>
          <w:szCs w:val="22"/>
        </w:rPr>
        <w:t>, </w:t>
      </w:r>
      <w:r w:rsidRPr="00D53E56">
        <w:rPr>
          <w:rFonts w:asciiTheme="minorBidi" w:hAnsiTheme="minorBidi" w:cstheme="minorBidi"/>
          <w:i/>
          <w:iCs/>
          <w:sz w:val="22"/>
          <w:szCs w:val="22"/>
        </w:rPr>
        <w:t>44</w:t>
      </w:r>
      <w:r w:rsidRPr="00D53E56">
        <w:rPr>
          <w:rFonts w:asciiTheme="minorBidi" w:hAnsiTheme="minorBidi" w:cstheme="minorBidi"/>
          <w:sz w:val="22"/>
          <w:szCs w:val="22"/>
        </w:rPr>
        <w:t>(5-6), 1052-1076.</w:t>
      </w:r>
    </w:p>
    <w:p w14:paraId="5B9F521A" w14:textId="77777777" w:rsidR="00F46DD0" w:rsidRPr="00D53E56" w:rsidRDefault="00F46DD0" w:rsidP="00F05BB1">
      <w:pPr>
        <w:pStyle w:val="NormalWeb"/>
        <w:spacing w:line="360" w:lineRule="auto"/>
        <w:jc w:val="both"/>
        <w:rPr>
          <w:rFonts w:asciiTheme="minorBidi" w:hAnsiTheme="minorBidi" w:cstheme="minorBidi"/>
          <w:sz w:val="22"/>
          <w:szCs w:val="22"/>
        </w:rPr>
      </w:pPr>
      <w:r w:rsidRPr="00D53E56">
        <w:rPr>
          <w:rFonts w:asciiTheme="minorBidi" w:hAnsiTheme="minorBidi" w:cstheme="minorBidi"/>
          <w:sz w:val="22"/>
          <w:szCs w:val="22"/>
        </w:rPr>
        <w:t>Hong, S. A. (2022). Six pivotal lessons learned in South Korea for whole-of-government approach to successful COVID-19 vaccine rollout in planetary health. </w:t>
      </w:r>
      <w:r w:rsidRPr="00D53E56">
        <w:rPr>
          <w:rFonts w:asciiTheme="minorBidi" w:hAnsiTheme="minorBidi" w:cstheme="minorBidi"/>
          <w:i/>
          <w:iCs/>
          <w:sz w:val="22"/>
          <w:szCs w:val="22"/>
        </w:rPr>
        <w:t>OMICS: A Journal of Integrative Biology</w:t>
      </w:r>
      <w:r w:rsidRPr="00D53E56">
        <w:rPr>
          <w:rFonts w:asciiTheme="minorBidi" w:hAnsiTheme="minorBidi" w:cstheme="minorBidi"/>
          <w:sz w:val="22"/>
          <w:szCs w:val="22"/>
        </w:rPr>
        <w:t>, </w:t>
      </w:r>
      <w:r w:rsidRPr="00D53E56">
        <w:rPr>
          <w:rFonts w:asciiTheme="minorBidi" w:hAnsiTheme="minorBidi" w:cstheme="minorBidi"/>
          <w:i/>
          <w:iCs/>
          <w:sz w:val="22"/>
          <w:szCs w:val="22"/>
        </w:rPr>
        <w:t>26</w:t>
      </w:r>
      <w:r w:rsidRPr="00D53E56">
        <w:rPr>
          <w:rFonts w:asciiTheme="minorBidi" w:hAnsiTheme="minorBidi" w:cstheme="minorBidi"/>
          <w:sz w:val="22"/>
          <w:szCs w:val="22"/>
        </w:rPr>
        <w:t>(10), 567-579.</w:t>
      </w:r>
    </w:p>
    <w:p w14:paraId="0A1D9D72" w14:textId="77777777" w:rsidR="00F46DD0" w:rsidRPr="00D53E56" w:rsidRDefault="00F46DD0" w:rsidP="00F05BB1">
      <w:pPr>
        <w:pStyle w:val="NormalWeb"/>
        <w:spacing w:line="360" w:lineRule="auto"/>
        <w:jc w:val="both"/>
        <w:rPr>
          <w:rFonts w:asciiTheme="minorBidi" w:hAnsiTheme="minorBidi" w:cstheme="minorBidi"/>
          <w:sz w:val="22"/>
          <w:szCs w:val="22"/>
        </w:rPr>
      </w:pPr>
      <w:r w:rsidRPr="00D53E56">
        <w:rPr>
          <w:rFonts w:asciiTheme="minorBidi" w:hAnsiTheme="minorBidi" w:cstheme="minorBidi"/>
          <w:sz w:val="22"/>
          <w:szCs w:val="22"/>
        </w:rPr>
        <w:t>Hong, S. Y., and Lim, J. H. (2023). Why is Success of South Korea's Covid-19 Response Fading?. International journal of social determinants of health and health services, 53(3), 323-330.</w:t>
      </w:r>
    </w:p>
    <w:p w14:paraId="2D2DC467" w14:textId="77777777" w:rsidR="00F46DD0" w:rsidRPr="00D53E56" w:rsidRDefault="00F46DD0" w:rsidP="00F05BB1">
      <w:pPr>
        <w:pStyle w:val="NormalWeb"/>
        <w:spacing w:line="360" w:lineRule="auto"/>
        <w:jc w:val="both"/>
        <w:rPr>
          <w:rFonts w:asciiTheme="minorBidi" w:hAnsiTheme="minorBidi" w:cstheme="minorBidi"/>
          <w:sz w:val="22"/>
          <w:szCs w:val="22"/>
        </w:rPr>
      </w:pPr>
      <w:r w:rsidRPr="00D53E56">
        <w:rPr>
          <w:rFonts w:asciiTheme="minorBidi" w:hAnsiTheme="minorBidi" w:cstheme="minorBidi"/>
          <w:sz w:val="22"/>
          <w:szCs w:val="22"/>
        </w:rPr>
        <w:t>Janssen, M., and Van der Voort, H. (2020). Agile and adaptive governance in crisis response: Lessons from the COVID-19 pandemic. </w:t>
      </w:r>
      <w:r w:rsidRPr="00D53E56">
        <w:rPr>
          <w:rFonts w:asciiTheme="minorBidi" w:hAnsiTheme="minorBidi" w:cstheme="minorBidi"/>
          <w:i/>
          <w:iCs/>
          <w:sz w:val="22"/>
          <w:szCs w:val="22"/>
        </w:rPr>
        <w:t>International journal of information management</w:t>
      </w:r>
      <w:r w:rsidRPr="00D53E56">
        <w:rPr>
          <w:rFonts w:asciiTheme="minorBidi" w:hAnsiTheme="minorBidi" w:cstheme="minorBidi"/>
          <w:sz w:val="22"/>
          <w:szCs w:val="22"/>
        </w:rPr>
        <w:t>, </w:t>
      </w:r>
      <w:r w:rsidRPr="00D53E56">
        <w:rPr>
          <w:rFonts w:asciiTheme="minorBidi" w:hAnsiTheme="minorBidi" w:cstheme="minorBidi"/>
          <w:i/>
          <w:iCs/>
          <w:sz w:val="22"/>
          <w:szCs w:val="22"/>
        </w:rPr>
        <w:t>55</w:t>
      </w:r>
      <w:r w:rsidRPr="00D53E56">
        <w:rPr>
          <w:rFonts w:asciiTheme="minorBidi" w:hAnsiTheme="minorBidi" w:cstheme="minorBidi"/>
          <w:sz w:val="22"/>
          <w:szCs w:val="22"/>
        </w:rPr>
        <w:t>, 102180.</w:t>
      </w:r>
    </w:p>
    <w:p w14:paraId="4FD480C7" w14:textId="77777777" w:rsidR="00F46DD0" w:rsidRPr="00D53E56" w:rsidRDefault="00F46DD0" w:rsidP="00F05BB1">
      <w:pPr>
        <w:pStyle w:val="NormalWeb"/>
        <w:spacing w:line="360" w:lineRule="auto"/>
        <w:jc w:val="both"/>
        <w:rPr>
          <w:rFonts w:asciiTheme="minorBidi" w:hAnsiTheme="minorBidi" w:cstheme="minorBidi"/>
          <w:sz w:val="22"/>
          <w:szCs w:val="22"/>
        </w:rPr>
      </w:pPr>
      <w:r w:rsidRPr="00D53E56">
        <w:rPr>
          <w:rFonts w:asciiTheme="minorBidi" w:hAnsiTheme="minorBidi" w:cstheme="minorBidi"/>
          <w:sz w:val="22"/>
          <w:szCs w:val="22"/>
        </w:rPr>
        <w:t>Javed, S., and Chattu, V. K. (2020). Strengthening the COVID-19 pandemic response, global leadership, and international cooperation through global health diplomacy. </w:t>
      </w:r>
      <w:r w:rsidRPr="00D53E56">
        <w:rPr>
          <w:rFonts w:asciiTheme="minorBidi" w:hAnsiTheme="minorBidi" w:cstheme="minorBidi"/>
          <w:i/>
          <w:iCs/>
          <w:sz w:val="22"/>
          <w:szCs w:val="22"/>
        </w:rPr>
        <w:t>Health promotion perspectives</w:t>
      </w:r>
      <w:r w:rsidRPr="00D53E56">
        <w:rPr>
          <w:rFonts w:asciiTheme="minorBidi" w:hAnsiTheme="minorBidi" w:cstheme="minorBidi"/>
          <w:sz w:val="22"/>
          <w:szCs w:val="22"/>
        </w:rPr>
        <w:t>, </w:t>
      </w:r>
      <w:r w:rsidRPr="00D53E56">
        <w:rPr>
          <w:rFonts w:asciiTheme="minorBidi" w:hAnsiTheme="minorBidi" w:cstheme="minorBidi"/>
          <w:i/>
          <w:iCs/>
          <w:sz w:val="22"/>
          <w:szCs w:val="22"/>
        </w:rPr>
        <w:t>10</w:t>
      </w:r>
      <w:r w:rsidRPr="00D53E56">
        <w:rPr>
          <w:rFonts w:asciiTheme="minorBidi" w:hAnsiTheme="minorBidi" w:cstheme="minorBidi"/>
          <w:sz w:val="22"/>
          <w:szCs w:val="22"/>
        </w:rPr>
        <w:t>(4), 300.</w:t>
      </w:r>
    </w:p>
    <w:p w14:paraId="265D3892" w14:textId="77777777" w:rsidR="00F46DD0" w:rsidRPr="00D53E56" w:rsidRDefault="00F46DD0" w:rsidP="00F05BB1">
      <w:pPr>
        <w:pStyle w:val="NormalWeb"/>
        <w:spacing w:line="360" w:lineRule="auto"/>
        <w:jc w:val="both"/>
        <w:rPr>
          <w:rFonts w:asciiTheme="minorBidi" w:hAnsiTheme="minorBidi" w:cstheme="minorBidi"/>
          <w:sz w:val="22"/>
          <w:szCs w:val="22"/>
        </w:rPr>
      </w:pPr>
      <w:r w:rsidRPr="00D53E56">
        <w:rPr>
          <w:rFonts w:asciiTheme="minorBidi" w:hAnsiTheme="minorBidi" w:cstheme="minorBidi"/>
          <w:sz w:val="22"/>
          <w:szCs w:val="22"/>
        </w:rPr>
        <w:t>Kemei, J., Tulli, M., Olanlesi-Aliu, A., Tunde-Byass, M., and Salami, B. (2023). Impact of the COVID-19 pandemic on black communities in Canada. </w:t>
      </w:r>
      <w:r w:rsidRPr="00D53E56">
        <w:rPr>
          <w:rFonts w:asciiTheme="minorBidi" w:hAnsiTheme="minorBidi" w:cstheme="minorBidi"/>
          <w:i/>
          <w:iCs/>
          <w:sz w:val="22"/>
          <w:szCs w:val="22"/>
        </w:rPr>
        <w:t>International Journal of Environmental Research and Public Health</w:t>
      </w:r>
      <w:r w:rsidRPr="00D53E56">
        <w:rPr>
          <w:rFonts w:asciiTheme="minorBidi" w:hAnsiTheme="minorBidi" w:cstheme="minorBidi"/>
          <w:sz w:val="22"/>
          <w:szCs w:val="22"/>
        </w:rPr>
        <w:t>, </w:t>
      </w:r>
      <w:r w:rsidRPr="00D53E56">
        <w:rPr>
          <w:rFonts w:asciiTheme="minorBidi" w:hAnsiTheme="minorBidi" w:cstheme="minorBidi"/>
          <w:i/>
          <w:iCs/>
          <w:sz w:val="22"/>
          <w:szCs w:val="22"/>
        </w:rPr>
        <w:t>20</w:t>
      </w:r>
      <w:r w:rsidRPr="00D53E56">
        <w:rPr>
          <w:rFonts w:asciiTheme="minorBidi" w:hAnsiTheme="minorBidi" w:cstheme="minorBidi"/>
          <w:sz w:val="22"/>
          <w:szCs w:val="22"/>
        </w:rPr>
        <w:t>(2), 1580.</w:t>
      </w:r>
    </w:p>
    <w:p w14:paraId="6150108E" w14:textId="77777777" w:rsidR="00F46DD0" w:rsidRPr="00D53E56" w:rsidRDefault="00F46DD0" w:rsidP="00F05BB1">
      <w:pPr>
        <w:pStyle w:val="NormalWeb"/>
        <w:spacing w:line="360" w:lineRule="auto"/>
        <w:jc w:val="both"/>
        <w:rPr>
          <w:rFonts w:asciiTheme="minorBidi" w:hAnsiTheme="minorBidi" w:cstheme="minorBidi"/>
          <w:sz w:val="22"/>
          <w:szCs w:val="22"/>
        </w:rPr>
      </w:pPr>
      <w:r w:rsidRPr="00D53E56">
        <w:rPr>
          <w:rFonts w:asciiTheme="minorBidi" w:hAnsiTheme="minorBidi" w:cstheme="minorBidi"/>
          <w:sz w:val="22"/>
          <w:szCs w:val="22"/>
        </w:rPr>
        <w:lastRenderedPageBreak/>
        <w:t>Kim, M. H., Cho, W., Choi, H., and Hur, J. Y. (2020). Assessing the South Korean model of emergency management during the COVID-19 pandemic. </w:t>
      </w:r>
      <w:r w:rsidRPr="00D53E56">
        <w:rPr>
          <w:rFonts w:asciiTheme="minorBidi" w:hAnsiTheme="minorBidi" w:cstheme="minorBidi"/>
          <w:i/>
          <w:iCs/>
          <w:sz w:val="22"/>
          <w:szCs w:val="22"/>
        </w:rPr>
        <w:t>Asian Studies Review</w:t>
      </w:r>
      <w:r w:rsidRPr="00D53E56">
        <w:rPr>
          <w:rFonts w:asciiTheme="minorBidi" w:hAnsiTheme="minorBidi" w:cstheme="minorBidi"/>
          <w:sz w:val="22"/>
          <w:szCs w:val="22"/>
        </w:rPr>
        <w:t>, </w:t>
      </w:r>
      <w:r w:rsidRPr="00D53E56">
        <w:rPr>
          <w:rFonts w:asciiTheme="minorBidi" w:hAnsiTheme="minorBidi" w:cstheme="minorBidi"/>
          <w:i/>
          <w:iCs/>
          <w:sz w:val="22"/>
          <w:szCs w:val="22"/>
        </w:rPr>
        <w:t>44</w:t>
      </w:r>
      <w:r w:rsidRPr="00D53E56">
        <w:rPr>
          <w:rFonts w:asciiTheme="minorBidi" w:hAnsiTheme="minorBidi" w:cstheme="minorBidi"/>
          <w:sz w:val="22"/>
          <w:szCs w:val="22"/>
        </w:rPr>
        <w:t>(4), 567-578.</w:t>
      </w:r>
    </w:p>
    <w:p w14:paraId="5797F76B" w14:textId="77777777" w:rsidR="00F46DD0" w:rsidRPr="00D53E56" w:rsidRDefault="00F46DD0" w:rsidP="00F05BB1">
      <w:pPr>
        <w:pStyle w:val="NormalWeb"/>
        <w:spacing w:line="360" w:lineRule="auto"/>
        <w:jc w:val="both"/>
        <w:rPr>
          <w:rFonts w:asciiTheme="minorBidi" w:hAnsiTheme="minorBidi" w:cstheme="minorBidi"/>
          <w:sz w:val="22"/>
          <w:szCs w:val="22"/>
        </w:rPr>
      </w:pPr>
      <w:r w:rsidRPr="00D53E56">
        <w:rPr>
          <w:rFonts w:asciiTheme="minorBidi" w:hAnsiTheme="minorBidi" w:cstheme="minorBidi"/>
          <w:sz w:val="22"/>
          <w:szCs w:val="22"/>
        </w:rPr>
        <w:t>Kim, P. S. (2021). South Korea’s fast response to coronavirus disease: implications on public policy and public management theory. </w:t>
      </w:r>
      <w:r w:rsidRPr="00D53E56">
        <w:rPr>
          <w:rFonts w:asciiTheme="minorBidi" w:hAnsiTheme="minorBidi" w:cstheme="minorBidi"/>
          <w:i/>
          <w:iCs/>
          <w:sz w:val="22"/>
          <w:szCs w:val="22"/>
        </w:rPr>
        <w:t>Public Management Review</w:t>
      </w:r>
      <w:r w:rsidRPr="00D53E56">
        <w:rPr>
          <w:rFonts w:asciiTheme="minorBidi" w:hAnsiTheme="minorBidi" w:cstheme="minorBidi"/>
          <w:sz w:val="22"/>
          <w:szCs w:val="22"/>
        </w:rPr>
        <w:t>, </w:t>
      </w:r>
      <w:r w:rsidRPr="00D53E56">
        <w:rPr>
          <w:rFonts w:asciiTheme="minorBidi" w:hAnsiTheme="minorBidi" w:cstheme="minorBidi"/>
          <w:i/>
          <w:iCs/>
          <w:sz w:val="22"/>
          <w:szCs w:val="22"/>
        </w:rPr>
        <w:t>23</w:t>
      </w:r>
      <w:r w:rsidRPr="00D53E56">
        <w:rPr>
          <w:rFonts w:asciiTheme="minorBidi" w:hAnsiTheme="minorBidi" w:cstheme="minorBidi"/>
          <w:sz w:val="22"/>
          <w:szCs w:val="22"/>
        </w:rPr>
        <w:t>(12), 1736-1747.</w:t>
      </w:r>
    </w:p>
    <w:p w14:paraId="7BFBA9EC" w14:textId="77777777" w:rsidR="00F46DD0" w:rsidRPr="00D53E56" w:rsidRDefault="00F46DD0" w:rsidP="00F05BB1">
      <w:pPr>
        <w:pStyle w:val="NormalWeb"/>
        <w:spacing w:line="360" w:lineRule="auto"/>
        <w:jc w:val="both"/>
        <w:rPr>
          <w:rFonts w:asciiTheme="minorBidi" w:hAnsiTheme="minorBidi" w:cstheme="minorBidi"/>
          <w:sz w:val="22"/>
          <w:szCs w:val="22"/>
        </w:rPr>
      </w:pPr>
      <w:r w:rsidRPr="00D53E56">
        <w:rPr>
          <w:rFonts w:asciiTheme="minorBidi" w:hAnsiTheme="minorBidi" w:cstheme="minorBidi"/>
          <w:sz w:val="22"/>
          <w:szCs w:val="22"/>
        </w:rPr>
        <w:t>López Casasnovas, G., and Pifarré i Arolas, H. (2022, April). Health care systems: organization and response to COVID-19 with a focus on Spain. In </w:t>
      </w:r>
      <w:r w:rsidRPr="00D53E56">
        <w:rPr>
          <w:rFonts w:asciiTheme="minorBidi" w:hAnsiTheme="minorBidi" w:cstheme="minorBidi"/>
          <w:i/>
          <w:iCs/>
          <w:sz w:val="22"/>
          <w:szCs w:val="22"/>
        </w:rPr>
        <w:t>Forum for Social Economics</w:t>
      </w:r>
      <w:r w:rsidRPr="00D53E56">
        <w:rPr>
          <w:rFonts w:asciiTheme="minorBidi" w:hAnsiTheme="minorBidi" w:cstheme="minorBidi"/>
          <w:sz w:val="22"/>
          <w:szCs w:val="22"/>
        </w:rPr>
        <w:t> (Vol. 51, No. 2, pp. 175-191). Routledge.</w:t>
      </w:r>
    </w:p>
    <w:p w14:paraId="00B2ABB7" w14:textId="77777777" w:rsidR="00F46DD0" w:rsidRPr="00D53E56" w:rsidRDefault="00F46DD0" w:rsidP="00F05BB1">
      <w:pPr>
        <w:pStyle w:val="NormalWeb"/>
        <w:spacing w:line="360" w:lineRule="auto"/>
        <w:jc w:val="both"/>
        <w:rPr>
          <w:rFonts w:asciiTheme="minorBidi" w:hAnsiTheme="minorBidi" w:cstheme="minorBidi"/>
          <w:sz w:val="22"/>
          <w:szCs w:val="22"/>
        </w:rPr>
      </w:pPr>
      <w:r w:rsidRPr="00D53E56">
        <w:rPr>
          <w:rFonts w:asciiTheme="minorBidi" w:hAnsiTheme="minorBidi" w:cstheme="minorBidi"/>
          <w:sz w:val="22"/>
          <w:szCs w:val="22"/>
        </w:rPr>
        <w:t xml:space="preserve">Marchildon, G.P. and Di Matteo, L. (2021) ‘Canada’s COVID-19 response: Federalism at play’, </w:t>
      </w:r>
      <w:r w:rsidRPr="00D53E56">
        <w:rPr>
          <w:rStyle w:val="Emphasis"/>
          <w:rFonts w:asciiTheme="minorBidi" w:hAnsiTheme="minorBidi" w:cstheme="minorBidi"/>
          <w:sz w:val="22"/>
          <w:szCs w:val="22"/>
        </w:rPr>
        <w:t>Journal of Health Politics, Policy and Law</w:t>
      </w:r>
      <w:r w:rsidRPr="00D53E56">
        <w:rPr>
          <w:rFonts w:asciiTheme="minorBidi" w:hAnsiTheme="minorBidi" w:cstheme="minorBidi"/>
          <w:sz w:val="22"/>
          <w:szCs w:val="22"/>
        </w:rPr>
        <w:t>, 46(6), pp. 883–897.</w:t>
      </w:r>
    </w:p>
    <w:p w14:paraId="61722B06" w14:textId="77777777" w:rsidR="00F46DD0" w:rsidRPr="00D53E56" w:rsidRDefault="00F46DD0" w:rsidP="00F05BB1">
      <w:pPr>
        <w:pStyle w:val="NormalWeb"/>
        <w:spacing w:line="360" w:lineRule="auto"/>
        <w:jc w:val="both"/>
        <w:rPr>
          <w:rFonts w:asciiTheme="minorBidi" w:hAnsiTheme="minorBidi" w:cstheme="minorBidi"/>
          <w:sz w:val="22"/>
          <w:szCs w:val="22"/>
        </w:rPr>
      </w:pPr>
      <w:r w:rsidRPr="00D53E56">
        <w:rPr>
          <w:rFonts w:asciiTheme="minorBidi" w:hAnsiTheme="minorBidi" w:cstheme="minorBidi"/>
          <w:sz w:val="22"/>
          <w:szCs w:val="22"/>
        </w:rPr>
        <w:t>Mattei, P., and Del Pino, E. (2021). Coordination and health policy responses to the first wave of COVID-19 in Italy and Spain. </w:t>
      </w:r>
      <w:r w:rsidRPr="00D53E56">
        <w:rPr>
          <w:rFonts w:asciiTheme="minorBidi" w:hAnsiTheme="minorBidi" w:cstheme="minorBidi"/>
          <w:i/>
          <w:iCs/>
          <w:sz w:val="22"/>
          <w:szCs w:val="22"/>
        </w:rPr>
        <w:t>Journal of Comparative Policy Analysis: Research and Practice</w:t>
      </w:r>
      <w:r w:rsidRPr="00D53E56">
        <w:rPr>
          <w:rFonts w:asciiTheme="minorBidi" w:hAnsiTheme="minorBidi" w:cstheme="minorBidi"/>
          <w:sz w:val="22"/>
          <w:szCs w:val="22"/>
        </w:rPr>
        <w:t>, </w:t>
      </w:r>
      <w:r w:rsidRPr="00D53E56">
        <w:rPr>
          <w:rFonts w:asciiTheme="minorBidi" w:hAnsiTheme="minorBidi" w:cstheme="minorBidi"/>
          <w:i/>
          <w:iCs/>
          <w:sz w:val="22"/>
          <w:szCs w:val="22"/>
        </w:rPr>
        <w:t>23</w:t>
      </w:r>
      <w:r w:rsidRPr="00D53E56">
        <w:rPr>
          <w:rFonts w:asciiTheme="minorBidi" w:hAnsiTheme="minorBidi" w:cstheme="minorBidi"/>
          <w:sz w:val="22"/>
          <w:szCs w:val="22"/>
        </w:rPr>
        <w:t>(2), 274-281.</w:t>
      </w:r>
    </w:p>
    <w:p w14:paraId="73E97113" w14:textId="77777777" w:rsidR="00F46DD0" w:rsidRPr="00D53E56" w:rsidRDefault="00F46DD0" w:rsidP="00F05BB1">
      <w:pPr>
        <w:pStyle w:val="NormalWeb"/>
        <w:spacing w:line="360" w:lineRule="auto"/>
        <w:jc w:val="both"/>
        <w:rPr>
          <w:rFonts w:asciiTheme="minorBidi" w:hAnsiTheme="minorBidi" w:cstheme="minorBidi"/>
          <w:sz w:val="22"/>
          <w:szCs w:val="22"/>
        </w:rPr>
      </w:pPr>
      <w:r w:rsidRPr="00D53E56">
        <w:rPr>
          <w:rFonts w:asciiTheme="minorBidi" w:hAnsiTheme="minorBidi" w:cstheme="minorBidi"/>
          <w:sz w:val="22"/>
          <w:szCs w:val="22"/>
        </w:rPr>
        <w:t>Migone, A. R. (2020). Trust, but customize: Federalism’s impact on the Canadian COVID-19 response. </w:t>
      </w:r>
      <w:r w:rsidRPr="00D53E56">
        <w:rPr>
          <w:rFonts w:asciiTheme="minorBidi" w:hAnsiTheme="minorBidi" w:cstheme="minorBidi"/>
          <w:i/>
          <w:iCs/>
          <w:sz w:val="22"/>
          <w:szCs w:val="22"/>
        </w:rPr>
        <w:t>Policy and Society</w:t>
      </w:r>
      <w:r w:rsidRPr="00D53E56">
        <w:rPr>
          <w:rFonts w:asciiTheme="minorBidi" w:hAnsiTheme="minorBidi" w:cstheme="minorBidi"/>
          <w:sz w:val="22"/>
          <w:szCs w:val="22"/>
        </w:rPr>
        <w:t>, </w:t>
      </w:r>
      <w:r w:rsidRPr="00D53E56">
        <w:rPr>
          <w:rFonts w:asciiTheme="minorBidi" w:hAnsiTheme="minorBidi" w:cstheme="minorBidi"/>
          <w:i/>
          <w:iCs/>
          <w:sz w:val="22"/>
          <w:szCs w:val="22"/>
        </w:rPr>
        <w:t>39</w:t>
      </w:r>
      <w:r w:rsidRPr="00D53E56">
        <w:rPr>
          <w:rFonts w:asciiTheme="minorBidi" w:hAnsiTheme="minorBidi" w:cstheme="minorBidi"/>
          <w:sz w:val="22"/>
          <w:szCs w:val="22"/>
        </w:rPr>
        <w:t>(3), 382-402.</w:t>
      </w:r>
    </w:p>
    <w:p w14:paraId="5DA3E0C9" w14:textId="77777777" w:rsidR="00F46DD0" w:rsidRPr="00D53E56" w:rsidRDefault="00F46DD0" w:rsidP="00F05BB1">
      <w:pPr>
        <w:pStyle w:val="NormalWeb"/>
        <w:spacing w:line="360" w:lineRule="auto"/>
        <w:jc w:val="both"/>
        <w:rPr>
          <w:rFonts w:asciiTheme="minorBidi" w:hAnsiTheme="minorBidi" w:cstheme="minorBidi"/>
          <w:sz w:val="22"/>
          <w:szCs w:val="22"/>
        </w:rPr>
      </w:pPr>
      <w:r w:rsidRPr="00D53E56">
        <w:rPr>
          <w:rFonts w:asciiTheme="minorBidi" w:hAnsiTheme="minorBidi" w:cstheme="minorBidi"/>
          <w:sz w:val="22"/>
          <w:szCs w:val="22"/>
        </w:rPr>
        <w:t xml:space="preserve">Moon, M.J. (2020) ‘Fighting COVID-19 with agility, transparency, and participation: Korea’s experience’, </w:t>
      </w:r>
      <w:r w:rsidRPr="00D53E56">
        <w:rPr>
          <w:rStyle w:val="Emphasis"/>
          <w:rFonts w:asciiTheme="minorBidi" w:hAnsiTheme="minorBidi" w:cstheme="minorBidi"/>
          <w:sz w:val="22"/>
          <w:szCs w:val="22"/>
        </w:rPr>
        <w:t>Public Administration Review</w:t>
      </w:r>
      <w:r w:rsidRPr="00D53E56">
        <w:rPr>
          <w:rFonts w:asciiTheme="minorBidi" w:hAnsiTheme="minorBidi" w:cstheme="minorBidi"/>
          <w:sz w:val="22"/>
          <w:szCs w:val="22"/>
        </w:rPr>
        <w:t>, 80(4), pp. 651–656.</w:t>
      </w:r>
    </w:p>
    <w:p w14:paraId="72F354A9" w14:textId="77777777" w:rsidR="00F46DD0" w:rsidRPr="00D53E56" w:rsidRDefault="00F46DD0" w:rsidP="00F05BB1">
      <w:pPr>
        <w:pStyle w:val="NormalWeb"/>
        <w:spacing w:line="360" w:lineRule="auto"/>
        <w:jc w:val="both"/>
        <w:rPr>
          <w:rFonts w:asciiTheme="minorBidi" w:hAnsiTheme="minorBidi" w:cstheme="minorBidi"/>
          <w:sz w:val="22"/>
          <w:szCs w:val="22"/>
        </w:rPr>
      </w:pPr>
      <w:r w:rsidRPr="00D53E56">
        <w:rPr>
          <w:rFonts w:asciiTheme="minorBidi" w:hAnsiTheme="minorBidi" w:cstheme="minorBidi"/>
          <w:sz w:val="22"/>
          <w:szCs w:val="22"/>
        </w:rPr>
        <w:t>Navarro, C., and Velasco, F. (2022). From centralisation to new ways of multi-level coordination: Spain’s intergovernmental response to the COVID-19 pandemic. </w:t>
      </w:r>
      <w:r w:rsidRPr="00D53E56">
        <w:rPr>
          <w:rFonts w:asciiTheme="minorBidi" w:hAnsiTheme="minorBidi" w:cstheme="minorBidi"/>
          <w:i/>
          <w:iCs/>
          <w:sz w:val="22"/>
          <w:szCs w:val="22"/>
        </w:rPr>
        <w:t>Local Government Studies</w:t>
      </w:r>
      <w:r w:rsidRPr="00D53E56">
        <w:rPr>
          <w:rFonts w:asciiTheme="minorBidi" w:hAnsiTheme="minorBidi" w:cstheme="minorBidi"/>
          <w:sz w:val="22"/>
          <w:szCs w:val="22"/>
        </w:rPr>
        <w:t>, </w:t>
      </w:r>
      <w:r w:rsidRPr="00D53E56">
        <w:rPr>
          <w:rFonts w:asciiTheme="minorBidi" w:hAnsiTheme="minorBidi" w:cstheme="minorBidi"/>
          <w:i/>
          <w:iCs/>
          <w:sz w:val="22"/>
          <w:szCs w:val="22"/>
        </w:rPr>
        <w:t>48</w:t>
      </w:r>
      <w:r w:rsidRPr="00D53E56">
        <w:rPr>
          <w:rFonts w:asciiTheme="minorBidi" w:hAnsiTheme="minorBidi" w:cstheme="minorBidi"/>
          <w:sz w:val="22"/>
          <w:szCs w:val="22"/>
        </w:rPr>
        <w:t>(2), 191-210.</w:t>
      </w:r>
    </w:p>
    <w:p w14:paraId="7C03C8D5" w14:textId="77777777" w:rsidR="00F46DD0" w:rsidRPr="00D53E56" w:rsidRDefault="00F46DD0" w:rsidP="00F05BB1">
      <w:pPr>
        <w:pStyle w:val="NormalWeb"/>
        <w:spacing w:line="360" w:lineRule="auto"/>
        <w:jc w:val="both"/>
        <w:rPr>
          <w:rFonts w:asciiTheme="minorBidi" w:hAnsiTheme="minorBidi" w:cstheme="minorBidi"/>
          <w:sz w:val="22"/>
          <w:szCs w:val="22"/>
        </w:rPr>
      </w:pPr>
      <w:r w:rsidRPr="00D53E56">
        <w:rPr>
          <w:rFonts w:asciiTheme="minorBidi" w:hAnsiTheme="minorBidi" w:cstheme="minorBidi"/>
          <w:sz w:val="22"/>
          <w:szCs w:val="22"/>
        </w:rPr>
        <w:t>Nicola, M., Sohrabi, C., Mathew, G., Kerwan, A., Al-Jabir, A., Griffin, M., ... and Agha, R. (2020). Health policy and leadership models during the COVID-19 pandemic: A review. </w:t>
      </w:r>
      <w:r w:rsidRPr="00D53E56">
        <w:rPr>
          <w:rFonts w:asciiTheme="minorBidi" w:hAnsiTheme="minorBidi" w:cstheme="minorBidi"/>
          <w:i/>
          <w:iCs/>
          <w:sz w:val="22"/>
          <w:szCs w:val="22"/>
        </w:rPr>
        <w:t>International journal of surgery</w:t>
      </w:r>
      <w:r w:rsidRPr="00D53E56">
        <w:rPr>
          <w:rFonts w:asciiTheme="minorBidi" w:hAnsiTheme="minorBidi" w:cstheme="minorBidi"/>
          <w:sz w:val="22"/>
          <w:szCs w:val="22"/>
        </w:rPr>
        <w:t>, </w:t>
      </w:r>
      <w:r w:rsidRPr="00D53E56">
        <w:rPr>
          <w:rFonts w:asciiTheme="minorBidi" w:hAnsiTheme="minorBidi" w:cstheme="minorBidi"/>
          <w:i/>
          <w:iCs/>
          <w:sz w:val="22"/>
          <w:szCs w:val="22"/>
        </w:rPr>
        <w:t>81</w:t>
      </w:r>
      <w:r w:rsidRPr="00D53E56">
        <w:rPr>
          <w:rFonts w:asciiTheme="minorBidi" w:hAnsiTheme="minorBidi" w:cstheme="minorBidi"/>
          <w:sz w:val="22"/>
          <w:szCs w:val="22"/>
        </w:rPr>
        <w:t>, 122-129.</w:t>
      </w:r>
    </w:p>
    <w:p w14:paraId="383C93E2" w14:textId="77777777" w:rsidR="00F46DD0" w:rsidRPr="00D53E56" w:rsidRDefault="00F46DD0" w:rsidP="00F05BB1">
      <w:pPr>
        <w:pStyle w:val="NormalWeb"/>
        <w:spacing w:line="360" w:lineRule="auto"/>
        <w:jc w:val="both"/>
        <w:rPr>
          <w:rFonts w:asciiTheme="minorBidi" w:hAnsiTheme="minorBidi" w:cstheme="minorBidi"/>
          <w:sz w:val="22"/>
          <w:szCs w:val="22"/>
        </w:rPr>
      </w:pPr>
      <w:r w:rsidRPr="00D53E56">
        <w:rPr>
          <w:rFonts w:asciiTheme="minorBidi" w:hAnsiTheme="minorBidi" w:cstheme="minorBidi"/>
          <w:sz w:val="22"/>
          <w:szCs w:val="22"/>
        </w:rPr>
        <w:t>Oh, S. Y. (2022). From a ‘super spreader of MERS ‘to a ‘super stopper ‘of COVID-19: Explaining the evolution of South Korea’s effective crisis management system. </w:t>
      </w:r>
      <w:r w:rsidRPr="00D53E56">
        <w:rPr>
          <w:rFonts w:asciiTheme="minorBidi" w:hAnsiTheme="minorBidi" w:cstheme="minorBidi"/>
          <w:i/>
          <w:iCs/>
          <w:sz w:val="22"/>
          <w:szCs w:val="22"/>
        </w:rPr>
        <w:t>Journal of Asian Public Policy</w:t>
      </w:r>
      <w:r w:rsidRPr="00D53E56">
        <w:rPr>
          <w:rFonts w:asciiTheme="minorBidi" w:hAnsiTheme="minorBidi" w:cstheme="minorBidi"/>
          <w:sz w:val="22"/>
          <w:szCs w:val="22"/>
        </w:rPr>
        <w:t>, </w:t>
      </w:r>
      <w:r w:rsidRPr="00D53E56">
        <w:rPr>
          <w:rFonts w:asciiTheme="minorBidi" w:hAnsiTheme="minorBidi" w:cstheme="minorBidi"/>
          <w:i/>
          <w:iCs/>
          <w:sz w:val="22"/>
          <w:szCs w:val="22"/>
        </w:rPr>
        <w:t>15</w:t>
      </w:r>
      <w:r w:rsidRPr="00D53E56">
        <w:rPr>
          <w:rFonts w:asciiTheme="minorBidi" w:hAnsiTheme="minorBidi" w:cstheme="minorBidi"/>
          <w:sz w:val="22"/>
          <w:szCs w:val="22"/>
        </w:rPr>
        <w:t>(2), 250-265.</w:t>
      </w:r>
    </w:p>
    <w:p w14:paraId="07020C5D" w14:textId="77777777" w:rsidR="00F46DD0" w:rsidRPr="00D53E56" w:rsidRDefault="00F46DD0" w:rsidP="00F05BB1">
      <w:pPr>
        <w:pStyle w:val="NormalWeb"/>
        <w:spacing w:line="360" w:lineRule="auto"/>
        <w:jc w:val="both"/>
        <w:rPr>
          <w:rFonts w:asciiTheme="minorBidi" w:hAnsiTheme="minorBidi" w:cstheme="minorBidi"/>
          <w:sz w:val="22"/>
          <w:szCs w:val="22"/>
        </w:rPr>
      </w:pPr>
      <w:r w:rsidRPr="00D53E56">
        <w:rPr>
          <w:rFonts w:asciiTheme="minorBidi" w:hAnsiTheme="minorBidi" w:cstheme="minorBidi"/>
          <w:sz w:val="22"/>
          <w:szCs w:val="22"/>
        </w:rPr>
        <w:t xml:space="preserve">Plouffe, R. A., Nazarov, A., Forchuk, C. A., Gargala, D., Deda, E., Le, T., ... and Richardson, J. D. (2021). Impacts of morally distressing experiences on the mental health of Canadian </w:t>
      </w:r>
      <w:r w:rsidRPr="00D53E56">
        <w:rPr>
          <w:rFonts w:asciiTheme="minorBidi" w:hAnsiTheme="minorBidi" w:cstheme="minorBidi"/>
          <w:sz w:val="22"/>
          <w:szCs w:val="22"/>
        </w:rPr>
        <w:lastRenderedPageBreak/>
        <w:t>health care workers during the COVID-19 pandemic. </w:t>
      </w:r>
      <w:r w:rsidRPr="00D53E56">
        <w:rPr>
          <w:rFonts w:asciiTheme="minorBidi" w:hAnsiTheme="minorBidi" w:cstheme="minorBidi"/>
          <w:i/>
          <w:iCs/>
          <w:sz w:val="22"/>
          <w:szCs w:val="22"/>
        </w:rPr>
        <w:t>European Journal of Psychotraumatology</w:t>
      </w:r>
      <w:r w:rsidRPr="00D53E56">
        <w:rPr>
          <w:rFonts w:asciiTheme="minorBidi" w:hAnsiTheme="minorBidi" w:cstheme="minorBidi"/>
          <w:sz w:val="22"/>
          <w:szCs w:val="22"/>
        </w:rPr>
        <w:t>, </w:t>
      </w:r>
      <w:r w:rsidRPr="00D53E56">
        <w:rPr>
          <w:rFonts w:asciiTheme="minorBidi" w:hAnsiTheme="minorBidi" w:cstheme="minorBidi"/>
          <w:i/>
          <w:iCs/>
          <w:sz w:val="22"/>
          <w:szCs w:val="22"/>
        </w:rPr>
        <w:t>12</w:t>
      </w:r>
      <w:r w:rsidRPr="00D53E56">
        <w:rPr>
          <w:rFonts w:asciiTheme="minorBidi" w:hAnsiTheme="minorBidi" w:cstheme="minorBidi"/>
          <w:sz w:val="22"/>
          <w:szCs w:val="22"/>
        </w:rPr>
        <w:t>(1), 1984667.</w:t>
      </w:r>
    </w:p>
    <w:p w14:paraId="74A0F54B" w14:textId="77777777" w:rsidR="00F46DD0" w:rsidRPr="00D53E56" w:rsidRDefault="00F46DD0" w:rsidP="00F05BB1">
      <w:pPr>
        <w:pStyle w:val="NormalWeb"/>
        <w:spacing w:line="360" w:lineRule="auto"/>
        <w:jc w:val="both"/>
        <w:rPr>
          <w:rFonts w:asciiTheme="minorBidi" w:hAnsiTheme="minorBidi" w:cstheme="minorBidi"/>
          <w:sz w:val="22"/>
          <w:szCs w:val="22"/>
        </w:rPr>
      </w:pPr>
      <w:r w:rsidRPr="00D53E56">
        <w:rPr>
          <w:rFonts w:asciiTheme="minorBidi" w:hAnsiTheme="minorBidi" w:cstheme="minorBidi"/>
          <w:sz w:val="22"/>
          <w:szCs w:val="22"/>
        </w:rPr>
        <w:t>Pulido-Fuentes, M., González, L. A., Reneo, I. A., Cipriano-Crespo, C., Flores-Martos, J. A., and Santos, A. P. (2022). Towards a liquid healthcare: primary care organisational and management strategies during the COVID-19 pandemic-a qualitative study. </w:t>
      </w:r>
      <w:r w:rsidRPr="00D53E56">
        <w:rPr>
          <w:rFonts w:asciiTheme="minorBidi" w:hAnsiTheme="minorBidi" w:cstheme="minorBidi"/>
          <w:i/>
          <w:iCs/>
          <w:sz w:val="22"/>
          <w:szCs w:val="22"/>
        </w:rPr>
        <w:t>BMC Health Services Research</w:t>
      </w:r>
      <w:r w:rsidRPr="00D53E56">
        <w:rPr>
          <w:rFonts w:asciiTheme="minorBidi" w:hAnsiTheme="minorBidi" w:cstheme="minorBidi"/>
          <w:sz w:val="22"/>
          <w:szCs w:val="22"/>
        </w:rPr>
        <w:t>, </w:t>
      </w:r>
      <w:r w:rsidRPr="00D53E56">
        <w:rPr>
          <w:rFonts w:asciiTheme="minorBidi" w:hAnsiTheme="minorBidi" w:cstheme="minorBidi"/>
          <w:i/>
          <w:iCs/>
          <w:sz w:val="22"/>
          <w:szCs w:val="22"/>
        </w:rPr>
        <w:t>22</w:t>
      </w:r>
      <w:r w:rsidRPr="00D53E56">
        <w:rPr>
          <w:rFonts w:asciiTheme="minorBidi" w:hAnsiTheme="minorBidi" w:cstheme="minorBidi"/>
          <w:sz w:val="22"/>
          <w:szCs w:val="22"/>
        </w:rPr>
        <w:t>(1), 665.</w:t>
      </w:r>
    </w:p>
    <w:p w14:paraId="5DEF3036" w14:textId="77777777" w:rsidR="00F46DD0" w:rsidRPr="00D53E56" w:rsidRDefault="00F46DD0" w:rsidP="00F05BB1">
      <w:pPr>
        <w:pStyle w:val="NormalWeb"/>
        <w:spacing w:line="360" w:lineRule="auto"/>
        <w:jc w:val="both"/>
        <w:rPr>
          <w:rFonts w:asciiTheme="minorBidi" w:hAnsiTheme="minorBidi" w:cstheme="minorBidi"/>
          <w:sz w:val="22"/>
          <w:szCs w:val="22"/>
        </w:rPr>
      </w:pPr>
      <w:r w:rsidRPr="00D53E56">
        <w:rPr>
          <w:rFonts w:asciiTheme="minorBidi" w:hAnsiTheme="minorBidi" w:cstheme="minorBidi"/>
          <w:sz w:val="22"/>
          <w:szCs w:val="22"/>
        </w:rPr>
        <w:t>Sánchez-Bayón, A., González-Arnedo, E., and Andreu-Escario, Á. (2022). Spanish healthcare sector management in the COVID-19 crisis under the perspective of Austrian economics and new-institutional economics. </w:t>
      </w:r>
      <w:r w:rsidRPr="00D53E56">
        <w:rPr>
          <w:rFonts w:asciiTheme="minorBidi" w:hAnsiTheme="minorBidi" w:cstheme="minorBidi"/>
          <w:i/>
          <w:iCs/>
          <w:sz w:val="22"/>
          <w:szCs w:val="22"/>
        </w:rPr>
        <w:t>Frontiers in Public Health</w:t>
      </w:r>
      <w:r w:rsidRPr="00D53E56">
        <w:rPr>
          <w:rFonts w:asciiTheme="minorBidi" w:hAnsiTheme="minorBidi" w:cstheme="minorBidi"/>
          <w:sz w:val="22"/>
          <w:szCs w:val="22"/>
        </w:rPr>
        <w:t>, </w:t>
      </w:r>
      <w:r w:rsidRPr="00D53E56">
        <w:rPr>
          <w:rFonts w:asciiTheme="minorBidi" w:hAnsiTheme="minorBidi" w:cstheme="minorBidi"/>
          <w:i/>
          <w:iCs/>
          <w:sz w:val="22"/>
          <w:szCs w:val="22"/>
        </w:rPr>
        <w:t>10</w:t>
      </w:r>
      <w:r w:rsidRPr="00D53E56">
        <w:rPr>
          <w:rFonts w:asciiTheme="minorBidi" w:hAnsiTheme="minorBidi" w:cstheme="minorBidi"/>
          <w:sz w:val="22"/>
          <w:szCs w:val="22"/>
        </w:rPr>
        <w:t>, 801525.</w:t>
      </w:r>
    </w:p>
    <w:p w14:paraId="3C196C19" w14:textId="77777777" w:rsidR="00F46DD0" w:rsidRPr="00D53E56" w:rsidRDefault="00F46DD0" w:rsidP="00F05BB1">
      <w:pPr>
        <w:pStyle w:val="NormalWeb"/>
        <w:spacing w:line="360" w:lineRule="auto"/>
        <w:jc w:val="both"/>
        <w:rPr>
          <w:rFonts w:asciiTheme="minorBidi" w:hAnsiTheme="minorBidi" w:cstheme="minorBidi"/>
          <w:sz w:val="22"/>
          <w:szCs w:val="22"/>
        </w:rPr>
      </w:pPr>
      <w:r w:rsidRPr="00D53E56">
        <w:rPr>
          <w:rFonts w:asciiTheme="minorBidi" w:hAnsiTheme="minorBidi" w:cstheme="minorBidi"/>
          <w:sz w:val="22"/>
          <w:szCs w:val="22"/>
        </w:rPr>
        <w:t>Smithson, R. (2022). The compatibility of multiple leadership styles in responding to a complex crisis: leading a health service COVID-19 response. </w:t>
      </w:r>
      <w:r w:rsidRPr="00D53E56">
        <w:rPr>
          <w:rFonts w:asciiTheme="minorBidi" w:hAnsiTheme="minorBidi" w:cstheme="minorBidi"/>
          <w:i/>
          <w:iCs/>
          <w:sz w:val="22"/>
          <w:szCs w:val="22"/>
        </w:rPr>
        <w:t>Journal of Health Organization and Management</w:t>
      </w:r>
      <w:r w:rsidRPr="00D53E56">
        <w:rPr>
          <w:rFonts w:asciiTheme="minorBidi" w:hAnsiTheme="minorBidi" w:cstheme="minorBidi"/>
          <w:sz w:val="22"/>
          <w:szCs w:val="22"/>
        </w:rPr>
        <w:t>, </w:t>
      </w:r>
      <w:r w:rsidRPr="00D53E56">
        <w:rPr>
          <w:rFonts w:asciiTheme="minorBidi" w:hAnsiTheme="minorBidi" w:cstheme="minorBidi"/>
          <w:i/>
          <w:iCs/>
          <w:sz w:val="22"/>
          <w:szCs w:val="22"/>
        </w:rPr>
        <w:t>36</w:t>
      </w:r>
      <w:r w:rsidRPr="00D53E56">
        <w:rPr>
          <w:rFonts w:asciiTheme="minorBidi" w:hAnsiTheme="minorBidi" w:cstheme="minorBidi"/>
          <w:sz w:val="22"/>
          <w:szCs w:val="22"/>
        </w:rPr>
        <w:t>(4), 469-481.</w:t>
      </w:r>
    </w:p>
    <w:p w14:paraId="3654C4D0" w14:textId="77777777" w:rsidR="00F46DD0" w:rsidRPr="00D53E56" w:rsidRDefault="00F46DD0" w:rsidP="00F05BB1">
      <w:pPr>
        <w:pStyle w:val="NormalWeb"/>
        <w:spacing w:line="360" w:lineRule="auto"/>
        <w:jc w:val="both"/>
        <w:rPr>
          <w:rFonts w:asciiTheme="minorBidi" w:hAnsiTheme="minorBidi" w:cstheme="minorBidi"/>
          <w:sz w:val="22"/>
          <w:szCs w:val="22"/>
        </w:rPr>
      </w:pPr>
      <w:r w:rsidRPr="00D53E56">
        <w:rPr>
          <w:rFonts w:asciiTheme="minorBidi" w:hAnsiTheme="minorBidi" w:cstheme="minorBidi"/>
          <w:sz w:val="22"/>
          <w:szCs w:val="22"/>
        </w:rPr>
        <w:t>Waitzberg, R., Hernández-Quevedo, C., Bernal-Delgado, E., Estupiñán-Romero, F., Angulo-Pueyo, E., Theodorou, M., ... and Maresso, A. (2022). Early health system responses to the COVID-19 pandemic in Mediterranean countries: A tale of successes and challenges. </w:t>
      </w:r>
      <w:r w:rsidRPr="00D53E56">
        <w:rPr>
          <w:rFonts w:asciiTheme="minorBidi" w:hAnsiTheme="minorBidi" w:cstheme="minorBidi"/>
          <w:i/>
          <w:iCs/>
          <w:sz w:val="22"/>
          <w:szCs w:val="22"/>
        </w:rPr>
        <w:t>Health Policy</w:t>
      </w:r>
      <w:r w:rsidRPr="00D53E56">
        <w:rPr>
          <w:rFonts w:asciiTheme="minorBidi" w:hAnsiTheme="minorBidi" w:cstheme="minorBidi"/>
          <w:sz w:val="22"/>
          <w:szCs w:val="22"/>
        </w:rPr>
        <w:t>, </w:t>
      </w:r>
      <w:r w:rsidRPr="00D53E56">
        <w:rPr>
          <w:rFonts w:asciiTheme="minorBidi" w:hAnsiTheme="minorBidi" w:cstheme="minorBidi"/>
          <w:i/>
          <w:iCs/>
          <w:sz w:val="22"/>
          <w:szCs w:val="22"/>
        </w:rPr>
        <w:t>126</w:t>
      </w:r>
      <w:r w:rsidRPr="00D53E56">
        <w:rPr>
          <w:rFonts w:asciiTheme="minorBidi" w:hAnsiTheme="minorBidi" w:cstheme="minorBidi"/>
          <w:sz w:val="22"/>
          <w:szCs w:val="22"/>
        </w:rPr>
        <w:t>(5), 465-475.</w:t>
      </w:r>
    </w:p>
    <w:p w14:paraId="6D0F2F35" w14:textId="77777777" w:rsidR="00F46DD0" w:rsidRPr="00D53E56" w:rsidRDefault="00F46DD0" w:rsidP="00F05BB1">
      <w:pPr>
        <w:pStyle w:val="NormalWeb"/>
        <w:spacing w:line="360" w:lineRule="auto"/>
        <w:jc w:val="both"/>
        <w:rPr>
          <w:rFonts w:asciiTheme="minorBidi" w:hAnsiTheme="minorBidi" w:cstheme="minorBidi"/>
          <w:sz w:val="22"/>
          <w:szCs w:val="22"/>
        </w:rPr>
      </w:pPr>
      <w:r w:rsidRPr="00D53E56">
        <w:rPr>
          <w:rFonts w:asciiTheme="minorBidi" w:hAnsiTheme="minorBidi" w:cstheme="minorBidi"/>
          <w:sz w:val="22"/>
          <w:szCs w:val="22"/>
        </w:rPr>
        <w:t>Yeo, J., and Lee, E. S. (2021). Whole community co-production: a full picture behind the successful COVID-19 response in S. Korea. </w:t>
      </w:r>
      <w:r w:rsidRPr="00D53E56">
        <w:rPr>
          <w:rFonts w:asciiTheme="minorBidi" w:hAnsiTheme="minorBidi" w:cstheme="minorBidi"/>
          <w:i/>
          <w:iCs/>
          <w:sz w:val="22"/>
          <w:szCs w:val="22"/>
        </w:rPr>
        <w:t>Transforming Government: People, Process and Policy</w:t>
      </w:r>
      <w:r w:rsidRPr="00D53E56">
        <w:rPr>
          <w:rFonts w:asciiTheme="minorBidi" w:hAnsiTheme="minorBidi" w:cstheme="minorBidi"/>
          <w:sz w:val="22"/>
          <w:szCs w:val="22"/>
        </w:rPr>
        <w:t>, </w:t>
      </w:r>
      <w:r w:rsidRPr="00D53E56">
        <w:rPr>
          <w:rFonts w:asciiTheme="minorBidi" w:hAnsiTheme="minorBidi" w:cstheme="minorBidi"/>
          <w:i/>
          <w:iCs/>
          <w:sz w:val="22"/>
          <w:szCs w:val="22"/>
        </w:rPr>
        <w:t>15</w:t>
      </w:r>
      <w:r w:rsidRPr="00D53E56">
        <w:rPr>
          <w:rFonts w:asciiTheme="minorBidi" w:hAnsiTheme="minorBidi" w:cstheme="minorBidi"/>
          <w:sz w:val="22"/>
          <w:szCs w:val="22"/>
        </w:rPr>
        <w:t>(2), 248-260.</w:t>
      </w:r>
    </w:p>
    <w:p w14:paraId="5AD425AB" w14:textId="77777777" w:rsidR="00F46DD0" w:rsidRPr="00D53E56" w:rsidRDefault="00F46DD0" w:rsidP="00604090">
      <w:pPr>
        <w:rPr>
          <w:rFonts w:asciiTheme="minorBidi" w:hAnsiTheme="minorBidi"/>
          <w:sz w:val="22"/>
        </w:rPr>
      </w:pPr>
    </w:p>
    <w:sectPr w:rsidR="00F46DD0" w:rsidRPr="00D53E56" w:rsidSect="007C4232">
      <w:footerReference w:type="default" r:id="rId17"/>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C25D3B" w14:textId="77777777" w:rsidR="000D332A" w:rsidRDefault="000D332A" w:rsidP="00F46DD0">
      <w:pPr>
        <w:spacing w:after="0" w:line="240" w:lineRule="auto"/>
      </w:pPr>
      <w:r>
        <w:separator/>
      </w:r>
    </w:p>
  </w:endnote>
  <w:endnote w:type="continuationSeparator" w:id="0">
    <w:p w14:paraId="05828C99" w14:textId="77777777" w:rsidR="000D332A" w:rsidRDefault="000D332A" w:rsidP="00F46D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3244034"/>
      <w:docPartObj>
        <w:docPartGallery w:val="Page Numbers (Bottom of Page)"/>
        <w:docPartUnique/>
      </w:docPartObj>
    </w:sdtPr>
    <w:sdtEndPr>
      <w:rPr>
        <w:color w:val="7F7F7F" w:themeColor="background1" w:themeShade="7F"/>
        <w:spacing w:val="60"/>
      </w:rPr>
    </w:sdtEndPr>
    <w:sdtContent>
      <w:p w14:paraId="47017FFA" w14:textId="3FE38504" w:rsidR="00F46DD0" w:rsidRDefault="00F46DD0">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0E3A02B6" w14:textId="77777777" w:rsidR="00F46DD0" w:rsidRDefault="00F46D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CC967A" w14:textId="77777777" w:rsidR="000D332A" w:rsidRDefault="000D332A" w:rsidP="00F46DD0">
      <w:pPr>
        <w:spacing w:after="0" w:line="240" w:lineRule="auto"/>
      </w:pPr>
      <w:r>
        <w:separator/>
      </w:r>
    </w:p>
  </w:footnote>
  <w:footnote w:type="continuationSeparator" w:id="0">
    <w:p w14:paraId="0B9C33B5" w14:textId="77777777" w:rsidR="000D332A" w:rsidRDefault="000D332A" w:rsidP="00F46D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562193"/>
    <w:multiLevelType w:val="hybridMultilevel"/>
    <w:tmpl w:val="DF2E8B74"/>
    <w:lvl w:ilvl="0" w:tplc="04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BC37A1"/>
    <w:multiLevelType w:val="hybridMultilevel"/>
    <w:tmpl w:val="949A4842"/>
    <w:lvl w:ilvl="0" w:tplc="4C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398352D"/>
    <w:multiLevelType w:val="hybridMultilevel"/>
    <w:tmpl w:val="6A247592"/>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AC02A41"/>
    <w:multiLevelType w:val="hybridMultilevel"/>
    <w:tmpl w:val="86C00DB6"/>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4E6776C"/>
    <w:multiLevelType w:val="multilevel"/>
    <w:tmpl w:val="8D324F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1CD7C48"/>
    <w:multiLevelType w:val="hybridMultilevel"/>
    <w:tmpl w:val="4EC0AA06"/>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2"/>
  </w:num>
  <w:num w:numId="3">
    <w:abstractNumId w:val="5"/>
  </w:num>
  <w:num w:numId="4">
    <w:abstractNumId w:val="0"/>
  </w:num>
  <w:num w:numId="5">
    <w:abstractNumId w:val="3"/>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drawingGridHorizontalSpacing w:val="120"/>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635D"/>
    <w:rsid w:val="000B39B4"/>
    <w:rsid w:val="000D332A"/>
    <w:rsid w:val="001547DB"/>
    <w:rsid w:val="00170958"/>
    <w:rsid w:val="001E7E33"/>
    <w:rsid w:val="001F3C84"/>
    <w:rsid w:val="001F4058"/>
    <w:rsid w:val="00275833"/>
    <w:rsid w:val="00295972"/>
    <w:rsid w:val="00311284"/>
    <w:rsid w:val="003E74B4"/>
    <w:rsid w:val="00404014"/>
    <w:rsid w:val="00431BFC"/>
    <w:rsid w:val="00555602"/>
    <w:rsid w:val="005A7DAA"/>
    <w:rsid w:val="005E4E8D"/>
    <w:rsid w:val="00604090"/>
    <w:rsid w:val="006650C5"/>
    <w:rsid w:val="00674446"/>
    <w:rsid w:val="006C5ADF"/>
    <w:rsid w:val="007B0F55"/>
    <w:rsid w:val="007C22D1"/>
    <w:rsid w:val="007C4232"/>
    <w:rsid w:val="008334C1"/>
    <w:rsid w:val="0083590B"/>
    <w:rsid w:val="008A416C"/>
    <w:rsid w:val="00947159"/>
    <w:rsid w:val="00974457"/>
    <w:rsid w:val="00993D4E"/>
    <w:rsid w:val="00A37755"/>
    <w:rsid w:val="00A7638B"/>
    <w:rsid w:val="00A96D41"/>
    <w:rsid w:val="00AC5D3A"/>
    <w:rsid w:val="00B00800"/>
    <w:rsid w:val="00B25B39"/>
    <w:rsid w:val="00B26928"/>
    <w:rsid w:val="00C66D00"/>
    <w:rsid w:val="00CD412A"/>
    <w:rsid w:val="00CE4A65"/>
    <w:rsid w:val="00D13251"/>
    <w:rsid w:val="00D22247"/>
    <w:rsid w:val="00D53E56"/>
    <w:rsid w:val="00D95F9B"/>
    <w:rsid w:val="00DB635D"/>
    <w:rsid w:val="00DF501E"/>
    <w:rsid w:val="00E04071"/>
    <w:rsid w:val="00F05BB1"/>
    <w:rsid w:val="00F150B6"/>
    <w:rsid w:val="00F46DD0"/>
    <w:rsid w:val="00F837A5"/>
    <w:rsid w:val="00FB453C"/>
    <w:rsid w:val="00FC484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78AA0C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5F9B"/>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D95F9B"/>
    <w:pPr>
      <w:keepNext/>
      <w:keepLines/>
      <w:spacing w:before="240" w:after="0"/>
      <w:outlineLvl w:val="0"/>
    </w:pPr>
    <w:rPr>
      <w:rFonts w:eastAsiaTheme="majorEastAsia" w:cstheme="majorBidi"/>
      <w:b/>
      <w:color w:val="4472C4" w:themeColor="accent1"/>
      <w:sz w:val="32"/>
      <w:szCs w:val="32"/>
    </w:rPr>
  </w:style>
  <w:style w:type="paragraph" w:styleId="Heading2">
    <w:name w:val="heading 2"/>
    <w:basedOn w:val="Normal"/>
    <w:link w:val="Heading2Char"/>
    <w:autoRedefine/>
    <w:uiPriority w:val="9"/>
    <w:qFormat/>
    <w:rsid w:val="00D95F9B"/>
    <w:pPr>
      <w:spacing w:before="100" w:beforeAutospacing="1" w:after="100" w:afterAutospacing="1" w:line="240" w:lineRule="auto"/>
      <w:outlineLvl w:val="1"/>
    </w:pPr>
    <w:rPr>
      <w:rFonts w:eastAsia="Times New Roman" w:cs="Times New Roman"/>
      <w:b/>
      <w:bCs/>
      <w:color w:val="4472C4" w:themeColor="accent1"/>
      <w:kern w:val="0"/>
      <w:sz w:val="28"/>
      <w:szCs w:val="28"/>
      <w14:ligatures w14:val="none"/>
    </w:rPr>
  </w:style>
  <w:style w:type="paragraph" w:styleId="Heading3">
    <w:name w:val="heading 3"/>
    <w:basedOn w:val="Normal"/>
    <w:next w:val="Normal"/>
    <w:link w:val="Heading3Char"/>
    <w:uiPriority w:val="9"/>
    <w:unhideWhenUsed/>
    <w:qFormat/>
    <w:rsid w:val="00D95F9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B635D"/>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B635D"/>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DB635D"/>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B635D"/>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B635D"/>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B635D"/>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5F9B"/>
    <w:rPr>
      <w:rFonts w:ascii="Times New Roman" w:eastAsiaTheme="majorEastAsia" w:hAnsi="Times New Roman" w:cstheme="majorBidi"/>
      <w:b/>
      <w:color w:val="4472C4" w:themeColor="accent1"/>
      <w:sz w:val="32"/>
      <w:szCs w:val="32"/>
      <w:lang w:val="en-GB"/>
    </w:rPr>
  </w:style>
  <w:style w:type="character" w:customStyle="1" w:styleId="Heading2Char">
    <w:name w:val="Heading 2 Char"/>
    <w:basedOn w:val="DefaultParagraphFont"/>
    <w:link w:val="Heading2"/>
    <w:uiPriority w:val="9"/>
    <w:rsid w:val="00D95F9B"/>
    <w:rPr>
      <w:rFonts w:ascii="Times New Roman" w:eastAsia="Times New Roman" w:hAnsi="Times New Roman" w:cs="Times New Roman"/>
      <w:b/>
      <w:bCs/>
      <w:color w:val="4472C4" w:themeColor="accent1"/>
      <w:kern w:val="0"/>
      <w:sz w:val="28"/>
      <w:szCs w:val="28"/>
      <w:lang w:val="en-GB"/>
      <w14:ligatures w14:val="none"/>
    </w:rPr>
  </w:style>
  <w:style w:type="paragraph" w:styleId="TableofFigures">
    <w:name w:val="table of figures"/>
    <w:basedOn w:val="Normal"/>
    <w:next w:val="Normal"/>
    <w:uiPriority w:val="99"/>
    <w:semiHidden/>
    <w:unhideWhenUsed/>
    <w:rsid w:val="00B25B39"/>
    <w:pPr>
      <w:spacing w:after="0"/>
    </w:pPr>
  </w:style>
  <w:style w:type="character" w:customStyle="1" w:styleId="Heading3Char">
    <w:name w:val="Heading 3 Char"/>
    <w:basedOn w:val="DefaultParagraphFont"/>
    <w:link w:val="Heading3"/>
    <w:uiPriority w:val="9"/>
    <w:rsid w:val="00D95F9B"/>
    <w:rPr>
      <w:rFonts w:ascii="Times New Roman" w:eastAsiaTheme="majorEastAsia" w:hAnsi="Times New Roman"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DB635D"/>
    <w:rPr>
      <w:rFonts w:eastAsiaTheme="majorEastAsia" w:cstheme="majorBidi"/>
      <w:i/>
      <w:iCs/>
      <w:color w:val="2F5496" w:themeColor="accent1" w:themeShade="BF"/>
      <w:sz w:val="24"/>
      <w:lang w:val="en-GB"/>
    </w:rPr>
  </w:style>
  <w:style w:type="character" w:customStyle="1" w:styleId="Heading5Char">
    <w:name w:val="Heading 5 Char"/>
    <w:basedOn w:val="DefaultParagraphFont"/>
    <w:link w:val="Heading5"/>
    <w:uiPriority w:val="9"/>
    <w:semiHidden/>
    <w:rsid w:val="00DB635D"/>
    <w:rPr>
      <w:rFonts w:eastAsiaTheme="majorEastAsia"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DB635D"/>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DB635D"/>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DB635D"/>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DB635D"/>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DB635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635D"/>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DB635D"/>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B635D"/>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DB635D"/>
    <w:pPr>
      <w:spacing w:before="160"/>
      <w:jc w:val="center"/>
    </w:pPr>
    <w:rPr>
      <w:i/>
      <w:iCs/>
      <w:color w:val="404040" w:themeColor="text1" w:themeTint="BF"/>
    </w:rPr>
  </w:style>
  <w:style w:type="character" w:customStyle="1" w:styleId="QuoteChar">
    <w:name w:val="Quote Char"/>
    <w:basedOn w:val="DefaultParagraphFont"/>
    <w:link w:val="Quote"/>
    <w:uiPriority w:val="29"/>
    <w:rsid w:val="00DB635D"/>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DB635D"/>
    <w:pPr>
      <w:ind w:left="720"/>
      <w:contextualSpacing/>
    </w:pPr>
  </w:style>
  <w:style w:type="character" w:styleId="IntenseEmphasis">
    <w:name w:val="Intense Emphasis"/>
    <w:basedOn w:val="DefaultParagraphFont"/>
    <w:uiPriority w:val="21"/>
    <w:qFormat/>
    <w:rsid w:val="00DB635D"/>
    <w:rPr>
      <w:i/>
      <w:iCs/>
      <w:color w:val="2F5496" w:themeColor="accent1" w:themeShade="BF"/>
    </w:rPr>
  </w:style>
  <w:style w:type="paragraph" w:styleId="IntenseQuote">
    <w:name w:val="Intense Quote"/>
    <w:basedOn w:val="Normal"/>
    <w:next w:val="Normal"/>
    <w:link w:val="IntenseQuoteChar"/>
    <w:uiPriority w:val="30"/>
    <w:qFormat/>
    <w:rsid w:val="00DB635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B635D"/>
    <w:rPr>
      <w:rFonts w:ascii="Times New Roman" w:hAnsi="Times New Roman"/>
      <w:i/>
      <w:iCs/>
      <w:color w:val="2F5496" w:themeColor="accent1" w:themeShade="BF"/>
      <w:sz w:val="24"/>
      <w:lang w:val="en-GB"/>
    </w:rPr>
  </w:style>
  <w:style w:type="character" w:styleId="IntenseReference">
    <w:name w:val="Intense Reference"/>
    <w:basedOn w:val="DefaultParagraphFont"/>
    <w:uiPriority w:val="32"/>
    <w:qFormat/>
    <w:rsid w:val="00DB635D"/>
    <w:rPr>
      <w:b/>
      <w:bCs/>
      <w:smallCaps/>
      <w:color w:val="2F5496" w:themeColor="accent1" w:themeShade="BF"/>
      <w:spacing w:val="5"/>
    </w:rPr>
  </w:style>
  <w:style w:type="table" w:styleId="PlainTable1">
    <w:name w:val="Plain Table 1"/>
    <w:basedOn w:val="TableNormal"/>
    <w:uiPriority w:val="41"/>
    <w:rsid w:val="00CD412A"/>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rmalWeb">
    <w:name w:val="Normal (Web)"/>
    <w:basedOn w:val="Normal"/>
    <w:uiPriority w:val="99"/>
    <w:unhideWhenUsed/>
    <w:rsid w:val="00F46DD0"/>
    <w:pPr>
      <w:spacing w:before="100" w:beforeAutospacing="1" w:after="100" w:afterAutospacing="1" w:line="240" w:lineRule="auto"/>
      <w:jc w:val="left"/>
    </w:pPr>
    <w:rPr>
      <w:rFonts w:eastAsia="Times New Roman" w:cs="Times New Roman"/>
      <w:kern w:val="0"/>
      <w:szCs w:val="24"/>
      <w:lang w:eastAsia="en-GB"/>
      <w14:ligatures w14:val="none"/>
    </w:rPr>
  </w:style>
  <w:style w:type="character" w:styleId="Emphasis">
    <w:name w:val="Emphasis"/>
    <w:basedOn w:val="DefaultParagraphFont"/>
    <w:uiPriority w:val="20"/>
    <w:qFormat/>
    <w:rsid w:val="00F46DD0"/>
    <w:rPr>
      <w:i/>
      <w:iCs/>
    </w:rPr>
  </w:style>
  <w:style w:type="paragraph" w:styleId="Header">
    <w:name w:val="header"/>
    <w:basedOn w:val="Normal"/>
    <w:link w:val="HeaderChar"/>
    <w:uiPriority w:val="99"/>
    <w:unhideWhenUsed/>
    <w:rsid w:val="00F46DD0"/>
    <w:pPr>
      <w:tabs>
        <w:tab w:val="center" w:pos="4680"/>
        <w:tab w:val="right" w:pos="9360"/>
      </w:tabs>
      <w:spacing w:after="0" w:line="240" w:lineRule="auto"/>
    </w:pPr>
  </w:style>
  <w:style w:type="character" w:customStyle="1" w:styleId="HeaderChar">
    <w:name w:val="Header Char"/>
    <w:basedOn w:val="DefaultParagraphFont"/>
    <w:link w:val="Header"/>
    <w:uiPriority w:val="99"/>
    <w:rsid w:val="00F46DD0"/>
    <w:rPr>
      <w:rFonts w:ascii="Times New Roman" w:hAnsi="Times New Roman"/>
      <w:sz w:val="24"/>
      <w:lang w:val="en-GB"/>
    </w:rPr>
  </w:style>
  <w:style w:type="paragraph" w:styleId="Footer">
    <w:name w:val="footer"/>
    <w:basedOn w:val="Normal"/>
    <w:link w:val="FooterChar"/>
    <w:uiPriority w:val="99"/>
    <w:unhideWhenUsed/>
    <w:rsid w:val="00F46DD0"/>
    <w:pPr>
      <w:tabs>
        <w:tab w:val="center" w:pos="4680"/>
        <w:tab w:val="right" w:pos="9360"/>
      </w:tabs>
      <w:spacing w:after="0" w:line="240" w:lineRule="auto"/>
    </w:pPr>
  </w:style>
  <w:style w:type="character" w:customStyle="1" w:styleId="FooterChar">
    <w:name w:val="Footer Char"/>
    <w:basedOn w:val="DefaultParagraphFont"/>
    <w:link w:val="Footer"/>
    <w:uiPriority w:val="99"/>
    <w:rsid w:val="00F46DD0"/>
    <w:rPr>
      <w:rFonts w:ascii="Times New Roman" w:hAnsi="Times New Roman"/>
      <w:sz w:val="24"/>
      <w:lang w:val="en-GB"/>
    </w:rPr>
  </w:style>
  <w:style w:type="paragraph" w:styleId="TOCHeading">
    <w:name w:val="TOC Heading"/>
    <w:basedOn w:val="Heading1"/>
    <w:next w:val="Normal"/>
    <w:uiPriority w:val="39"/>
    <w:unhideWhenUsed/>
    <w:qFormat/>
    <w:rsid w:val="00947159"/>
    <w:pPr>
      <w:spacing w:line="259" w:lineRule="auto"/>
      <w:jc w:val="left"/>
      <w:outlineLvl w:val="9"/>
    </w:pPr>
    <w:rPr>
      <w:rFonts w:asciiTheme="majorHAnsi" w:hAnsiTheme="majorHAnsi"/>
      <w:b w:val="0"/>
      <w:color w:val="2F5496" w:themeColor="accent1" w:themeShade="BF"/>
      <w:kern w:val="0"/>
      <w:lang w:val="en-US"/>
      <w14:ligatures w14:val="none"/>
    </w:rPr>
  </w:style>
  <w:style w:type="paragraph" w:styleId="TOC1">
    <w:name w:val="toc 1"/>
    <w:basedOn w:val="Normal"/>
    <w:next w:val="Normal"/>
    <w:autoRedefine/>
    <w:uiPriority w:val="39"/>
    <w:unhideWhenUsed/>
    <w:rsid w:val="00F05BB1"/>
    <w:pPr>
      <w:tabs>
        <w:tab w:val="right" w:leader="dot" w:pos="9016"/>
      </w:tabs>
      <w:spacing w:after="100"/>
    </w:pPr>
  </w:style>
  <w:style w:type="paragraph" w:styleId="TOC2">
    <w:name w:val="toc 2"/>
    <w:basedOn w:val="Normal"/>
    <w:next w:val="Normal"/>
    <w:autoRedefine/>
    <w:uiPriority w:val="39"/>
    <w:unhideWhenUsed/>
    <w:rsid w:val="00947159"/>
    <w:pPr>
      <w:spacing w:after="100"/>
      <w:ind w:left="240"/>
    </w:pPr>
  </w:style>
  <w:style w:type="paragraph" w:styleId="TOC3">
    <w:name w:val="toc 3"/>
    <w:basedOn w:val="Normal"/>
    <w:next w:val="Normal"/>
    <w:autoRedefine/>
    <w:uiPriority w:val="39"/>
    <w:unhideWhenUsed/>
    <w:rsid w:val="00947159"/>
    <w:pPr>
      <w:spacing w:after="100"/>
      <w:ind w:left="480"/>
    </w:pPr>
  </w:style>
  <w:style w:type="character" w:styleId="Hyperlink">
    <w:name w:val="Hyperlink"/>
    <w:basedOn w:val="DefaultParagraphFont"/>
    <w:uiPriority w:val="99"/>
    <w:unhideWhenUsed/>
    <w:rsid w:val="00947159"/>
    <w:rPr>
      <w:color w:val="0563C1" w:themeColor="hyperlink"/>
      <w:u w:val="single"/>
    </w:rPr>
  </w:style>
  <w:style w:type="paragraph" w:styleId="Caption">
    <w:name w:val="caption"/>
    <w:basedOn w:val="Normal"/>
    <w:next w:val="Normal"/>
    <w:uiPriority w:val="35"/>
    <w:unhideWhenUsed/>
    <w:qFormat/>
    <w:rsid w:val="00947159"/>
    <w:pPr>
      <w:spacing w:after="200" w:line="240" w:lineRule="auto"/>
    </w:pPr>
    <w:rPr>
      <w:i/>
      <w:iCs/>
      <w:color w:val="44546A" w:themeColor="text2"/>
      <w:sz w:val="18"/>
      <w:szCs w:val="18"/>
    </w:rPr>
  </w:style>
  <w:style w:type="table" w:styleId="GridTable3-Accent5">
    <w:name w:val="Grid Table 3 Accent 5"/>
    <w:basedOn w:val="TableNormal"/>
    <w:uiPriority w:val="48"/>
    <w:rsid w:val="00D53E56"/>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bottom w:val="single" w:sz="4" w:space="0" w:color="9CC2E5" w:themeColor="accent5" w:themeTint="99"/>
        </w:tcBorders>
      </w:tcPr>
    </w:tblStylePr>
    <w:tblStylePr w:type="nwCell">
      <w:tblPr/>
      <w:tcPr>
        <w:tcBorders>
          <w:bottom w:val="single" w:sz="4" w:space="0" w:color="9CC2E5" w:themeColor="accent5" w:themeTint="99"/>
        </w:tcBorders>
      </w:tcPr>
    </w:tblStylePr>
    <w:tblStylePr w:type="seCell">
      <w:tblPr/>
      <w:tcPr>
        <w:tcBorders>
          <w:top w:val="single" w:sz="4" w:space="0" w:color="9CC2E5" w:themeColor="accent5" w:themeTint="99"/>
        </w:tcBorders>
      </w:tcPr>
    </w:tblStylePr>
    <w:tblStylePr w:type="swCell">
      <w:tblPr/>
      <w:tcPr>
        <w:tcBorders>
          <w:top w:val="single" w:sz="4" w:space="0" w:color="9CC2E5" w:themeColor="accent5" w:themeTint="99"/>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3F3E0E-E58E-4CA5-973E-89C87A4DA9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8269</Words>
  <Characters>47137</Characters>
  <Application>Microsoft Office Word</Application>
  <DocSecurity>0</DocSecurity>
  <Lines>392</Lines>
  <Paragraphs>110</Paragraphs>
  <ScaleCrop>false</ScaleCrop>
  <Company/>
  <LinksUpToDate>false</LinksUpToDate>
  <CharactersWithSpaces>55296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
  <cp:revision>1</cp:revision>
  <dcterms:created xsi:type="dcterms:W3CDTF">2025-12-15T11:23:00Z</dcterms:created>
  <dcterms:modified xsi:type="dcterms:W3CDTF">2025-12-15T11:23:00Z</dcterms:modified>
</cp:coreProperties>
</file>