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6557" w:rsidRPr="008A6557" w:rsidRDefault="008A6557">
      <w:pPr>
        <w:rPr>
          <w:b/>
        </w:rPr>
      </w:pPr>
      <w:r w:rsidRPr="008A6557">
        <w:rPr>
          <w:b/>
          <w:noProof/>
          <w:lang w:eastAsia="en-GB"/>
        </w:rPr>
        <mc:AlternateContent>
          <mc:Choice Requires="wps">
            <w:drawing>
              <wp:anchor distT="0" distB="0" distL="114300" distR="114300" simplePos="0" relativeHeight="251659264" behindDoc="0" locked="0" layoutInCell="1" allowOverlap="1" wp14:anchorId="05AF0553" wp14:editId="266C021E">
                <wp:simplePos x="0" y="0"/>
                <wp:positionH relativeFrom="column">
                  <wp:posOffset>495300</wp:posOffset>
                </wp:positionH>
                <wp:positionV relativeFrom="paragraph">
                  <wp:posOffset>4333875</wp:posOffset>
                </wp:positionV>
                <wp:extent cx="4552950" cy="160972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4552950" cy="16097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A6557" w:rsidRDefault="008A6557" w:rsidP="008A6557">
                            <w:pPr>
                              <w:jc w:val="center"/>
                            </w:pPr>
                            <w:r>
                              <w:t>Claire Mann</w:t>
                            </w:r>
                          </w:p>
                          <w:p w:rsidR="008A6557" w:rsidRDefault="008A6557" w:rsidP="008A6557">
                            <w:pPr>
                              <w:jc w:val="center"/>
                            </w:pPr>
                            <w:r>
                              <w:t>1602593</w:t>
                            </w:r>
                          </w:p>
                          <w:p w:rsidR="008A6557" w:rsidRDefault="008A6557" w:rsidP="008A6557">
                            <w:pPr>
                              <w:jc w:val="center"/>
                            </w:pPr>
                            <w:r>
                              <w:t>Crusading in the Middle Ages</w:t>
                            </w:r>
                          </w:p>
                          <w:p w:rsidR="008A6557" w:rsidRDefault="008A6557" w:rsidP="008A6557">
                            <w:pPr>
                              <w:jc w:val="center"/>
                            </w:pPr>
                            <w:r>
                              <w:t>HPHI4006</w:t>
                            </w:r>
                          </w:p>
                          <w:p w:rsidR="008A6557" w:rsidRDefault="008A6557" w:rsidP="008A6557">
                            <w:pPr>
                              <w:jc w:val="center"/>
                            </w:pPr>
                          </w:p>
                          <w:p w:rsidR="008A6557" w:rsidRDefault="008A6557" w:rsidP="008A6557">
                            <w:pPr>
                              <w:jc w:val="center"/>
                            </w:pPr>
                          </w:p>
                          <w:p w:rsidR="008A6557" w:rsidRDefault="008A6557" w:rsidP="008A6557">
                            <w:pPr>
                              <w:jc w:val="center"/>
                            </w:pPr>
                          </w:p>
                          <w:p w:rsidR="008A6557" w:rsidRDefault="008A6557" w:rsidP="008A6557">
                            <w:pPr>
                              <w:jc w:val="center"/>
                            </w:pPr>
                          </w:p>
                          <w:p w:rsidR="008A6557" w:rsidRDefault="008A6557" w:rsidP="008A6557">
                            <w:pPr>
                              <w:jc w:val="center"/>
                            </w:pPr>
                          </w:p>
                          <w:p w:rsidR="008A6557" w:rsidRDefault="008A6557" w:rsidP="008A6557">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pt;margin-top:341.25pt;width:358.5pt;height:126.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" fillcolor="white [3201]" stroked="f" strokeweight=".5pt">
                <v:textbox>
                  <w:txbxContent>
                    <w:p w:rsidR="008A6557" w:rsidRDefault="008A6557" w:rsidP="008A6557">
                      <w:pPr>
                        <w:jc w:val="center"/>
                      </w:pPr>
                      <w:r>
                        <w:t>Claire Mann</w:t>
                      </w:r>
                    </w:p>
                    <w:p w:rsidR="008A6557" w:rsidRDefault="008A6557" w:rsidP="008A6557">
                      <w:pPr>
                        <w:jc w:val="center"/>
                      </w:pPr>
                      <w:r>
                        <w:t>1602593</w:t>
                      </w:r>
                    </w:p>
                    <w:p w:rsidR="008A6557" w:rsidRDefault="008A6557" w:rsidP="008A6557">
                      <w:pPr>
                        <w:jc w:val="center"/>
                      </w:pPr>
                      <w:r>
                        <w:t>Crusading in the Middle Ages</w:t>
                      </w:r>
                    </w:p>
                    <w:p w:rsidR="008A6557" w:rsidRDefault="008A6557" w:rsidP="008A6557">
                      <w:pPr>
                        <w:jc w:val="center"/>
                      </w:pPr>
                      <w:r>
                        <w:t>HPHI4006</w:t>
                      </w:r>
                    </w:p>
                    <w:p w:rsidR="008A6557" w:rsidRDefault="008A6557" w:rsidP="008A6557">
                      <w:pPr>
                        <w:jc w:val="center"/>
                      </w:pPr>
                    </w:p>
                    <w:p w:rsidR="008A6557" w:rsidRDefault="008A6557" w:rsidP="008A6557">
                      <w:pPr>
                        <w:jc w:val="center"/>
                      </w:pPr>
                    </w:p>
                    <w:p w:rsidR="008A6557" w:rsidRDefault="008A6557" w:rsidP="008A6557">
                      <w:pPr>
                        <w:jc w:val="center"/>
                      </w:pPr>
                    </w:p>
                    <w:p w:rsidR="008A6557" w:rsidRDefault="008A6557" w:rsidP="008A6557">
                      <w:pPr>
                        <w:jc w:val="center"/>
                      </w:pPr>
                    </w:p>
                    <w:p w:rsidR="008A6557" w:rsidRDefault="008A6557" w:rsidP="008A6557">
                      <w:pPr>
                        <w:jc w:val="center"/>
                      </w:pPr>
                    </w:p>
                    <w:p w:rsidR="008A6557" w:rsidRDefault="008A6557" w:rsidP="008A6557">
                      <w:pPr>
                        <w:jc w:val="center"/>
                      </w:pPr>
                    </w:p>
                  </w:txbxContent>
                </v:textbox>
              </v:shape>
            </w:pict>
          </mc:Fallback>
        </mc:AlternateContent>
      </w:r>
      <w:r w:rsidRPr="008A6557">
        <w:rPr>
          <w:b/>
          <w:noProof/>
          <w:lang w:eastAsia="en-GB"/>
        </w:rPr>
        <w:drawing>
          <wp:anchor distT="0" distB="0" distL="114300" distR="114300" simplePos="0" relativeHeight="251658240" behindDoc="0" locked="0" layoutInCell="1" allowOverlap="1" wp14:anchorId="1899FEE2" wp14:editId="66D3F09A">
            <wp:simplePos x="0" y="0"/>
            <wp:positionH relativeFrom="column">
              <wp:posOffset>419100</wp:posOffset>
            </wp:positionH>
            <wp:positionV relativeFrom="paragraph">
              <wp:posOffset>257175</wp:posOffset>
            </wp:positionV>
            <wp:extent cx="4698000" cy="288360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rban at Clermont.jpg"/>
                    <pic:cNvPicPr/>
                  </pic:nvPicPr>
                  <pic:blipFill>
                    <a:blip r:embed="rId8">
                      <a:extLst>
                        <a:ext uri="{28A0092B-C50C-407E-A947-70E740481C1C}">
                          <a14:useLocalDpi xmlns:a14="http://schemas.microsoft.com/office/drawing/2010/main" val="0"/>
                        </a:ext>
                      </a:extLst>
                    </a:blip>
                    <a:stretch>
                      <a:fillRect/>
                    </a:stretch>
                  </pic:blipFill>
                  <pic:spPr>
                    <a:xfrm>
                      <a:off x="0" y="0"/>
                      <a:ext cx="4698000" cy="2883600"/>
                    </a:xfrm>
                    <a:prstGeom prst="rect">
                      <a:avLst/>
                    </a:prstGeom>
                  </pic:spPr>
                </pic:pic>
              </a:graphicData>
            </a:graphic>
            <wp14:sizeRelH relativeFrom="page">
              <wp14:pctWidth>0</wp14:pctWidth>
            </wp14:sizeRelH>
            <wp14:sizeRelV relativeFrom="page">
              <wp14:pctHeight>0</wp14:pctHeight>
            </wp14:sizeRelV>
          </wp:anchor>
        </w:drawing>
      </w: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8A6557" w:rsidRPr="008A6557" w:rsidRDefault="008A6557" w:rsidP="008A6557">
      <w:pPr>
        <w:rPr>
          <w:b/>
        </w:rPr>
      </w:pPr>
    </w:p>
    <w:p w:rsidR="00AD30A7" w:rsidRPr="008A6557" w:rsidRDefault="008A6557" w:rsidP="008A6557">
      <w:pPr>
        <w:tabs>
          <w:tab w:val="left" w:pos="6795"/>
        </w:tabs>
        <w:rPr>
          <w:b/>
        </w:rPr>
      </w:pPr>
      <w:r w:rsidRPr="008A6557">
        <w:rPr>
          <w:b/>
        </w:rPr>
        <w:tab/>
      </w:r>
    </w:p>
    <w:p w:rsidR="008A6557" w:rsidRPr="008A6557" w:rsidRDefault="008A6557" w:rsidP="008A6557">
      <w:pPr>
        <w:tabs>
          <w:tab w:val="left" w:pos="6795"/>
        </w:tabs>
        <w:rPr>
          <w:b/>
        </w:rPr>
      </w:pPr>
    </w:p>
    <w:p w:rsidR="008A6557" w:rsidRPr="008A6557" w:rsidRDefault="008A6557" w:rsidP="008A6557">
      <w:pPr>
        <w:tabs>
          <w:tab w:val="left" w:pos="6795"/>
        </w:tabs>
        <w:rPr>
          <w:b/>
        </w:rPr>
      </w:pPr>
    </w:p>
    <w:p w:rsidR="008A6557" w:rsidRPr="008A6557" w:rsidRDefault="008A6557" w:rsidP="008A6557">
      <w:pPr>
        <w:tabs>
          <w:tab w:val="left" w:pos="6795"/>
        </w:tabs>
        <w:rPr>
          <w:b/>
        </w:rPr>
      </w:pPr>
    </w:p>
    <w:p w:rsidR="008A6557" w:rsidRPr="008A6557" w:rsidRDefault="008A6557" w:rsidP="008A6557">
      <w:pPr>
        <w:tabs>
          <w:tab w:val="left" w:pos="6795"/>
        </w:tabs>
        <w:rPr>
          <w:b/>
        </w:rPr>
      </w:pPr>
    </w:p>
    <w:p w:rsidR="008A6557" w:rsidRDefault="008A6557" w:rsidP="008A6557">
      <w:pPr>
        <w:tabs>
          <w:tab w:val="left" w:pos="6795"/>
        </w:tabs>
        <w:rPr>
          <w:b/>
        </w:rPr>
      </w:pPr>
      <w:r w:rsidRPr="008A6557">
        <w:rPr>
          <w:b/>
        </w:rPr>
        <w:lastRenderedPageBreak/>
        <w:t>How important was the concept of economic reward in motivating people to go on crusade?</w:t>
      </w:r>
    </w:p>
    <w:p w:rsidR="008A6557" w:rsidRDefault="008A6557" w:rsidP="004E754B">
      <w:pPr>
        <w:tabs>
          <w:tab w:val="left" w:pos="6795"/>
        </w:tabs>
        <w:spacing w:line="480" w:lineRule="auto"/>
      </w:pPr>
      <w:r>
        <w:t>To answer this we must first gain an understanding of the crusading movement and consider the motivating f</w:t>
      </w:r>
      <w:r w:rsidR="00145DED">
        <w:t>actors for crusaders, from the p</w:t>
      </w:r>
      <w:r>
        <w:t>ope to the humblest of warriors.  We will consider the religious and economic motives as well as people joining for an opportunity to travel and the adventure.</w:t>
      </w:r>
    </w:p>
    <w:p w:rsidR="000C1EA5" w:rsidRDefault="008A6557" w:rsidP="004E754B">
      <w:pPr>
        <w:tabs>
          <w:tab w:val="left" w:pos="6795"/>
        </w:tabs>
        <w:spacing w:line="480" w:lineRule="auto"/>
      </w:pPr>
      <w:r>
        <w:t xml:space="preserve">The concept of a crusade was developed in the eleventh </w:t>
      </w:r>
      <w:r w:rsidR="00145DED">
        <w:t>century;</w:t>
      </w:r>
      <w:r>
        <w:t xml:space="preserve"> they were a series of military campaigns fought on a vast scale during the middle ages.</w:t>
      </w:r>
      <w:r w:rsidR="00145DED">
        <w:t xml:space="preserve">  They were promoted by the papacy with the aim of taking the Holy Land back from Muslim control, thus resulting in the forces clashing for hundreds of years.  The first crusade was called on 27 November 1095 by Pope Urban II (r.1088 -1099 CE) at the Council of Clermont.  Alexios I </w:t>
      </w:r>
      <w:proofErr w:type="spellStart"/>
      <w:r w:rsidR="00145DED">
        <w:t>Komnenos</w:t>
      </w:r>
      <w:proofErr w:type="spellEnd"/>
      <w:r w:rsidR="00145DED">
        <w:t>, the Byzantine emperor had asked the p</w:t>
      </w:r>
      <w:r w:rsidR="00254D56">
        <w:t>ope</w:t>
      </w:r>
      <w:r w:rsidR="00145DED">
        <w:t xml:space="preserve"> for aid from the west against the Seljuq Turks</w:t>
      </w:r>
      <w:r w:rsidR="0020521A">
        <w:t xml:space="preserve"> who had taken nearly all of Asia Minor from him.</w:t>
      </w:r>
      <w:r w:rsidR="000C1EA5">
        <w:t xml:space="preserve">  </w:t>
      </w:r>
    </w:p>
    <w:p w:rsidR="00B30768" w:rsidRDefault="00B30768" w:rsidP="004E754B">
      <w:pPr>
        <w:tabs>
          <w:tab w:val="left" w:pos="6795"/>
        </w:tabs>
        <w:spacing w:line="480" w:lineRule="auto"/>
      </w:pPr>
    </w:p>
    <w:p w:rsidR="00FA4026" w:rsidRDefault="003D41C3" w:rsidP="004E754B">
      <w:pPr>
        <w:tabs>
          <w:tab w:val="left" w:pos="6795"/>
        </w:tabs>
        <w:spacing w:line="480" w:lineRule="auto"/>
      </w:pPr>
      <w:r>
        <w:t xml:space="preserve">The only official document of his speech is brief although clear in its message.  It is said that </w:t>
      </w:r>
      <w:r w:rsidR="000C1EA5">
        <w:t>Urban addressed the great crowd “Whoever for devotion alone but not to gain honour or money goes to Jerusalem to liberate the church of God can substitute this journey for all penance.”</w:t>
      </w:r>
      <w:r w:rsidR="000C1EA5">
        <w:rPr>
          <w:rStyle w:val="FootnoteReference"/>
        </w:rPr>
        <w:footnoteReference w:id="1"/>
      </w:r>
      <w:r w:rsidR="000C1EA5">
        <w:t xml:space="preserve">  </w:t>
      </w:r>
    </w:p>
    <w:p w:rsidR="00FA4026" w:rsidRDefault="000C1EA5" w:rsidP="004E754B">
      <w:pPr>
        <w:tabs>
          <w:tab w:val="left" w:pos="6795"/>
        </w:tabs>
        <w:spacing w:line="480" w:lineRule="auto"/>
      </w:pPr>
      <w:r>
        <w:t xml:space="preserve">There are five conflicting versions written by people present that day, though they were not composed until after the capture of Jerusalem some years later.  There is a possibility parts have been manipulated, </w:t>
      </w:r>
      <w:r w:rsidR="00FA4026">
        <w:t xml:space="preserve">though it is certain </w:t>
      </w:r>
      <w:r w:rsidR="00FF72DE">
        <w:t xml:space="preserve">that the spiritual importance remains.  The secular and spiritual rewards for taking the cross still emerge. </w:t>
      </w:r>
    </w:p>
    <w:p w:rsidR="008A6557" w:rsidRDefault="00FF72DE" w:rsidP="004E754B">
      <w:pPr>
        <w:tabs>
          <w:tab w:val="left" w:pos="6795"/>
        </w:tabs>
        <w:spacing w:line="480" w:lineRule="auto"/>
      </w:pPr>
      <w:r>
        <w:t xml:space="preserve"> If we consider the accounts of Fulcher of Chartres “All who die by the way, whether by land or by sea, or in battle against the pagans, shall have immediate remission of sins</w:t>
      </w:r>
      <w:r w:rsidR="004547E5">
        <w:t xml:space="preserve">.”  This wording although not the same as the Popes original speech is similar in the fact it offers the crusaders the indulgence and the promise of heaven.  They were promised their belongings, land, homes and any remaining </w:t>
      </w:r>
      <w:r w:rsidR="004547E5">
        <w:lastRenderedPageBreak/>
        <w:t>family</w:t>
      </w:r>
      <w:r w:rsidR="003B6A68">
        <w:t xml:space="preserve"> would</w:t>
      </w:r>
      <w:r w:rsidR="004547E5">
        <w:t xml:space="preserve"> be looked after until their return.  If the worst happened and they did not return they would forever rest in paradise as a martyr to their religion.  If they did not go God would no longer love them.  Fulcher</w:t>
      </w:r>
      <w:r>
        <w:t xml:space="preserve"> continue</w:t>
      </w:r>
      <w:r w:rsidR="004547E5">
        <w:t xml:space="preserve">s </w:t>
      </w:r>
      <w:r>
        <w:t xml:space="preserve"> to say “Let those who for a long time, have been robbers, now become knights” also “Let those who go not put off the journey but rent their lands and collect money for their expenses”.</w:t>
      </w:r>
      <w:r w:rsidR="00050364">
        <w:rPr>
          <w:rStyle w:val="FootnoteReference"/>
        </w:rPr>
        <w:footnoteReference w:id="2"/>
      </w:r>
      <w:r w:rsidR="00B30768">
        <w:t xml:space="preserve">  The </w:t>
      </w:r>
      <w:r>
        <w:t xml:space="preserve">initial statement is quite in keeping with the original speech, though the latter </w:t>
      </w:r>
      <w:r w:rsidR="004547E5">
        <w:t>two are not in-keeping with going for devotion alone.  To become a knight would be a great honour.  The renting of land whilst away would be an economic reward, certainly to the papal directed enterprise</w:t>
      </w:r>
      <w:r w:rsidR="00746E92">
        <w:t>.  An income while the person was away and if they did not return an inheritance to the papacy.</w:t>
      </w:r>
      <w:r w:rsidR="004547E5">
        <w:t xml:space="preserve"> </w:t>
      </w:r>
    </w:p>
    <w:p w:rsidR="00FF72DE" w:rsidRDefault="0095197D" w:rsidP="004E754B">
      <w:pPr>
        <w:tabs>
          <w:tab w:val="left" w:pos="6795"/>
        </w:tabs>
        <w:spacing w:line="480" w:lineRule="auto"/>
      </w:pPr>
      <w:r>
        <w:t>It was not until the spring of 1096 bands of zealous crusaders led by monks and soldiers set out for the Holy Land.</w:t>
      </w:r>
      <w:r>
        <w:rPr>
          <w:rStyle w:val="FootnoteReference"/>
        </w:rPr>
        <w:footnoteReference w:id="3"/>
      </w:r>
      <w:r>
        <w:t xml:space="preserve">  Assured that God wanted them to participate in a Holy war, masses pressed forward to take the crusader oath.  The appeal of a crusade was confined to no class</w:t>
      </w:r>
      <w:r>
        <w:rPr>
          <w:rStyle w:val="FootnoteReference"/>
        </w:rPr>
        <w:footnoteReference w:id="4"/>
      </w:r>
      <w:r w:rsidR="00701416">
        <w:t xml:space="preserve"> artisans, merchants, burgesses and even criminals.  Desire for adventure, conquest and plunder seems to have been at least as influential in attracting Christians to the cause as any desire to restore Christ’s supposed patrimony.</w:t>
      </w:r>
    </w:p>
    <w:p w:rsidR="00B30768" w:rsidRDefault="00701416" w:rsidP="004E754B">
      <w:pPr>
        <w:tabs>
          <w:tab w:val="left" w:pos="6795"/>
        </w:tabs>
        <w:spacing w:line="480" w:lineRule="auto"/>
      </w:pPr>
      <w:r>
        <w:t>The initial expedition was led by two men the charismatic preacher Peter the Hermit and the knight Walter the penniless (Sansavoir).  However they did not move as one army but in regional contingents on route to Constantinople.</w:t>
      </w:r>
      <w:r>
        <w:rPr>
          <w:rStyle w:val="FootnoteReference"/>
        </w:rPr>
        <w:footnoteReference w:id="5"/>
      </w:r>
      <w:r>
        <w:t xml:space="preserve">  </w:t>
      </w:r>
      <w:r w:rsidRPr="00701416">
        <w:t xml:space="preserve">Peter assured his followers that death in the Crusades provided an automatic passport to heaven and he led onwards a host which swelled gradually on the march to around forty thousand.  </w:t>
      </w:r>
      <w:r w:rsidR="004E754B">
        <w:t xml:space="preserve">Walter made his way to the frontiers of Hungary followed by some fifteen thousand.   </w:t>
      </w:r>
      <w:r w:rsidR="004E754B" w:rsidRPr="004E754B">
        <w:t xml:space="preserve">Other armies were to join as they travelled and behind these came a rabble it is </w:t>
      </w:r>
      <w:r w:rsidR="004E754B" w:rsidRPr="004E754B">
        <w:lastRenderedPageBreak/>
        <w:t>said of two hundred thou</w:t>
      </w:r>
      <w:r w:rsidR="004E754B">
        <w:t>sand men, women and children.</w:t>
      </w:r>
      <w:r w:rsidR="004E754B">
        <w:rPr>
          <w:rStyle w:val="FootnoteReference"/>
        </w:rPr>
        <w:footnoteReference w:id="6"/>
      </w:r>
      <w:r w:rsidR="004E754B">
        <w:t xml:space="preserve">  They marched killing Christians in </w:t>
      </w:r>
      <w:proofErr w:type="spellStart"/>
      <w:r w:rsidR="004E754B">
        <w:t>Zemun</w:t>
      </w:r>
      <w:proofErr w:type="spellEnd"/>
      <w:r w:rsidR="004E754B">
        <w:t xml:space="preserve"> (present day </w:t>
      </w:r>
      <w:proofErr w:type="spellStart"/>
      <w:r w:rsidR="004E754B">
        <w:t>Semlin</w:t>
      </w:r>
      <w:proofErr w:type="spellEnd"/>
      <w:r w:rsidR="004E754B">
        <w:t xml:space="preserve">) pillaged Belgrade and set fire to the towns around Nis. </w:t>
      </w:r>
      <w:r w:rsidR="00994997">
        <w:t xml:space="preserve"> </w:t>
      </w:r>
      <w:r w:rsidR="00994997" w:rsidRPr="00994997">
        <w:t>They looted property, robbed, tortured, raped and murdered the mainly Christian inhabitants of the country.  Their real delight was to prove the reality of their mission as soldiers of the cross by plundering, torturing and slaying Jews.</w:t>
      </w:r>
      <w:r w:rsidR="00994997">
        <w:rPr>
          <w:rStyle w:val="FootnoteReference"/>
        </w:rPr>
        <w:footnoteReference w:id="7"/>
      </w:r>
      <w:r w:rsidR="00994997" w:rsidRPr="00994997">
        <w:t xml:space="preserve">   Their journey to Constantinople continued, unarmed men and especially women and children were sold along the way to provide necessary funds.</w:t>
      </w:r>
      <w:r w:rsidR="00FA4026">
        <w:t xml:space="preserve"> </w:t>
      </w:r>
      <w:r w:rsidR="00FA4026" w:rsidRPr="00FA4026">
        <w:t xml:space="preserve"> In this vile horde no pretence was kept up of order or of decency.</w:t>
      </w:r>
      <w:r w:rsidR="00FA4026">
        <w:rPr>
          <w:rStyle w:val="FootnoteReference"/>
        </w:rPr>
        <w:footnoteReference w:id="8"/>
      </w:r>
      <w:r w:rsidR="006078E0">
        <w:t xml:space="preserve"> </w:t>
      </w:r>
    </w:p>
    <w:p w:rsidR="00B30768" w:rsidRDefault="00B30768" w:rsidP="004E754B">
      <w:pPr>
        <w:tabs>
          <w:tab w:val="left" w:pos="6795"/>
        </w:tabs>
        <w:spacing w:line="480" w:lineRule="auto"/>
      </w:pPr>
      <w:r>
        <w:t xml:space="preserve">As the Popes appeal was aimed at anybody to join ‘Gods Army’ I believe a strong percentage went for the spiritual and religious reasons however I feel others went for an adventure, the opportunity to fight or just to prove themselves.  Primogeniture could also be a strong motivating factor if you were a younger sibling in your family.  You would have nothing to gain </w:t>
      </w:r>
      <w:r w:rsidR="00900240">
        <w:t>staying back and everything to gain by going.</w:t>
      </w:r>
    </w:p>
    <w:p w:rsidR="00701416" w:rsidRDefault="006078E0" w:rsidP="004E754B">
      <w:pPr>
        <w:tabs>
          <w:tab w:val="left" w:pos="6795"/>
        </w:tabs>
        <w:spacing w:line="480" w:lineRule="auto"/>
      </w:pPr>
      <w:r>
        <w:t xml:space="preserve"> If we look at The Chronicle of Solomon bar Simson the extract of the crusader attack on Worms </w:t>
      </w:r>
      <w:r w:rsidR="00E078A1">
        <w:t xml:space="preserve">it states “Those who remained in their homes were set upon by the steppe-wolves who pillaged men, women and infants, children and old people.  They destroyed the houses, looting and plundering; and they took the Torah scroll, trampled it in the mud, and tore and burned it.  The enemy devoured the children of Israel with open maw”. </w:t>
      </w:r>
      <w:r w:rsidR="00E078A1">
        <w:rPr>
          <w:rStyle w:val="FootnoteReference"/>
        </w:rPr>
        <w:footnoteReference w:id="9"/>
      </w:r>
      <w:r w:rsidR="00E078A1">
        <w:t xml:space="preserve"> </w:t>
      </w:r>
      <w:r w:rsidR="00625B12">
        <w:t>This account could possibly have been what inspired Fulcher</w:t>
      </w:r>
      <w:r w:rsidR="00886251">
        <w:t xml:space="preserve"> to write the </w:t>
      </w:r>
      <w:r w:rsidR="00625B12">
        <w:t>account that we read earlier.</w:t>
      </w:r>
    </w:p>
    <w:p w:rsidR="00886251" w:rsidRDefault="00886251" w:rsidP="004E754B">
      <w:pPr>
        <w:tabs>
          <w:tab w:val="left" w:pos="6795"/>
        </w:tabs>
        <w:spacing w:line="480" w:lineRule="auto"/>
      </w:pPr>
      <w:r>
        <w:t xml:space="preserve">If we look at the case of </w:t>
      </w:r>
      <w:proofErr w:type="spellStart"/>
      <w:r>
        <w:t>Bohemond</w:t>
      </w:r>
      <w:proofErr w:type="spellEnd"/>
      <w:r>
        <w:t xml:space="preserve"> and Antioch, though it is possible he joined the first crusade for religious reasons it is also likely he joined for an opportunity of lordship.  He became incredibly wealthy and earnt massive respect from the crusading movement.</w:t>
      </w:r>
    </w:p>
    <w:p w:rsidR="00886251" w:rsidRDefault="00886251" w:rsidP="004E754B">
      <w:pPr>
        <w:tabs>
          <w:tab w:val="left" w:pos="6795"/>
        </w:tabs>
        <w:spacing w:line="480" w:lineRule="auto"/>
      </w:pPr>
      <w:r>
        <w:lastRenderedPageBreak/>
        <w:t>Local economy also would have flourished with the passing of the people.  The volume of trade would have vastly increased the development of towns.</w:t>
      </w:r>
      <w:r w:rsidR="00480594">
        <w:t xml:space="preserve"> People experienced cultural differences and new languages.</w:t>
      </w:r>
      <w:r>
        <w:t xml:space="preserve">  Military orders also gained, they developed into commercial companies possessing banks, navies and considerable territories.</w:t>
      </w:r>
      <w:r>
        <w:rPr>
          <w:rStyle w:val="FootnoteReference"/>
        </w:rPr>
        <w:footnoteReference w:id="10"/>
      </w:r>
    </w:p>
    <w:p w:rsidR="00FF5F9C" w:rsidRDefault="00886251" w:rsidP="004E754B">
      <w:pPr>
        <w:tabs>
          <w:tab w:val="left" w:pos="6795"/>
        </w:tabs>
        <w:spacing w:line="480" w:lineRule="auto"/>
      </w:pPr>
      <w:r>
        <w:t>Alongside these considerable advantages there are some slightly smaller things that the crusades introduced to Europe new plants, fruits, manufacturers, colours and fashions in dress.  The more exotic items from the East sugar and maize, luxurious materials, the use of powder and glass mirrors</w:t>
      </w:r>
      <w:r>
        <w:rPr>
          <w:rStyle w:val="FootnoteReference"/>
        </w:rPr>
        <w:footnoteReference w:id="11"/>
      </w:r>
      <w:r>
        <w:t xml:space="preserve"> are all thing introduced to us as a result of the crusades</w:t>
      </w:r>
      <w:r w:rsidR="003B6A68">
        <w:t>.</w:t>
      </w:r>
    </w:p>
    <w:p w:rsidR="00470621" w:rsidRDefault="00A607DA" w:rsidP="004E754B">
      <w:pPr>
        <w:tabs>
          <w:tab w:val="left" w:pos="6795"/>
        </w:tabs>
        <w:spacing w:line="480" w:lineRule="auto"/>
      </w:pPr>
      <w:r>
        <w:t>From all of the texts I have examined I am a little ‘on the fence’ with regard to peoples motives</w:t>
      </w:r>
      <w:r w:rsidR="004C5227">
        <w:t xml:space="preserve">.  I believe there was such a mixed bag of individuals who took the vow to crusade from peasants </w:t>
      </w:r>
      <w:r w:rsidR="004B1471">
        <w:t>in the first crusade through to Kings in later ones.  I think the lesser class; poorer people certainly would have gone based on the promise of a guaranteed passport to heaven.  The power religion had over people at the time the prospect of going to hell was in-comprehendible.  Pope Urban made it clear that anyone who didn’t go would no longer be loved by god.  I am unable to comment further if promised indulgences were granted but certainly economic rewards were gained by means of new experiences enabled to all who attended.  The cultural difference</w:t>
      </w:r>
      <w:r w:rsidR="004A6BC5">
        <w:t>s they observed and learnt from. S</w:t>
      </w:r>
      <w:r w:rsidR="000E7ACB">
        <w:t>ome bad aspects as many people starved and experienced loses of family, friend and colleagues.  Overall however the crusades have gained a place in history and many names are spoken and researched by current day historians.  We are incredibly fortunate to have historical narratives of the time from the primary sources we</w:t>
      </w:r>
      <w:r w:rsidR="004A6BC5">
        <w:t xml:space="preserve"> have visited during this essay, m</w:t>
      </w:r>
      <w:r w:rsidR="000E7ACB">
        <w:t>odern historiographies help us further</w:t>
      </w:r>
      <w:r w:rsidR="004A6BC5">
        <w:t xml:space="preserve">.  Whether the prime motivator for going on crusade is spiritual or economic seems to be a point of historical argument, but as new books emerge they will reflect the points of this discussion but with new and more modern influences.  Both </w:t>
      </w:r>
      <w:proofErr w:type="gramStart"/>
      <w:r w:rsidR="004A6BC5">
        <w:t>aspects  were</w:t>
      </w:r>
      <w:proofErr w:type="gramEnd"/>
      <w:r w:rsidR="004A6BC5">
        <w:t xml:space="preserve"> extremely important but were certainly not the only considerations that would have been taken at the time by those who took the </w:t>
      </w:r>
      <w:r w:rsidR="004A6BC5">
        <w:lastRenderedPageBreak/>
        <w:t>journey and made their vow in response to the words delivered by Pope Urban II on that day in Clermont in 1095.</w:t>
      </w: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Default="004A6BC5" w:rsidP="004E754B">
      <w:pPr>
        <w:tabs>
          <w:tab w:val="left" w:pos="6795"/>
        </w:tabs>
        <w:spacing w:line="480" w:lineRule="auto"/>
      </w:pPr>
    </w:p>
    <w:p w:rsidR="004A6BC5" w:rsidRPr="005D3C64" w:rsidRDefault="004A6BC5" w:rsidP="004A6BC5">
      <w:pPr>
        <w:tabs>
          <w:tab w:val="left" w:pos="6795"/>
        </w:tabs>
        <w:spacing w:line="480" w:lineRule="auto"/>
        <w:jc w:val="center"/>
        <w:rPr>
          <w:b/>
          <w:u w:val="single"/>
        </w:rPr>
      </w:pPr>
      <w:r w:rsidRPr="005D3C64">
        <w:rPr>
          <w:b/>
          <w:u w:val="single"/>
        </w:rPr>
        <w:lastRenderedPageBreak/>
        <w:t>Bibliography</w:t>
      </w:r>
      <w:bookmarkStart w:id="0" w:name="_GoBack"/>
      <w:bookmarkEnd w:id="0"/>
    </w:p>
    <w:p w:rsidR="005D3C64" w:rsidRPr="005D3C64" w:rsidRDefault="005D3C64" w:rsidP="005D3C64">
      <w:pPr>
        <w:tabs>
          <w:tab w:val="left" w:pos="6795"/>
        </w:tabs>
        <w:spacing w:line="480" w:lineRule="auto"/>
        <w:rPr>
          <w:b/>
        </w:rPr>
      </w:pPr>
      <w:r>
        <w:rPr>
          <w:b/>
          <w:u w:val="single"/>
        </w:rPr>
        <w:t>Books</w:t>
      </w:r>
    </w:p>
    <w:p w:rsidR="004A6BC5" w:rsidRPr="004A6BC5" w:rsidRDefault="004A6BC5" w:rsidP="004A6BC5">
      <w:pPr>
        <w:tabs>
          <w:tab w:val="left" w:pos="6795"/>
        </w:tabs>
        <w:spacing w:line="480" w:lineRule="auto"/>
        <w:rPr>
          <w:b/>
        </w:rPr>
      </w:pPr>
      <w:proofErr w:type="spellStart"/>
      <w:r w:rsidRPr="004A6BC5">
        <w:rPr>
          <w:b/>
        </w:rPr>
        <w:t>Soloman</w:t>
      </w:r>
      <w:proofErr w:type="spellEnd"/>
      <w:r w:rsidRPr="004A6BC5">
        <w:rPr>
          <w:b/>
        </w:rPr>
        <w:t xml:space="preserve"> bar Samson, 'The Crusaders in Mainz'</w:t>
      </w:r>
      <w:proofErr w:type="gramStart"/>
      <w:r w:rsidRPr="004A6BC5">
        <w:rPr>
          <w:b/>
        </w:rPr>
        <w:t>, ,</w:t>
      </w:r>
      <w:proofErr w:type="gramEnd"/>
      <w:r w:rsidRPr="004A6BC5">
        <w:rPr>
          <w:b/>
        </w:rPr>
        <w:t xml:space="preserve"> , (1096), . </w:t>
      </w:r>
    </w:p>
    <w:p w:rsidR="004A6BC5" w:rsidRPr="004A6BC5" w:rsidRDefault="004A6BC5" w:rsidP="004A6BC5">
      <w:pPr>
        <w:tabs>
          <w:tab w:val="left" w:pos="6795"/>
        </w:tabs>
        <w:spacing w:line="480" w:lineRule="auto"/>
        <w:rPr>
          <w:b/>
        </w:rPr>
      </w:pPr>
      <w:proofErr w:type="spellStart"/>
      <w:r w:rsidRPr="004A6BC5">
        <w:rPr>
          <w:b/>
        </w:rPr>
        <w:t>G.W.Cox</w:t>
      </w:r>
      <w:proofErr w:type="spellEnd"/>
      <w:r w:rsidRPr="004A6BC5">
        <w:rPr>
          <w:b/>
        </w:rPr>
        <w:t xml:space="preserve">, Epochs of Modern History, ed. by C. </w:t>
      </w:r>
      <w:proofErr w:type="spellStart"/>
      <w:r w:rsidRPr="004A6BC5">
        <w:rPr>
          <w:b/>
        </w:rPr>
        <w:t>Colbeck</w:t>
      </w:r>
      <w:proofErr w:type="spellEnd"/>
      <w:r w:rsidRPr="004A6BC5">
        <w:rPr>
          <w:b/>
        </w:rPr>
        <w:t xml:space="preserve">, The Crusades </w:t>
      </w:r>
      <w:proofErr w:type="spellStart"/>
      <w:r w:rsidRPr="004A6BC5">
        <w:rPr>
          <w:b/>
        </w:rPr>
        <w:t>edn</w:t>
      </w:r>
      <w:proofErr w:type="spellEnd"/>
      <w:r w:rsidRPr="004A6BC5">
        <w:rPr>
          <w:b/>
        </w:rPr>
        <w:t xml:space="preserve"> (London: Longmans Green and Co, 1911), p. 39.</w:t>
      </w:r>
    </w:p>
    <w:p w:rsidR="004A6BC5" w:rsidRPr="004A6BC5" w:rsidRDefault="004A6BC5" w:rsidP="004A6BC5">
      <w:pPr>
        <w:tabs>
          <w:tab w:val="left" w:pos="6795"/>
        </w:tabs>
        <w:spacing w:line="480" w:lineRule="auto"/>
        <w:rPr>
          <w:b/>
        </w:rPr>
      </w:pPr>
      <w:proofErr w:type="gramStart"/>
      <w:r w:rsidRPr="004A6BC5">
        <w:rPr>
          <w:b/>
        </w:rPr>
        <w:t>Hugh O'Reilly, Urban II Calls for the first Crusade (April 18 2008) &lt;https://www.traditioninaction.org/History/A_012_FirstCrusade_Urban.htm&gt; [accessed 12 January 2019].</w:t>
      </w:r>
      <w:proofErr w:type="gramEnd"/>
    </w:p>
    <w:p w:rsidR="005D3C64" w:rsidRDefault="004A6BC5" w:rsidP="004A6BC5">
      <w:pPr>
        <w:tabs>
          <w:tab w:val="left" w:pos="6795"/>
        </w:tabs>
        <w:spacing w:line="480" w:lineRule="auto"/>
        <w:rPr>
          <w:b/>
        </w:rPr>
      </w:pPr>
      <w:r w:rsidRPr="004A6BC5">
        <w:rPr>
          <w:b/>
        </w:rPr>
        <w:t xml:space="preserve">Jonathan Phillips, </w:t>
      </w:r>
      <w:proofErr w:type="gramStart"/>
      <w:r w:rsidRPr="004A6BC5">
        <w:rPr>
          <w:b/>
        </w:rPr>
        <w:t>The</w:t>
      </w:r>
      <w:proofErr w:type="gramEnd"/>
      <w:r w:rsidRPr="004A6BC5">
        <w:rPr>
          <w:b/>
        </w:rPr>
        <w:t xml:space="preserve"> Crusades 1095-1197 (Harlow: Pearson Education Limited, 2002</w:t>
      </w:r>
      <w:r w:rsidR="005D3C64">
        <w:rPr>
          <w:b/>
        </w:rPr>
        <w:t>)</w:t>
      </w:r>
    </w:p>
    <w:p w:rsidR="004A6BC5" w:rsidRPr="004A6BC5" w:rsidRDefault="004A6BC5" w:rsidP="004A6BC5">
      <w:pPr>
        <w:tabs>
          <w:tab w:val="left" w:pos="6795"/>
        </w:tabs>
        <w:spacing w:line="480" w:lineRule="auto"/>
        <w:rPr>
          <w:b/>
        </w:rPr>
      </w:pPr>
      <w:r w:rsidRPr="004A6BC5">
        <w:rPr>
          <w:b/>
        </w:rPr>
        <w:t xml:space="preserve">Jonathan Riley-Smith, What were The Crusades, Second </w:t>
      </w:r>
      <w:proofErr w:type="spellStart"/>
      <w:r w:rsidRPr="004A6BC5">
        <w:rPr>
          <w:b/>
        </w:rPr>
        <w:t>edn</w:t>
      </w:r>
      <w:proofErr w:type="spellEnd"/>
      <w:r w:rsidRPr="004A6BC5">
        <w:rPr>
          <w:b/>
        </w:rPr>
        <w:t xml:space="preserve"> (London: Macmillan Education Limited, 1985)</w:t>
      </w:r>
    </w:p>
    <w:p w:rsidR="004A6BC5" w:rsidRDefault="004A6BC5" w:rsidP="004A6BC5">
      <w:pPr>
        <w:tabs>
          <w:tab w:val="left" w:pos="6795"/>
        </w:tabs>
        <w:spacing w:line="480" w:lineRule="auto"/>
        <w:rPr>
          <w:b/>
        </w:rPr>
      </w:pPr>
      <w:r w:rsidRPr="004A6BC5">
        <w:rPr>
          <w:b/>
        </w:rPr>
        <w:t xml:space="preserve">The Jews and the Crusaders: The Hebrew Chronicles, ed. by </w:t>
      </w:r>
      <w:proofErr w:type="spellStart"/>
      <w:r w:rsidRPr="004A6BC5">
        <w:rPr>
          <w:b/>
        </w:rPr>
        <w:t>Shlomo</w:t>
      </w:r>
      <w:proofErr w:type="spellEnd"/>
      <w:r w:rsidRPr="004A6BC5">
        <w:rPr>
          <w:b/>
        </w:rPr>
        <w:t xml:space="preserve"> </w:t>
      </w:r>
      <w:proofErr w:type="spellStart"/>
      <w:r w:rsidRPr="004A6BC5">
        <w:rPr>
          <w:b/>
        </w:rPr>
        <w:t>Eidelberg</w:t>
      </w:r>
      <w:proofErr w:type="spellEnd"/>
      <w:r w:rsidRPr="004A6BC5">
        <w:rPr>
          <w:b/>
        </w:rPr>
        <w:t xml:space="preserve"> (Madison WI: University of </w:t>
      </w:r>
      <w:r w:rsidR="005D3C64">
        <w:rPr>
          <w:b/>
        </w:rPr>
        <w:t>Wisconsin Press, 1977)</w:t>
      </w:r>
    </w:p>
    <w:p w:rsidR="005D3C64" w:rsidRDefault="005D3C64" w:rsidP="004A6BC5">
      <w:pPr>
        <w:tabs>
          <w:tab w:val="left" w:pos="6795"/>
        </w:tabs>
        <w:spacing w:line="480" w:lineRule="auto"/>
        <w:rPr>
          <w:b/>
        </w:rPr>
      </w:pPr>
      <w:r w:rsidRPr="005D3C64">
        <w:rPr>
          <w:b/>
        </w:rPr>
        <w:t xml:space="preserve">Ernest Barker, </w:t>
      </w:r>
      <w:proofErr w:type="gramStart"/>
      <w:r w:rsidRPr="005D3C64">
        <w:rPr>
          <w:b/>
        </w:rPr>
        <w:t>The</w:t>
      </w:r>
      <w:proofErr w:type="gramEnd"/>
      <w:r w:rsidRPr="005D3C64">
        <w:rPr>
          <w:b/>
        </w:rPr>
        <w:t xml:space="preserve"> Crusades (London: Oxford </w:t>
      </w:r>
      <w:r>
        <w:rPr>
          <w:b/>
        </w:rPr>
        <w:t>University Press, 1923)</w:t>
      </w:r>
    </w:p>
    <w:p w:rsidR="005D3C64" w:rsidRPr="005D3C64" w:rsidRDefault="005D3C64" w:rsidP="004A6BC5">
      <w:pPr>
        <w:tabs>
          <w:tab w:val="left" w:pos="6795"/>
        </w:tabs>
        <w:spacing w:line="480" w:lineRule="auto"/>
        <w:rPr>
          <w:b/>
          <w:u w:val="single"/>
        </w:rPr>
      </w:pPr>
      <w:r w:rsidRPr="005D3C64">
        <w:rPr>
          <w:b/>
          <w:u w:val="single"/>
        </w:rPr>
        <w:t>Websites</w:t>
      </w:r>
    </w:p>
    <w:p w:rsidR="004A6BC5" w:rsidRPr="004A6BC5" w:rsidRDefault="004A6BC5" w:rsidP="004A6BC5">
      <w:pPr>
        <w:tabs>
          <w:tab w:val="left" w:pos="6795"/>
        </w:tabs>
        <w:spacing w:line="480" w:lineRule="auto"/>
        <w:rPr>
          <w:b/>
        </w:rPr>
      </w:pPr>
      <w:proofErr w:type="gramStart"/>
      <w:r w:rsidRPr="004A6BC5">
        <w:rPr>
          <w:b/>
        </w:rPr>
        <w:t>Fordham University, Urban II Speech according to Fulcher of Chartres () &lt;https://sourcebooks.fordham.edu/source/urban2-fulcher.asp&gt; [accessed 29 January 2019].</w:t>
      </w:r>
      <w:proofErr w:type="gramEnd"/>
    </w:p>
    <w:p w:rsidR="00FF72DE" w:rsidRPr="008A6557" w:rsidRDefault="00FF72DE" w:rsidP="004E754B">
      <w:pPr>
        <w:tabs>
          <w:tab w:val="left" w:pos="6795"/>
        </w:tabs>
        <w:spacing w:line="480" w:lineRule="auto"/>
      </w:pPr>
    </w:p>
    <w:sectPr w:rsidR="00FF72DE" w:rsidRPr="008A65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E4941" w:rsidRDefault="002E4941" w:rsidP="000C1EA5">
      <w:pPr>
        <w:spacing w:after="0" w:line="240" w:lineRule="auto"/>
      </w:pPr>
      <w:r>
        <w:separator/>
      </w:r>
    </w:p>
  </w:endnote>
  <w:endnote w:type="continuationSeparator" w:id="0">
    <w:p w:rsidR="002E4941" w:rsidRDefault="002E4941" w:rsidP="000C1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E4941" w:rsidRDefault="002E4941" w:rsidP="000C1EA5">
      <w:pPr>
        <w:spacing w:after="0" w:line="240" w:lineRule="auto"/>
      </w:pPr>
      <w:r>
        <w:separator/>
      </w:r>
    </w:p>
  </w:footnote>
  <w:footnote w:type="continuationSeparator" w:id="0">
    <w:p w:rsidR="002E4941" w:rsidRDefault="002E4941" w:rsidP="000C1EA5">
      <w:pPr>
        <w:spacing w:after="0" w:line="240" w:lineRule="auto"/>
      </w:pPr>
      <w:r>
        <w:continuationSeparator/>
      </w:r>
    </w:p>
  </w:footnote>
  <w:footnote w:id="1">
    <w:p w:rsidR="000C1EA5" w:rsidRDefault="000C1EA5">
      <w:pPr>
        <w:pStyle w:val="FootnoteText"/>
      </w:pPr>
      <w:r>
        <w:rPr>
          <w:rStyle w:val="FootnoteReference"/>
        </w:rPr>
        <w:footnoteRef/>
      </w:r>
      <w:r>
        <w:t xml:space="preserve"> </w:t>
      </w:r>
      <w:r w:rsidRPr="000C1EA5">
        <w:t xml:space="preserve">Jonathan Phillips, </w:t>
      </w:r>
      <w:proofErr w:type="gramStart"/>
      <w:r w:rsidRPr="000C1EA5">
        <w:t>The</w:t>
      </w:r>
      <w:proofErr w:type="gramEnd"/>
      <w:r w:rsidRPr="000C1EA5">
        <w:t xml:space="preserve"> Crusades 1095-1197 (Harlow: Pearson Education Limited, 2002), p. 15.</w:t>
      </w:r>
    </w:p>
  </w:footnote>
  <w:footnote w:id="2">
    <w:p w:rsidR="00050364" w:rsidRDefault="00050364">
      <w:pPr>
        <w:pStyle w:val="FootnoteText"/>
      </w:pPr>
      <w:r>
        <w:rPr>
          <w:rStyle w:val="FootnoteReference"/>
        </w:rPr>
        <w:footnoteRef/>
      </w:r>
      <w:r>
        <w:t xml:space="preserve"> </w:t>
      </w:r>
      <w:proofErr w:type="gramStart"/>
      <w:r w:rsidRPr="00050364">
        <w:t>Fordham University, Urban II Speech according to Fulcher of Chartres () &lt;https://sourcebooks.fordham.edu/source/urban2-fulcher.asp&gt; [accessed 29 January 2019].</w:t>
      </w:r>
      <w:proofErr w:type="gramEnd"/>
    </w:p>
  </w:footnote>
  <w:footnote w:id="3">
    <w:p w:rsidR="0095197D" w:rsidRDefault="0095197D">
      <w:pPr>
        <w:pStyle w:val="FootnoteText"/>
      </w:pPr>
      <w:r>
        <w:rPr>
          <w:rStyle w:val="FootnoteReference"/>
        </w:rPr>
        <w:footnoteRef/>
      </w:r>
      <w:r>
        <w:t xml:space="preserve"> </w:t>
      </w:r>
      <w:proofErr w:type="spellStart"/>
      <w:r w:rsidR="006078E0">
        <w:t>Soloman</w:t>
      </w:r>
      <w:proofErr w:type="spellEnd"/>
      <w:r w:rsidR="006078E0">
        <w:t xml:space="preserve"> bar Si</w:t>
      </w:r>
      <w:r w:rsidRPr="0095197D">
        <w:t>mson, 'The Crusaders in Mainz'</w:t>
      </w:r>
      <w:proofErr w:type="gramStart"/>
      <w:r w:rsidRPr="0095197D">
        <w:t>, ,</w:t>
      </w:r>
      <w:proofErr w:type="gramEnd"/>
      <w:r w:rsidRPr="0095197D">
        <w:t xml:space="preserve"> , (1096), .</w:t>
      </w:r>
    </w:p>
  </w:footnote>
  <w:footnote w:id="4">
    <w:p w:rsidR="0095197D" w:rsidRDefault="0095197D">
      <w:pPr>
        <w:pStyle w:val="FootnoteText"/>
      </w:pPr>
      <w:r>
        <w:rPr>
          <w:rStyle w:val="FootnoteReference"/>
        </w:rPr>
        <w:footnoteRef/>
      </w:r>
      <w:r>
        <w:t xml:space="preserve"> </w:t>
      </w:r>
      <w:r w:rsidRPr="0095197D">
        <w:t xml:space="preserve">Jonathan Riley-Smith, What were The Crusades, Second </w:t>
      </w:r>
      <w:proofErr w:type="spellStart"/>
      <w:r w:rsidRPr="0095197D">
        <w:t>edn</w:t>
      </w:r>
      <w:proofErr w:type="spellEnd"/>
      <w:r w:rsidRPr="0095197D">
        <w:t xml:space="preserve"> (London: Macmill</w:t>
      </w:r>
      <w:r>
        <w:t>an Education Ltd, 1985), p.</w:t>
      </w:r>
      <w:r w:rsidRPr="0095197D">
        <w:t>63.</w:t>
      </w:r>
    </w:p>
  </w:footnote>
  <w:footnote w:id="5">
    <w:p w:rsidR="00701416" w:rsidRDefault="00701416">
      <w:pPr>
        <w:pStyle w:val="FootnoteText"/>
      </w:pPr>
      <w:r>
        <w:rPr>
          <w:rStyle w:val="FootnoteReference"/>
        </w:rPr>
        <w:footnoteRef/>
      </w:r>
      <w:r>
        <w:t xml:space="preserve"> </w:t>
      </w:r>
      <w:r w:rsidRPr="00701416">
        <w:t xml:space="preserve">Jonathan Phillips, </w:t>
      </w:r>
      <w:proofErr w:type="gramStart"/>
      <w:r w:rsidRPr="00701416">
        <w:t>The</w:t>
      </w:r>
      <w:proofErr w:type="gramEnd"/>
      <w:r w:rsidRPr="00701416">
        <w:t xml:space="preserve"> Crusades 1095-1197 (Harlow: Pearson</w:t>
      </w:r>
      <w:r>
        <w:t xml:space="preserve"> Education Limited, 2002), p. 19</w:t>
      </w:r>
      <w:r w:rsidRPr="00701416">
        <w:t>.</w:t>
      </w:r>
    </w:p>
  </w:footnote>
  <w:footnote w:id="6">
    <w:p w:rsidR="004E754B" w:rsidRDefault="004E754B">
      <w:pPr>
        <w:pStyle w:val="FootnoteText"/>
      </w:pPr>
      <w:r>
        <w:rPr>
          <w:rStyle w:val="FootnoteReference"/>
        </w:rPr>
        <w:footnoteRef/>
      </w:r>
      <w:r>
        <w:t xml:space="preserve"> </w:t>
      </w:r>
      <w:proofErr w:type="spellStart"/>
      <w:r w:rsidRPr="004E754B">
        <w:t>G.W.Cox</w:t>
      </w:r>
      <w:proofErr w:type="spellEnd"/>
      <w:r w:rsidRPr="004E754B">
        <w:t xml:space="preserve">, Epochs of Modern History, ed. by C. </w:t>
      </w:r>
      <w:proofErr w:type="spellStart"/>
      <w:r w:rsidRPr="004E754B">
        <w:t>Colbeck</w:t>
      </w:r>
      <w:proofErr w:type="spellEnd"/>
      <w:r w:rsidRPr="004E754B">
        <w:t xml:space="preserve">, The Crusades </w:t>
      </w:r>
      <w:proofErr w:type="spellStart"/>
      <w:r w:rsidRPr="004E754B">
        <w:t>edn</w:t>
      </w:r>
      <w:proofErr w:type="spellEnd"/>
      <w:r w:rsidRPr="004E754B">
        <w:t xml:space="preserve"> (London: Longmans Green and Co, 1911), p. 39.</w:t>
      </w:r>
    </w:p>
  </w:footnote>
  <w:footnote w:id="7">
    <w:p w:rsidR="00994997" w:rsidRDefault="00994997">
      <w:pPr>
        <w:pStyle w:val="FootnoteText"/>
      </w:pPr>
      <w:r>
        <w:rPr>
          <w:rStyle w:val="FootnoteReference"/>
        </w:rPr>
        <w:footnoteRef/>
      </w:r>
      <w:r>
        <w:t xml:space="preserve"> </w:t>
      </w:r>
      <w:proofErr w:type="spellStart"/>
      <w:r w:rsidRPr="00994997">
        <w:t>G.W.Cox</w:t>
      </w:r>
      <w:proofErr w:type="spellEnd"/>
      <w:r w:rsidRPr="00994997">
        <w:t xml:space="preserve">, Epochs of Modern History, ed. by C. </w:t>
      </w:r>
      <w:proofErr w:type="spellStart"/>
      <w:r w:rsidRPr="00994997">
        <w:t>Colbeck</w:t>
      </w:r>
      <w:proofErr w:type="spellEnd"/>
      <w:r w:rsidRPr="00994997">
        <w:t xml:space="preserve">, The Crusades </w:t>
      </w:r>
      <w:proofErr w:type="spellStart"/>
      <w:r w:rsidRPr="00994997">
        <w:t>edn</w:t>
      </w:r>
      <w:proofErr w:type="spellEnd"/>
      <w:r w:rsidRPr="00994997">
        <w:t xml:space="preserve"> (London: Longmans Green and Co, 2251911), p. 39.</w:t>
      </w:r>
    </w:p>
  </w:footnote>
  <w:footnote w:id="8">
    <w:p w:rsidR="00FA4026" w:rsidRDefault="00FA4026">
      <w:pPr>
        <w:pStyle w:val="FootnoteText"/>
      </w:pPr>
      <w:r>
        <w:rPr>
          <w:rStyle w:val="FootnoteReference"/>
        </w:rPr>
        <w:footnoteRef/>
      </w:r>
      <w:r>
        <w:t xml:space="preserve"> </w:t>
      </w:r>
      <w:proofErr w:type="spellStart"/>
      <w:r w:rsidRPr="00FA4026">
        <w:t>G.W.Cox</w:t>
      </w:r>
      <w:proofErr w:type="spellEnd"/>
      <w:r w:rsidRPr="00FA4026">
        <w:t xml:space="preserve">, Epochs of Modern History, ed. by C. </w:t>
      </w:r>
      <w:proofErr w:type="spellStart"/>
      <w:r w:rsidRPr="00FA4026">
        <w:t>Colbeck</w:t>
      </w:r>
      <w:proofErr w:type="spellEnd"/>
      <w:r w:rsidRPr="00FA4026">
        <w:t xml:space="preserve">, The Crusades </w:t>
      </w:r>
      <w:proofErr w:type="spellStart"/>
      <w:r w:rsidRPr="00FA4026">
        <w:t>edn</w:t>
      </w:r>
      <w:proofErr w:type="spellEnd"/>
      <w:r w:rsidRPr="00FA4026">
        <w:t xml:space="preserve"> (London: Longmans Green and Co, 2251911), p. 39.</w:t>
      </w:r>
    </w:p>
  </w:footnote>
  <w:footnote w:id="9">
    <w:p w:rsidR="00E078A1" w:rsidRDefault="00E078A1">
      <w:pPr>
        <w:pStyle w:val="FootnoteText"/>
      </w:pPr>
      <w:r>
        <w:rPr>
          <w:rStyle w:val="FootnoteReference"/>
        </w:rPr>
        <w:footnoteRef/>
      </w:r>
      <w:r>
        <w:t xml:space="preserve"> </w:t>
      </w:r>
      <w:r w:rsidRPr="00E078A1">
        <w:t xml:space="preserve">The Jews and the Crusaders: The Hebrew Chronicles, ed. by </w:t>
      </w:r>
      <w:proofErr w:type="spellStart"/>
      <w:r w:rsidRPr="00E078A1">
        <w:t>Shlomo</w:t>
      </w:r>
      <w:proofErr w:type="spellEnd"/>
      <w:r w:rsidRPr="00E078A1">
        <w:t xml:space="preserve"> </w:t>
      </w:r>
      <w:proofErr w:type="spellStart"/>
      <w:r w:rsidRPr="00E078A1">
        <w:t>Eidelberg</w:t>
      </w:r>
      <w:proofErr w:type="spellEnd"/>
      <w:r w:rsidRPr="00E078A1">
        <w:t xml:space="preserve"> (Madison WI: University of Wisconsin Press, 1977), p. 21-3.</w:t>
      </w:r>
    </w:p>
  </w:footnote>
  <w:footnote w:id="10">
    <w:p w:rsidR="00886251" w:rsidRDefault="00886251">
      <w:pPr>
        <w:pStyle w:val="FootnoteText"/>
      </w:pPr>
      <w:r>
        <w:rPr>
          <w:rStyle w:val="FootnoteReference"/>
        </w:rPr>
        <w:footnoteRef/>
      </w:r>
      <w:r>
        <w:t xml:space="preserve"> </w:t>
      </w:r>
      <w:r w:rsidRPr="00886251">
        <w:t xml:space="preserve">Ernest Barker, </w:t>
      </w:r>
      <w:proofErr w:type="gramStart"/>
      <w:r w:rsidRPr="00886251">
        <w:t>The</w:t>
      </w:r>
      <w:proofErr w:type="gramEnd"/>
      <w:r w:rsidRPr="00886251">
        <w:t xml:space="preserve"> Crusades (London: Oxford University Press, 1923), p. 104.</w:t>
      </w:r>
    </w:p>
  </w:footnote>
  <w:footnote w:id="11">
    <w:p w:rsidR="00886251" w:rsidRDefault="00886251">
      <w:pPr>
        <w:pStyle w:val="FootnoteText"/>
      </w:pPr>
      <w:r>
        <w:rPr>
          <w:rStyle w:val="FootnoteReference"/>
        </w:rPr>
        <w:footnoteRef/>
      </w:r>
      <w:r>
        <w:t xml:space="preserve"> </w:t>
      </w:r>
      <w:r w:rsidRPr="00886251">
        <w:t xml:space="preserve">Ernest Barker, </w:t>
      </w:r>
      <w:proofErr w:type="gramStart"/>
      <w:r w:rsidRPr="00886251">
        <w:t>The</w:t>
      </w:r>
      <w:proofErr w:type="gramEnd"/>
      <w:r w:rsidRPr="00886251">
        <w:t xml:space="preserve"> Crusades (London: Oxford University Press, 1923), p. 104.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6557"/>
    <w:rsid w:val="00050364"/>
    <w:rsid w:val="000B77FE"/>
    <w:rsid w:val="000C1EA5"/>
    <w:rsid w:val="000E7ACB"/>
    <w:rsid w:val="00145DED"/>
    <w:rsid w:val="001A3AB4"/>
    <w:rsid w:val="0020521A"/>
    <w:rsid w:val="00254D56"/>
    <w:rsid w:val="002E4941"/>
    <w:rsid w:val="002E6009"/>
    <w:rsid w:val="003B6A68"/>
    <w:rsid w:val="003D41C3"/>
    <w:rsid w:val="004547E5"/>
    <w:rsid w:val="00470621"/>
    <w:rsid w:val="00480594"/>
    <w:rsid w:val="004A6BC5"/>
    <w:rsid w:val="004B1471"/>
    <w:rsid w:val="004C5227"/>
    <w:rsid w:val="004E754B"/>
    <w:rsid w:val="005D3C64"/>
    <w:rsid w:val="006078E0"/>
    <w:rsid w:val="00625B12"/>
    <w:rsid w:val="00701416"/>
    <w:rsid w:val="00746E92"/>
    <w:rsid w:val="007801E8"/>
    <w:rsid w:val="00873631"/>
    <w:rsid w:val="00886251"/>
    <w:rsid w:val="008A6557"/>
    <w:rsid w:val="00900240"/>
    <w:rsid w:val="0095197D"/>
    <w:rsid w:val="00994997"/>
    <w:rsid w:val="009C15F6"/>
    <w:rsid w:val="00A607DA"/>
    <w:rsid w:val="00AD30A7"/>
    <w:rsid w:val="00B30768"/>
    <w:rsid w:val="00C45B40"/>
    <w:rsid w:val="00E078A1"/>
    <w:rsid w:val="00FA4026"/>
    <w:rsid w:val="00FF5F9C"/>
    <w:rsid w:val="00FF7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6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557"/>
    <w:rPr>
      <w:rFonts w:ascii="Tahoma" w:hAnsi="Tahoma" w:cs="Tahoma"/>
      <w:sz w:val="16"/>
      <w:szCs w:val="16"/>
    </w:rPr>
  </w:style>
  <w:style w:type="paragraph" w:styleId="FootnoteText">
    <w:name w:val="footnote text"/>
    <w:basedOn w:val="Normal"/>
    <w:link w:val="FootnoteTextChar"/>
    <w:uiPriority w:val="99"/>
    <w:semiHidden/>
    <w:unhideWhenUsed/>
    <w:rsid w:val="000C1E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1EA5"/>
    <w:rPr>
      <w:sz w:val="20"/>
      <w:szCs w:val="20"/>
    </w:rPr>
  </w:style>
  <w:style w:type="character" w:styleId="FootnoteReference">
    <w:name w:val="footnote reference"/>
    <w:basedOn w:val="DefaultParagraphFont"/>
    <w:uiPriority w:val="99"/>
    <w:semiHidden/>
    <w:unhideWhenUsed/>
    <w:rsid w:val="000C1EA5"/>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6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557"/>
    <w:rPr>
      <w:rFonts w:ascii="Tahoma" w:hAnsi="Tahoma" w:cs="Tahoma"/>
      <w:sz w:val="16"/>
      <w:szCs w:val="16"/>
    </w:rPr>
  </w:style>
  <w:style w:type="paragraph" w:styleId="FootnoteText">
    <w:name w:val="footnote text"/>
    <w:basedOn w:val="Normal"/>
    <w:link w:val="FootnoteTextChar"/>
    <w:uiPriority w:val="99"/>
    <w:semiHidden/>
    <w:unhideWhenUsed/>
    <w:rsid w:val="000C1E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1EA5"/>
    <w:rPr>
      <w:sz w:val="20"/>
      <w:szCs w:val="20"/>
    </w:rPr>
  </w:style>
  <w:style w:type="character" w:styleId="FootnoteReference">
    <w:name w:val="footnote reference"/>
    <w:basedOn w:val="DefaultParagraphFont"/>
    <w:uiPriority w:val="99"/>
    <w:semiHidden/>
    <w:unhideWhenUsed/>
    <w:rsid w:val="000C1EA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5728B2-0286-4B79-A1A2-6908A7E1D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7</Pages>
  <Words>1351</Words>
  <Characters>7707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7</cp:revision>
  <cp:lastPrinted>2019-01-30T14:51:00Z</cp:lastPrinted>
  <dcterms:created xsi:type="dcterms:W3CDTF">2019-01-30T13:52:00Z</dcterms:created>
  <dcterms:modified xsi:type="dcterms:W3CDTF">2019-01-30T20:53:00Z</dcterms:modified>
</cp:coreProperties>
</file>