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lang w:eastAsia="en-MY"/>
        </w:rPr>
        <w:drawing>
          <wp:inline distT="0" distB="0" distL="0" distR="0">
            <wp:extent cx="5731510" cy="13430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731510" cy="1343025"/>
                    </a:xfrm>
                    <a:prstGeom prst="rect">
                      <a:avLst/>
                    </a:prstGeom>
                    <a:noFill/>
                    <a:ln>
                      <a:noFill/>
                    </a:ln>
                  </pic:spPr>
                </pic:pic>
              </a:graphicData>
            </a:graphic>
          </wp:inline>
        </w:drawing>
      </w:r>
    </w:p>
    <w:p>
      <w:pPr>
        <w:jc w:val="center"/>
        <w:rPr>
          <w:rFonts w:ascii="Times New Roman" w:hAnsi="Times New Roman" w:eastAsia="Calibri" w:cs="Times New Roman"/>
          <w:b/>
          <w:sz w:val="30"/>
          <w:szCs w:val="30"/>
          <w:lang w:val="ms-MY"/>
        </w:rPr>
      </w:pPr>
      <w:r>
        <w:rPr>
          <w:rFonts w:ascii="Times New Roman" w:hAnsi="Times New Roman" w:eastAsia="Calibri" w:cs="Times New Roman"/>
          <w:iCs/>
          <w:sz w:val="30"/>
          <w:szCs w:val="30"/>
          <w:lang w:val="en-US"/>
        </w:rPr>
        <w:t>Module Title/ Code:</w:t>
      </w:r>
      <w:r>
        <w:rPr>
          <w:rFonts w:ascii="Times New Roman" w:hAnsi="Times New Roman" w:eastAsia="Calibri" w:cs="Times New Roman"/>
          <w:b/>
          <w:sz w:val="30"/>
          <w:szCs w:val="30"/>
          <w:lang w:val="ms-MY"/>
        </w:rPr>
        <w:t xml:space="preserve"> </w:t>
      </w:r>
    </w:p>
    <w:p>
      <w:pPr>
        <w:jc w:val="center"/>
        <w:rPr>
          <w:rFonts w:ascii="Times New Roman" w:hAnsi="Times New Roman" w:eastAsia="Calibri" w:cs="Times New Roman"/>
          <w:b/>
          <w:sz w:val="30"/>
          <w:szCs w:val="30"/>
          <w:lang w:val="ms-MY"/>
        </w:rPr>
      </w:pPr>
      <w:r>
        <w:rPr>
          <w:rFonts w:ascii="Times New Roman" w:hAnsi="Times New Roman" w:eastAsia="Calibri" w:cs="Times New Roman"/>
          <w:b/>
          <w:sz w:val="30"/>
          <w:szCs w:val="30"/>
          <w:lang w:val="ms-MY"/>
        </w:rPr>
        <w:t>LEADING AND DEVELOPING PEOPLE</w:t>
      </w:r>
    </w:p>
    <w:p>
      <w:pPr>
        <w:jc w:val="center"/>
        <w:rPr>
          <w:rFonts w:ascii="Times New Roman" w:hAnsi="Times New Roman" w:eastAsia="Calibri" w:cs="Times New Roman"/>
          <w:b/>
          <w:sz w:val="30"/>
          <w:szCs w:val="30"/>
        </w:rPr>
      </w:pPr>
      <w:r>
        <w:rPr>
          <w:rFonts w:ascii="Times New Roman" w:hAnsi="Times New Roman" w:eastAsia="Calibri" w:cs="Times New Roman"/>
          <w:b/>
          <w:sz w:val="30"/>
          <w:szCs w:val="30"/>
        </w:rPr>
        <w:t>IUBA 6003</w:t>
      </w:r>
    </w:p>
    <w:p>
      <w:pPr>
        <w:jc w:val="center"/>
        <w:rPr>
          <w:rFonts w:ascii="Times New Roman" w:hAnsi="Times New Roman" w:eastAsia="Calibri" w:cs="Times New Roman"/>
          <w:sz w:val="30"/>
          <w:szCs w:val="30"/>
          <w:lang w:val="ms-MY"/>
        </w:rPr>
      </w:pPr>
      <w:r>
        <w:rPr>
          <w:rFonts w:ascii="Times New Roman" w:hAnsi="Times New Roman" w:eastAsia="Calibri" w:cs="Times New Roman"/>
          <w:sz w:val="30"/>
          <w:szCs w:val="30"/>
          <w:lang w:val="ms-MY"/>
        </w:rPr>
        <w:t>Date :</w:t>
      </w:r>
    </w:p>
    <w:p>
      <w:pPr>
        <w:jc w:val="center"/>
        <w:rPr>
          <w:rFonts w:ascii="Times New Roman" w:hAnsi="Times New Roman" w:eastAsia="Calibri" w:cs="Times New Roman"/>
          <w:b/>
          <w:sz w:val="30"/>
          <w:szCs w:val="30"/>
        </w:rPr>
      </w:pPr>
      <w:r>
        <w:rPr>
          <w:rFonts w:ascii="Times New Roman" w:hAnsi="Times New Roman" w:eastAsia="Calibri" w:cs="Times New Roman"/>
          <w:b/>
          <w:sz w:val="30"/>
          <w:szCs w:val="30"/>
          <w:lang w:val="ms-MY"/>
        </w:rPr>
        <w:t xml:space="preserve"> 5</w:t>
      </w:r>
      <w:r>
        <w:rPr>
          <w:rFonts w:ascii="Times New Roman" w:hAnsi="Times New Roman" w:eastAsia="Calibri" w:cs="Times New Roman"/>
          <w:b/>
          <w:sz w:val="30"/>
          <w:szCs w:val="30"/>
          <w:vertAlign w:val="superscript"/>
          <w:lang w:val="ms-MY"/>
        </w:rPr>
        <w:t>th</w:t>
      </w:r>
      <w:r>
        <w:rPr>
          <w:rFonts w:ascii="Times New Roman" w:hAnsi="Times New Roman" w:eastAsia="Calibri" w:cs="Times New Roman"/>
          <w:b/>
          <w:sz w:val="30"/>
          <w:szCs w:val="30"/>
          <w:lang w:val="ms-MY"/>
        </w:rPr>
        <w:t xml:space="preserve"> SEPTEMBER 2023</w:t>
      </w:r>
    </w:p>
    <w:p>
      <w:pPr>
        <w:jc w:val="center"/>
        <w:rPr>
          <w:rFonts w:ascii="Times New Roman" w:hAnsi="Times New Roman" w:eastAsia="Calibri" w:cs="Times New Roman"/>
          <w:sz w:val="30"/>
          <w:szCs w:val="30"/>
          <w:lang w:val="ms-MY"/>
        </w:rPr>
      </w:pPr>
      <w:r>
        <w:rPr>
          <w:rFonts w:ascii="Times New Roman" w:hAnsi="Times New Roman" w:eastAsia="Calibri" w:cs="Times New Roman"/>
          <w:sz w:val="30"/>
          <w:szCs w:val="30"/>
          <w:lang w:val="ms-MY"/>
        </w:rPr>
        <w:t>Assignment Title:</w:t>
      </w:r>
    </w:p>
    <w:p>
      <w:pPr>
        <w:jc w:val="center"/>
        <w:rPr>
          <w:rFonts w:ascii="Times New Roman" w:hAnsi="Times New Roman" w:eastAsia="Calibri" w:cs="Times New Roman"/>
          <w:b/>
          <w:sz w:val="30"/>
          <w:szCs w:val="30"/>
          <w:lang w:val="ms-MY"/>
        </w:rPr>
      </w:pPr>
      <w:r>
        <w:rPr>
          <w:rFonts w:ascii="Times New Roman" w:hAnsi="Times New Roman" w:eastAsia="Calibri" w:cs="Times New Roman"/>
          <w:b/>
          <w:sz w:val="30"/>
          <w:szCs w:val="30"/>
          <w:lang w:val="ms-MY"/>
        </w:rPr>
        <w:t>A CRITICAL ANALYSIS OF A LEARNING AND DEVELOPMENT PLAN</w:t>
      </w:r>
    </w:p>
    <w:p>
      <w:pPr>
        <w:jc w:val="center"/>
        <w:rPr>
          <w:rFonts w:ascii="Times New Roman" w:hAnsi="Times New Roman" w:eastAsia="Calibri" w:cs="Times New Roman"/>
          <w:sz w:val="30"/>
          <w:szCs w:val="30"/>
          <w:lang w:val="ms-MY"/>
        </w:rPr>
      </w:pPr>
      <w:r>
        <w:rPr>
          <w:rFonts w:ascii="Times New Roman" w:hAnsi="Times New Roman" w:eastAsia="Calibri" w:cs="Times New Roman"/>
          <w:sz w:val="30"/>
          <w:szCs w:val="30"/>
          <w:lang w:val="ms-MY"/>
        </w:rPr>
        <w:t>Lecturer:</w:t>
      </w:r>
    </w:p>
    <w:p>
      <w:pPr>
        <w:jc w:val="center"/>
        <w:rPr>
          <w:rFonts w:ascii="Times New Roman" w:hAnsi="Times New Roman" w:eastAsia="Calibri" w:cs="Times New Roman"/>
          <w:b/>
          <w:sz w:val="30"/>
          <w:szCs w:val="30"/>
          <w:lang w:val="ms-MY"/>
        </w:rPr>
      </w:pPr>
      <w:r>
        <w:rPr>
          <w:rFonts w:ascii="Times New Roman" w:hAnsi="Times New Roman" w:eastAsia="Calibri" w:cs="Times New Roman"/>
          <w:b/>
          <w:sz w:val="30"/>
          <w:szCs w:val="30"/>
          <w:lang w:val="ms-MY"/>
        </w:rPr>
        <w:t>MYFANWY DAVIES</w:t>
      </w:r>
    </w:p>
    <w:p>
      <w:pPr>
        <w:jc w:val="center"/>
        <w:rPr>
          <w:rFonts w:ascii="Times New Roman" w:hAnsi="Times New Roman" w:eastAsia="Calibri" w:cs="Times New Roman"/>
          <w:sz w:val="30"/>
          <w:szCs w:val="30"/>
          <w:lang w:val="ms-MY"/>
        </w:rPr>
      </w:pPr>
      <w:r>
        <w:rPr>
          <w:rFonts w:ascii="Times New Roman" w:hAnsi="Times New Roman" w:eastAsia="Calibri" w:cs="Times New Roman"/>
          <w:sz w:val="30"/>
          <w:szCs w:val="30"/>
          <w:lang w:val="ms-MY"/>
        </w:rPr>
        <w:t>Prepared by:</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407"/>
        <w:gridCol w:w="211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407" w:type="dxa"/>
          </w:tcPr>
          <w:p>
            <w:pPr>
              <w:jc w:val="center"/>
              <w:rPr>
                <w:rFonts w:ascii="Times New Roman" w:hAnsi="Times New Roman" w:eastAsia="Calibri" w:cs="Times New Roman"/>
                <w:b/>
                <w:bCs/>
                <w:sz w:val="24"/>
                <w:szCs w:val="24"/>
                <w:lang w:val="ms-MY"/>
              </w:rPr>
            </w:pPr>
            <w:r>
              <w:rPr>
                <w:rFonts w:ascii="Times New Roman" w:hAnsi="Times New Roman" w:eastAsia="Calibri" w:cs="Times New Roman"/>
                <w:b/>
                <w:bCs/>
                <w:sz w:val="24"/>
                <w:szCs w:val="24"/>
                <w:lang w:val="ms-MY"/>
              </w:rPr>
              <w:t>Student Name</w:t>
            </w:r>
          </w:p>
        </w:tc>
        <w:tc>
          <w:tcPr>
            <w:tcW w:w="2115" w:type="dxa"/>
          </w:tcPr>
          <w:p>
            <w:pPr>
              <w:jc w:val="center"/>
              <w:rPr>
                <w:rFonts w:ascii="Times New Roman" w:hAnsi="Times New Roman" w:eastAsia="Calibri" w:cs="Times New Roman"/>
                <w:b/>
                <w:bCs/>
                <w:sz w:val="24"/>
                <w:szCs w:val="24"/>
                <w:lang w:val="ms-MY"/>
              </w:rPr>
            </w:pPr>
            <w:r>
              <w:rPr>
                <w:rFonts w:ascii="Times New Roman" w:hAnsi="Times New Roman" w:eastAsia="Calibri" w:cs="Times New Roman"/>
                <w:b/>
                <w:bCs/>
                <w:sz w:val="24"/>
                <w:szCs w:val="24"/>
                <w:lang w:val="ms-MY"/>
              </w:rPr>
              <w:t>Student ID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407" w:type="dxa"/>
          </w:tcPr>
          <w:p>
            <w:pPr>
              <w:spacing w:line="240" w:lineRule="auto"/>
              <w:rPr>
                <w:rFonts w:ascii="Times New Roman" w:hAnsi="Times New Roman" w:eastAsia="Calibri" w:cs="Times New Roman"/>
                <w:sz w:val="24"/>
                <w:szCs w:val="24"/>
                <w:lang w:val="ms-MY"/>
              </w:rPr>
            </w:pPr>
            <w:bookmarkStart w:id="0" w:name="_GoBack"/>
            <w:r>
              <w:rPr>
                <w:rFonts w:ascii="Times New Roman" w:hAnsi="Times New Roman" w:eastAsia="Calibri" w:cs="Times New Roman"/>
                <w:sz w:val="24"/>
                <w:szCs w:val="24"/>
                <w:lang w:val="ms-MY"/>
              </w:rPr>
              <w:t>MUHAMMAD SYAFIQ BIN ZAINUDDIN</w:t>
            </w:r>
          </w:p>
          <w:bookmarkEnd w:id="0"/>
          <w:p>
            <w:pPr>
              <w:pStyle w:val="7"/>
              <w:numPr>
                <w:ilvl w:val="0"/>
                <w:numId w:val="1"/>
              </w:numPr>
              <w:spacing w:line="240" w:lineRule="auto"/>
              <w:rPr>
                <w:rFonts w:ascii="Times New Roman" w:hAnsi="Times New Roman" w:eastAsia="Calibri" w:cs="Times New Roman"/>
                <w:b/>
                <w:bCs/>
                <w:sz w:val="24"/>
                <w:szCs w:val="24"/>
                <w:lang w:val="ms-MY"/>
              </w:rPr>
            </w:pPr>
            <w:r>
              <w:rPr>
                <w:rFonts w:ascii="Times New Roman" w:hAnsi="Times New Roman" w:eastAsia="Calibri" w:cs="Times New Roman"/>
                <w:b/>
                <w:bCs/>
                <w:sz w:val="24"/>
                <w:szCs w:val="24"/>
                <w:lang w:val="ms-MY"/>
              </w:rPr>
              <w:t>Does L&amp;D Plan/Framework meet current and future needs?</w:t>
            </w:r>
          </w:p>
        </w:tc>
        <w:tc>
          <w:tcPr>
            <w:tcW w:w="2115" w:type="dxa"/>
          </w:tcPr>
          <w:p>
            <w:pPr>
              <w:spacing w:line="240" w:lineRule="auto"/>
              <w:jc w:val="center"/>
              <w:rPr>
                <w:rFonts w:ascii="Times New Roman" w:hAnsi="Times New Roman" w:eastAsia="Calibri" w:cs="Times New Roman"/>
                <w:sz w:val="24"/>
                <w:szCs w:val="24"/>
                <w:lang w:val="en-MY"/>
              </w:rPr>
            </w:pPr>
            <w:r>
              <w:rPr>
                <w:rFonts w:ascii="Times New Roman" w:hAnsi="Times New Roman" w:eastAsia="Calibri" w:cs="Times New Roman"/>
                <w:sz w:val="24"/>
                <w:szCs w:val="24"/>
                <w:lang w:val="en-MY"/>
              </w:rPr>
              <w:t>2026076</w:t>
            </w:r>
          </w:p>
        </w:tc>
      </w:tr>
    </w:tbl>
    <w:p/>
    <w:p/>
    <w:p/>
    <w:p/>
    <w:p/>
    <w:p/>
    <w:p/>
    <w:p>
      <w:pPr>
        <w:spacing w:line="480" w:lineRule="auto"/>
        <w:jc w:val="both"/>
        <w:rPr>
          <w:rFonts w:ascii="Times New Roman" w:hAnsi="Times New Roman" w:cs="Times New Roman"/>
          <w:b/>
          <w:bCs/>
          <w:sz w:val="24"/>
          <w:szCs w:val="24"/>
          <w:lang w:val="en-MY"/>
        </w:rPr>
      </w:pPr>
      <w:r>
        <w:rPr>
          <w:rFonts w:ascii="Times New Roman" w:hAnsi="Times New Roman" w:cs="Times New Roman"/>
          <w:b/>
          <w:bCs/>
          <w:sz w:val="24"/>
          <w:szCs w:val="24"/>
          <w:lang w:val="en-MY"/>
        </w:rPr>
        <w:t xml:space="preserve">3.0 </w:t>
      </w:r>
      <w:r>
        <w:rPr>
          <w:rFonts w:ascii="Times New Roman" w:hAnsi="Times New Roman" w:eastAsia="Calibri" w:cs="Times New Roman"/>
          <w:b/>
          <w:bCs/>
          <w:sz w:val="24"/>
          <w:szCs w:val="24"/>
          <w:lang w:val="ms-MY"/>
        </w:rPr>
        <w:t>Does L&amp;D Plan/Framework meet current and future needs?</w:t>
      </w:r>
    </w:p>
    <w:p>
      <w:p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In today's dynamic business landscape, organizations must proactively adapt to evolving industry trends and technological advancements. A well-crafted Learning and Development (L&amp;D) plan or framework is crucial to equip employees with the skills needed to excel in the present and navigate the uncertainties of the future. This essay critically assesses the extent to which ExxonMobil's L&amp;D plan/framework successfully meets both current and future organizational requirements. To provide a comprehensive perspective, a comparative analysis with a related company, Chevron, will be incorporated, highlighting distinct approaches to L&amp;D.</w:t>
      </w:r>
    </w:p>
    <w:p>
      <w:p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ExxonMobil's L&amp;D plan/framework is an intricate web of initiatives designed to foster growth and adaptability within its workforce. The company's emphasis on recruitment and apprenticeship programs indicates its commitment to cultivating a skilled talent pool (ExxonMobil, 2022). This approach not only ensures that new hires possess the necessary skills but also aligns their capabilities with the company's evolving needs. Moreover, ExxonMobil's investment in leadership development programs exemplifies its dedication to grooming future leaders who can navigate the company through unforeseen challenges (ExxonMobil, 2018).</w:t>
      </w:r>
    </w:p>
    <w:p>
      <w:p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In comparison, Chevron, a prominent player in the energy sector, adopts a holistic approach to L&amp;D. The company places a strong emphasis on individualized growth paths, empowering employees to chart their learning journey through a variety of resources such as workshops, mentorship, and e-learning modules (Chevron, n.d.). This decentralized approach encourages employees to take ownership of their development, aligning their skills with their career aspirations.</w:t>
      </w:r>
    </w:p>
    <w:p>
      <w:p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ExxonMobil's incorporation of virtual reality (VR) technology into its L&amp;D strategy is an example of forward-looking preparation. VR provides employees with immersive training experiences, enhancing their problem-solving skills and operational efficiency (Taylor, 2022). This aligns with the company's aim of equipping its workforce to handle high-risk situations adeptly. Similarly, Chevron leverages technology by integrating augmented reality (AR) into its training programs, enabling employees to access information and instructions in real-time while performing tasks (Chevron, n.d.). This hands-on approach equips employees with relevant skills while fostering adaptability to technological advancements.</w:t>
      </w:r>
    </w:p>
    <w:p>
      <w:p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However, while ExxonMobil's L&amp;D plan/framework demonstrates strengths, it is not without limitations. One potential constraint is scalability, considering the company's global presence. Ensuring uniform implementation of L&amp;D programs across diverse cultures and regions poses a significant challenge. In contrast, Chevron's decentralized approach might offer more flexibility in tailoring training initiatives to regional needs.</w:t>
      </w:r>
    </w:p>
    <w:p>
      <w:p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Furthermore, the alignment between L&amp;D strategies and workforce needs remains a common challenge for both companies. Industries evolve rapidly, necessitating continuous evaluation and adaptation of training programs. Failure to address this gap could lead to a mismatch between acquired skills and industry requirements.</w:t>
      </w:r>
    </w:p>
    <w:p>
      <w:p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In conclusion, ExxonMobil's L&amp;D plan/framework demonstrates a comprehensive approach to addressing both current and future needs. By juxtaposing it with Chevron's decentralized approach, we gain insights into the spectrum of methodologies within the industry. Although both companies face challenges, their dedication to fostering growth and innovation underscores the pivotal role of L&amp;D strategies in ensuring sustained success in an ever-changing business environment.</w:t>
      </w: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ascii="Times New Roman" w:hAnsi="Times New Roman" w:cs="Times New Roman"/>
          <w:sz w:val="24"/>
          <w:szCs w:val="24"/>
          <w:lang w:val="en-MY"/>
        </w:rPr>
      </w:pPr>
    </w:p>
    <w:p>
      <w:pPr>
        <w:spacing w:line="480" w:lineRule="auto"/>
        <w:jc w:val="both"/>
        <w:rPr>
          <w:rFonts w:hint="default" w:ascii="Times New Roman" w:hAnsi="Times New Roman" w:cs="Times New Roman"/>
          <w:b/>
          <w:bCs/>
          <w:sz w:val="24"/>
          <w:szCs w:val="24"/>
          <w:lang w:val="en-MY"/>
        </w:rPr>
      </w:pPr>
      <w:r>
        <w:rPr>
          <w:rFonts w:hint="default" w:ascii="Times New Roman" w:hAnsi="Times New Roman" w:cs="Times New Roman"/>
          <w:b/>
          <w:bCs/>
          <w:sz w:val="24"/>
          <w:szCs w:val="24"/>
          <w:lang w:val="en-MY"/>
        </w:rPr>
        <w:t>References</w:t>
      </w:r>
    </w:p>
    <w:p>
      <w:pPr>
        <w:spacing w:line="480" w:lineRule="auto"/>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 xml:space="preserve">ExxonMobil. (2022). Recruiting and Development. </w:t>
      </w:r>
      <w:r>
        <w:rPr>
          <w:rStyle w:val="4"/>
          <w:rFonts w:hint="default" w:ascii="Times New Roman" w:hAnsi="Times New Roman" w:cs="Times New Roman"/>
          <w:sz w:val="24"/>
          <w:szCs w:val="24"/>
          <w:lang w:val="en-MY"/>
        </w:rPr>
        <w:t>https://corporate.exxonmobil.com/careers</w:t>
      </w:r>
    </w:p>
    <w:p>
      <w:pPr>
        <w:spacing w:line="480" w:lineRule="auto"/>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 xml:space="preserve">ExxonMobil. (2018). Developing Global Leaders. </w:t>
      </w:r>
      <w:r>
        <w:rPr>
          <w:rStyle w:val="4"/>
          <w:rFonts w:hint="default" w:ascii="Times New Roman" w:hAnsi="Times New Roman" w:cs="Times New Roman"/>
          <w:sz w:val="24"/>
          <w:szCs w:val="24"/>
          <w:lang w:val="en-MY"/>
        </w:rPr>
        <w:t>https://corporate.exxonmobil.com/-/media/global/files/sustainability-report/publication/2018-sustainability-report.pdf</w:t>
      </w:r>
    </w:p>
    <w:p>
      <w:pPr>
        <w:spacing w:line="480" w:lineRule="auto"/>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 xml:space="preserve">Chevron. (n.d.). Learning and Development. </w:t>
      </w: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"https://careers.chevron.com/learning-and-development" </w:instrText>
      </w:r>
      <w:r>
        <w:rPr>
          <w:rFonts w:hint="default" w:ascii="Times New Roman" w:hAnsi="Times New Roman" w:cs="Times New Roman"/>
          <w:sz w:val="24"/>
          <w:szCs w:val="24"/>
          <w:lang w:val="en-MY"/>
        </w:rPr>
        <w:fldChar w:fldCharType="separate"/>
      </w:r>
      <w:r>
        <w:rPr>
          <w:rStyle w:val="4"/>
          <w:rFonts w:hint="default" w:ascii="Times New Roman" w:hAnsi="Times New Roman" w:cs="Times New Roman"/>
          <w:sz w:val="24"/>
          <w:szCs w:val="24"/>
          <w:lang w:val="en-MY"/>
        </w:rPr>
        <w:t>https://careers.chevron.com/learning-and-development</w:t>
      </w:r>
      <w:r>
        <w:rPr>
          <w:rFonts w:hint="default" w:ascii="Times New Roman" w:hAnsi="Times New Roman" w:cs="Times New Roman"/>
          <w:sz w:val="24"/>
          <w:szCs w:val="24"/>
          <w:lang w:val="en-MY"/>
        </w:rPr>
        <w:fldChar w:fldCharType="end"/>
      </w:r>
    </w:p>
    <w:p>
      <w:pPr>
        <w:spacing w:line="480" w:lineRule="auto"/>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 xml:space="preserve">Taylor, E. L. (2022, July 12). ExxonMobil using VR to change the way employees train, work. BIC Magazine. </w:t>
      </w:r>
      <w:r>
        <w:rPr>
          <w:rStyle w:val="4"/>
          <w:rFonts w:hint="default" w:ascii="Times New Roman" w:hAnsi="Times New Roman" w:cs="Times New Roman"/>
          <w:sz w:val="24"/>
          <w:szCs w:val="24"/>
          <w:lang w:val="en-MY"/>
        </w:rPr>
        <w:t xml:space="preserve">https://www.bicmagazine.com/departments/hr/exxonmobil-using-vr-to-change-the-way-employees-train-work/ </w:t>
      </w:r>
    </w:p>
    <w:sectPr>
      <w:pgSz w:w="11906" w:h="16838"/>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2"/>
    <w:family w:val="decorative"/>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CAE7507"/>
    <w:multiLevelType w:val="multilevel"/>
    <w:tmpl w:val="1CAE7507"/>
    <w:lvl w:ilvl="0" w:tentative="0">
      <w:start w:val="0"/>
      <w:numFmt w:val="bullet"/>
      <w:lvlText w:val="-"/>
      <w:lvlJc w:val="left"/>
      <w:pPr>
        <w:ind w:left="720" w:hanging="360"/>
      </w:pPr>
      <w:rPr>
        <w:rFonts w:hint="default" w:ascii="Times New Roman" w:hAnsi="Times New Roman" w:eastAsia="Calibri" w:cs="Times New Roman"/>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5DF73F1"/>
    <w:rsid w:val="65DF73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4">
    <w:name w:val="Hyperlink"/>
    <w:basedOn w:val="2"/>
    <w:uiPriority w:val="0"/>
    <w:rPr>
      <w:color w:val="0000FF"/>
      <w:u w:val="single"/>
    </w:rPr>
  </w:style>
  <w:style w:type="paragraph" w:styleId="5">
    <w:name w:val="Normal (Web)"/>
    <w:uiPriority w:val="0"/>
    <w:pPr>
      <w:spacing w:before="0" w:beforeAutospacing="1" w:after="0" w:afterAutospacing="1"/>
      <w:ind w:left="0" w:right="0"/>
      <w:jc w:val="left"/>
    </w:pPr>
    <w:rPr>
      <w:kern w:val="0"/>
      <w:sz w:val="24"/>
      <w:szCs w:val="24"/>
      <w:lang w:val="en-US" w:eastAsia="zh-CN" w:bidi="ar"/>
    </w:rPr>
  </w:style>
  <w:style w:type="table" w:styleId="6">
    <w:name w:val="Table Grid"/>
    <w:basedOn w:val="3"/>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7">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Office_12.2.0.13190_F1E327BC-269C-435d-A152-05C5408002CA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2023-09-02T04:44:00Z</dcterms:created>
  <dc:creator>Syafiq Zainuddin</dc:creator>
  <cp:lastModifiedBy>Syafiq Zainuddin</cp:lastModifiedBy>
  <dcterms:modified xsi:type="dcterms:W3CDTF">2023-09-02T04:57:43Z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1033-12.2.0.13190</vt:lpwstr>
  </property>
  <property fmtid="{D5CDD505-2E9C-101B-9397-08002B2CF9AE}" pid="3" name="ICV">
    <vt:lpwstr>071D944B94AE4E7EA98A8624BE6EDB72_11</vt:lpwstr>
  </property>
</Properties>
</file>