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F10D4A5" w14:textId="77777777" w:rsidR="00E54CC7" w:rsidRPr="00AD62DD" w:rsidRDefault="00E54CC7" w:rsidP="00E54CC7">
      <w:pPr>
        <w:spacing w:before="100" w:beforeAutospacing="1" w:after="100" w:afterAutospacing="1" w:line="240" w:lineRule="auto"/>
        <w:outlineLvl w:val="2"/>
        <w:rPr>
          <w:rFonts w:eastAsia="Times New Roman" w:cs="Times New Roman"/>
          <w:kern w:val="0"/>
          <w14:ligatures w14:val="none"/>
        </w:rPr>
      </w:pPr>
      <w:r w:rsidRPr="00AD62DD">
        <w:rPr>
          <w:rFonts w:eastAsia="Times New Roman" w:cs="Times New Roman"/>
          <w:kern w:val="0"/>
          <w14:ligatures w14:val="none"/>
        </w:rPr>
        <w:t>Part 2: Learning Story – Exploring Properties of Materials</w:t>
      </w:r>
    </w:p>
    <w:p w14:paraId="23BAA186" w14:textId="77777777" w:rsidR="00E54CC7" w:rsidRPr="00AD62DD" w:rsidRDefault="00E54CC7" w:rsidP="00E54CC7">
      <w:pPr>
        <w:spacing w:before="100" w:beforeAutospacing="1" w:after="100" w:afterAutospacing="1" w:line="240" w:lineRule="auto"/>
        <w:rPr>
          <w:rFonts w:cs="Times New Roman"/>
          <w:kern w:val="0"/>
          <w14:ligatures w14:val="none"/>
        </w:rPr>
      </w:pPr>
      <w:r w:rsidRPr="00AD62DD">
        <w:rPr>
          <w:rFonts w:cs="Times New Roman"/>
          <w:kern w:val="0"/>
          <w14:ligatures w14:val="none"/>
        </w:rPr>
        <w:t>The forest in the photograph gives young children plenty of opportunities to explore and investigate the natural materials around them. The tall evergreen trees, moss-covered trunk, stones, fallen leaves and textured soil provide a range of materials for children to touch, examine and compare. In this imagined learning story, a small group of early years children visit the forest with practitioners who observe their play, listen to their ideas and offer support when needed. The focus of the experience is on collecting, sorting and grouping natural materials found along the forest path. As the children handle and compare different objects, they begin to explore mathematical and scientific ideas linked to the Mathematics and Numeracy and Science and Technology Areas of Learning and Experience (Welsh Government, 2022).</w:t>
      </w:r>
    </w:p>
    <w:p w14:paraId="49D35484" w14:textId="77777777" w:rsidR="00E54CC7" w:rsidRPr="00AD62DD" w:rsidRDefault="00E54CC7" w:rsidP="00E54CC7">
      <w:pPr>
        <w:spacing w:before="100" w:beforeAutospacing="1" w:after="100" w:afterAutospacing="1" w:line="240" w:lineRule="auto"/>
        <w:rPr>
          <w:rFonts w:cs="Times New Roman"/>
          <w:kern w:val="0"/>
          <w14:ligatures w14:val="none"/>
        </w:rPr>
      </w:pPr>
      <w:r w:rsidRPr="00AD62DD">
        <w:rPr>
          <w:rFonts w:cs="Times New Roman"/>
          <w:kern w:val="0"/>
          <w14:ligatures w14:val="none"/>
        </w:rPr>
        <w:t>As the group enters the forest, the children begin to notice the different materials around them. One child crouches beside a patch of fallen leaves and picks one up. Holding it in their hand, they say, “This one is really big.” A practitioner kneels beside them and replies, “It is big. I wonder if we can find one that is smaller.” Rather than finding one for the child, the practitioner gives them time to look around and make their own comparison. Another child finds a tiny curled leaf and says, “This one’s small.” The practitioner repeats the words “big” and “small”, helping the children hear and use mathematical vocabulary. This provides an opportunity for children to compare objects using their size and supports early measurement skills within the Mathematics and Numeracy AOLE (Welsh Government, 2022).</w:t>
      </w:r>
    </w:p>
    <w:p w14:paraId="4B5E26B1" w14:textId="77777777" w:rsidR="00E54CC7" w:rsidRPr="00AD62DD" w:rsidRDefault="00E54CC7" w:rsidP="00E54CC7">
      <w:pPr>
        <w:spacing w:before="100" w:beforeAutospacing="1" w:after="100" w:afterAutospacing="1" w:line="240" w:lineRule="auto"/>
        <w:rPr>
          <w:rFonts w:cs="Times New Roman"/>
          <w:kern w:val="0"/>
          <w14:ligatures w14:val="none"/>
        </w:rPr>
      </w:pPr>
      <w:r w:rsidRPr="00AD62DD">
        <w:rPr>
          <w:rFonts w:cs="Times New Roman"/>
          <w:kern w:val="0"/>
          <w14:ligatures w14:val="none"/>
        </w:rPr>
        <w:t>A short distance away, a child picks up a smooth stone and rubs their thumb across its surface. They say, “It feels cold.” The practitioner responds, “Cold… yes, it does feel cold. I wonder if all the stones feel the same?” The children begin picking up other stones to investigate. One child finds a rough stone and describes it as “scratchy”. The practitioner repeats this word, giving the child another opportunity to hear and use descriptive language. Through touching and comparing the stones, the children are beginning to investigate their different properties. This supports the Science and Technology AOLE because they are using their senses to observe, describe and compare the natural materials around them (Welsh Government, 2022).</w:t>
      </w:r>
    </w:p>
    <w:p w14:paraId="75FF2CDD" w14:textId="77777777" w:rsidR="00E54CC7" w:rsidRPr="00AD62DD" w:rsidRDefault="00E54CC7" w:rsidP="00E54CC7">
      <w:pPr>
        <w:spacing w:before="100" w:beforeAutospacing="1" w:after="100" w:afterAutospacing="1" w:line="240" w:lineRule="auto"/>
        <w:rPr>
          <w:rFonts w:cs="Times New Roman"/>
          <w:kern w:val="0"/>
          <w14:ligatures w14:val="none"/>
        </w:rPr>
      </w:pPr>
      <w:r w:rsidRPr="00AD62DD">
        <w:rPr>
          <w:rFonts w:cs="Times New Roman"/>
          <w:kern w:val="0"/>
          <w14:ligatures w14:val="none"/>
        </w:rPr>
        <w:t>The practitioners then provide the children with small baskets so they can collect some of the materials they find. The children gather leaves, stones, sticks and pinecones as they move along the path. One child places a yellow leaf into their basket, while another finds a brown leaf and says, “Mine’s darker.” The practitioner responds, “Yellow… darker… there are lots of different colours here.” As more materials are collected, the children start putting some objects together based on similarities they notice. Some leaves are grouped by colour, while others are placed together because they are a similar size. This gives the children an opportunity to practise sorting and classification, which are important parts of early mathematical development. They are beginning to recognise similarities and differences and make decisions about how objects can be grouped (Welsh Government, 2022).</w:t>
      </w:r>
    </w:p>
    <w:p w14:paraId="59690EF3" w14:textId="77777777" w:rsidR="00E54CC7" w:rsidRPr="00AD62DD" w:rsidRDefault="00E54CC7" w:rsidP="00E54CC7">
      <w:pPr>
        <w:spacing w:before="100" w:beforeAutospacing="1" w:after="100" w:afterAutospacing="1" w:line="240" w:lineRule="auto"/>
        <w:rPr>
          <w:rFonts w:cs="Times New Roman"/>
          <w:kern w:val="0"/>
          <w14:ligatures w14:val="none"/>
        </w:rPr>
      </w:pPr>
      <w:r w:rsidRPr="00AD62DD">
        <w:rPr>
          <w:rFonts w:cs="Times New Roman"/>
          <w:kern w:val="0"/>
          <w14:ligatures w14:val="none"/>
        </w:rPr>
        <w:lastRenderedPageBreak/>
        <w:t>The group then gathers around a fallen log and the practitioner introduces a magnifying glass. The children take turns looking closely at the bark. One child notices, “It has tiny dots,” while another says, “Mine has lines.” The practitioner responds, “Dots… lines… there are lots of patterns to see.” Looking through the magnifying glass allows the children to notice details that may not have been obvious before. They are encouraged to look carefully and describe what they can see, supporting observation and early scientific enquiry. The practitioner also introduces vocabulary such as “dots”, “lines” and “patterns”, helping the children communicate their observations more clearly. This connects to the Science and Technology AOLE as the children investigate features of materials in their natural environment (Welsh Government, 2022).</w:t>
      </w:r>
    </w:p>
    <w:p w14:paraId="2E6F5313" w14:textId="77777777" w:rsidR="00E54CC7" w:rsidRPr="00AD62DD" w:rsidRDefault="00E54CC7" w:rsidP="00E54CC7">
      <w:pPr>
        <w:spacing w:before="100" w:beforeAutospacing="1" w:after="100" w:afterAutospacing="1" w:line="240" w:lineRule="auto"/>
        <w:rPr>
          <w:rFonts w:cs="Times New Roman"/>
          <w:kern w:val="0"/>
          <w14:ligatures w14:val="none"/>
        </w:rPr>
      </w:pPr>
      <w:r w:rsidRPr="00AD62DD">
        <w:rPr>
          <w:rFonts w:cs="Times New Roman"/>
          <w:kern w:val="0"/>
          <w14:ligatures w14:val="none"/>
        </w:rPr>
        <w:t>Further along the path, the children find an area of soil which appears darker and wetter than the ground around it. One child presses their fingers into the soil and says, “It’s sticky.” Another child tries to pick some up but notices that it sticks to their fingers. The practitioner responds, “Sticky… yes, it does stick. I wonder what the dry soil feels like?” The children are given time to investigate rather than being immediately given an answer. They move towards a nearby patch of dry soil and compare the two. One child says, “This one is crumbly.” The practitioner repeats the word and encourages the children to think about the difference between the two types of soil. This experience supports scientific enquiry because the children are observing how the same material can have different properties depending on its condition. Comparing wet and dry soil also introduces children to the idea that moisture can affect the way a material feels and behaves (Welsh Government, 2022).</w:t>
      </w:r>
    </w:p>
    <w:p w14:paraId="7FD2CEB9" w14:textId="77777777" w:rsidR="00E54CC7" w:rsidRPr="00AD62DD" w:rsidRDefault="00E54CC7" w:rsidP="00E54CC7">
      <w:pPr>
        <w:spacing w:before="100" w:beforeAutospacing="1" w:after="100" w:afterAutospacing="1" w:line="240" w:lineRule="auto"/>
        <w:rPr>
          <w:rFonts w:cs="Times New Roman"/>
          <w:kern w:val="0"/>
          <w14:ligatures w14:val="none"/>
        </w:rPr>
      </w:pPr>
      <w:r w:rsidRPr="00AD62DD">
        <w:rPr>
          <w:rFonts w:cs="Times New Roman"/>
          <w:kern w:val="0"/>
          <w14:ligatures w14:val="none"/>
        </w:rPr>
        <w:t>The children continue comparing the materials they have collected. One child holds a pinecone in one hand and a stone in the other. “This one is light,” they say as they lift the pinecone. “This one is heavy.” The practitioner responds, “Light… heavy… you can feel the difference.” The child continues moving the objects between their hands and comparing them. Nearby, another child places several sticks in a line, arranging them from shortest to longest. The practitioner comments, “Short… long… you’ve made a line.” These experiences introduce mathematical ideas through objects the children have chosen themselves. They are comparing weight and ordering objects according to length while using vocabulary such as “light”, “heavy”, “short” and “long”. This supports early understanding of measurement and comparison within the Mathematics and Numeracy AOLE (Welsh Government, 2022).</w:t>
      </w:r>
    </w:p>
    <w:p w14:paraId="555192B5" w14:textId="77777777" w:rsidR="00E54CC7" w:rsidRPr="00AD62DD" w:rsidRDefault="00E54CC7" w:rsidP="00E54CC7">
      <w:pPr>
        <w:spacing w:before="100" w:beforeAutospacing="1" w:after="100" w:afterAutospacing="1" w:line="240" w:lineRule="auto"/>
        <w:rPr>
          <w:rFonts w:cs="Times New Roman"/>
          <w:kern w:val="0"/>
          <w14:ligatures w14:val="none"/>
        </w:rPr>
      </w:pPr>
      <w:r w:rsidRPr="00AD62DD">
        <w:rPr>
          <w:rFonts w:cs="Times New Roman"/>
          <w:kern w:val="0"/>
          <w14:ligatures w14:val="none"/>
        </w:rPr>
        <w:t>The children also begin to notice that natural materials do not always behave in the same way. One child holds up a leaf and says, “This one is bendy.” The practitioner responds, “Bendy… yes, it bends easily.” Another child picks up a dry leaf and says, “Mine broke.” The practitioner comments, “This one bends and this one breaks. They behave differently.” The children then begin comparing other leaves and notice that some of the wetter leaves bend more easily, while dry leaves are more likely to crumble or break. This gives the children an opportunity to investigate how the condition of a material can affect its properties. Through this simple investigation, the children are beginning to develop scientific thinking by making observations, comparing results and discussing what they have noticed (Welsh Government, 2022).</w:t>
      </w:r>
    </w:p>
    <w:p w14:paraId="3575FB34" w14:textId="77777777" w:rsidR="00E54CC7" w:rsidRPr="00AD62DD" w:rsidRDefault="00E54CC7" w:rsidP="00E54CC7">
      <w:pPr>
        <w:spacing w:before="100" w:beforeAutospacing="1" w:after="100" w:afterAutospacing="1" w:line="240" w:lineRule="auto"/>
        <w:rPr>
          <w:rFonts w:cs="Times New Roman"/>
          <w:kern w:val="0"/>
          <w14:ligatures w14:val="none"/>
        </w:rPr>
      </w:pPr>
      <w:r w:rsidRPr="00AD62DD">
        <w:rPr>
          <w:rFonts w:cs="Times New Roman"/>
          <w:kern w:val="0"/>
          <w14:ligatures w14:val="none"/>
        </w:rPr>
        <w:lastRenderedPageBreak/>
        <w:t>To provide another way for the children to organise their materials, the practitioners introduce a simple sorting mat. The children place their collected objects into different groups. Smooth stones are placed together, while rough stones are put in another area. The children also separate the long and short sticks. One child arranges leaves according to colour, creating a line that moves from light yellow through to deep brown. The practitioner observes and says, “You’ve made a colour line.” This gives the child language to describe what they have created and draws attention to the order they have chosen. The activity supports mathematical development because the children are sorting, grouping and beginning to recognise patterns. At the same time, they are using their observations of the materials’ properties to decide where each object belongs (Welsh Government, 2022).</w:t>
      </w:r>
    </w:p>
    <w:p w14:paraId="0A32BE61" w14:textId="77777777" w:rsidR="00E54CC7" w:rsidRPr="00AD62DD" w:rsidRDefault="00E54CC7" w:rsidP="00E54CC7">
      <w:pPr>
        <w:spacing w:before="100" w:beforeAutospacing="1" w:after="100" w:afterAutospacing="1" w:line="240" w:lineRule="auto"/>
        <w:rPr>
          <w:rFonts w:cs="Times New Roman"/>
          <w:kern w:val="0"/>
          <w14:ligatures w14:val="none"/>
        </w:rPr>
      </w:pPr>
      <w:r w:rsidRPr="00AD62DD">
        <w:rPr>
          <w:rFonts w:cs="Times New Roman"/>
          <w:kern w:val="0"/>
          <w14:ligatures w14:val="none"/>
        </w:rPr>
        <w:t>Throughout the experience, practitioners use open-ended questions such as, “What do you notice?”, “How does it feel?” and “What made you put those ones together?” They allow the children time to think about their responses rather than answering for them. When children introduce words such as “rough”, “sticky” or “heavy”, practitioners repeat and extend this vocabulary within the conversation. This helps children communicate their ideas while also encouraging them to make their own decisions about what they want to investigate. Such an approach reflects the Curriculum for Wales, which places importance on children developing curiosity, independence and the confidence to explore their surroundings (Welsh Government, 2022).</w:t>
      </w:r>
    </w:p>
    <w:p w14:paraId="57BE4376" w14:textId="77777777" w:rsidR="00E54CC7" w:rsidRPr="00AD62DD" w:rsidRDefault="00E54CC7" w:rsidP="00E54CC7">
      <w:pPr>
        <w:spacing w:before="100" w:beforeAutospacing="1" w:after="100" w:afterAutospacing="1" w:line="240" w:lineRule="auto"/>
        <w:rPr>
          <w:rFonts w:cs="Times New Roman"/>
          <w:kern w:val="0"/>
          <w14:ligatures w14:val="none"/>
        </w:rPr>
      </w:pPr>
      <w:r w:rsidRPr="00AD62DD">
        <w:rPr>
          <w:rFonts w:cs="Times New Roman"/>
          <w:kern w:val="0"/>
          <w14:ligatures w14:val="none"/>
        </w:rPr>
        <w:t>As the session continues, the children begin creating a display of their collected materials on a flat area of the forest floor. They arrange stones, leaves, sticks and pinecones into different groups and patterns. The practitioner observes their work and says, “You’ve shown all the different materials you found. I wonder how we could describe them to someone who wasn’t here.” The children begin using some of the vocabulary they have heard during the session, describing materials as smooth, rough, soft, hard, bendy, heavy, light, crumbly and sticky. This brings together the mathematical and scientific learning that has taken place. The children are describing, comparing and organising information while communicating their ideas to others. These are important skills for developing early mathematical reasoning and scientific enquiry.</w:t>
      </w:r>
    </w:p>
    <w:p w14:paraId="392EF6DC" w14:textId="77777777" w:rsidR="00E54CC7" w:rsidRPr="00AD62DD" w:rsidRDefault="00E54CC7" w:rsidP="00E54CC7">
      <w:pPr>
        <w:spacing w:before="100" w:beforeAutospacing="1" w:after="100" w:afterAutospacing="1" w:line="240" w:lineRule="auto"/>
        <w:rPr>
          <w:rFonts w:cs="Times New Roman"/>
          <w:kern w:val="0"/>
          <w14:ligatures w14:val="none"/>
        </w:rPr>
      </w:pPr>
      <w:r w:rsidRPr="00AD62DD">
        <w:rPr>
          <w:rFonts w:cs="Times New Roman"/>
          <w:kern w:val="0"/>
          <w14:ligatures w14:val="none"/>
        </w:rPr>
        <w:t>By the end of the exploration, the children have taken part in a range of mathematical and scientific experiences. They have sorted materials, compared size and weight, noticed patterns, explored texture, investigated the differences between wet and dry soil and considered how the condition of materials can affect the way they behave. The forest has allowed the children to explore these ideas through their own actions and interests, while the practitioners have supported their learning by asking questions, introducing vocabulary and giving them time to investigate.</w:t>
      </w:r>
    </w:p>
    <w:p w14:paraId="59C12C76" w14:textId="77777777" w:rsidR="00E54CC7" w:rsidRPr="00AD62DD" w:rsidRDefault="00E54CC7" w:rsidP="00E54CC7">
      <w:pPr>
        <w:spacing w:before="100" w:beforeAutospacing="1" w:after="100" w:afterAutospacing="1" w:line="240" w:lineRule="auto"/>
        <w:rPr>
          <w:rFonts w:cs="Times New Roman"/>
          <w:kern w:val="0"/>
          <w14:ligatures w14:val="none"/>
        </w:rPr>
      </w:pPr>
      <w:r w:rsidRPr="00AD62DD">
        <w:rPr>
          <w:rFonts w:cs="Times New Roman"/>
          <w:kern w:val="0"/>
          <w14:ligatures w14:val="none"/>
        </w:rPr>
        <w:t xml:space="preserve">Overall, the forest provided a meaningful context for the children to develop curiosity, problem-solving and independent thinking. Rather than learning about mathematical and scientific ideas only through adult-led activities, the children were able to encounter these concepts naturally while exploring their environment. The learning story demonstrates how outdoor experiences can support early mathematical and </w:t>
      </w:r>
      <w:r w:rsidRPr="00AD62DD">
        <w:rPr>
          <w:rFonts w:cs="Times New Roman"/>
          <w:kern w:val="0"/>
          <w14:ligatures w14:val="none"/>
        </w:rPr>
        <w:lastRenderedPageBreak/>
        <w:t>scientific development while also giving children opportunities to investigate, communicate their ideas and develop a sense of curiosity about the natural world (Welsh Government, 2022).</w:t>
      </w:r>
    </w:p>
    <w:p w14:paraId="74E887C5" w14:textId="77777777" w:rsidR="00E01F8C" w:rsidRPr="00AD62DD" w:rsidRDefault="00E01F8C" w:rsidP="00E01F8C">
      <w:pPr>
        <w:spacing w:before="100" w:beforeAutospacing="1" w:after="100" w:afterAutospacing="1" w:line="240" w:lineRule="auto"/>
        <w:outlineLvl w:val="2"/>
        <w:rPr>
          <w:rFonts w:eastAsia="Times New Roman" w:cs="Times New Roman"/>
          <w:kern w:val="0"/>
          <w14:ligatures w14:val="none"/>
        </w:rPr>
      </w:pPr>
      <w:r w:rsidRPr="00AD62DD">
        <w:rPr>
          <w:rFonts w:eastAsia="Times New Roman" w:cs="Times New Roman"/>
          <w:kern w:val="0"/>
          <w14:ligatures w14:val="none"/>
        </w:rPr>
        <w:t>Part 3: Risk Assessment</w:t>
      </w:r>
    </w:p>
    <w:tbl>
      <w:tblPr>
        <w:tblW w:w="5502" w:type="pct"/>
        <w:tblBorders>
          <w:top w:val="single" w:sz="6" w:space="0" w:color="auto"/>
          <w:left w:val="single" w:sz="6" w:space="0" w:color="auto"/>
          <w:bottom w:val="single" w:sz="6" w:space="0" w:color="auto"/>
          <w:right w:val="single" w:sz="6" w:space="0" w:color="auto"/>
        </w:tblBorders>
        <w:tblLayout w:type="fixed"/>
        <w:tblCellMar>
          <w:top w:w="160" w:type="dxa"/>
          <w:left w:w="160" w:type="dxa"/>
          <w:bottom w:w="160" w:type="dxa"/>
          <w:right w:w="160" w:type="dxa"/>
        </w:tblCellMar>
        <w:tblLook w:val="04A0" w:firstRow="1" w:lastRow="0" w:firstColumn="1" w:lastColumn="0" w:noHBand="0" w:noVBand="1"/>
      </w:tblPr>
      <w:tblGrid>
        <w:gridCol w:w="1268"/>
        <w:gridCol w:w="2304"/>
        <w:gridCol w:w="1553"/>
        <w:gridCol w:w="1103"/>
        <w:gridCol w:w="2271"/>
        <w:gridCol w:w="1416"/>
      </w:tblGrid>
      <w:tr w:rsidR="00E01F8C" w:rsidRPr="00AD62DD" w14:paraId="25DDBD10" w14:textId="77777777" w:rsidTr="00F40773">
        <w:trPr>
          <w:tblHeader/>
        </w:trPr>
        <w:tc>
          <w:tcPr>
            <w:tcW w:w="640"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7AD7D37" w14:textId="77777777" w:rsidR="00E01F8C" w:rsidRPr="00AD62DD" w:rsidRDefault="00E01F8C" w:rsidP="00E01F8C">
            <w:pPr>
              <w:spacing w:before="100" w:beforeAutospacing="1" w:after="100" w:afterAutospacing="1" w:line="240" w:lineRule="auto"/>
              <w:jc w:val="center"/>
              <w:rPr>
                <w:rFonts w:cs="Times New Roman"/>
                <w:kern w:val="0"/>
                <w14:ligatures w14:val="none"/>
              </w:rPr>
            </w:pPr>
            <w:r w:rsidRPr="00AD62DD">
              <w:rPr>
                <w:rFonts w:cs="Times New Roman"/>
                <w:kern w:val="0"/>
                <w14:ligatures w14:val="none"/>
              </w:rPr>
              <w:t>Activity</w:t>
            </w:r>
          </w:p>
        </w:tc>
        <w:tc>
          <w:tcPr>
            <w:tcW w:w="116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5A968FD" w14:textId="77777777" w:rsidR="00E01F8C" w:rsidRPr="00AD62DD" w:rsidRDefault="00E01F8C" w:rsidP="00E01F8C">
            <w:pPr>
              <w:spacing w:before="100" w:beforeAutospacing="1" w:after="100" w:afterAutospacing="1" w:line="240" w:lineRule="auto"/>
              <w:jc w:val="center"/>
              <w:rPr>
                <w:rFonts w:cs="Times New Roman"/>
                <w:kern w:val="0"/>
                <w14:ligatures w14:val="none"/>
              </w:rPr>
            </w:pPr>
            <w:r w:rsidRPr="00AD62DD">
              <w:rPr>
                <w:rFonts w:cs="Times New Roman"/>
                <w:kern w:val="0"/>
                <w14:ligatures w14:val="none"/>
              </w:rPr>
              <w:t>How will children benefit from this activity?</w:t>
            </w:r>
          </w:p>
        </w:tc>
        <w:tc>
          <w:tcPr>
            <w:tcW w:w="78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F2DB315" w14:textId="77777777" w:rsidR="00E01F8C" w:rsidRPr="00AD62DD" w:rsidRDefault="00E01F8C" w:rsidP="00E01F8C">
            <w:pPr>
              <w:spacing w:before="100" w:beforeAutospacing="1" w:after="100" w:afterAutospacing="1" w:line="240" w:lineRule="auto"/>
              <w:jc w:val="center"/>
              <w:rPr>
                <w:rFonts w:cs="Times New Roman"/>
                <w:kern w:val="0"/>
                <w14:ligatures w14:val="none"/>
              </w:rPr>
            </w:pPr>
            <w:r w:rsidRPr="00AD62DD">
              <w:rPr>
                <w:rFonts w:cs="Times New Roman"/>
                <w:kern w:val="0"/>
                <w14:ligatures w14:val="none"/>
              </w:rPr>
              <w:t>Hazards/Risks</w:t>
            </w:r>
          </w:p>
        </w:tc>
        <w:tc>
          <w:tcPr>
            <w:tcW w:w="556"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73C3287" w14:textId="77777777" w:rsidR="00E01F8C" w:rsidRPr="00AD62DD" w:rsidRDefault="00E01F8C" w:rsidP="00E01F8C">
            <w:pPr>
              <w:spacing w:before="100" w:beforeAutospacing="1" w:after="100" w:afterAutospacing="1" w:line="240" w:lineRule="auto"/>
              <w:jc w:val="center"/>
              <w:rPr>
                <w:rFonts w:cs="Times New Roman"/>
                <w:kern w:val="0"/>
                <w14:ligatures w14:val="none"/>
              </w:rPr>
            </w:pPr>
            <w:r w:rsidRPr="00AD62DD">
              <w:rPr>
                <w:rFonts w:cs="Times New Roman"/>
                <w:kern w:val="0"/>
                <w14:ligatures w14:val="none"/>
              </w:rPr>
              <w:t>Who is at risk?</w:t>
            </w:r>
          </w:p>
        </w:tc>
        <w:tc>
          <w:tcPr>
            <w:tcW w:w="1145"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B6B2F4B" w14:textId="77777777" w:rsidR="00E01F8C" w:rsidRPr="00AD62DD" w:rsidRDefault="00E01F8C" w:rsidP="00E01F8C">
            <w:pPr>
              <w:spacing w:before="100" w:beforeAutospacing="1" w:after="100" w:afterAutospacing="1" w:line="240" w:lineRule="auto"/>
              <w:jc w:val="center"/>
              <w:rPr>
                <w:rFonts w:cs="Times New Roman"/>
                <w:kern w:val="0"/>
                <w14:ligatures w14:val="none"/>
              </w:rPr>
            </w:pPr>
            <w:r w:rsidRPr="00AD62DD">
              <w:rPr>
                <w:rFonts w:cs="Times New Roman"/>
                <w:kern w:val="0"/>
                <w14:ligatures w14:val="none"/>
              </w:rPr>
              <w:t>Control measures</w:t>
            </w:r>
          </w:p>
        </w:tc>
        <w:tc>
          <w:tcPr>
            <w:tcW w:w="71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A0250AC" w14:textId="77777777" w:rsidR="00E01F8C" w:rsidRPr="00AD62DD" w:rsidRDefault="00E01F8C" w:rsidP="00E01F8C">
            <w:pPr>
              <w:spacing w:before="100" w:beforeAutospacing="1" w:after="100" w:afterAutospacing="1" w:line="240" w:lineRule="auto"/>
              <w:jc w:val="center"/>
              <w:rPr>
                <w:rFonts w:cs="Times New Roman"/>
                <w:kern w:val="0"/>
                <w14:ligatures w14:val="none"/>
              </w:rPr>
            </w:pPr>
            <w:r w:rsidRPr="00AD62DD">
              <w:rPr>
                <w:rFonts w:cs="Times New Roman"/>
                <w:kern w:val="0"/>
                <w14:ligatures w14:val="none"/>
              </w:rPr>
              <w:t>Overall risk rating</w:t>
            </w:r>
          </w:p>
        </w:tc>
      </w:tr>
      <w:tr w:rsidR="00E01F8C" w:rsidRPr="00AD62DD" w14:paraId="2B721625" w14:textId="77777777" w:rsidTr="00F40773">
        <w:tc>
          <w:tcPr>
            <w:tcW w:w="640"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6AADBD7" w14:textId="77777777"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t>Building small shelters/dens</w:t>
            </w:r>
          </w:p>
        </w:tc>
        <w:tc>
          <w:tcPr>
            <w:tcW w:w="116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3C09675" w14:textId="77777777"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t>This activity encourages children to work together, developing teamwork, communication and problem-solving skills. Selecting and comparing sticks also introduces early mathematical ideas, such as comparing lengths and sizes. Building dens supports creativity as children experiment with different ways of making their structure stable. It can also develop perseverance as children adapt their ideas if the materials move or the structure falls.</w:t>
            </w:r>
          </w:p>
        </w:tc>
        <w:tc>
          <w:tcPr>
            <w:tcW w:w="78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E58C7B1" w14:textId="77777777"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t>Splinters from sticks, unstable structures collapsing, sharp or pointed sticks, tripping while carrying materials, insects hiding underneath bark or moss.</w:t>
            </w:r>
          </w:p>
        </w:tc>
        <w:tc>
          <w:tcPr>
            <w:tcW w:w="556"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EF1AC31" w14:textId="77777777"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t>Children and adults</w:t>
            </w:r>
          </w:p>
        </w:tc>
        <w:tc>
          <w:tcPr>
            <w:tcW w:w="1145"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86793F1" w14:textId="77777777"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t>Check the area before the activity and remove any obvious hazards. Use smaller sticks where possible and teach children how to carry them safely. Practitioners should closely supervise the construction and check structures regularly for stability. Children should wear suitable footwear and clothing.</w:t>
            </w:r>
          </w:p>
        </w:tc>
        <w:tc>
          <w:tcPr>
            <w:tcW w:w="71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8A34A9B" w14:textId="77777777"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t>Medium</w:t>
            </w:r>
          </w:p>
        </w:tc>
      </w:tr>
      <w:tr w:rsidR="00E01F8C" w:rsidRPr="00AD62DD" w14:paraId="716486AF" w14:textId="77777777" w:rsidTr="00F40773">
        <w:tc>
          <w:tcPr>
            <w:tcW w:w="640"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2C84A41" w14:textId="77777777"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t>Exploring wet and dry soil</w:t>
            </w:r>
          </w:p>
        </w:tc>
        <w:tc>
          <w:tcPr>
            <w:tcW w:w="116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8D57E05" w14:textId="77777777"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t xml:space="preserve">Children develop early scientific understanding by observing how soil can differ when it is wet or dry. They </w:t>
            </w:r>
            <w:r w:rsidRPr="00AD62DD">
              <w:rPr>
                <w:rFonts w:cs="Times New Roman"/>
                <w:kern w:val="0"/>
                <w14:ligatures w14:val="none"/>
              </w:rPr>
              <w:lastRenderedPageBreak/>
              <w:t>can compare colour, texture, weight and smell while developing descriptive vocabulary. The activity also encourages children to think about how weather and environmental conditions can affect the forest floor.</w:t>
            </w:r>
          </w:p>
        </w:tc>
        <w:tc>
          <w:tcPr>
            <w:tcW w:w="78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15080EC" w14:textId="77777777"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lastRenderedPageBreak/>
              <w:t xml:space="preserve">Slippery mud causing falls, cold or wet hands </w:t>
            </w:r>
            <w:r w:rsidRPr="00AD62DD">
              <w:rPr>
                <w:rFonts w:cs="Times New Roman"/>
                <w:kern w:val="0"/>
                <w14:ligatures w14:val="none"/>
              </w:rPr>
              <w:lastRenderedPageBreak/>
              <w:t>causing discomfort, hidden sharp objects or insects, and bacteria being transferred from soil to hands.</w:t>
            </w:r>
          </w:p>
        </w:tc>
        <w:tc>
          <w:tcPr>
            <w:tcW w:w="556"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86EC848" w14:textId="77777777"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lastRenderedPageBreak/>
              <w:t>Children and adults</w:t>
            </w:r>
          </w:p>
        </w:tc>
        <w:tc>
          <w:tcPr>
            <w:tcW w:w="1145"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D06573B" w14:textId="77777777"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t xml:space="preserve">Avoid areas that are excessively muddy or unsafe. Ensure children have suitable waterproof and </w:t>
            </w:r>
            <w:r w:rsidRPr="00AD62DD">
              <w:rPr>
                <w:rFonts w:cs="Times New Roman"/>
                <w:kern w:val="0"/>
                <w14:ligatures w14:val="none"/>
              </w:rPr>
              <w:lastRenderedPageBreak/>
              <w:t>warm clothing. Supervise children while they explore the soil and remind them to move carefully. Children should wash or sanitise their hands after the activity.</w:t>
            </w:r>
          </w:p>
        </w:tc>
        <w:tc>
          <w:tcPr>
            <w:tcW w:w="71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74D73E8" w14:textId="77777777"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lastRenderedPageBreak/>
              <w:t>Low</w:t>
            </w:r>
          </w:p>
        </w:tc>
      </w:tr>
      <w:tr w:rsidR="00E01F8C" w:rsidRPr="00AD62DD" w14:paraId="36111474" w14:textId="77777777" w:rsidTr="00F40773">
        <w:tc>
          <w:tcPr>
            <w:tcW w:w="640"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88FEE12" w14:textId="77777777"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t xml:space="preserve">Investigating </w:t>
            </w:r>
            <w:proofErr w:type="spellStart"/>
            <w:r w:rsidRPr="00AD62DD">
              <w:rPr>
                <w:rFonts w:cs="Times New Roman"/>
                <w:kern w:val="0"/>
                <w14:ligatures w14:val="none"/>
              </w:rPr>
              <w:t>minibeasts</w:t>
            </w:r>
            <w:proofErr w:type="spellEnd"/>
            <w:r w:rsidRPr="00AD62DD">
              <w:rPr>
                <w:rFonts w:cs="Times New Roman"/>
                <w:kern w:val="0"/>
                <w14:ligatures w14:val="none"/>
              </w:rPr>
              <w:t xml:space="preserve"> and small wildlife</w:t>
            </w:r>
          </w:p>
        </w:tc>
        <w:tc>
          <w:tcPr>
            <w:tcW w:w="116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4AD042E" w14:textId="77777777"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t xml:space="preserve">This activity supports children’s understanding of living things and their habitats. It encourages curiosity, careful observation and respect for nature. Counting and grouping </w:t>
            </w:r>
            <w:proofErr w:type="spellStart"/>
            <w:r w:rsidRPr="00AD62DD">
              <w:rPr>
                <w:rFonts w:cs="Times New Roman"/>
                <w:kern w:val="0"/>
                <w14:ligatures w14:val="none"/>
              </w:rPr>
              <w:t>minibeasts</w:t>
            </w:r>
            <w:proofErr w:type="spellEnd"/>
            <w:r w:rsidRPr="00AD62DD">
              <w:rPr>
                <w:rFonts w:cs="Times New Roman"/>
                <w:kern w:val="0"/>
                <w14:ligatures w14:val="none"/>
              </w:rPr>
              <w:t xml:space="preserve"> can also develop early mathematical skills, while comparing where creatures are found can help children understand different habitats. Children can develop empathy and responsibility by learning to </w:t>
            </w:r>
            <w:r w:rsidRPr="00AD62DD">
              <w:rPr>
                <w:rFonts w:cs="Times New Roman"/>
                <w:kern w:val="0"/>
                <w14:ligatures w14:val="none"/>
              </w:rPr>
              <w:lastRenderedPageBreak/>
              <w:t>handle living things carefully.</w:t>
            </w:r>
          </w:p>
        </w:tc>
        <w:tc>
          <w:tcPr>
            <w:tcW w:w="78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C8611CE" w14:textId="77777777"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lastRenderedPageBreak/>
              <w:t>Insect bites or stings, disturbing natural habitats, hidden sharp objects underneath stones or leaves, and children becoming frightened by sudden movement.</w:t>
            </w:r>
          </w:p>
        </w:tc>
        <w:tc>
          <w:tcPr>
            <w:tcW w:w="556"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E65F569" w14:textId="77777777"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t>Children and adults</w:t>
            </w:r>
          </w:p>
        </w:tc>
        <w:tc>
          <w:tcPr>
            <w:tcW w:w="1145"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884946F" w14:textId="77777777"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t xml:space="preserve">Explain safe ways to observe </w:t>
            </w:r>
            <w:proofErr w:type="spellStart"/>
            <w:r w:rsidRPr="00AD62DD">
              <w:rPr>
                <w:rFonts w:cs="Times New Roman"/>
                <w:kern w:val="0"/>
                <w14:ligatures w14:val="none"/>
              </w:rPr>
              <w:t>minibeasts</w:t>
            </w:r>
            <w:proofErr w:type="spellEnd"/>
            <w:r w:rsidRPr="00AD62DD">
              <w:rPr>
                <w:rFonts w:cs="Times New Roman"/>
                <w:kern w:val="0"/>
                <w14:ligatures w14:val="none"/>
              </w:rPr>
              <w:t xml:space="preserve"> before beginning. Children should be encouraged to look rather than handle creatures unless this is appropriate and supervised. Avoid lifting heavy stones and check the area for hazardous plants. Consider known allergies and supervise children closely. Encourage handwashing after the activity.</w:t>
            </w:r>
          </w:p>
        </w:tc>
        <w:tc>
          <w:tcPr>
            <w:tcW w:w="71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13F579E" w14:textId="77777777"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t>Low</w:t>
            </w:r>
          </w:p>
        </w:tc>
      </w:tr>
      <w:tr w:rsidR="00E01F8C" w:rsidRPr="00AD62DD" w14:paraId="716AEF72" w14:textId="77777777" w:rsidTr="00F40773">
        <w:tc>
          <w:tcPr>
            <w:tcW w:w="640"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84A67A1" w14:textId="77777777"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t>Collecting leaves to compare</w:t>
            </w:r>
          </w:p>
        </w:tc>
        <w:tc>
          <w:tcPr>
            <w:tcW w:w="116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9765BE2" w14:textId="77777777"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t>Children can develop early classification skills by sorting leaves according to size, colour, shape and texture. This supports both mathematical reasoning and scientific observation. Children can also notice differences between fresh and decomposing leaves, helping them begin to understand natural processes. Handling leaves provides opportunities for sensory exploration and descriptive language.</w:t>
            </w:r>
          </w:p>
        </w:tc>
        <w:tc>
          <w:tcPr>
            <w:tcW w:w="78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CAFE97B" w14:textId="77777777"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t>Hidden hazards underneath leaves, such as litter, sharp objects, insects or uneven ground. Allergens and slippery areas may also present a risk.</w:t>
            </w:r>
          </w:p>
        </w:tc>
        <w:tc>
          <w:tcPr>
            <w:tcW w:w="556"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39D019B" w14:textId="77777777"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t>Children and adults</w:t>
            </w:r>
          </w:p>
        </w:tc>
        <w:tc>
          <w:tcPr>
            <w:tcW w:w="1145"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9535CC5" w14:textId="77777777"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t>Check the area before the activity and avoid deep piles of leaves where hazards may be hidden. Practitioners should supervise children closely and be aware of allergies. Encourage children to wash or sanitise their hands afterwards.</w:t>
            </w:r>
          </w:p>
        </w:tc>
        <w:tc>
          <w:tcPr>
            <w:tcW w:w="71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E1AB3A7" w14:textId="77777777"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t>Low</w:t>
            </w:r>
          </w:p>
        </w:tc>
      </w:tr>
      <w:tr w:rsidR="00E01F8C" w:rsidRPr="00AD62DD" w14:paraId="4CA3E2EB" w14:textId="77777777" w:rsidTr="00F40773">
        <w:tc>
          <w:tcPr>
            <w:tcW w:w="640"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E70EA31" w14:textId="77777777"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t>Measuring tree circumferences</w:t>
            </w:r>
          </w:p>
        </w:tc>
        <w:tc>
          <w:tcPr>
            <w:tcW w:w="116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CD5245B" w14:textId="77777777"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t xml:space="preserve">Children develop early measurement skills by comparing the circumference of different trees. They can use mathematical language to describe which trees are wider or </w:t>
            </w:r>
            <w:r w:rsidRPr="00AD62DD">
              <w:rPr>
                <w:rFonts w:cs="Times New Roman"/>
                <w:kern w:val="0"/>
                <w14:ligatures w14:val="none"/>
              </w:rPr>
              <w:lastRenderedPageBreak/>
              <w:t>narrower and begin to understand that trees vary in size. The activity also encourages children to observe natural features closely while developing spatial awareness and careful movement.</w:t>
            </w:r>
          </w:p>
        </w:tc>
        <w:tc>
          <w:tcPr>
            <w:tcW w:w="78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7E086A2" w14:textId="77777777"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lastRenderedPageBreak/>
              <w:t xml:space="preserve">Tripping over exposed tree roots, rough bark causing minor scratches, low branches, and uneven </w:t>
            </w:r>
            <w:r w:rsidRPr="00AD62DD">
              <w:rPr>
                <w:rFonts w:cs="Times New Roman"/>
                <w:kern w:val="0"/>
                <w14:ligatures w14:val="none"/>
              </w:rPr>
              <w:lastRenderedPageBreak/>
              <w:t>ground around the base of trees.</w:t>
            </w:r>
          </w:p>
        </w:tc>
        <w:tc>
          <w:tcPr>
            <w:tcW w:w="556"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B99CAF1" w14:textId="77777777"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lastRenderedPageBreak/>
              <w:t>Children and adults</w:t>
            </w:r>
          </w:p>
        </w:tc>
        <w:tc>
          <w:tcPr>
            <w:tcW w:w="1145"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60B7471" w14:textId="77777777"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t xml:space="preserve">Choose suitable trees in a safe area and clear any obvious obstacles before beginning. Practitioners should supervise children and remind them to look where they are walking. Children should </w:t>
            </w:r>
            <w:r w:rsidRPr="00AD62DD">
              <w:rPr>
                <w:rFonts w:cs="Times New Roman"/>
                <w:kern w:val="0"/>
                <w14:ligatures w14:val="none"/>
              </w:rPr>
              <w:lastRenderedPageBreak/>
              <w:t>wear appropriate footwear and should not climb or lean dangerously against trees.</w:t>
            </w:r>
          </w:p>
        </w:tc>
        <w:tc>
          <w:tcPr>
            <w:tcW w:w="71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07ED450" w14:textId="77777777"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lastRenderedPageBreak/>
              <w:t>Low</w:t>
            </w:r>
          </w:p>
        </w:tc>
      </w:tr>
      <w:tr w:rsidR="00E01F8C" w:rsidRPr="00AD62DD" w14:paraId="05FBB222" w14:textId="77777777" w:rsidTr="00F40773">
        <w:tc>
          <w:tcPr>
            <w:tcW w:w="640"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64533C0" w14:textId="77777777"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t>Sorting sticks by length</w:t>
            </w:r>
          </w:p>
        </w:tc>
        <w:tc>
          <w:tcPr>
            <w:tcW w:w="116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7DF398B" w14:textId="77777777"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t>Sorting sticks allows children to practise comparing and ordering objects according to length. They can develop early mathematical reasoning by deciding which sticks are shorter or longer. Handling natural materials also supports fine motor skills, sensory development and descriptive language.</w:t>
            </w:r>
          </w:p>
        </w:tc>
        <w:tc>
          <w:tcPr>
            <w:tcW w:w="78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9AF7FCE" w14:textId="77777777"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t>Splinters, sharp or pointed sticks, tripping while carrying sticks and falls caused by uneven ground.</w:t>
            </w:r>
          </w:p>
        </w:tc>
        <w:tc>
          <w:tcPr>
            <w:tcW w:w="556"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CC6FAC5" w14:textId="77777777"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t>Children and adults</w:t>
            </w:r>
          </w:p>
        </w:tc>
        <w:tc>
          <w:tcPr>
            <w:tcW w:w="1145"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88F37D9" w14:textId="77777777"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t>Use smaller, suitable sticks and check them for sharp or broken edges before use. Demonstrate how to carry sticks safely and supervise children throughout the activity. Encourage children to keep sticks pointing downwards and to walk rather than run.</w:t>
            </w:r>
          </w:p>
        </w:tc>
        <w:tc>
          <w:tcPr>
            <w:tcW w:w="71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95E6956" w14:textId="77777777"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t>Low</w:t>
            </w:r>
          </w:p>
        </w:tc>
      </w:tr>
      <w:tr w:rsidR="00E01F8C" w:rsidRPr="00AD62DD" w14:paraId="52ADE557" w14:textId="77777777" w:rsidTr="00F40773">
        <w:tc>
          <w:tcPr>
            <w:tcW w:w="640"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3ED6412" w14:textId="77777777"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t>Following a forest map</w:t>
            </w:r>
          </w:p>
        </w:tc>
        <w:tc>
          <w:tcPr>
            <w:tcW w:w="116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524D656" w14:textId="77777777"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t xml:space="preserve">Following a simple forest map develops children’s spatial awareness, positional language and </w:t>
            </w:r>
            <w:r w:rsidRPr="00AD62DD">
              <w:rPr>
                <w:rFonts w:cs="Times New Roman"/>
                <w:kern w:val="0"/>
                <w14:ligatures w14:val="none"/>
              </w:rPr>
              <w:lastRenderedPageBreak/>
              <w:t>problem-solving skills. Children can practise words such as “left”, “right”, “near” and “far” while following visual clues and identifying landmarks. Working together can also develop communication, confidence and independence.</w:t>
            </w:r>
          </w:p>
        </w:tc>
        <w:tc>
          <w:tcPr>
            <w:tcW w:w="78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13F8C3D" w14:textId="77777777"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lastRenderedPageBreak/>
              <w:t xml:space="preserve">Children wandering away from the group, tripping over roots or uneven </w:t>
            </w:r>
            <w:r w:rsidRPr="00AD62DD">
              <w:rPr>
                <w:rFonts w:cs="Times New Roman"/>
                <w:kern w:val="0"/>
                <w14:ligatures w14:val="none"/>
              </w:rPr>
              <w:lastRenderedPageBreak/>
              <w:t>ground, becoming distracted, or moving beyond agreed boundaries.</w:t>
            </w:r>
          </w:p>
        </w:tc>
        <w:tc>
          <w:tcPr>
            <w:tcW w:w="556"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DF3E8B0" w14:textId="77777777"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lastRenderedPageBreak/>
              <w:t>Children and adults</w:t>
            </w:r>
          </w:p>
        </w:tc>
        <w:tc>
          <w:tcPr>
            <w:tcW w:w="1145"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1326A53" w14:textId="77777777"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t xml:space="preserve">Establish clear boundaries before beginning and keep children on suitable, visible paths. Adults should be </w:t>
            </w:r>
            <w:r w:rsidRPr="00AD62DD">
              <w:rPr>
                <w:rFonts w:cs="Times New Roman"/>
                <w:kern w:val="0"/>
                <w14:ligatures w14:val="none"/>
              </w:rPr>
              <w:lastRenderedPageBreak/>
              <w:t xml:space="preserve">positioned so that the whole group can be monitored, with practitioners at the front, middle and back where appropriate. Children should wear suitable footwear and high-visibility clothing where required. Regular </w:t>
            </w:r>
            <w:proofErr w:type="spellStart"/>
            <w:r w:rsidRPr="00AD62DD">
              <w:rPr>
                <w:rFonts w:cs="Times New Roman"/>
                <w:kern w:val="0"/>
                <w14:ligatures w14:val="none"/>
              </w:rPr>
              <w:t>headcounts</w:t>
            </w:r>
            <w:proofErr w:type="spellEnd"/>
            <w:r w:rsidRPr="00AD62DD">
              <w:rPr>
                <w:rFonts w:cs="Times New Roman"/>
                <w:kern w:val="0"/>
                <w14:ligatures w14:val="none"/>
              </w:rPr>
              <w:t xml:space="preserve"> should be carried out.</w:t>
            </w:r>
          </w:p>
        </w:tc>
        <w:tc>
          <w:tcPr>
            <w:tcW w:w="71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625C971" w14:textId="77777777"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lastRenderedPageBreak/>
              <w:t>Medium</w:t>
            </w:r>
          </w:p>
        </w:tc>
      </w:tr>
    </w:tbl>
    <w:p w14:paraId="40DE94D6" w14:textId="77777777" w:rsidR="00E54CC7" w:rsidRPr="00AD62DD" w:rsidRDefault="00E54CC7"/>
    <w:p w14:paraId="048CB88B" w14:textId="77777777" w:rsidR="00214F29" w:rsidRPr="00AD62DD" w:rsidRDefault="00214F29" w:rsidP="00214F29">
      <w:pPr>
        <w:spacing w:before="100" w:beforeAutospacing="1" w:after="100" w:afterAutospacing="1" w:line="240" w:lineRule="auto"/>
        <w:outlineLvl w:val="2"/>
        <w:rPr>
          <w:rFonts w:eastAsia="Times New Roman" w:cs="Times New Roman"/>
          <w:kern w:val="0"/>
          <w14:ligatures w14:val="none"/>
        </w:rPr>
      </w:pPr>
      <w:r w:rsidRPr="00AD62DD">
        <w:rPr>
          <w:rFonts w:eastAsia="Times New Roman" w:cs="Times New Roman"/>
          <w:kern w:val="0"/>
          <w14:ligatures w14:val="none"/>
        </w:rPr>
        <w:t>Part 4: Evaluating How Adults Support Mathematical and Scientific Learning in Outdoor Environments</w:t>
      </w:r>
    </w:p>
    <w:p w14:paraId="259061D9" w14:textId="77777777" w:rsidR="00214F29" w:rsidRPr="00AD62DD" w:rsidRDefault="00214F29" w:rsidP="00214F29">
      <w:pPr>
        <w:spacing w:before="100" w:beforeAutospacing="1" w:after="100" w:afterAutospacing="1" w:line="240" w:lineRule="auto"/>
        <w:rPr>
          <w:rFonts w:cs="Times New Roman"/>
          <w:kern w:val="0"/>
          <w14:ligatures w14:val="none"/>
        </w:rPr>
      </w:pPr>
      <w:r w:rsidRPr="00AD62DD">
        <w:rPr>
          <w:rFonts w:cs="Times New Roman"/>
          <w:kern w:val="0"/>
          <w14:ligatures w14:val="none"/>
        </w:rPr>
        <w:t>Outdoor environments can give young children opportunities to explore mathematical and scientific ideas through real materials and experiences. In a woodland, children may come across sticks, stones, leaves, pinecones, soil and water, which can be moved, compared and investigated. Unlike some indoor resources, these materials do not have one fixed purpose, so children can decide how they want to use them. Nicholson’s (1971) theory of loose parts is useful when considering this type of play. He suggested that materials which can be moved, combined and changed give children opportunities to experiment and develop their own ideas. This remains relevant to early years practice because natural materials can be used as open-ended resources that children can manipulate in different ways.</w:t>
      </w:r>
    </w:p>
    <w:p w14:paraId="2F0681E6" w14:textId="77777777" w:rsidR="00214F29" w:rsidRPr="00AD62DD" w:rsidRDefault="00214F29" w:rsidP="00214F29">
      <w:pPr>
        <w:spacing w:before="100" w:beforeAutospacing="1" w:after="100" w:afterAutospacing="1" w:line="240" w:lineRule="auto"/>
        <w:rPr>
          <w:rFonts w:cs="Times New Roman"/>
          <w:kern w:val="0"/>
          <w14:ligatures w14:val="none"/>
        </w:rPr>
      </w:pPr>
      <w:r w:rsidRPr="00AD62DD">
        <w:rPr>
          <w:rFonts w:cs="Times New Roman"/>
          <w:kern w:val="0"/>
          <w14:ligatures w14:val="none"/>
        </w:rPr>
        <w:t xml:space="preserve">There is increasing research to support the use of loose parts for early learning. </w:t>
      </w:r>
      <w:proofErr w:type="spellStart"/>
      <w:r w:rsidRPr="00AD62DD">
        <w:rPr>
          <w:rFonts w:cs="Times New Roman"/>
          <w:kern w:val="0"/>
          <w14:ligatures w14:val="none"/>
        </w:rPr>
        <w:t>Cankaya</w:t>
      </w:r>
      <w:proofErr w:type="spellEnd"/>
      <w:r w:rsidRPr="00AD62DD">
        <w:rPr>
          <w:rFonts w:cs="Times New Roman"/>
          <w:kern w:val="0"/>
          <w14:ligatures w14:val="none"/>
        </w:rPr>
        <w:t xml:space="preserve"> et al. (2025) investigated 60 young children’s play with loose parts and found that children demonstrated significantly more STEM behaviours when using loose parts than when using toys with more limited functions. These behaviours included constructing, explaining how things worked and exploring mathematical ideas. This provides more recent evidence for Nicholson’s (1971) theory, although the study also found that children’s cognitive abilities and home experiences were related to their level of engagement. Therefore, loose parts should not be viewed as something that automatically produces STEM learning for every child. The practitioner still has an </w:t>
      </w:r>
      <w:r w:rsidRPr="00AD62DD">
        <w:rPr>
          <w:rFonts w:cs="Times New Roman"/>
          <w:kern w:val="0"/>
          <w14:ligatures w14:val="none"/>
        </w:rPr>
        <w:lastRenderedPageBreak/>
        <w:t>important role in creating an environment where children can use these resources successfully.</w:t>
      </w:r>
    </w:p>
    <w:p w14:paraId="27B213A5" w14:textId="77777777" w:rsidR="00214F29" w:rsidRPr="00AD62DD" w:rsidRDefault="00214F29" w:rsidP="00214F29">
      <w:pPr>
        <w:spacing w:before="100" w:beforeAutospacing="1" w:after="100" w:afterAutospacing="1" w:line="240" w:lineRule="auto"/>
        <w:rPr>
          <w:rFonts w:cs="Times New Roman"/>
          <w:kern w:val="0"/>
          <w14:ligatures w14:val="none"/>
        </w:rPr>
      </w:pPr>
      <w:r w:rsidRPr="00AD62DD">
        <w:rPr>
          <w:rFonts w:cs="Times New Roman"/>
          <w:kern w:val="0"/>
          <w14:ligatures w14:val="none"/>
        </w:rPr>
        <w:t>Loose parts can provide opportunities for mathematical learning without making the experience feel like a formal maths activity. For example, a child collecting sticks might place them in order from shortest to longest, while another child might sort stones according to their size, shape or colour. These activities involve comparison, classification and ordering, as well as mathematical language. Maynard and Waters (2014) explain that outdoor play can provide opportunities for children to develop mathematical thinking through everyday experiences. This is also reflected in Department for Education (DfE, 2023) guidance, which encourages the use of open-ended resources and natural materials and gives examples of children exploring collections of natural objects with different properties. This suggests that practitioners can support mathematical learning by recognising the opportunities already present within children’s play rather than always creating separate maths activities.</w:t>
      </w:r>
    </w:p>
    <w:p w14:paraId="75A87888" w14:textId="77777777" w:rsidR="00214F29" w:rsidRPr="00AD62DD" w:rsidRDefault="00214F29" w:rsidP="00214F29">
      <w:pPr>
        <w:spacing w:before="100" w:beforeAutospacing="1" w:after="100" w:afterAutospacing="1" w:line="240" w:lineRule="auto"/>
        <w:rPr>
          <w:rFonts w:cs="Times New Roman"/>
          <w:kern w:val="0"/>
          <w14:ligatures w14:val="none"/>
        </w:rPr>
      </w:pPr>
      <w:r w:rsidRPr="00AD62DD">
        <w:rPr>
          <w:rFonts w:cs="Times New Roman"/>
          <w:kern w:val="0"/>
          <w14:ligatures w14:val="none"/>
        </w:rPr>
        <w:t>However, simply providing loose parts does not mean mathematical learning will automatically take place. Children may use sticks for imaginative play or collect stones without comparing them. The role of the practitioner is therefore important in recognising when an opportunity for mathematical thinking is developing. If children are arranging sticks, an adult could ask, “Which one is the longest?” or “How could you put these in order?” This introduces mathematical vocabulary without giving the children the answer. Bruner’s (1966) idea of scaffolding is relevant here because the adult provides enough support to move the child’s thinking forward while still allowing them to work things out themselves. DfE (2023) similarly emphasises the importance of adults supporting and extending children’s learning while allowing them opportunities to explore independently.</w:t>
      </w:r>
    </w:p>
    <w:p w14:paraId="5B24E035" w14:textId="77777777" w:rsidR="00214F29" w:rsidRPr="00AD62DD" w:rsidRDefault="00214F29" w:rsidP="00214F29">
      <w:pPr>
        <w:spacing w:before="100" w:beforeAutospacing="1" w:after="100" w:afterAutospacing="1" w:line="240" w:lineRule="auto"/>
        <w:rPr>
          <w:rFonts w:cs="Times New Roman"/>
          <w:kern w:val="0"/>
          <w14:ligatures w14:val="none"/>
        </w:rPr>
      </w:pPr>
      <w:r w:rsidRPr="00AD62DD">
        <w:rPr>
          <w:rFonts w:cs="Times New Roman"/>
          <w:kern w:val="0"/>
          <w14:ligatures w14:val="none"/>
        </w:rPr>
        <w:t>There is also a risk that adults can become too involved. If the practitioner tells children exactly what to collect, where to place it and how to arrange it, the activity can become adult-led and lose some of the independence that makes loose-parts play valuable. In contrast, if adults provide materials but never interact with children, opportunities to extend mathematical language and reasoning may be missed. Research by Spencer et al. (2019), which explored educators’ experiences of loose-parts play, identified benefits including problem-solving, creativity, independence and confidence, but also found challenges such as storage, sustainability and practitioner apprehension. This suggests that successful loose-parts provision depends not only on the materials themselves but also on how confident and prepared practitioners are to use them.</w:t>
      </w:r>
    </w:p>
    <w:p w14:paraId="30BA3330" w14:textId="77777777" w:rsidR="00214F29" w:rsidRPr="00AD62DD" w:rsidRDefault="00214F29" w:rsidP="00214F29">
      <w:pPr>
        <w:spacing w:before="100" w:beforeAutospacing="1" w:after="100" w:afterAutospacing="1" w:line="240" w:lineRule="auto"/>
        <w:rPr>
          <w:rFonts w:cs="Times New Roman"/>
          <w:kern w:val="0"/>
          <w14:ligatures w14:val="none"/>
        </w:rPr>
      </w:pPr>
      <w:r w:rsidRPr="00AD62DD">
        <w:rPr>
          <w:rFonts w:cs="Times New Roman"/>
          <w:kern w:val="0"/>
          <w14:ligatures w14:val="none"/>
        </w:rPr>
        <w:t xml:space="preserve">Natural materials can also support scientific learning because children can investigate their properties and how they behave. For example, children might compare wet and dry soil, notice that a dry leaf breaks more easily than a wet one, or roll different objects down a slope to see how far they travel. Piaget (1952) emphasised the importance of children learning through active exploration and handling objects. This is relevant to outdoor learning because children can develop ideas through direct experiences rather than only being given information by adults. DfE (2023) also recommends opportunities </w:t>
      </w:r>
      <w:r w:rsidRPr="00AD62DD">
        <w:rPr>
          <w:rFonts w:cs="Times New Roman"/>
          <w:kern w:val="0"/>
          <w14:ligatures w14:val="none"/>
        </w:rPr>
        <w:lastRenderedPageBreak/>
        <w:t>for young children to explore natural materials, notice differences in properties and investigate natural phenomena through hands-on experiences.</w:t>
      </w:r>
    </w:p>
    <w:p w14:paraId="724A7B6C" w14:textId="77777777" w:rsidR="00214F29" w:rsidRPr="00AD62DD" w:rsidRDefault="00214F29" w:rsidP="00214F29">
      <w:pPr>
        <w:spacing w:before="100" w:beforeAutospacing="1" w:after="100" w:afterAutospacing="1" w:line="240" w:lineRule="auto"/>
        <w:rPr>
          <w:rFonts w:cs="Times New Roman"/>
          <w:kern w:val="0"/>
          <w14:ligatures w14:val="none"/>
        </w:rPr>
      </w:pPr>
      <w:r w:rsidRPr="00AD62DD">
        <w:rPr>
          <w:rFonts w:cs="Times New Roman"/>
          <w:kern w:val="0"/>
          <w14:ligatures w14:val="none"/>
        </w:rPr>
        <w:t xml:space="preserve">More recent research supports the value of nature-based experiences in early childhood. </w:t>
      </w:r>
      <w:proofErr w:type="spellStart"/>
      <w:r w:rsidRPr="00AD62DD">
        <w:rPr>
          <w:rFonts w:cs="Times New Roman"/>
          <w:kern w:val="0"/>
          <w14:ligatures w14:val="none"/>
        </w:rPr>
        <w:t>Ardoin</w:t>
      </w:r>
      <w:proofErr w:type="spellEnd"/>
      <w:r w:rsidRPr="00AD62DD">
        <w:rPr>
          <w:rFonts w:cs="Times New Roman"/>
          <w:kern w:val="0"/>
          <w14:ligatures w14:val="none"/>
        </w:rPr>
        <w:t xml:space="preserve"> and Bowers (2020) conducted a systematic review of 66 studies of early childhood environmental education and identified outcomes including cognitive, social-emotional and environmental learning. However, the review also shows that nature-based education includes a range of different approaches, meaning it would be too broad to claim that simply being outdoors automatically improves children’s learning. The adult’s interactions, the quality of the experience and the opportunities children have to investigate are still important. This supports the argument that outdoor environments provide possibilities for learning, but practitioners need to recognise and develop those possibilities.</w:t>
      </w:r>
    </w:p>
    <w:p w14:paraId="2E6DC6E9" w14:textId="77777777" w:rsidR="00214F29" w:rsidRPr="00AD62DD" w:rsidRDefault="00214F29" w:rsidP="00214F29">
      <w:pPr>
        <w:spacing w:before="100" w:beforeAutospacing="1" w:after="100" w:afterAutospacing="1" w:line="240" w:lineRule="auto"/>
        <w:rPr>
          <w:rFonts w:cs="Times New Roman"/>
          <w:kern w:val="0"/>
          <w14:ligatures w14:val="none"/>
        </w:rPr>
      </w:pPr>
      <w:r w:rsidRPr="00AD62DD">
        <w:rPr>
          <w:rFonts w:cs="Times New Roman"/>
          <w:kern w:val="0"/>
          <w14:ligatures w14:val="none"/>
        </w:rPr>
        <w:t>Practitioners can encourage scientific thinking by allowing children to make observations, suggest explanations and test their own ideas. For example, if a child says that a stone will roll further than a pinecone, the adult could encourage them to test both rather than immediately explaining what will happen. Questions such as “What do you notice?”, “What do you think will happen?” and “Why do you think that happened?” can encourage children to explain their ideas. Siraj-Blatchford et al. (2002) describe sustained shared thinking as a process where adults and children work together to develop ideas and solve problems. This can be particularly useful outdoors because children can investigate their questions using materials that are already around them. DfE (2023) similarly recommends adults encouraging children to observe, describe and talk about what they see while exploring the natural world.</w:t>
      </w:r>
    </w:p>
    <w:p w14:paraId="4474A90B" w14:textId="77777777" w:rsidR="00214F29" w:rsidRPr="00AD62DD" w:rsidRDefault="00214F29" w:rsidP="00214F29">
      <w:pPr>
        <w:spacing w:before="100" w:beforeAutospacing="1" w:after="100" w:afterAutospacing="1" w:line="240" w:lineRule="auto"/>
        <w:rPr>
          <w:rFonts w:cs="Times New Roman"/>
          <w:kern w:val="0"/>
          <w14:ligatures w14:val="none"/>
        </w:rPr>
      </w:pPr>
      <w:r w:rsidRPr="00AD62DD">
        <w:rPr>
          <w:rFonts w:cs="Times New Roman"/>
          <w:kern w:val="0"/>
          <w14:ligatures w14:val="none"/>
        </w:rPr>
        <w:t xml:space="preserve">Gibson’s (1979) theory of affordances also helps explain why outdoor environments can provide varied learning opportunities. Affordances are the possibilities for action offered by the environment. For example, a fallen log might provide an opportunity for balancing, a stick could be used for measuring or building, and a stone could be stacked, sorted or rolled. The same object can therefore be used in different ways depending on the child and what they are interested in. This is one strength of outdoor learning because children are not always limited to the purpose an adult originally had in mind for a resource. </w:t>
      </w:r>
      <w:proofErr w:type="spellStart"/>
      <w:r w:rsidRPr="00AD62DD">
        <w:rPr>
          <w:rFonts w:cs="Times New Roman"/>
          <w:kern w:val="0"/>
          <w14:ligatures w14:val="none"/>
        </w:rPr>
        <w:t>Cankaya</w:t>
      </w:r>
      <w:proofErr w:type="spellEnd"/>
      <w:r w:rsidRPr="00AD62DD">
        <w:rPr>
          <w:rFonts w:cs="Times New Roman"/>
          <w:kern w:val="0"/>
          <w14:ligatures w14:val="none"/>
        </w:rPr>
        <w:t xml:space="preserve"> et al. (2025) provide recent evidence that the open-ended nature of loose parts can encourage a wider range of STEM behaviours, supporting the idea that materials with several possible uses can create opportunities for children to explore mathematical and scientific ideas.</w:t>
      </w:r>
    </w:p>
    <w:p w14:paraId="4A85E103" w14:textId="77777777" w:rsidR="00214F29" w:rsidRPr="00AD62DD" w:rsidRDefault="00214F29" w:rsidP="00214F29">
      <w:pPr>
        <w:spacing w:before="100" w:beforeAutospacing="1" w:after="100" w:afterAutospacing="1" w:line="240" w:lineRule="auto"/>
        <w:rPr>
          <w:rFonts w:cs="Times New Roman"/>
          <w:kern w:val="0"/>
          <w14:ligatures w14:val="none"/>
        </w:rPr>
      </w:pPr>
      <w:r w:rsidRPr="00AD62DD">
        <w:rPr>
          <w:rFonts w:cs="Times New Roman"/>
          <w:kern w:val="0"/>
          <w14:ligatures w14:val="none"/>
        </w:rPr>
        <w:t>However, children will not all respond to the same environment in the same way. Some may confidently explore uneven ground and natural materials, while others may need encouragement or additional support. Vygotsky’s (1978) zone of proximal development is useful here because it recognises that children can achieve more with appropriate support than they may manage independently. For example, when a child is balancing on a fallen log, a practitioner might ask, “What could help you stay steady?” rather than simply telling the child where to put their feet. The child can then try different approaches while the adult provides further support if needed.</w:t>
      </w:r>
    </w:p>
    <w:p w14:paraId="0D161E03" w14:textId="77777777" w:rsidR="00214F29" w:rsidRPr="00AD62DD" w:rsidRDefault="00214F29" w:rsidP="00214F29">
      <w:pPr>
        <w:spacing w:before="100" w:beforeAutospacing="1" w:after="100" w:afterAutospacing="1" w:line="240" w:lineRule="auto"/>
        <w:rPr>
          <w:rFonts w:cs="Times New Roman"/>
          <w:kern w:val="0"/>
          <w14:ligatures w14:val="none"/>
        </w:rPr>
      </w:pPr>
      <w:r w:rsidRPr="00AD62DD">
        <w:rPr>
          <w:rFonts w:cs="Times New Roman"/>
          <w:kern w:val="0"/>
          <w14:ligatures w14:val="none"/>
        </w:rPr>
        <w:lastRenderedPageBreak/>
        <w:t>This demonstrates why child-led learning does not mean that adults should stand back completely. Effective practice requires adults to judge when intervention will be helpful. Too much direction can reduce children’s independence, while too little interaction can mean that opportunities to develop vocabulary, reasoning and scientific thinking are missed. DfE (2023) describes effective early years practice as involving a mixture of play, adult modelling, guided learning and direct teaching rather than relying on one approach. This supports the idea that practitioners need to adapt their level of involvement according to the child and the situation. Vygotsky’s (1978) theory is therefore useful because support can be increased when a child needs it and gradually reduced as they become more confident.</w:t>
      </w:r>
    </w:p>
    <w:p w14:paraId="248A1E7A" w14:textId="77777777" w:rsidR="00214F29" w:rsidRPr="00AD62DD" w:rsidRDefault="00214F29" w:rsidP="00214F29">
      <w:pPr>
        <w:spacing w:before="100" w:beforeAutospacing="1" w:after="100" w:afterAutospacing="1" w:line="240" w:lineRule="auto"/>
        <w:rPr>
          <w:rFonts w:cs="Times New Roman"/>
          <w:kern w:val="0"/>
          <w14:ligatures w14:val="none"/>
        </w:rPr>
      </w:pPr>
      <w:r w:rsidRPr="00AD62DD">
        <w:rPr>
          <w:rFonts w:cs="Times New Roman"/>
          <w:kern w:val="0"/>
          <w14:ligatures w14:val="none"/>
        </w:rPr>
        <w:t>Observation is closely connected to this role. Practitioners need to watch what children are doing so that they can recognise their interests and decide how best to respond. For example, if a child repeatedly sorts leaves according to colour, the practitioner might introduce ideas about patterns or classification. If a child is building a tower from stones, the adult could ask why some arrangements remain standing while others fall. Observation can also show when children are already deeply involved in an investigation and may not need adult intervention.</w:t>
      </w:r>
    </w:p>
    <w:p w14:paraId="61BFE970" w14:textId="77777777" w:rsidR="00214F29" w:rsidRPr="00AD62DD" w:rsidRDefault="00214F29" w:rsidP="00214F29">
      <w:pPr>
        <w:spacing w:before="100" w:beforeAutospacing="1" w:after="100" w:afterAutospacing="1" w:line="240" w:lineRule="auto"/>
        <w:rPr>
          <w:rFonts w:cs="Times New Roman"/>
          <w:kern w:val="0"/>
          <w14:ligatures w14:val="none"/>
        </w:rPr>
      </w:pPr>
      <w:r w:rsidRPr="00AD62DD">
        <w:rPr>
          <w:rFonts w:cs="Times New Roman"/>
          <w:kern w:val="0"/>
          <w14:ligatures w14:val="none"/>
        </w:rPr>
        <w:t xml:space="preserve">This links with </w:t>
      </w:r>
      <w:proofErr w:type="spellStart"/>
      <w:r w:rsidRPr="00AD62DD">
        <w:rPr>
          <w:rFonts w:cs="Times New Roman"/>
          <w:kern w:val="0"/>
          <w14:ligatures w14:val="none"/>
        </w:rPr>
        <w:t>Malaguzzi’s</w:t>
      </w:r>
      <w:proofErr w:type="spellEnd"/>
      <w:r w:rsidRPr="00AD62DD">
        <w:rPr>
          <w:rFonts w:cs="Times New Roman"/>
          <w:kern w:val="0"/>
          <w14:ligatures w14:val="none"/>
        </w:rPr>
        <w:t xml:space="preserve"> view of children as active and capable learners, where adults observe children’s interests and use these observations to support further learning. The Reggio Emilia approach also places importance on the environment as the “third teacher”, suggesting that the spaces and resources available to children can influence how they explore and learn (Edwards, </w:t>
      </w:r>
      <w:proofErr w:type="spellStart"/>
      <w:r w:rsidRPr="00AD62DD">
        <w:rPr>
          <w:rFonts w:cs="Times New Roman"/>
          <w:kern w:val="0"/>
          <w14:ligatures w14:val="none"/>
        </w:rPr>
        <w:t>Gandini</w:t>
      </w:r>
      <w:proofErr w:type="spellEnd"/>
      <w:r w:rsidRPr="00AD62DD">
        <w:rPr>
          <w:rFonts w:cs="Times New Roman"/>
          <w:kern w:val="0"/>
          <w14:ligatures w14:val="none"/>
        </w:rPr>
        <w:t xml:space="preserve"> and Forman, 2012). This is particularly relevant outdoors because the environment is constantly changing. Natural materials, weather and seasonal changes can create new opportunities for children to investigate without the practitioner having to plan every experience in advance. However, the practitioner still needs to decide whether an opportunity should simply be observed or whether an interaction could extend the child’s thinking.</w:t>
      </w:r>
    </w:p>
    <w:p w14:paraId="1A6B5398" w14:textId="77777777" w:rsidR="00214F29" w:rsidRPr="00AD62DD" w:rsidRDefault="00214F29" w:rsidP="00214F29">
      <w:pPr>
        <w:spacing w:before="100" w:beforeAutospacing="1" w:after="100" w:afterAutospacing="1" w:line="240" w:lineRule="auto"/>
        <w:rPr>
          <w:rFonts w:cs="Times New Roman"/>
          <w:kern w:val="0"/>
          <w14:ligatures w14:val="none"/>
        </w:rPr>
      </w:pPr>
      <w:r w:rsidRPr="00AD62DD">
        <w:rPr>
          <w:rFonts w:cs="Times New Roman"/>
          <w:kern w:val="0"/>
          <w14:ligatures w14:val="none"/>
        </w:rPr>
        <w:t>The timing of adult involvement can therefore affect the quality of children’s play. Interrupting a child who is concentrating may stop them from working through their own ideas, whereas a well-timed question could encourage them to continue investigating. This means that observation should not simply be used to record what children have done. It should also help practitioners decide when to interact, what questions to ask and when to allow children to continue independently. Spencer et al. (2019) found that educators viewed loose-parts play as supporting independence and problem-solving, which reinforces the importance of allowing children some control over their experiences rather than making every activity adult-directed.</w:t>
      </w:r>
    </w:p>
    <w:p w14:paraId="2272A2E5" w14:textId="77777777" w:rsidR="00214F29" w:rsidRPr="00AD62DD" w:rsidRDefault="00214F29" w:rsidP="00214F29">
      <w:pPr>
        <w:spacing w:before="100" w:beforeAutospacing="1" w:after="100" w:afterAutospacing="1" w:line="240" w:lineRule="auto"/>
        <w:rPr>
          <w:rFonts w:cs="Times New Roman"/>
          <w:kern w:val="0"/>
          <w14:ligatures w14:val="none"/>
        </w:rPr>
      </w:pPr>
      <w:r w:rsidRPr="00AD62DD">
        <w:rPr>
          <w:rFonts w:cs="Times New Roman"/>
          <w:kern w:val="0"/>
          <w14:ligatures w14:val="none"/>
        </w:rPr>
        <w:t xml:space="preserve">Froebel (1901) similarly emphasised children’s experiences with nature and real materials. Although his ideas were developed many years ago, they remain relevant when considering why outdoor experiences can support learning through direct contact with the natural world. White (2014) also discusses the value of sensory and open-ended outdoor experiences. For example, a child feeling the rough surface of bark may begin by describing it as rough, but this could lead to questions about why different trees have different bark or how bark protects the tree. The adult does not need to turn </w:t>
      </w:r>
      <w:r w:rsidRPr="00AD62DD">
        <w:rPr>
          <w:rFonts w:cs="Times New Roman"/>
          <w:kern w:val="0"/>
          <w14:ligatures w14:val="none"/>
        </w:rPr>
        <w:lastRenderedPageBreak/>
        <w:t>every discovery into a formal lesson, but they can recognise when a child’s interest could be extended. DfE (2023) supports this approach by encouraging children to use their senses when exploring natural materials and to develop vocabulary to describe what they notice.</w:t>
      </w:r>
    </w:p>
    <w:p w14:paraId="22DFF945" w14:textId="77777777" w:rsidR="00214F29" w:rsidRPr="00AD62DD" w:rsidRDefault="00214F29" w:rsidP="00214F29">
      <w:pPr>
        <w:spacing w:before="100" w:beforeAutospacing="1" w:after="100" w:afterAutospacing="1" w:line="240" w:lineRule="auto"/>
        <w:rPr>
          <w:rFonts w:cs="Times New Roman"/>
          <w:kern w:val="0"/>
          <w14:ligatures w14:val="none"/>
        </w:rPr>
      </w:pPr>
      <w:r w:rsidRPr="00AD62DD">
        <w:rPr>
          <w:rFonts w:cs="Times New Roman"/>
          <w:kern w:val="0"/>
          <w14:ligatures w14:val="none"/>
        </w:rPr>
        <w:t>Outdoor environments can also encourage curiosity because children regularly come across things that were not planned. A puddle, insect, fallen branch or change in weather may lead to questions. A child might notice that one leaf is wet while another is dry and ask why. Rather than immediately providing the answer, a practitioner could ask what the child thinks and how they might find out. This encourages children to make predictions and consider evidence from what they can see and do. Bruner’s (1960) ideas about children developing understanding over time can be applied here, as children can revisit similar experiences and gradually build on previous knowledge.</w:t>
      </w:r>
    </w:p>
    <w:p w14:paraId="056A89E3" w14:textId="77777777" w:rsidR="00214F29" w:rsidRPr="00AD62DD" w:rsidRDefault="00214F29" w:rsidP="00214F29">
      <w:pPr>
        <w:spacing w:before="100" w:beforeAutospacing="1" w:after="100" w:afterAutospacing="1" w:line="240" w:lineRule="auto"/>
        <w:rPr>
          <w:rFonts w:cs="Times New Roman"/>
          <w:kern w:val="0"/>
          <w14:ligatures w14:val="none"/>
        </w:rPr>
      </w:pPr>
      <w:r w:rsidRPr="00AD62DD">
        <w:rPr>
          <w:rFonts w:cs="Times New Roman"/>
          <w:kern w:val="0"/>
          <w14:ligatures w14:val="none"/>
        </w:rPr>
        <w:t>There are, however, challenges involved in supporting this type of learning. One challenge is that outdoor play can sometimes be viewed as separate from more formal learning. Maynard and Waters (2014) discuss how pressures around school readiness can encourage practitioners to focus on structured activities. This could result in mathematical or scientific learning taking place through play being overlooked. Practitioners therefore need to recognise that activities such as counting natural objects, comparing sizes, measuring sticks or investigating soil can involve meaningful learning even when there is no worksheet or planned lesson. This is consistent with DfE (2023) guidance, which identifies outdoor exploration and everyday experiences as opportunities for developing children’s knowledge and understanding.</w:t>
      </w:r>
    </w:p>
    <w:p w14:paraId="63387752" w14:textId="77777777" w:rsidR="00214F29" w:rsidRPr="00AD62DD" w:rsidRDefault="00214F29" w:rsidP="00214F29">
      <w:pPr>
        <w:spacing w:before="100" w:beforeAutospacing="1" w:after="100" w:afterAutospacing="1" w:line="240" w:lineRule="auto"/>
        <w:rPr>
          <w:rFonts w:cs="Times New Roman"/>
          <w:kern w:val="0"/>
          <w14:ligatures w14:val="none"/>
        </w:rPr>
      </w:pPr>
      <w:r w:rsidRPr="00AD62DD">
        <w:rPr>
          <w:rFonts w:cs="Times New Roman"/>
          <w:kern w:val="0"/>
          <w14:ligatures w14:val="none"/>
        </w:rPr>
        <w:t>The Curriculum for Wales supports real and meaningful learning experiences, including opportunities for mathematical reasoning and problem-solving (Welsh Government, 2022). The Mathematics and Numeracy Area of Learning and Experience encourages children to develop mathematical reasoning through experiences involving problem-solving and exploration. Similarly, the Science and Technology Area of Learning and Experience provides opportunities for children to explore the world around them and develop scientific enquiry. This is particularly relevant to outdoor learning because mathematical and scientific ideas can be connected to situations children can see, touch and investigate themselves. However, practitioners still need to make purposeful decisions about how these opportunities are used rather than assuming that outdoor activity alone will meet curriculum aims.</w:t>
      </w:r>
    </w:p>
    <w:p w14:paraId="084664ED" w14:textId="77777777" w:rsidR="00214F29" w:rsidRPr="00AD62DD" w:rsidRDefault="00214F29" w:rsidP="00214F29">
      <w:pPr>
        <w:spacing w:before="100" w:beforeAutospacing="1" w:after="100" w:afterAutospacing="1" w:line="240" w:lineRule="auto"/>
        <w:rPr>
          <w:rFonts w:cs="Times New Roman"/>
          <w:kern w:val="0"/>
          <w14:ligatures w14:val="none"/>
        </w:rPr>
      </w:pPr>
      <w:r w:rsidRPr="00AD62DD">
        <w:rPr>
          <w:rFonts w:cs="Times New Roman"/>
          <w:kern w:val="0"/>
          <w14:ligatures w14:val="none"/>
        </w:rPr>
        <w:t xml:space="preserve">Safety is another consideration. Outdoor environments contain natural hazards such as uneven ground, sharp sticks, insects and changing weather. Practitioners have a responsibility to identify risks and put suitable control measures in place. At the same time, removing every possible challenge could restrict children’s independence. Gill (2007) argues that appropriate risk can contribute to children’s development, while Knight (2016) discusses the importance of challenge within outdoor learning. DfE (2023) also recognises the importance of supporting children to understand the physical risks they are able to manage. The aim should therefore be to manage unnecessary hazards while still allowing children to experience an appropriate level of challenge. This means </w:t>
      </w:r>
      <w:r w:rsidRPr="00AD62DD">
        <w:rPr>
          <w:rFonts w:cs="Times New Roman"/>
          <w:kern w:val="0"/>
          <w14:ligatures w14:val="none"/>
        </w:rPr>
        <w:lastRenderedPageBreak/>
        <w:t>risk assessment should support children’s access to outdoor learning rather than prevent them from exploring.</w:t>
      </w:r>
    </w:p>
    <w:p w14:paraId="0F9A8D4D" w14:textId="77777777" w:rsidR="00214F29" w:rsidRPr="00AD62DD" w:rsidRDefault="00214F29" w:rsidP="00214F29">
      <w:pPr>
        <w:spacing w:before="100" w:beforeAutospacing="1" w:after="100" w:afterAutospacing="1" w:line="240" w:lineRule="auto"/>
        <w:rPr>
          <w:rFonts w:cs="Times New Roman"/>
          <w:kern w:val="0"/>
          <w14:ligatures w14:val="none"/>
        </w:rPr>
      </w:pPr>
      <w:r w:rsidRPr="00AD62DD">
        <w:rPr>
          <w:rFonts w:cs="Times New Roman"/>
          <w:kern w:val="0"/>
          <w14:ligatures w14:val="none"/>
        </w:rPr>
        <w:t>Resources can also affect what children are able to investigate. Natural materials are often readily available, but some investigations may benefit from resources such as magnifying glasses, measuring tapes, containers or ramps. Bilton (2010) discusses the practical considerations involved in creating effective outdoor learning environments. Spencer et al. (2019) also identified practical issues such as storage and sustainability as challenges for educators using loose parts. This shows that there can be a difference between the theoretical value of an approach and how easy it is to implement in a real setting. However, expensive equipment is not always necessary. White (2014) highlights the value of natural and open-ended materials, meaning practitioners can often support learning through resources that are already available.</w:t>
      </w:r>
    </w:p>
    <w:p w14:paraId="372B751A" w14:textId="77777777" w:rsidR="00214F29" w:rsidRPr="00AD62DD" w:rsidRDefault="00214F29" w:rsidP="00214F29">
      <w:pPr>
        <w:spacing w:before="100" w:beforeAutospacing="1" w:after="100" w:afterAutospacing="1" w:line="240" w:lineRule="auto"/>
        <w:rPr>
          <w:rFonts w:cs="Times New Roman"/>
          <w:kern w:val="0"/>
          <w14:ligatures w14:val="none"/>
        </w:rPr>
      </w:pPr>
      <w:r w:rsidRPr="00AD62DD">
        <w:rPr>
          <w:rFonts w:cs="Times New Roman"/>
          <w:kern w:val="0"/>
          <w14:ligatures w14:val="none"/>
        </w:rPr>
        <w:t xml:space="preserve">Documentation can create another challenge. Practitioners may want to photograph activities or record children’s comments, but spending too much time documenting can take attention away from the children. Documentation is valuable because it can provide evidence of learning and help practitioners plan future experiences, but it should not become the main focus of the activity. Edwards, </w:t>
      </w:r>
      <w:proofErr w:type="spellStart"/>
      <w:r w:rsidRPr="00AD62DD">
        <w:rPr>
          <w:rFonts w:cs="Times New Roman"/>
          <w:kern w:val="0"/>
          <w14:ligatures w14:val="none"/>
        </w:rPr>
        <w:t>Gandini</w:t>
      </w:r>
      <w:proofErr w:type="spellEnd"/>
      <w:r w:rsidRPr="00AD62DD">
        <w:rPr>
          <w:rFonts w:cs="Times New Roman"/>
          <w:kern w:val="0"/>
          <w14:ligatures w14:val="none"/>
        </w:rPr>
        <w:t xml:space="preserve"> and Forman (2012) identify documentation as an important part of Reggio-inspired practice, while Knight (2016) discusses practical considerations involved in outdoor learning. Practitioners therefore need to balance recording children’s learning with being present and responsive during the experience.</w:t>
      </w:r>
    </w:p>
    <w:p w14:paraId="19382DC8" w14:textId="77777777" w:rsidR="00214F29" w:rsidRPr="00AD62DD" w:rsidRDefault="00214F29" w:rsidP="00214F29">
      <w:pPr>
        <w:spacing w:before="100" w:beforeAutospacing="1" w:after="100" w:afterAutospacing="1" w:line="240" w:lineRule="auto"/>
        <w:rPr>
          <w:rFonts w:cs="Times New Roman"/>
          <w:kern w:val="0"/>
          <w14:ligatures w14:val="none"/>
        </w:rPr>
      </w:pPr>
      <w:r w:rsidRPr="00AD62DD">
        <w:rPr>
          <w:rFonts w:cs="Times New Roman"/>
          <w:kern w:val="0"/>
          <w14:ligatures w14:val="none"/>
        </w:rPr>
        <w:t xml:space="preserve">Overall, adults have an important role in supporting mathematical and scientific learning outdoors, but their role is not to control every experience. Natural materials and the environment can provide the starting point, while practitioners can help children develop their ideas through observation, questioning, language and appropriate resources. Older theories from Nicholson, Piaget, Bruner, Vygotsky, Gibson, Froebel and </w:t>
      </w:r>
      <w:proofErr w:type="spellStart"/>
      <w:r w:rsidRPr="00AD62DD">
        <w:rPr>
          <w:rFonts w:cs="Times New Roman"/>
          <w:kern w:val="0"/>
          <w14:ligatures w14:val="none"/>
        </w:rPr>
        <w:t>Malaguzzi</w:t>
      </w:r>
      <w:proofErr w:type="spellEnd"/>
      <w:r w:rsidRPr="00AD62DD">
        <w:rPr>
          <w:rFonts w:cs="Times New Roman"/>
          <w:kern w:val="0"/>
          <w14:ligatures w14:val="none"/>
        </w:rPr>
        <w:t xml:space="preserve"> provide useful explanations for why children can learn through active exploration. More recent research, including </w:t>
      </w:r>
      <w:proofErr w:type="spellStart"/>
      <w:r w:rsidRPr="00AD62DD">
        <w:rPr>
          <w:rFonts w:cs="Times New Roman"/>
          <w:kern w:val="0"/>
          <w14:ligatures w14:val="none"/>
        </w:rPr>
        <w:t>Cankaya</w:t>
      </w:r>
      <w:proofErr w:type="spellEnd"/>
      <w:r w:rsidRPr="00AD62DD">
        <w:rPr>
          <w:rFonts w:cs="Times New Roman"/>
          <w:kern w:val="0"/>
          <w14:ligatures w14:val="none"/>
        </w:rPr>
        <w:t xml:space="preserve"> et al. (2025), Spencer et al. (2019) and </w:t>
      </w:r>
      <w:proofErr w:type="spellStart"/>
      <w:r w:rsidRPr="00AD62DD">
        <w:rPr>
          <w:rFonts w:cs="Times New Roman"/>
          <w:kern w:val="0"/>
          <w14:ligatures w14:val="none"/>
        </w:rPr>
        <w:t>Ardoin</w:t>
      </w:r>
      <w:proofErr w:type="spellEnd"/>
      <w:r w:rsidRPr="00AD62DD">
        <w:rPr>
          <w:rFonts w:cs="Times New Roman"/>
          <w:kern w:val="0"/>
          <w14:ligatures w14:val="none"/>
        </w:rPr>
        <w:t xml:space="preserve"> and Bowers (2020), provides further evidence while also showing that the benefits of outdoor and loose-parts learning are influenced by the way experiences are provided and supported.</w:t>
      </w:r>
    </w:p>
    <w:p w14:paraId="1B410223" w14:textId="77777777" w:rsidR="00214F29" w:rsidRPr="00AD62DD" w:rsidRDefault="00214F29" w:rsidP="00214F29">
      <w:pPr>
        <w:spacing w:before="100" w:beforeAutospacing="1" w:after="100" w:afterAutospacing="1" w:line="240" w:lineRule="auto"/>
        <w:rPr>
          <w:rFonts w:cs="Times New Roman"/>
          <w:kern w:val="0"/>
          <w14:ligatures w14:val="none"/>
        </w:rPr>
      </w:pPr>
      <w:r w:rsidRPr="00AD62DD">
        <w:rPr>
          <w:rFonts w:cs="Times New Roman"/>
          <w:kern w:val="0"/>
          <w14:ligatures w14:val="none"/>
        </w:rPr>
        <w:t xml:space="preserve">The effectiveness of outdoor learning therefore depends on the balance between child-led exploration and adult support. Loose parts can encourage children to compare, sort, construct and investigate, but adults may need to introduce vocabulary or questions to extend this learning. Open-ended environments can promote independence, but some children may need additional support to make use of the opportunities available. Outdoor learning can also be affected by practical issues such as safety, resources, documentation and pressure for more formal learning. Effective practice therefore requires practitioners to observe carefully, respond to children’s interests and use professional judgement about when to support and when to step back. When this balance is achieved, outdoor environments can provide meaningful opportunities for children to develop mathematical reasoning, scientific enquiry, </w:t>
      </w:r>
      <w:r w:rsidRPr="00AD62DD">
        <w:rPr>
          <w:rFonts w:cs="Times New Roman"/>
          <w:kern w:val="0"/>
          <w14:ligatures w14:val="none"/>
        </w:rPr>
        <w:lastRenderedPageBreak/>
        <w:t>curiosity and problem-solving through experiences connected to the world around them.</w:t>
      </w:r>
    </w:p>
    <w:p w14:paraId="27F4FC28" w14:textId="77777777" w:rsidR="007C7795" w:rsidRDefault="007C7795"/>
    <w:sectPr w:rsidR="007C779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38A73D2" w14:textId="77777777" w:rsidR="00BD621E" w:rsidRDefault="00BD621E" w:rsidP="00EA2575">
      <w:pPr>
        <w:spacing w:after="0" w:line="240" w:lineRule="auto"/>
      </w:pPr>
      <w:r>
        <w:separator/>
      </w:r>
    </w:p>
  </w:endnote>
  <w:endnote w:type="continuationSeparator" w:id="0">
    <w:p w14:paraId="6815AE20" w14:textId="77777777" w:rsidR="00BD621E" w:rsidRDefault="00BD621E" w:rsidP="00EA25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E8207C9" w14:textId="77777777" w:rsidR="00BD621E" w:rsidRDefault="00BD621E" w:rsidP="00EA2575">
      <w:pPr>
        <w:spacing w:after="0" w:line="240" w:lineRule="auto"/>
      </w:pPr>
      <w:r>
        <w:separator/>
      </w:r>
    </w:p>
  </w:footnote>
  <w:footnote w:type="continuationSeparator" w:id="0">
    <w:p w14:paraId="49CA9ED7" w14:textId="77777777" w:rsidR="00BD621E" w:rsidRDefault="00BD621E" w:rsidP="00EA2575">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4CC7"/>
    <w:rsid w:val="00214F29"/>
    <w:rsid w:val="0032138B"/>
    <w:rsid w:val="003D4414"/>
    <w:rsid w:val="007009C7"/>
    <w:rsid w:val="007B438F"/>
    <w:rsid w:val="007C7795"/>
    <w:rsid w:val="008B7FA2"/>
    <w:rsid w:val="00AD62DD"/>
    <w:rsid w:val="00BD621E"/>
    <w:rsid w:val="00E01F8C"/>
    <w:rsid w:val="00E54CC7"/>
    <w:rsid w:val="00EA2575"/>
    <w:rsid w:val="00F407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ACEF993"/>
  <w15:chartTrackingRefBased/>
  <w15:docId w15:val="{32DBC195-DA50-0A43-84ED-0DFE02426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4C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54C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54C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4C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4C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4C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4C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4C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4C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4C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54C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4C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4C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4C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4C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4C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4C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4CC7"/>
    <w:rPr>
      <w:rFonts w:eastAsiaTheme="majorEastAsia" w:cstheme="majorBidi"/>
      <w:color w:val="272727" w:themeColor="text1" w:themeTint="D8"/>
    </w:rPr>
  </w:style>
  <w:style w:type="paragraph" w:styleId="Title">
    <w:name w:val="Title"/>
    <w:basedOn w:val="Normal"/>
    <w:next w:val="Normal"/>
    <w:link w:val="TitleChar"/>
    <w:uiPriority w:val="10"/>
    <w:qFormat/>
    <w:rsid w:val="00E54C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4C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4C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4C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4CC7"/>
    <w:pPr>
      <w:spacing w:before="160"/>
      <w:jc w:val="center"/>
    </w:pPr>
    <w:rPr>
      <w:i/>
      <w:iCs/>
      <w:color w:val="404040" w:themeColor="text1" w:themeTint="BF"/>
    </w:rPr>
  </w:style>
  <w:style w:type="character" w:customStyle="1" w:styleId="QuoteChar">
    <w:name w:val="Quote Char"/>
    <w:basedOn w:val="DefaultParagraphFont"/>
    <w:link w:val="Quote"/>
    <w:uiPriority w:val="29"/>
    <w:rsid w:val="00E54CC7"/>
    <w:rPr>
      <w:i/>
      <w:iCs/>
      <w:color w:val="404040" w:themeColor="text1" w:themeTint="BF"/>
    </w:rPr>
  </w:style>
  <w:style w:type="paragraph" w:styleId="ListParagraph">
    <w:name w:val="List Paragraph"/>
    <w:basedOn w:val="Normal"/>
    <w:uiPriority w:val="34"/>
    <w:qFormat/>
    <w:rsid w:val="00E54CC7"/>
    <w:pPr>
      <w:ind w:left="720"/>
      <w:contextualSpacing/>
    </w:pPr>
  </w:style>
  <w:style w:type="character" w:styleId="IntenseEmphasis">
    <w:name w:val="Intense Emphasis"/>
    <w:basedOn w:val="DefaultParagraphFont"/>
    <w:uiPriority w:val="21"/>
    <w:qFormat/>
    <w:rsid w:val="00E54CC7"/>
    <w:rPr>
      <w:i/>
      <w:iCs/>
      <w:color w:val="0F4761" w:themeColor="accent1" w:themeShade="BF"/>
    </w:rPr>
  </w:style>
  <w:style w:type="paragraph" w:styleId="IntenseQuote">
    <w:name w:val="Intense Quote"/>
    <w:basedOn w:val="Normal"/>
    <w:next w:val="Normal"/>
    <w:link w:val="IntenseQuoteChar"/>
    <w:uiPriority w:val="30"/>
    <w:qFormat/>
    <w:rsid w:val="00E54C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4CC7"/>
    <w:rPr>
      <w:i/>
      <w:iCs/>
      <w:color w:val="0F4761" w:themeColor="accent1" w:themeShade="BF"/>
    </w:rPr>
  </w:style>
  <w:style w:type="character" w:styleId="IntenseReference">
    <w:name w:val="Intense Reference"/>
    <w:basedOn w:val="DefaultParagraphFont"/>
    <w:uiPriority w:val="32"/>
    <w:qFormat/>
    <w:rsid w:val="00E54CC7"/>
    <w:rPr>
      <w:b/>
      <w:bCs/>
      <w:smallCaps/>
      <w:color w:val="0F4761" w:themeColor="accent1" w:themeShade="BF"/>
      <w:spacing w:val="5"/>
    </w:rPr>
  </w:style>
  <w:style w:type="character" w:customStyle="1" w:styleId="s1">
    <w:name w:val="s1"/>
    <w:basedOn w:val="DefaultParagraphFont"/>
    <w:rsid w:val="00E54CC7"/>
  </w:style>
  <w:style w:type="paragraph" w:customStyle="1" w:styleId="p3">
    <w:name w:val="p3"/>
    <w:basedOn w:val="Normal"/>
    <w:rsid w:val="00E54CC7"/>
    <w:pPr>
      <w:spacing w:before="100" w:beforeAutospacing="1" w:after="100" w:afterAutospacing="1" w:line="240" w:lineRule="auto"/>
    </w:pPr>
    <w:rPr>
      <w:rFonts w:ascii="Times New Roman" w:hAnsi="Times New Roman" w:cs="Times New Roman"/>
      <w:kern w:val="0"/>
      <w14:ligatures w14:val="none"/>
    </w:rPr>
  </w:style>
  <w:style w:type="paragraph" w:customStyle="1" w:styleId="p4">
    <w:name w:val="p4"/>
    <w:basedOn w:val="Normal"/>
    <w:rsid w:val="00E54CC7"/>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Normal"/>
    <w:rsid w:val="00E01F8C"/>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EA25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2575"/>
  </w:style>
  <w:style w:type="paragraph" w:styleId="Footer">
    <w:name w:val="footer"/>
    <w:basedOn w:val="Normal"/>
    <w:link w:val="FooterChar"/>
    <w:uiPriority w:val="99"/>
    <w:unhideWhenUsed/>
    <w:rsid w:val="00EA25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25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5285</Words>
  <Characters>30125</Characters>
  <Application>Microsoft Office Word</Application>
  <DocSecurity>0</DocSecurity>
  <Lines>251</Lines>
  <Paragraphs>70</Paragraphs>
  <ScaleCrop>false</ScaleCrop>
  <Company/>
  <LinksUpToDate>false</LinksUpToDate>
  <CharactersWithSpaces>35340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Summer Hendy (2516364)</dc:creator>
  <cp:keywords/>
  <dc:description/>
  <cp:lastModifiedBy>Summer Hendy (2516364)</cp:lastModifiedBy>
  <cp:revision>2</cp:revision>
  <dcterms:created xsi:type="dcterms:W3CDTF">2026-09-25T09:51:00Z</dcterms:created>
  <dcterms:modified xsi:type="dcterms:W3CDTF">2026-09-25T09:51:00Z</dcterms:modified>
</cp:coreProperties>
</file>