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28173AF" w14:textId="3C779683" w:rsidR="004F030B" w:rsidRDefault="004F030B" w:rsidP="004F030B">
      <w:pPr>
        <w:spacing w:after="0" w:line="360" w:lineRule="auto"/>
        <w:jc w:val="center"/>
        <w:rPr>
          <w:rFonts w:ascii="Arial" w:eastAsia="Times New Roman" w:hAnsi="Arial" w:cs="Arial"/>
          <w:b/>
          <w:bCs/>
          <w:kern w:val="0"/>
          <w:sz w:val="32"/>
          <w:szCs w:val="32"/>
          <w:lang w:eastAsia="en-GB"/>
          <w14:ligatures w14:val="none"/>
        </w:rPr>
      </w:pPr>
      <w:r>
        <w:rPr>
          <w:rFonts w:ascii="Arial" w:eastAsia="Times New Roman" w:hAnsi="Arial" w:cs="Arial"/>
          <w:b/>
          <w:noProof/>
          <w:color w:val="000000"/>
          <w:kern w:val="24"/>
          <w:sz w:val="48"/>
          <w:szCs w:val="48"/>
          <w:lang w:eastAsia="en-GB"/>
        </w:rPr>
        <w:drawing>
          <wp:inline distT="0" distB="0" distL="0" distR="0" wp14:anchorId="5FF0C34E" wp14:editId="19BB2B44">
            <wp:extent cx="1028700" cy="1028700"/>
            <wp:effectExtent l="0" t="0" r="0" b="0"/>
            <wp:docPr id="2025955202" name="Picture 3" descr="A black and yellow shield with blue flowers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black and yellow shield with blue flowers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028700" cy="1028700"/>
                    </a:xfrm>
                    <a:prstGeom prst="rect">
                      <a:avLst/>
                    </a:prstGeom>
                    <a:noFill/>
                    <a:ln>
                      <a:noFill/>
                    </a:ln>
                  </pic:spPr>
                </pic:pic>
              </a:graphicData>
            </a:graphic>
          </wp:inline>
        </w:drawing>
      </w:r>
    </w:p>
    <w:p w14:paraId="2B3FCD14" w14:textId="77777777" w:rsidR="004F030B" w:rsidRDefault="004F030B" w:rsidP="004F030B">
      <w:pPr>
        <w:spacing w:after="0" w:line="360" w:lineRule="auto"/>
        <w:jc w:val="center"/>
        <w:rPr>
          <w:rFonts w:ascii="Arial" w:eastAsia="Times New Roman" w:hAnsi="Arial" w:cs="Arial"/>
          <w:b/>
          <w:bCs/>
          <w:kern w:val="0"/>
          <w:sz w:val="32"/>
          <w:szCs w:val="32"/>
          <w:lang w:eastAsia="en-GB"/>
          <w14:ligatures w14:val="none"/>
        </w:rPr>
      </w:pPr>
    </w:p>
    <w:p w14:paraId="49AB3D33" w14:textId="77777777" w:rsidR="004F030B" w:rsidRDefault="004F030B" w:rsidP="004F030B">
      <w:pPr>
        <w:spacing w:after="0" w:line="240" w:lineRule="auto"/>
        <w:jc w:val="center"/>
        <w:rPr>
          <w:rFonts w:ascii="Arial" w:eastAsia="Times New Roman" w:hAnsi="Arial" w:cs="Arial"/>
          <w:b/>
          <w:bCs/>
          <w:color w:val="000000"/>
          <w:kern w:val="24"/>
          <w:sz w:val="48"/>
          <w:szCs w:val="48"/>
          <w:lang w:eastAsia="en-GB"/>
          <w14:ligatures w14:val="none"/>
        </w:rPr>
      </w:pPr>
      <w:r>
        <w:rPr>
          <w:rFonts w:ascii="Arial" w:eastAsia="Times New Roman" w:hAnsi="Arial" w:cs="Arial"/>
          <w:b/>
          <w:bCs/>
          <w:color w:val="000000"/>
          <w:kern w:val="24"/>
          <w:sz w:val="48"/>
          <w:szCs w:val="48"/>
          <w:lang w:eastAsia="en-GB"/>
          <w14:ligatures w14:val="none"/>
        </w:rPr>
        <w:t>University of Wales Trinity Saint David</w:t>
      </w:r>
    </w:p>
    <w:p w14:paraId="4957AB90" w14:textId="77777777" w:rsidR="004F030B" w:rsidRDefault="004F030B" w:rsidP="004F030B">
      <w:pPr>
        <w:spacing w:after="0" w:line="240" w:lineRule="auto"/>
        <w:jc w:val="center"/>
        <w:rPr>
          <w:rFonts w:ascii="Arial" w:eastAsia="Times New Roman" w:hAnsi="Arial" w:cs="Arial"/>
          <w:kern w:val="0"/>
          <w:sz w:val="48"/>
          <w:szCs w:val="48"/>
          <w:lang w:eastAsia="en-GB"/>
          <w14:ligatures w14:val="none"/>
        </w:rPr>
      </w:pPr>
    </w:p>
    <w:p w14:paraId="435D8B94" w14:textId="77777777" w:rsidR="004F030B" w:rsidRDefault="004F030B" w:rsidP="004F030B">
      <w:pPr>
        <w:spacing w:after="0" w:line="360" w:lineRule="auto"/>
        <w:jc w:val="center"/>
        <w:rPr>
          <w:rFonts w:ascii="Arial" w:eastAsia="Times New Roman" w:hAnsi="Arial" w:cs="Arial"/>
          <w:b/>
          <w:bCs/>
          <w:kern w:val="0"/>
          <w:sz w:val="32"/>
          <w:szCs w:val="32"/>
          <w:lang w:eastAsia="en-GB"/>
          <w14:ligatures w14:val="none"/>
        </w:rPr>
      </w:pPr>
    </w:p>
    <w:p w14:paraId="76C0858D" w14:textId="77777777" w:rsidR="004F030B" w:rsidRDefault="004F030B" w:rsidP="004F030B">
      <w:pPr>
        <w:spacing w:after="0" w:line="360" w:lineRule="auto"/>
        <w:jc w:val="center"/>
        <w:rPr>
          <w:rFonts w:ascii="Arial" w:eastAsia="Times New Roman" w:hAnsi="Arial" w:cs="Arial"/>
          <w:kern w:val="0"/>
          <w:sz w:val="32"/>
          <w:szCs w:val="32"/>
          <w:lang w:eastAsia="en-GB"/>
          <w14:ligatures w14:val="none"/>
        </w:rPr>
      </w:pPr>
      <w:r>
        <w:rPr>
          <w:rFonts w:ascii="Arial" w:eastAsia="Times New Roman" w:hAnsi="Arial" w:cs="Arial"/>
          <w:b/>
          <w:bCs/>
          <w:kern w:val="0"/>
          <w:sz w:val="32"/>
          <w:szCs w:val="32"/>
          <w:lang w:eastAsia="en-GB"/>
          <w14:ligatures w14:val="none"/>
        </w:rPr>
        <w:t>Programme:</w:t>
      </w:r>
      <w:r>
        <w:rPr>
          <w:rFonts w:ascii="Arial" w:eastAsia="Times New Roman" w:hAnsi="Arial" w:cs="Arial"/>
          <w:kern w:val="0"/>
          <w:sz w:val="32"/>
          <w:szCs w:val="32"/>
          <w:lang w:eastAsia="en-GB"/>
          <w14:ligatures w14:val="none"/>
        </w:rPr>
        <w:t xml:space="preserve"> BA (Hons) Business Management</w:t>
      </w:r>
    </w:p>
    <w:p w14:paraId="52D07BCA" w14:textId="77777777" w:rsidR="004F030B" w:rsidRDefault="004F030B" w:rsidP="004F030B">
      <w:pPr>
        <w:spacing w:after="0" w:line="360" w:lineRule="auto"/>
        <w:jc w:val="center"/>
        <w:rPr>
          <w:rFonts w:ascii="Arial" w:eastAsia="Times New Roman" w:hAnsi="Arial" w:cs="Arial"/>
          <w:color w:val="000000"/>
          <w:kern w:val="24"/>
          <w:sz w:val="32"/>
          <w:szCs w:val="32"/>
          <w:lang w:eastAsia="en-GB"/>
          <w14:ligatures w14:val="none"/>
        </w:rPr>
      </w:pPr>
    </w:p>
    <w:p w14:paraId="2329E11B" w14:textId="77777777" w:rsidR="004F030B" w:rsidRDefault="004F030B" w:rsidP="004F030B">
      <w:pPr>
        <w:spacing w:before="100" w:beforeAutospacing="1" w:after="100" w:afterAutospacing="1" w:line="360" w:lineRule="auto"/>
        <w:jc w:val="center"/>
        <w:rPr>
          <w:rFonts w:ascii="Arial" w:eastAsia="Times New Roman" w:hAnsi="Arial" w:cs="Arial"/>
          <w:color w:val="000000"/>
          <w:kern w:val="24"/>
          <w:sz w:val="32"/>
          <w:szCs w:val="32"/>
          <w:lang w:eastAsia="en-GB"/>
          <w14:ligatures w14:val="none"/>
        </w:rPr>
      </w:pPr>
      <w:r>
        <w:rPr>
          <w:rFonts w:ascii="Arial" w:eastAsia="Times New Roman" w:hAnsi="Arial" w:cs="Arial"/>
          <w:b/>
          <w:bCs/>
          <w:color w:val="000000"/>
          <w:kern w:val="24"/>
          <w:sz w:val="32"/>
          <w:szCs w:val="32"/>
          <w:lang w:eastAsia="en-GB"/>
          <w14:ligatures w14:val="none"/>
        </w:rPr>
        <w:t>Module:</w:t>
      </w:r>
      <w:r>
        <w:rPr>
          <w:rFonts w:ascii="Arial" w:eastAsia="Times New Roman" w:hAnsi="Arial" w:cs="Arial"/>
          <w:color w:val="000000"/>
          <w:kern w:val="24"/>
          <w:sz w:val="32"/>
          <w:szCs w:val="32"/>
          <w:lang w:eastAsia="en-GB"/>
          <w14:ligatures w14:val="none"/>
        </w:rPr>
        <w:t xml:space="preserve"> Strategic Management &amp; Sustainability </w:t>
      </w:r>
    </w:p>
    <w:p w14:paraId="18AD91CB" w14:textId="77777777" w:rsidR="004F030B" w:rsidRDefault="004F030B" w:rsidP="004F030B">
      <w:pPr>
        <w:spacing w:before="100" w:beforeAutospacing="1" w:after="100" w:afterAutospacing="1" w:line="360" w:lineRule="auto"/>
        <w:jc w:val="center"/>
        <w:rPr>
          <w:rFonts w:ascii="Arial" w:eastAsia="Times New Roman" w:hAnsi="Arial" w:cs="Arial"/>
          <w:color w:val="000000"/>
          <w:kern w:val="24"/>
          <w:sz w:val="32"/>
          <w:szCs w:val="32"/>
          <w:lang w:eastAsia="en-GB"/>
          <w14:ligatures w14:val="none"/>
        </w:rPr>
      </w:pPr>
    </w:p>
    <w:p w14:paraId="55BEC913" w14:textId="77777777" w:rsidR="004F030B" w:rsidRDefault="004F030B" w:rsidP="004F030B">
      <w:pPr>
        <w:spacing w:before="100" w:beforeAutospacing="1" w:after="100" w:afterAutospacing="1" w:line="360" w:lineRule="auto"/>
        <w:jc w:val="center"/>
        <w:rPr>
          <w:rFonts w:ascii="Arial" w:eastAsia="Times New Roman" w:hAnsi="Arial" w:cs="Arial"/>
          <w:color w:val="000000"/>
          <w:kern w:val="24"/>
          <w:sz w:val="32"/>
          <w:szCs w:val="32"/>
          <w:lang w:eastAsia="en-GB"/>
          <w14:ligatures w14:val="none"/>
        </w:rPr>
      </w:pPr>
      <w:r>
        <w:rPr>
          <w:rFonts w:ascii="Arial" w:eastAsia="Times New Roman" w:hAnsi="Arial" w:cs="Arial"/>
          <w:b/>
          <w:bCs/>
          <w:color w:val="000000"/>
          <w:kern w:val="24"/>
          <w:sz w:val="32"/>
          <w:szCs w:val="32"/>
          <w:lang w:eastAsia="en-GB"/>
          <w14:ligatures w14:val="none"/>
        </w:rPr>
        <w:t>Module Code:</w:t>
      </w:r>
      <w:r>
        <w:rPr>
          <w:rFonts w:ascii="Arial" w:eastAsia="Times New Roman" w:hAnsi="Arial" w:cs="Arial"/>
          <w:color w:val="000000"/>
          <w:kern w:val="24"/>
          <w:sz w:val="32"/>
          <w:szCs w:val="32"/>
          <w:lang w:eastAsia="en-GB"/>
          <w14:ligatures w14:val="none"/>
        </w:rPr>
        <w:t xml:space="preserve"> LCBB6015</w:t>
      </w:r>
    </w:p>
    <w:p w14:paraId="4997E5F6" w14:textId="77777777" w:rsidR="004F030B" w:rsidRDefault="004F030B" w:rsidP="004F030B">
      <w:pPr>
        <w:spacing w:before="100" w:beforeAutospacing="1" w:after="100" w:afterAutospacing="1" w:line="360" w:lineRule="auto"/>
        <w:jc w:val="center"/>
        <w:rPr>
          <w:rFonts w:ascii="Arial" w:eastAsia="Times New Roman" w:hAnsi="Arial" w:cs="Arial"/>
          <w:color w:val="000000"/>
          <w:kern w:val="24"/>
          <w:sz w:val="32"/>
          <w:szCs w:val="32"/>
          <w:lang w:eastAsia="en-GB"/>
          <w14:ligatures w14:val="none"/>
        </w:rPr>
      </w:pPr>
    </w:p>
    <w:p w14:paraId="69629B38" w14:textId="40058711" w:rsidR="004F030B" w:rsidRDefault="004F030B" w:rsidP="004F030B">
      <w:pPr>
        <w:spacing w:before="100" w:beforeAutospacing="1" w:after="100" w:afterAutospacing="1" w:line="360" w:lineRule="auto"/>
        <w:jc w:val="center"/>
        <w:rPr>
          <w:rFonts w:ascii="Arial" w:eastAsia="Times New Roman" w:hAnsi="Arial" w:cs="Arial"/>
          <w:color w:val="000000"/>
          <w:kern w:val="24"/>
          <w:sz w:val="32"/>
          <w:szCs w:val="32"/>
          <w:lang w:eastAsia="en-GB"/>
          <w14:ligatures w14:val="none"/>
        </w:rPr>
      </w:pPr>
      <w:r>
        <w:rPr>
          <w:rFonts w:ascii="Arial" w:eastAsia="Times New Roman" w:hAnsi="Arial" w:cs="Arial"/>
          <w:b/>
          <w:bCs/>
          <w:color w:val="000000"/>
          <w:kern w:val="24"/>
          <w:sz w:val="32"/>
          <w:szCs w:val="32"/>
          <w:lang w:eastAsia="en-GB"/>
          <w14:ligatures w14:val="none"/>
        </w:rPr>
        <w:t>Assignment Title:</w:t>
      </w:r>
      <w:r>
        <w:rPr>
          <w:rFonts w:ascii="Arial" w:eastAsia="Times New Roman" w:hAnsi="Arial" w:cs="Arial"/>
          <w:color w:val="000000"/>
          <w:kern w:val="24"/>
          <w:sz w:val="32"/>
          <w:szCs w:val="32"/>
          <w:lang w:eastAsia="en-GB"/>
          <w14:ligatures w14:val="none"/>
        </w:rPr>
        <w:t xml:space="preserve"> Assessment 2: Written Report </w:t>
      </w:r>
    </w:p>
    <w:p w14:paraId="20B5DDE6" w14:textId="5B053584" w:rsidR="00C26662" w:rsidRDefault="00C26662" w:rsidP="004F030B">
      <w:pPr>
        <w:spacing w:before="100" w:beforeAutospacing="1" w:after="100" w:afterAutospacing="1" w:line="360" w:lineRule="auto"/>
        <w:jc w:val="center"/>
        <w:rPr>
          <w:rFonts w:ascii="Arial" w:eastAsia="Times New Roman" w:hAnsi="Arial" w:cs="Arial"/>
          <w:color w:val="000000"/>
          <w:kern w:val="24"/>
          <w:sz w:val="32"/>
          <w:szCs w:val="32"/>
          <w:lang w:eastAsia="en-GB"/>
          <w14:ligatures w14:val="none"/>
        </w:rPr>
      </w:pPr>
      <w:r>
        <w:rPr>
          <w:rFonts w:ascii="Arial" w:eastAsia="Times New Roman" w:hAnsi="Arial" w:cs="Arial"/>
          <w:color w:val="000000"/>
          <w:kern w:val="24"/>
          <w:sz w:val="32"/>
          <w:szCs w:val="32"/>
          <w:lang w:eastAsia="en-GB"/>
          <w14:ligatures w14:val="none"/>
        </w:rPr>
        <w:t>Strategy Plan for Toyota Motor</w:t>
      </w:r>
    </w:p>
    <w:p w14:paraId="06E99833" w14:textId="77777777" w:rsidR="004F030B" w:rsidRDefault="004F030B" w:rsidP="004F030B">
      <w:pPr>
        <w:spacing w:before="100" w:beforeAutospacing="1" w:after="100" w:afterAutospacing="1" w:line="360" w:lineRule="auto"/>
        <w:rPr>
          <w:rFonts w:ascii="Arial" w:eastAsia="Times New Roman" w:hAnsi="Arial" w:cs="Arial"/>
          <w:color w:val="000000"/>
          <w:kern w:val="24"/>
          <w:sz w:val="32"/>
          <w:szCs w:val="32"/>
          <w:lang w:eastAsia="en-GB"/>
          <w14:ligatures w14:val="none"/>
        </w:rPr>
      </w:pPr>
    </w:p>
    <w:p w14:paraId="4A80A2BC" w14:textId="77777777" w:rsidR="004F030B" w:rsidRDefault="004F030B" w:rsidP="004F030B">
      <w:pPr>
        <w:spacing w:after="0" w:line="360" w:lineRule="auto"/>
        <w:jc w:val="center"/>
        <w:rPr>
          <w:rFonts w:ascii="Arial" w:eastAsia="Times New Roman" w:hAnsi="Arial" w:cs="Arial"/>
          <w:kern w:val="0"/>
          <w:sz w:val="32"/>
          <w:szCs w:val="32"/>
          <w:lang w:eastAsia="en-GB"/>
          <w14:ligatures w14:val="none"/>
        </w:rPr>
      </w:pPr>
      <w:r>
        <w:rPr>
          <w:rFonts w:ascii="Arial" w:eastAsia="Times New Roman" w:hAnsi="Arial" w:cs="Arial"/>
          <w:b/>
          <w:bCs/>
          <w:color w:val="000000"/>
          <w:kern w:val="24"/>
          <w:sz w:val="32"/>
          <w:szCs w:val="32"/>
          <w:lang w:eastAsia="en-GB"/>
          <w14:ligatures w14:val="none"/>
        </w:rPr>
        <w:t>Student Name:</w:t>
      </w:r>
      <w:r>
        <w:rPr>
          <w:rFonts w:ascii="Arial" w:eastAsia="Times New Roman" w:hAnsi="Arial" w:cs="Arial"/>
          <w:color w:val="000000"/>
          <w:kern w:val="24"/>
          <w:sz w:val="32"/>
          <w:szCs w:val="32"/>
          <w:lang w:eastAsia="en-GB"/>
          <w14:ligatures w14:val="none"/>
        </w:rPr>
        <w:t xml:space="preserve"> Alisa-Ioana Mercar</w:t>
      </w:r>
    </w:p>
    <w:p w14:paraId="43EFE7B4" w14:textId="77777777" w:rsidR="004F030B" w:rsidRDefault="004F030B" w:rsidP="004F030B">
      <w:pPr>
        <w:spacing w:after="0" w:line="360" w:lineRule="auto"/>
        <w:jc w:val="center"/>
        <w:rPr>
          <w:rFonts w:ascii="Arial" w:eastAsia="Times New Roman" w:hAnsi="Arial" w:cs="Arial"/>
          <w:b/>
          <w:bCs/>
          <w:color w:val="000000"/>
          <w:kern w:val="24"/>
          <w:sz w:val="32"/>
          <w:szCs w:val="32"/>
          <w:lang w:eastAsia="en-GB"/>
          <w14:ligatures w14:val="none"/>
        </w:rPr>
      </w:pPr>
      <w:r>
        <w:rPr>
          <w:rFonts w:ascii="Arial" w:eastAsia="Times New Roman" w:hAnsi="Arial" w:cs="Arial"/>
          <w:b/>
          <w:bCs/>
          <w:color w:val="000000"/>
          <w:kern w:val="24"/>
          <w:sz w:val="32"/>
          <w:szCs w:val="32"/>
          <w:lang w:eastAsia="en-GB"/>
          <w14:ligatures w14:val="none"/>
        </w:rPr>
        <w:t>Student ID:</w:t>
      </w:r>
      <w:r>
        <w:rPr>
          <w:rFonts w:ascii="Arial" w:eastAsia="Times New Roman" w:hAnsi="Arial" w:cs="Arial"/>
          <w:color w:val="000000"/>
          <w:kern w:val="24"/>
          <w:sz w:val="32"/>
          <w:szCs w:val="32"/>
          <w:lang w:eastAsia="en-GB"/>
          <w14:ligatures w14:val="none"/>
        </w:rPr>
        <w:t xml:space="preserve"> 2232340</w:t>
      </w:r>
    </w:p>
    <w:p w14:paraId="6598C353" w14:textId="77777777" w:rsidR="004F030B" w:rsidRDefault="004F030B" w:rsidP="004F030B">
      <w:pPr>
        <w:spacing w:after="0" w:line="360" w:lineRule="auto"/>
        <w:jc w:val="center"/>
        <w:rPr>
          <w:rFonts w:ascii="Arial" w:eastAsia="Times New Roman" w:hAnsi="Arial" w:cs="Arial"/>
          <w:kern w:val="0"/>
          <w:sz w:val="32"/>
          <w:szCs w:val="32"/>
          <w:lang w:eastAsia="en-GB"/>
          <w14:ligatures w14:val="none"/>
        </w:rPr>
      </w:pPr>
    </w:p>
    <w:p w14:paraId="308A2650" w14:textId="77777777" w:rsidR="004F030B" w:rsidRDefault="004F030B" w:rsidP="004F030B">
      <w:pPr>
        <w:spacing w:after="0" w:line="360" w:lineRule="auto"/>
        <w:jc w:val="center"/>
        <w:rPr>
          <w:rFonts w:ascii="Arial" w:eastAsia="Times New Roman" w:hAnsi="Arial" w:cs="Arial"/>
          <w:color w:val="000000"/>
          <w:kern w:val="24"/>
          <w:sz w:val="32"/>
          <w:szCs w:val="32"/>
          <w:lang w:eastAsia="en-GB"/>
          <w14:ligatures w14:val="none"/>
        </w:rPr>
      </w:pPr>
      <w:r>
        <w:rPr>
          <w:rFonts w:ascii="Arial" w:eastAsia="Times New Roman" w:hAnsi="Arial" w:cs="Arial"/>
          <w:b/>
          <w:bCs/>
          <w:color w:val="000000"/>
          <w:kern w:val="24"/>
          <w:sz w:val="32"/>
          <w:szCs w:val="32"/>
          <w:lang w:eastAsia="en-GB"/>
          <w14:ligatures w14:val="none"/>
        </w:rPr>
        <w:t>Lecturer:</w:t>
      </w:r>
      <w:r>
        <w:rPr>
          <w:rFonts w:ascii="Arial" w:eastAsia="Times New Roman" w:hAnsi="Arial" w:cs="Arial"/>
          <w:color w:val="000000"/>
          <w:kern w:val="24"/>
          <w:sz w:val="32"/>
          <w:szCs w:val="32"/>
          <w:lang w:eastAsia="en-GB"/>
          <w14:ligatures w14:val="none"/>
        </w:rPr>
        <w:t xml:space="preserve"> Nadeem Mirza</w:t>
      </w:r>
    </w:p>
    <w:p w14:paraId="25503E2B" w14:textId="77777777" w:rsidR="00917E13" w:rsidRDefault="00917E13"/>
    <w:p w14:paraId="27680AFC" w14:textId="77777777" w:rsidR="004F030B" w:rsidRDefault="004F030B"/>
    <w:sdt>
      <w:sdtPr>
        <w:rPr>
          <w:rFonts w:asciiTheme="minorHAnsi" w:eastAsiaTheme="minorHAnsi" w:hAnsiTheme="minorHAnsi" w:cstheme="minorBidi"/>
          <w:color w:val="auto"/>
          <w:kern w:val="2"/>
          <w:sz w:val="24"/>
          <w:szCs w:val="24"/>
          <w:lang w:val="en-GB"/>
          <w14:ligatures w14:val="standardContextual"/>
        </w:rPr>
        <w:id w:val="1443264679"/>
        <w:docPartObj>
          <w:docPartGallery w:val="Table of Contents"/>
          <w:docPartUnique/>
        </w:docPartObj>
      </w:sdtPr>
      <w:sdtEndPr>
        <w:rPr>
          <w:b/>
          <w:bCs/>
          <w:noProof/>
        </w:rPr>
      </w:sdtEndPr>
      <w:sdtContent>
        <w:p w14:paraId="1EC79110" w14:textId="7A65B5FB" w:rsidR="004F030B" w:rsidRDefault="004F030B">
          <w:pPr>
            <w:pStyle w:val="TOCHeading"/>
          </w:pPr>
          <w:r>
            <w:t>Contents</w:t>
          </w:r>
        </w:p>
        <w:p w14:paraId="496C88E8" w14:textId="18265AED" w:rsidR="00832BD2" w:rsidRDefault="004F030B">
          <w:pPr>
            <w:pStyle w:val="TOC1"/>
            <w:tabs>
              <w:tab w:val="right" w:leader="dot" w:pos="9016"/>
            </w:tabs>
            <w:rPr>
              <w:noProof/>
            </w:rPr>
          </w:pPr>
          <w:r>
            <w:fldChar w:fldCharType="begin"/>
          </w:r>
          <w:r>
            <w:instrText xml:space="preserve"> TOC \o "1-3" \h \z \u </w:instrText>
          </w:r>
          <w:r>
            <w:fldChar w:fldCharType="separate"/>
          </w:r>
          <w:hyperlink w:anchor="_Toc237464662" w:history="1">
            <w:r w:rsidR="00832BD2" w:rsidRPr="0002134C">
              <w:rPr>
                <w:rStyle w:val="Hyperlink"/>
                <w:rFonts w:ascii="Times New Roman" w:hAnsi="Times New Roman" w:cs="Times New Roman"/>
                <w:noProof/>
              </w:rPr>
              <w:t>Executive Summary</w:t>
            </w:r>
            <w:r w:rsidR="00832BD2">
              <w:rPr>
                <w:noProof/>
                <w:webHidden/>
              </w:rPr>
              <w:tab/>
            </w:r>
            <w:r w:rsidR="00832BD2">
              <w:rPr>
                <w:noProof/>
                <w:webHidden/>
              </w:rPr>
              <w:fldChar w:fldCharType="begin"/>
            </w:r>
            <w:r w:rsidR="00832BD2">
              <w:rPr>
                <w:noProof/>
                <w:webHidden/>
              </w:rPr>
              <w:instrText xml:space="preserve"> PAGEREF _Toc237464662 \h </w:instrText>
            </w:r>
            <w:r w:rsidR="00832BD2">
              <w:rPr>
                <w:noProof/>
                <w:webHidden/>
              </w:rPr>
            </w:r>
            <w:r w:rsidR="00832BD2">
              <w:rPr>
                <w:noProof/>
                <w:webHidden/>
              </w:rPr>
              <w:fldChar w:fldCharType="separate"/>
            </w:r>
            <w:r w:rsidR="00832BD2">
              <w:rPr>
                <w:noProof/>
                <w:webHidden/>
              </w:rPr>
              <w:t>3</w:t>
            </w:r>
            <w:r w:rsidR="00832BD2">
              <w:rPr>
                <w:noProof/>
                <w:webHidden/>
              </w:rPr>
              <w:fldChar w:fldCharType="end"/>
            </w:r>
          </w:hyperlink>
        </w:p>
        <w:p w14:paraId="63CD1494" w14:textId="109BDB5D" w:rsidR="00832BD2" w:rsidRDefault="00832BD2">
          <w:pPr>
            <w:pStyle w:val="TOC1"/>
            <w:tabs>
              <w:tab w:val="right" w:leader="dot" w:pos="9016"/>
            </w:tabs>
            <w:rPr>
              <w:noProof/>
            </w:rPr>
          </w:pPr>
          <w:hyperlink w:anchor="_Toc237464663" w:history="1">
            <w:r w:rsidRPr="0002134C">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_Toc237464663 \h </w:instrText>
            </w:r>
            <w:r>
              <w:rPr>
                <w:noProof/>
                <w:webHidden/>
              </w:rPr>
            </w:r>
            <w:r>
              <w:rPr>
                <w:noProof/>
                <w:webHidden/>
              </w:rPr>
              <w:fldChar w:fldCharType="separate"/>
            </w:r>
            <w:r>
              <w:rPr>
                <w:noProof/>
                <w:webHidden/>
              </w:rPr>
              <w:t>4</w:t>
            </w:r>
            <w:r>
              <w:rPr>
                <w:noProof/>
                <w:webHidden/>
              </w:rPr>
              <w:fldChar w:fldCharType="end"/>
            </w:r>
          </w:hyperlink>
        </w:p>
        <w:p w14:paraId="4D9B6BF9" w14:textId="667A37BA" w:rsidR="00832BD2" w:rsidRDefault="00832BD2">
          <w:pPr>
            <w:pStyle w:val="TOC1"/>
            <w:tabs>
              <w:tab w:val="right" w:leader="dot" w:pos="9016"/>
            </w:tabs>
            <w:rPr>
              <w:noProof/>
            </w:rPr>
          </w:pPr>
          <w:hyperlink w:anchor="_Toc237464664" w:history="1">
            <w:r w:rsidRPr="0002134C">
              <w:rPr>
                <w:rStyle w:val="Hyperlink"/>
                <w:rFonts w:ascii="Times New Roman" w:hAnsi="Times New Roman" w:cs="Times New Roman"/>
                <w:noProof/>
              </w:rPr>
              <w:t>Overview and Background of Toyota Motor Corporation</w:t>
            </w:r>
            <w:r>
              <w:rPr>
                <w:noProof/>
                <w:webHidden/>
              </w:rPr>
              <w:tab/>
            </w:r>
            <w:r>
              <w:rPr>
                <w:noProof/>
                <w:webHidden/>
              </w:rPr>
              <w:fldChar w:fldCharType="begin"/>
            </w:r>
            <w:r>
              <w:rPr>
                <w:noProof/>
                <w:webHidden/>
              </w:rPr>
              <w:instrText xml:space="preserve"> PAGEREF _Toc237464664 \h </w:instrText>
            </w:r>
            <w:r>
              <w:rPr>
                <w:noProof/>
                <w:webHidden/>
              </w:rPr>
            </w:r>
            <w:r>
              <w:rPr>
                <w:noProof/>
                <w:webHidden/>
              </w:rPr>
              <w:fldChar w:fldCharType="separate"/>
            </w:r>
            <w:r>
              <w:rPr>
                <w:noProof/>
                <w:webHidden/>
              </w:rPr>
              <w:t>4</w:t>
            </w:r>
            <w:r>
              <w:rPr>
                <w:noProof/>
                <w:webHidden/>
              </w:rPr>
              <w:fldChar w:fldCharType="end"/>
            </w:r>
          </w:hyperlink>
        </w:p>
        <w:p w14:paraId="5E8A131C" w14:textId="41FBA321" w:rsidR="00832BD2" w:rsidRDefault="00832BD2">
          <w:pPr>
            <w:pStyle w:val="TOC1"/>
            <w:tabs>
              <w:tab w:val="right" w:leader="dot" w:pos="9016"/>
            </w:tabs>
            <w:rPr>
              <w:noProof/>
            </w:rPr>
          </w:pPr>
          <w:hyperlink w:anchor="_Toc237464665" w:history="1">
            <w:r w:rsidRPr="0002134C">
              <w:rPr>
                <w:rStyle w:val="Hyperlink"/>
                <w:rFonts w:ascii="Times New Roman" w:hAnsi="Times New Roman" w:cs="Times New Roman"/>
                <w:noProof/>
              </w:rPr>
              <w:t>Strategic Intent</w:t>
            </w:r>
            <w:r>
              <w:rPr>
                <w:noProof/>
                <w:webHidden/>
              </w:rPr>
              <w:tab/>
            </w:r>
            <w:r>
              <w:rPr>
                <w:noProof/>
                <w:webHidden/>
              </w:rPr>
              <w:fldChar w:fldCharType="begin"/>
            </w:r>
            <w:r>
              <w:rPr>
                <w:noProof/>
                <w:webHidden/>
              </w:rPr>
              <w:instrText xml:space="preserve"> PAGEREF _Toc237464665 \h </w:instrText>
            </w:r>
            <w:r>
              <w:rPr>
                <w:noProof/>
                <w:webHidden/>
              </w:rPr>
            </w:r>
            <w:r>
              <w:rPr>
                <w:noProof/>
                <w:webHidden/>
              </w:rPr>
              <w:fldChar w:fldCharType="separate"/>
            </w:r>
            <w:r>
              <w:rPr>
                <w:noProof/>
                <w:webHidden/>
              </w:rPr>
              <w:t>5</w:t>
            </w:r>
            <w:r>
              <w:rPr>
                <w:noProof/>
                <w:webHidden/>
              </w:rPr>
              <w:fldChar w:fldCharType="end"/>
            </w:r>
          </w:hyperlink>
        </w:p>
        <w:p w14:paraId="720C0956" w14:textId="48E5C2B8" w:rsidR="00832BD2" w:rsidRDefault="00832BD2">
          <w:pPr>
            <w:pStyle w:val="TOC1"/>
            <w:tabs>
              <w:tab w:val="right" w:leader="dot" w:pos="9016"/>
            </w:tabs>
            <w:rPr>
              <w:noProof/>
            </w:rPr>
          </w:pPr>
          <w:hyperlink w:anchor="_Toc237464666" w:history="1">
            <w:r w:rsidRPr="0002134C">
              <w:rPr>
                <w:rStyle w:val="Hyperlink"/>
                <w:rFonts w:ascii="Times New Roman" w:hAnsi="Times New Roman" w:cs="Times New Roman"/>
                <w:noProof/>
              </w:rPr>
              <w:t>The Company’s Current Performance</w:t>
            </w:r>
            <w:r>
              <w:rPr>
                <w:noProof/>
                <w:webHidden/>
              </w:rPr>
              <w:tab/>
            </w:r>
            <w:r>
              <w:rPr>
                <w:noProof/>
                <w:webHidden/>
              </w:rPr>
              <w:fldChar w:fldCharType="begin"/>
            </w:r>
            <w:r>
              <w:rPr>
                <w:noProof/>
                <w:webHidden/>
              </w:rPr>
              <w:instrText xml:space="preserve"> PAGEREF _Toc237464666 \h </w:instrText>
            </w:r>
            <w:r>
              <w:rPr>
                <w:noProof/>
                <w:webHidden/>
              </w:rPr>
            </w:r>
            <w:r>
              <w:rPr>
                <w:noProof/>
                <w:webHidden/>
              </w:rPr>
              <w:fldChar w:fldCharType="separate"/>
            </w:r>
            <w:r>
              <w:rPr>
                <w:noProof/>
                <w:webHidden/>
              </w:rPr>
              <w:t>6</w:t>
            </w:r>
            <w:r>
              <w:rPr>
                <w:noProof/>
                <w:webHidden/>
              </w:rPr>
              <w:fldChar w:fldCharType="end"/>
            </w:r>
          </w:hyperlink>
        </w:p>
        <w:p w14:paraId="52CF2539" w14:textId="15BC7F62" w:rsidR="00832BD2" w:rsidRDefault="00832BD2">
          <w:pPr>
            <w:pStyle w:val="TOC1"/>
            <w:tabs>
              <w:tab w:val="right" w:leader="dot" w:pos="9016"/>
            </w:tabs>
            <w:rPr>
              <w:noProof/>
            </w:rPr>
          </w:pPr>
          <w:hyperlink w:anchor="_Toc237464667" w:history="1">
            <w:r w:rsidRPr="0002134C">
              <w:rPr>
                <w:rStyle w:val="Hyperlink"/>
                <w:rFonts w:ascii="Times New Roman" w:hAnsi="Times New Roman" w:cs="Times New Roman"/>
                <w:noProof/>
              </w:rPr>
              <w:t>Strategy Analysis</w:t>
            </w:r>
            <w:r>
              <w:rPr>
                <w:noProof/>
                <w:webHidden/>
              </w:rPr>
              <w:tab/>
            </w:r>
            <w:r>
              <w:rPr>
                <w:noProof/>
                <w:webHidden/>
              </w:rPr>
              <w:fldChar w:fldCharType="begin"/>
            </w:r>
            <w:r>
              <w:rPr>
                <w:noProof/>
                <w:webHidden/>
              </w:rPr>
              <w:instrText xml:space="preserve"> PAGEREF _Toc237464667 \h </w:instrText>
            </w:r>
            <w:r>
              <w:rPr>
                <w:noProof/>
                <w:webHidden/>
              </w:rPr>
            </w:r>
            <w:r>
              <w:rPr>
                <w:noProof/>
                <w:webHidden/>
              </w:rPr>
              <w:fldChar w:fldCharType="separate"/>
            </w:r>
            <w:r>
              <w:rPr>
                <w:noProof/>
                <w:webHidden/>
              </w:rPr>
              <w:t>6</w:t>
            </w:r>
            <w:r>
              <w:rPr>
                <w:noProof/>
                <w:webHidden/>
              </w:rPr>
              <w:fldChar w:fldCharType="end"/>
            </w:r>
          </w:hyperlink>
        </w:p>
        <w:p w14:paraId="6FD3D4A5" w14:textId="035D1D93" w:rsidR="00832BD2" w:rsidRDefault="00832BD2">
          <w:pPr>
            <w:pStyle w:val="TOC2"/>
            <w:tabs>
              <w:tab w:val="right" w:leader="dot" w:pos="9016"/>
            </w:tabs>
            <w:rPr>
              <w:noProof/>
            </w:rPr>
          </w:pPr>
          <w:hyperlink w:anchor="_Toc237464668" w:history="1">
            <w:r w:rsidRPr="0002134C">
              <w:rPr>
                <w:rStyle w:val="Hyperlink"/>
                <w:rFonts w:ascii="Times New Roman" w:hAnsi="Times New Roman" w:cs="Times New Roman"/>
                <w:noProof/>
              </w:rPr>
              <w:t>External Environmental Audit</w:t>
            </w:r>
            <w:r>
              <w:rPr>
                <w:noProof/>
                <w:webHidden/>
              </w:rPr>
              <w:tab/>
            </w:r>
            <w:r>
              <w:rPr>
                <w:noProof/>
                <w:webHidden/>
              </w:rPr>
              <w:fldChar w:fldCharType="begin"/>
            </w:r>
            <w:r>
              <w:rPr>
                <w:noProof/>
                <w:webHidden/>
              </w:rPr>
              <w:instrText xml:space="preserve"> PAGEREF _Toc237464668 \h </w:instrText>
            </w:r>
            <w:r>
              <w:rPr>
                <w:noProof/>
                <w:webHidden/>
              </w:rPr>
            </w:r>
            <w:r>
              <w:rPr>
                <w:noProof/>
                <w:webHidden/>
              </w:rPr>
              <w:fldChar w:fldCharType="separate"/>
            </w:r>
            <w:r>
              <w:rPr>
                <w:noProof/>
                <w:webHidden/>
              </w:rPr>
              <w:t>6</w:t>
            </w:r>
            <w:r>
              <w:rPr>
                <w:noProof/>
                <w:webHidden/>
              </w:rPr>
              <w:fldChar w:fldCharType="end"/>
            </w:r>
          </w:hyperlink>
        </w:p>
        <w:p w14:paraId="2C91AF16" w14:textId="257F4E4E" w:rsidR="00832BD2" w:rsidRDefault="00832BD2">
          <w:pPr>
            <w:pStyle w:val="TOC2"/>
            <w:tabs>
              <w:tab w:val="right" w:leader="dot" w:pos="9016"/>
            </w:tabs>
            <w:rPr>
              <w:noProof/>
            </w:rPr>
          </w:pPr>
          <w:hyperlink w:anchor="_Toc237464669" w:history="1">
            <w:r w:rsidRPr="0002134C">
              <w:rPr>
                <w:rStyle w:val="Hyperlink"/>
                <w:rFonts w:ascii="Times New Roman" w:hAnsi="Times New Roman" w:cs="Times New Roman"/>
                <w:noProof/>
              </w:rPr>
              <w:t>Internal Environmental Audit</w:t>
            </w:r>
            <w:r>
              <w:rPr>
                <w:noProof/>
                <w:webHidden/>
              </w:rPr>
              <w:tab/>
            </w:r>
            <w:r>
              <w:rPr>
                <w:noProof/>
                <w:webHidden/>
              </w:rPr>
              <w:fldChar w:fldCharType="begin"/>
            </w:r>
            <w:r>
              <w:rPr>
                <w:noProof/>
                <w:webHidden/>
              </w:rPr>
              <w:instrText xml:space="preserve"> PAGEREF _Toc237464669 \h </w:instrText>
            </w:r>
            <w:r>
              <w:rPr>
                <w:noProof/>
                <w:webHidden/>
              </w:rPr>
            </w:r>
            <w:r>
              <w:rPr>
                <w:noProof/>
                <w:webHidden/>
              </w:rPr>
              <w:fldChar w:fldCharType="separate"/>
            </w:r>
            <w:r>
              <w:rPr>
                <w:noProof/>
                <w:webHidden/>
              </w:rPr>
              <w:t>7</w:t>
            </w:r>
            <w:r>
              <w:rPr>
                <w:noProof/>
                <w:webHidden/>
              </w:rPr>
              <w:fldChar w:fldCharType="end"/>
            </w:r>
          </w:hyperlink>
        </w:p>
        <w:p w14:paraId="6BF69D41" w14:textId="36B93362" w:rsidR="00832BD2" w:rsidRDefault="00832BD2">
          <w:pPr>
            <w:pStyle w:val="TOC1"/>
            <w:tabs>
              <w:tab w:val="right" w:leader="dot" w:pos="9016"/>
            </w:tabs>
            <w:rPr>
              <w:noProof/>
            </w:rPr>
          </w:pPr>
          <w:hyperlink w:anchor="_Toc237464670" w:history="1">
            <w:r w:rsidRPr="0002134C">
              <w:rPr>
                <w:rStyle w:val="Hyperlink"/>
                <w:rFonts w:ascii="Times New Roman" w:hAnsi="Times New Roman" w:cs="Times New Roman"/>
                <w:noProof/>
              </w:rPr>
              <w:t>Strategy Formulation</w:t>
            </w:r>
            <w:r>
              <w:rPr>
                <w:noProof/>
                <w:webHidden/>
              </w:rPr>
              <w:tab/>
            </w:r>
            <w:r>
              <w:rPr>
                <w:noProof/>
                <w:webHidden/>
              </w:rPr>
              <w:fldChar w:fldCharType="begin"/>
            </w:r>
            <w:r>
              <w:rPr>
                <w:noProof/>
                <w:webHidden/>
              </w:rPr>
              <w:instrText xml:space="preserve"> PAGEREF _Toc237464670 \h </w:instrText>
            </w:r>
            <w:r>
              <w:rPr>
                <w:noProof/>
                <w:webHidden/>
              </w:rPr>
            </w:r>
            <w:r>
              <w:rPr>
                <w:noProof/>
                <w:webHidden/>
              </w:rPr>
              <w:fldChar w:fldCharType="separate"/>
            </w:r>
            <w:r>
              <w:rPr>
                <w:noProof/>
                <w:webHidden/>
              </w:rPr>
              <w:t>8</w:t>
            </w:r>
            <w:r>
              <w:rPr>
                <w:noProof/>
                <w:webHidden/>
              </w:rPr>
              <w:fldChar w:fldCharType="end"/>
            </w:r>
          </w:hyperlink>
        </w:p>
        <w:p w14:paraId="6EFBC4A4" w14:textId="48429F35" w:rsidR="00832BD2" w:rsidRDefault="00832BD2">
          <w:pPr>
            <w:pStyle w:val="TOC1"/>
            <w:tabs>
              <w:tab w:val="right" w:leader="dot" w:pos="9016"/>
            </w:tabs>
            <w:rPr>
              <w:noProof/>
            </w:rPr>
          </w:pPr>
          <w:hyperlink w:anchor="_Toc237464671" w:history="1">
            <w:r w:rsidRPr="0002134C">
              <w:rPr>
                <w:rStyle w:val="Hyperlink"/>
                <w:rFonts w:ascii="Times New Roman" w:hAnsi="Times New Roman" w:cs="Times New Roman"/>
                <w:noProof/>
              </w:rPr>
              <w:t>Conclusion and Recommendations</w:t>
            </w:r>
            <w:r>
              <w:rPr>
                <w:noProof/>
                <w:webHidden/>
              </w:rPr>
              <w:tab/>
            </w:r>
            <w:r>
              <w:rPr>
                <w:noProof/>
                <w:webHidden/>
              </w:rPr>
              <w:fldChar w:fldCharType="begin"/>
            </w:r>
            <w:r>
              <w:rPr>
                <w:noProof/>
                <w:webHidden/>
              </w:rPr>
              <w:instrText xml:space="preserve"> PAGEREF _Toc237464671 \h </w:instrText>
            </w:r>
            <w:r>
              <w:rPr>
                <w:noProof/>
                <w:webHidden/>
              </w:rPr>
            </w:r>
            <w:r>
              <w:rPr>
                <w:noProof/>
                <w:webHidden/>
              </w:rPr>
              <w:fldChar w:fldCharType="separate"/>
            </w:r>
            <w:r>
              <w:rPr>
                <w:noProof/>
                <w:webHidden/>
              </w:rPr>
              <w:t>9</w:t>
            </w:r>
            <w:r>
              <w:rPr>
                <w:noProof/>
                <w:webHidden/>
              </w:rPr>
              <w:fldChar w:fldCharType="end"/>
            </w:r>
          </w:hyperlink>
        </w:p>
        <w:p w14:paraId="4BB3B57F" w14:textId="14947ED7" w:rsidR="00832BD2" w:rsidRDefault="00832BD2">
          <w:pPr>
            <w:pStyle w:val="TOC1"/>
            <w:tabs>
              <w:tab w:val="right" w:leader="dot" w:pos="9016"/>
            </w:tabs>
            <w:rPr>
              <w:noProof/>
            </w:rPr>
          </w:pPr>
          <w:hyperlink w:anchor="_Toc237464672" w:history="1">
            <w:r w:rsidRPr="0002134C">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_Toc237464672 \h </w:instrText>
            </w:r>
            <w:r>
              <w:rPr>
                <w:noProof/>
                <w:webHidden/>
              </w:rPr>
            </w:r>
            <w:r>
              <w:rPr>
                <w:noProof/>
                <w:webHidden/>
              </w:rPr>
              <w:fldChar w:fldCharType="separate"/>
            </w:r>
            <w:r>
              <w:rPr>
                <w:noProof/>
                <w:webHidden/>
              </w:rPr>
              <w:t>10</w:t>
            </w:r>
            <w:r>
              <w:rPr>
                <w:noProof/>
                <w:webHidden/>
              </w:rPr>
              <w:fldChar w:fldCharType="end"/>
            </w:r>
          </w:hyperlink>
        </w:p>
        <w:p w14:paraId="6914CD41" w14:textId="4846B4F5" w:rsidR="004F030B" w:rsidRDefault="004F030B">
          <w:r>
            <w:rPr>
              <w:b/>
              <w:bCs/>
              <w:noProof/>
              <w:lang w:val="en-US"/>
            </w:rPr>
            <w:fldChar w:fldCharType="end"/>
          </w:r>
        </w:p>
      </w:sdtContent>
    </w:sdt>
    <w:p w14:paraId="32BC8EB8" w14:textId="77777777" w:rsidR="004F030B" w:rsidRDefault="004F030B"/>
    <w:p w14:paraId="714D8E63" w14:textId="77777777" w:rsidR="004F030B" w:rsidRDefault="004F030B"/>
    <w:p w14:paraId="403B7009" w14:textId="77777777" w:rsidR="004F030B" w:rsidRDefault="004F030B"/>
    <w:p w14:paraId="6940B0B3" w14:textId="77777777" w:rsidR="004F030B" w:rsidRDefault="004F030B"/>
    <w:p w14:paraId="12AB98E2" w14:textId="77777777" w:rsidR="004F030B" w:rsidRDefault="004F030B"/>
    <w:p w14:paraId="25607A9C" w14:textId="77777777" w:rsidR="004F030B" w:rsidRDefault="004F030B"/>
    <w:p w14:paraId="6FB49AE6" w14:textId="77777777" w:rsidR="004F030B" w:rsidRDefault="004F030B"/>
    <w:p w14:paraId="75972B85" w14:textId="77777777" w:rsidR="004F030B" w:rsidRDefault="004F030B"/>
    <w:p w14:paraId="5D25B5B3" w14:textId="77777777" w:rsidR="004F030B" w:rsidRDefault="004F030B"/>
    <w:p w14:paraId="6286765C" w14:textId="77777777" w:rsidR="004F030B" w:rsidRDefault="004F030B"/>
    <w:p w14:paraId="141F4813" w14:textId="77777777" w:rsidR="004F030B" w:rsidRDefault="004F030B"/>
    <w:p w14:paraId="5AC52478" w14:textId="77777777" w:rsidR="004F030B" w:rsidRDefault="004F030B"/>
    <w:p w14:paraId="38CA10C7" w14:textId="77777777" w:rsidR="004F030B" w:rsidRDefault="004F030B"/>
    <w:p w14:paraId="0126F1D5" w14:textId="77777777" w:rsidR="004F030B" w:rsidRDefault="004F030B"/>
    <w:p w14:paraId="50A34DA4" w14:textId="6B543CDF" w:rsidR="004F030B" w:rsidRPr="00CF0D99" w:rsidRDefault="004F030B" w:rsidP="00CF0D99">
      <w:pPr>
        <w:pStyle w:val="Heading1"/>
        <w:spacing w:line="360" w:lineRule="auto"/>
        <w:rPr>
          <w:rFonts w:ascii="Times New Roman" w:hAnsi="Times New Roman" w:cs="Times New Roman"/>
          <w:sz w:val="24"/>
          <w:szCs w:val="24"/>
        </w:rPr>
      </w:pPr>
      <w:bookmarkStart w:id="0" w:name="_Toc237464662"/>
      <w:r w:rsidRPr="00CF0D99">
        <w:rPr>
          <w:rFonts w:ascii="Times New Roman" w:hAnsi="Times New Roman" w:cs="Times New Roman"/>
          <w:sz w:val="24"/>
          <w:szCs w:val="24"/>
        </w:rPr>
        <w:t>Executive Summary</w:t>
      </w:r>
      <w:bookmarkEnd w:id="0"/>
    </w:p>
    <w:p w14:paraId="1454F7FF" w14:textId="3C879CBC" w:rsidR="004F030B" w:rsidRPr="00CF0D99" w:rsidRDefault="00FC5994" w:rsidP="00CF0D99">
      <w:pPr>
        <w:spacing w:line="360" w:lineRule="auto"/>
        <w:rPr>
          <w:rFonts w:ascii="Times New Roman" w:hAnsi="Times New Roman" w:cs="Times New Roman"/>
        </w:rPr>
      </w:pPr>
      <w:r w:rsidRPr="00CF0D99">
        <w:rPr>
          <w:rFonts w:ascii="Times New Roman" w:hAnsi="Times New Roman" w:cs="Times New Roman"/>
        </w:rPr>
        <w:t>In the context of a global automotive sector increasingly driven by electrification, digitalization, regulatory challenges, and shifting consumer expectations, this paper offers a strategy formulation plan for Toyota Motor Corporation. Toyota's global reach, brand recognition, hybrid expertise, financial resources, and Toyota Production System all help it maintain a strong competitive position. Analysis of its current performance, however, shows that rising pressure on operating profitability coexists with robust revenues and car sales.</w:t>
      </w:r>
    </w:p>
    <w:p w14:paraId="578E72B5" w14:textId="51473CBB" w:rsidR="00FC5994" w:rsidRPr="00CF0D99" w:rsidRDefault="00BA74CE" w:rsidP="00CF0D99">
      <w:pPr>
        <w:spacing w:line="360" w:lineRule="auto"/>
        <w:rPr>
          <w:rFonts w:ascii="Times New Roman" w:hAnsi="Times New Roman" w:cs="Times New Roman"/>
        </w:rPr>
      </w:pPr>
      <w:r w:rsidRPr="00CF0D99">
        <w:rPr>
          <w:rFonts w:ascii="Times New Roman" w:hAnsi="Times New Roman" w:cs="Times New Roman"/>
        </w:rPr>
        <w:t>Significant strategic constraints include the rapid adoption of electric vehicles, shifting environmental regulations, geopolitical unpredictability, and heightened rivalry from Chinese and technology-focused firms, according to external assessments. Although its somewhat conservative shift to battery-electric vehicles and the complexity of supporting several propulsion technologies create potential limitations, Toyota benefits internally from valuable and hard-to-replicate production capabilities.</w:t>
      </w:r>
    </w:p>
    <w:p w14:paraId="71308450" w14:textId="363AC91B" w:rsidR="00BA74CE" w:rsidRPr="00CF0D99" w:rsidRDefault="00B95E05" w:rsidP="00CF0D99">
      <w:pPr>
        <w:spacing w:line="360" w:lineRule="auto"/>
        <w:rPr>
          <w:rFonts w:ascii="Times New Roman" w:hAnsi="Times New Roman" w:cs="Times New Roman"/>
        </w:rPr>
      </w:pPr>
      <w:r w:rsidRPr="00CF0D99">
        <w:rPr>
          <w:rFonts w:ascii="Times New Roman" w:hAnsi="Times New Roman" w:cs="Times New Roman"/>
        </w:rPr>
        <w:t>As a result, the research suggests an Accelerated Digital-Electrification Strategy 2030. Toyota should build recurring digital services, localize strategically significant battery and component supply chains, accelerate next-generation battery-electric vehicles, and bolster software-defined vehicle capabilities thru Arene. However, in places where BEV adoption is limited by pricing and charging infrastructure, hybrid cars should continue to have a significant transitional advantage. With this well-rounded approach, Toyota would be able to capitalize on its current strengths while advancing the technology skills necessary for long-term, sustainable competitiveness.</w:t>
      </w:r>
    </w:p>
    <w:p w14:paraId="6EF08CFD" w14:textId="77777777" w:rsidR="00B95E05" w:rsidRPr="00CF0D99" w:rsidRDefault="00B95E05" w:rsidP="00CF0D99">
      <w:pPr>
        <w:spacing w:line="360" w:lineRule="auto"/>
        <w:rPr>
          <w:rFonts w:ascii="Times New Roman" w:hAnsi="Times New Roman" w:cs="Times New Roman"/>
        </w:rPr>
      </w:pPr>
    </w:p>
    <w:p w14:paraId="6D6CB855" w14:textId="77777777" w:rsidR="007F11A4" w:rsidRPr="00CF0D99" w:rsidRDefault="007F11A4" w:rsidP="00CF0D99">
      <w:pPr>
        <w:spacing w:line="360" w:lineRule="auto"/>
        <w:rPr>
          <w:rFonts w:ascii="Times New Roman" w:hAnsi="Times New Roman" w:cs="Times New Roman"/>
        </w:rPr>
      </w:pPr>
    </w:p>
    <w:p w14:paraId="380E8205" w14:textId="77777777" w:rsidR="007F11A4" w:rsidRPr="00CF0D99" w:rsidRDefault="007F11A4" w:rsidP="00CF0D99">
      <w:pPr>
        <w:spacing w:line="360" w:lineRule="auto"/>
        <w:rPr>
          <w:rFonts w:ascii="Times New Roman" w:hAnsi="Times New Roman" w:cs="Times New Roman"/>
        </w:rPr>
      </w:pPr>
    </w:p>
    <w:p w14:paraId="29CBF57C" w14:textId="77777777" w:rsidR="007F11A4" w:rsidRPr="00CF0D99" w:rsidRDefault="007F11A4" w:rsidP="00CF0D99">
      <w:pPr>
        <w:spacing w:line="360" w:lineRule="auto"/>
        <w:rPr>
          <w:rFonts w:ascii="Times New Roman" w:hAnsi="Times New Roman" w:cs="Times New Roman"/>
        </w:rPr>
      </w:pPr>
    </w:p>
    <w:p w14:paraId="4ABC6525" w14:textId="77777777" w:rsidR="007F11A4" w:rsidRPr="00CF0D99" w:rsidRDefault="007F11A4" w:rsidP="00CF0D99">
      <w:pPr>
        <w:spacing w:line="360" w:lineRule="auto"/>
        <w:rPr>
          <w:rFonts w:ascii="Times New Roman" w:hAnsi="Times New Roman" w:cs="Times New Roman"/>
        </w:rPr>
      </w:pPr>
    </w:p>
    <w:p w14:paraId="4A4964F3" w14:textId="77777777" w:rsidR="007F11A4" w:rsidRPr="00CF0D99" w:rsidRDefault="007F11A4" w:rsidP="00CF0D99">
      <w:pPr>
        <w:spacing w:line="360" w:lineRule="auto"/>
        <w:rPr>
          <w:rFonts w:ascii="Times New Roman" w:hAnsi="Times New Roman" w:cs="Times New Roman"/>
        </w:rPr>
      </w:pPr>
    </w:p>
    <w:p w14:paraId="6BCFF991" w14:textId="77777777" w:rsidR="007F11A4" w:rsidRPr="00CF0D99" w:rsidRDefault="007F11A4" w:rsidP="00CF0D99">
      <w:pPr>
        <w:spacing w:line="360" w:lineRule="auto"/>
        <w:rPr>
          <w:rFonts w:ascii="Times New Roman" w:hAnsi="Times New Roman" w:cs="Times New Roman"/>
        </w:rPr>
      </w:pPr>
    </w:p>
    <w:p w14:paraId="3A3B2C79" w14:textId="69288BF7" w:rsidR="007F11A4" w:rsidRPr="00CF0D99" w:rsidRDefault="007F11A4" w:rsidP="00CF0D99">
      <w:pPr>
        <w:pStyle w:val="Heading1"/>
        <w:spacing w:line="360" w:lineRule="auto"/>
        <w:rPr>
          <w:rFonts w:ascii="Times New Roman" w:hAnsi="Times New Roman" w:cs="Times New Roman"/>
          <w:sz w:val="24"/>
          <w:szCs w:val="24"/>
        </w:rPr>
      </w:pPr>
      <w:bookmarkStart w:id="1" w:name="_Toc237464663"/>
      <w:r w:rsidRPr="00CF0D99">
        <w:rPr>
          <w:rFonts w:ascii="Times New Roman" w:hAnsi="Times New Roman" w:cs="Times New Roman"/>
          <w:sz w:val="24"/>
          <w:szCs w:val="24"/>
        </w:rPr>
        <w:t>Introduction</w:t>
      </w:r>
      <w:bookmarkEnd w:id="1"/>
    </w:p>
    <w:p w14:paraId="1B5372BE" w14:textId="2A10F2ED" w:rsidR="007F11A4" w:rsidRPr="00CF0D99" w:rsidRDefault="00492C87" w:rsidP="00CF0D99">
      <w:pPr>
        <w:spacing w:line="360" w:lineRule="auto"/>
        <w:rPr>
          <w:rFonts w:ascii="Times New Roman" w:hAnsi="Times New Roman" w:cs="Times New Roman"/>
        </w:rPr>
      </w:pPr>
      <w:r w:rsidRPr="00CF0D99">
        <w:rPr>
          <w:rFonts w:ascii="Times New Roman" w:hAnsi="Times New Roman" w:cs="Times New Roman"/>
        </w:rPr>
        <w:t xml:space="preserve">In order to gain a competitive edge, strategic management entails </w:t>
      </w:r>
      <w:r w:rsidR="00CF0D99" w:rsidRPr="00CF0D99">
        <w:rPr>
          <w:rFonts w:ascii="Times New Roman" w:hAnsi="Times New Roman" w:cs="Times New Roman"/>
        </w:rPr>
        <w:t>analysing</w:t>
      </w:r>
      <w:r w:rsidRPr="00CF0D99">
        <w:rPr>
          <w:rFonts w:ascii="Times New Roman" w:hAnsi="Times New Roman" w:cs="Times New Roman"/>
        </w:rPr>
        <w:t xml:space="preserve"> the internal and external environments of an organization, establishing long-term goals, and allocating resources. According to Whittington et al. (2019), organizations must comprehend their strategic position, assess their options, and take the necessary action in order to adopt an effective strategy. This is especially crucial in the automotive sector, where existing business models are being altered by electrification, digitalization, environmental regulations, and shifting consumer expectations.</w:t>
      </w:r>
    </w:p>
    <w:p w14:paraId="01021EAC" w14:textId="2F611F80" w:rsidR="00492C87" w:rsidRPr="00CF0D99" w:rsidRDefault="00F8163F" w:rsidP="00CF0D99">
      <w:pPr>
        <w:spacing w:line="360" w:lineRule="auto"/>
        <w:rPr>
          <w:rFonts w:ascii="Times New Roman" w:hAnsi="Times New Roman" w:cs="Times New Roman"/>
        </w:rPr>
      </w:pPr>
      <w:r w:rsidRPr="00CF0D99">
        <w:rPr>
          <w:rFonts w:ascii="Times New Roman" w:hAnsi="Times New Roman" w:cs="Times New Roman"/>
        </w:rPr>
        <w:t>While the shift to electric mobility necessitates a large investment in technology, infrastructure, and organizational capabilities, digital technologies are altering how automakers produce and capture value (Llopis-Albert, Rubio, and Valero, 2021; Ziegler and Abdelkafi, 2022). As a result, in order to stay competitive, automakers must constantly modify their tactics.</w:t>
      </w:r>
    </w:p>
    <w:p w14:paraId="78E0CB28" w14:textId="6991BAEB" w:rsidR="00F8163F" w:rsidRPr="00CF0D99" w:rsidRDefault="00943E90" w:rsidP="00CF0D99">
      <w:pPr>
        <w:spacing w:line="360" w:lineRule="auto"/>
        <w:rPr>
          <w:rFonts w:ascii="Times New Roman" w:hAnsi="Times New Roman" w:cs="Times New Roman"/>
        </w:rPr>
      </w:pPr>
      <w:r w:rsidRPr="00CF0D99">
        <w:rPr>
          <w:rFonts w:ascii="Times New Roman" w:hAnsi="Times New Roman" w:cs="Times New Roman"/>
        </w:rPr>
        <w:t>The strategy formulation plan for Toyota Motor Corporation is developed in this paper. Before evaluating Toyota's internal and external environments using PESTEL, Porter's Five Forces, SWAT, VRIO, and value-chain analysis, it looks at Toyota's history, strategic intent, and present performance. These conclusions provide recommendations and a suggested strategy aimed at enhancing Toyota's long-term competitiveness.</w:t>
      </w:r>
    </w:p>
    <w:p w14:paraId="4D764A3B" w14:textId="77777777" w:rsidR="00EC27B4" w:rsidRPr="00CF0D99" w:rsidRDefault="00007219" w:rsidP="00CF0D99">
      <w:pPr>
        <w:pStyle w:val="Heading1"/>
        <w:spacing w:line="360" w:lineRule="auto"/>
        <w:rPr>
          <w:rFonts w:ascii="Times New Roman" w:hAnsi="Times New Roman" w:cs="Times New Roman"/>
          <w:sz w:val="24"/>
          <w:szCs w:val="24"/>
        </w:rPr>
      </w:pPr>
      <w:bookmarkStart w:id="2" w:name="_Toc237464664"/>
      <w:r w:rsidRPr="00CF0D99">
        <w:rPr>
          <w:rFonts w:ascii="Times New Roman" w:hAnsi="Times New Roman" w:cs="Times New Roman"/>
          <w:sz w:val="24"/>
          <w:szCs w:val="24"/>
        </w:rPr>
        <w:t>Overview and B</w:t>
      </w:r>
      <w:r w:rsidR="00EC27B4" w:rsidRPr="00CF0D99">
        <w:rPr>
          <w:rFonts w:ascii="Times New Roman" w:hAnsi="Times New Roman" w:cs="Times New Roman"/>
          <w:sz w:val="24"/>
          <w:szCs w:val="24"/>
        </w:rPr>
        <w:t>ackground of Toyota Motor Corporation</w:t>
      </w:r>
      <w:bookmarkEnd w:id="2"/>
    </w:p>
    <w:p w14:paraId="541B4638" w14:textId="5932A012" w:rsidR="00686255" w:rsidRPr="00CF0D99" w:rsidRDefault="00F57989" w:rsidP="00CF0D99">
      <w:pPr>
        <w:spacing w:line="360" w:lineRule="auto"/>
        <w:rPr>
          <w:rFonts w:ascii="Times New Roman" w:hAnsi="Times New Roman" w:cs="Times New Roman"/>
        </w:rPr>
      </w:pPr>
      <w:r w:rsidRPr="00CF0D99">
        <w:rPr>
          <w:rFonts w:ascii="Times New Roman" w:hAnsi="Times New Roman" w:cs="Times New Roman"/>
        </w:rPr>
        <w:t>Founded in 1937, Toyota Motor Corporation is a global Japanese automaker with its headquarters located in Toyota City, Aichi, Japan. Its main operations are the design, production, and marketing of automobiles, which are backed by financial and mobility-related services (Toyota Motor Corporation, 2026a). Toyota offers internal combustion, plug-in hybrid, battery-electric, fuel-cell, and hybrid electric vehicles under the Toyota and Lexus brands.</w:t>
      </w:r>
    </w:p>
    <w:p w14:paraId="1F221259" w14:textId="554DE3CE" w:rsidR="00F57989" w:rsidRPr="00CF0D99" w:rsidRDefault="003A383D" w:rsidP="00CF0D99">
      <w:pPr>
        <w:spacing w:line="360" w:lineRule="auto"/>
        <w:rPr>
          <w:rFonts w:ascii="Times New Roman" w:hAnsi="Times New Roman" w:cs="Times New Roman"/>
        </w:rPr>
      </w:pPr>
      <w:r w:rsidRPr="00CF0D99">
        <w:rPr>
          <w:rFonts w:ascii="Times New Roman" w:hAnsi="Times New Roman" w:cs="Times New Roman"/>
        </w:rPr>
        <w:t xml:space="preserve">The Toyota Production System (TPS), which is built on ideas like just-in-time production, jidoka, and continuous improvement, is a key component of Toyota's success. TPS aims to maintain high standards of quality and cost effectiveness while cutting waste and lead </w:t>
      </w:r>
      <w:r w:rsidR="00832BD2" w:rsidRPr="00CF0D99">
        <w:rPr>
          <w:rFonts w:ascii="Times New Roman" w:hAnsi="Times New Roman" w:cs="Times New Roman"/>
        </w:rPr>
        <w:t>time</w:t>
      </w:r>
      <w:r w:rsidRPr="00CF0D99">
        <w:rPr>
          <w:rFonts w:ascii="Times New Roman" w:hAnsi="Times New Roman" w:cs="Times New Roman"/>
        </w:rPr>
        <w:t xml:space="preserve"> (Toyota Motor Corporation, 2026b). These qualities, along with a vast global manufacturing and distribution network, have allowed Toyota to attain significant economies of scale and a dominant position in international markets.</w:t>
      </w:r>
    </w:p>
    <w:p w14:paraId="553467FC" w14:textId="59664478" w:rsidR="003A383D" w:rsidRPr="00CF0D99" w:rsidRDefault="009D0D5D" w:rsidP="00CF0D99">
      <w:pPr>
        <w:spacing w:line="360" w:lineRule="auto"/>
        <w:rPr>
          <w:rFonts w:ascii="Times New Roman" w:hAnsi="Times New Roman" w:cs="Times New Roman"/>
        </w:rPr>
      </w:pPr>
      <w:r w:rsidRPr="00CF0D99">
        <w:rPr>
          <w:rFonts w:ascii="Times New Roman" w:hAnsi="Times New Roman" w:cs="Times New Roman"/>
        </w:rPr>
        <w:t>However, as industry competitiveness is transformed by electrification, software-defined vehicles, and linked services, Toyota is gradually shifting from being a traditional automaker to a mobility firm.</w:t>
      </w:r>
    </w:p>
    <w:p w14:paraId="76403B10" w14:textId="345C85CD" w:rsidR="009D0D5D" w:rsidRPr="00CF0D99" w:rsidRDefault="003705F2" w:rsidP="00CF0D99">
      <w:pPr>
        <w:pStyle w:val="Heading1"/>
        <w:spacing w:line="360" w:lineRule="auto"/>
        <w:rPr>
          <w:rFonts w:ascii="Times New Roman" w:hAnsi="Times New Roman" w:cs="Times New Roman"/>
          <w:sz w:val="24"/>
          <w:szCs w:val="24"/>
        </w:rPr>
      </w:pPr>
      <w:bookmarkStart w:id="3" w:name="_Toc237464665"/>
      <w:r w:rsidRPr="00CF0D99">
        <w:rPr>
          <w:rFonts w:ascii="Times New Roman" w:hAnsi="Times New Roman" w:cs="Times New Roman"/>
          <w:sz w:val="24"/>
          <w:szCs w:val="24"/>
        </w:rPr>
        <w:t>Strategic Intent</w:t>
      </w:r>
      <w:bookmarkEnd w:id="3"/>
    </w:p>
    <w:p w14:paraId="1803D604" w14:textId="3DB3DF4C" w:rsidR="003705F2" w:rsidRPr="00CF0D99" w:rsidRDefault="003705F2" w:rsidP="00CF0D99">
      <w:pPr>
        <w:spacing w:line="360" w:lineRule="auto"/>
        <w:rPr>
          <w:rFonts w:ascii="Times New Roman" w:hAnsi="Times New Roman" w:cs="Times New Roman"/>
        </w:rPr>
      </w:pPr>
      <w:r w:rsidRPr="00CF0D99">
        <w:rPr>
          <w:rFonts w:ascii="Times New Roman" w:hAnsi="Times New Roman" w:cs="Times New Roman"/>
        </w:rPr>
        <w:t>Toyota's vision, "Creating Mobility for All," and goal, "Producing Happiness for All," show its desire to go beyond the production of automobiles to provide accessible and sustainable mobility solutions (Toyota Motor Corporation, 2026c). Carbon neutrality, electrification, artificial intelligence, software-defined vehicles, and future mobility services are becoming more and more important aspects of its strategic orientation.</w:t>
      </w:r>
    </w:p>
    <w:p w14:paraId="69AF67C6" w14:textId="20EF1F1F" w:rsidR="003705F2" w:rsidRPr="00CF0D99" w:rsidRDefault="007F34FE" w:rsidP="00CF0D99">
      <w:pPr>
        <w:spacing w:line="360" w:lineRule="auto"/>
        <w:rPr>
          <w:rFonts w:ascii="Times New Roman" w:hAnsi="Times New Roman" w:cs="Times New Roman"/>
        </w:rPr>
      </w:pPr>
      <w:r w:rsidRPr="00CF0D99">
        <w:rPr>
          <w:rFonts w:ascii="Times New Roman" w:hAnsi="Times New Roman" w:cs="Times New Roman"/>
        </w:rPr>
        <w:t>Toyota has a multi-pathway strategy that includes hybrids, plug-in hybrids, BEVs, and hydrogen technologies, in contrast to competitors who primarily pursue battery-electric options. This offers flexibility between nations with disparate infrastructure, laws, and client demands. However, while rivals quickly specialize on BEVs, supporting multiple technologies concurrently might distribute administrative and financial resources.</w:t>
      </w:r>
    </w:p>
    <w:p w14:paraId="5DBD27A1" w14:textId="58CBAD7E" w:rsidR="007F34FE" w:rsidRPr="00CF0D99" w:rsidRDefault="00155090" w:rsidP="00CF0D99">
      <w:pPr>
        <w:spacing w:line="360" w:lineRule="auto"/>
        <w:rPr>
          <w:rFonts w:ascii="Times New Roman" w:hAnsi="Times New Roman" w:cs="Times New Roman"/>
        </w:rPr>
      </w:pPr>
      <w:r w:rsidRPr="00CF0D99">
        <w:rPr>
          <w:rFonts w:ascii="Times New Roman" w:hAnsi="Times New Roman" w:cs="Times New Roman"/>
        </w:rPr>
        <w:t>As a result, Toyota must balance developing new skills with leveraging its current strengths. While investments in BEVs, next-generation batteries, and the Arene software platform show the need for technical transformation, its hybrid knowledge and manufacturing system continue to be significant competitive advantages. Therefore, Toyota's capacity to accelerate innovation without compromising the dependability, efficiency, and quality associated with its established competitive position will be critical to achieving its strategic goal.</w:t>
      </w:r>
    </w:p>
    <w:p w14:paraId="14019059" w14:textId="7858BDF7" w:rsidR="00155090" w:rsidRPr="00CF0D99" w:rsidRDefault="00CC7292" w:rsidP="00CF0D99">
      <w:pPr>
        <w:pStyle w:val="Heading1"/>
        <w:spacing w:line="360" w:lineRule="auto"/>
        <w:rPr>
          <w:rFonts w:ascii="Times New Roman" w:hAnsi="Times New Roman" w:cs="Times New Roman"/>
          <w:sz w:val="24"/>
          <w:szCs w:val="24"/>
        </w:rPr>
      </w:pPr>
      <w:bookmarkStart w:id="4" w:name="_Toc237464666"/>
      <w:r w:rsidRPr="00CF0D99">
        <w:rPr>
          <w:rFonts w:ascii="Times New Roman" w:hAnsi="Times New Roman" w:cs="Times New Roman"/>
          <w:sz w:val="24"/>
          <w:szCs w:val="24"/>
        </w:rPr>
        <w:t>The Company’s Current Performance</w:t>
      </w:r>
      <w:bookmarkEnd w:id="4"/>
    </w:p>
    <w:p w14:paraId="6C45671B" w14:textId="35E896AD" w:rsidR="00CC7292" w:rsidRPr="00CF0D99" w:rsidRDefault="001177CE" w:rsidP="00CF0D99">
      <w:pPr>
        <w:spacing w:line="360" w:lineRule="auto"/>
        <w:rPr>
          <w:rFonts w:ascii="Times New Roman" w:hAnsi="Times New Roman" w:cs="Times New Roman"/>
        </w:rPr>
      </w:pPr>
      <w:r w:rsidRPr="00CF0D99">
        <w:rPr>
          <w:rFonts w:ascii="Times New Roman" w:hAnsi="Times New Roman" w:cs="Times New Roman"/>
        </w:rPr>
        <w:t>Even tho</w:t>
      </w:r>
      <w:r w:rsidR="003F6358" w:rsidRPr="00CF0D99">
        <w:rPr>
          <w:rFonts w:ascii="Times New Roman" w:hAnsi="Times New Roman" w:cs="Times New Roman"/>
        </w:rPr>
        <w:t>ugh</w:t>
      </w:r>
      <w:r w:rsidRPr="00CF0D99">
        <w:rPr>
          <w:rFonts w:ascii="Times New Roman" w:hAnsi="Times New Roman" w:cs="Times New Roman"/>
        </w:rPr>
        <w:t xml:space="preserve"> recent statistics show growing pressure on profitability, Toyota continues to show excellent financial and operational performance. Toyota made over ¥50.68 trillion in revenue for the fiscal year that ended on March 31, 2026, a 5.5% increase over the previous year. Additionally, sales of consolidated vehicles rose by about 2.5% to 9.60 million units (Toyota Motor Corporation, 2026d). This shows the durability offered by Toyota's global reach and diverse vehicle portfolio, as well as the ongoing demand on a worldwide scale.</w:t>
      </w:r>
    </w:p>
    <w:p w14:paraId="1E039CBB" w14:textId="790BF122" w:rsidR="001177CE" w:rsidRPr="00CF0D99" w:rsidRDefault="003F6358" w:rsidP="00CF0D99">
      <w:pPr>
        <w:spacing w:line="360" w:lineRule="auto"/>
        <w:rPr>
          <w:rFonts w:ascii="Times New Roman" w:hAnsi="Times New Roman" w:cs="Times New Roman"/>
        </w:rPr>
      </w:pPr>
      <w:r w:rsidRPr="00CF0D99">
        <w:rPr>
          <w:rFonts w:ascii="Times New Roman" w:hAnsi="Times New Roman" w:cs="Times New Roman"/>
        </w:rPr>
        <w:t>Nevertheless, higher operating profitability did not follow from higher revenue. The operating margin dropped from 10.0% to 7.4%, while operating income fell by 21.5% to almost ¥3.77 trillion. Additionally, Toyota's net income decreased by roughly 19.2% to ¥3.85 trillion. According to Toyota, U.S. tariffs decreased operational income by almost ¥1.38 trillion in FY2026, indicating the company's vulnerability to international trade and geopolitical challenges (Toyota Motor Corporation, 2026d).</w:t>
      </w:r>
    </w:p>
    <w:p w14:paraId="248A5DCA" w14:textId="4ED8F5D6" w:rsidR="00833EAE" w:rsidRPr="00CF0D99" w:rsidRDefault="00833EAE" w:rsidP="00CF0D99">
      <w:pPr>
        <w:spacing w:line="360" w:lineRule="auto"/>
        <w:rPr>
          <w:rFonts w:ascii="Times New Roman" w:hAnsi="Times New Roman" w:cs="Times New Roman"/>
        </w:rPr>
      </w:pPr>
      <w:r w:rsidRPr="00CF0D99">
        <w:rPr>
          <w:rFonts w:ascii="Times New Roman" w:hAnsi="Times New Roman" w:cs="Times New Roman"/>
        </w:rPr>
        <w:t>Toyota's first-quarter results for FY2027 were still inconsistent. Although operating income fell by 8.8% and consolidated vehicle sales marginally decreased, revenue climbed by 10.4% year over year to ¥13.53 trillion and net income improved (Toyota Motor Corporation, 2026e).</w:t>
      </w:r>
    </w:p>
    <w:p w14:paraId="2D8CCAA8" w14:textId="6B3CE778" w:rsidR="003F6358" w:rsidRPr="00CF0D99" w:rsidRDefault="00833EAE" w:rsidP="00CF0D99">
      <w:pPr>
        <w:spacing w:line="360" w:lineRule="auto"/>
        <w:rPr>
          <w:rFonts w:ascii="Times New Roman" w:hAnsi="Times New Roman" w:cs="Times New Roman"/>
        </w:rPr>
      </w:pPr>
      <w:r w:rsidRPr="00CF0D99">
        <w:rPr>
          <w:rFonts w:ascii="Times New Roman" w:hAnsi="Times New Roman" w:cs="Times New Roman"/>
        </w:rPr>
        <w:t>All things considered, Toyota continues to be financially stable and enjoys significant scale, brand strength, and product diversification. However, the difficulty of sustaining financial performance while concurrently investing electrification, software development, and supply-chain revolution is highlighted by diminishing operating profitability.</w:t>
      </w:r>
    </w:p>
    <w:p w14:paraId="64446423" w14:textId="45C95885" w:rsidR="00833EAE" w:rsidRPr="00CF0D99" w:rsidRDefault="00F76992" w:rsidP="00CF0D99">
      <w:pPr>
        <w:pStyle w:val="Heading1"/>
        <w:spacing w:line="360" w:lineRule="auto"/>
        <w:rPr>
          <w:rFonts w:ascii="Times New Roman" w:hAnsi="Times New Roman" w:cs="Times New Roman"/>
          <w:sz w:val="24"/>
          <w:szCs w:val="24"/>
        </w:rPr>
      </w:pPr>
      <w:bookmarkStart w:id="5" w:name="_Toc237464667"/>
      <w:r w:rsidRPr="00CF0D99">
        <w:rPr>
          <w:rFonts w:ascii="Times New Roman" w:hAnsi="Times New Roman" w:cs="Times New Roman"/>
          <w:sz w:val="24"/>
          <w:szCs w:val="24"/>
        </w:rPr>
        <w:t>Strategy Analysis</w:t>
      </w:r>
      <w:bookmarkEnd w:id="5"/>
    </w:p>
    <w:p w14:paraId="6BD39A8C" w14:textId="724A2B5F" w:rsidR="00F76992" w:rsidRPr="00CF0D99" w:rsidRDefault="00F76992" w:rsidP="00CF0D99">
      <w:pPr>
        <w:pStyle w:val="Heading2"/>
        <w:spacing w:line="360" w:lineRule="auto"/>
        <w:rPr>
          <w:rFonts w:ascii="Times New Roman" w:hAnsi="Times New Roman" w:cs="Times New Roman"/>
          <w:sz w:val="24"/>
          <w:szCs w:val="24"/>
        </w:rPr>
      </w:pPr>
      <w:bookmarkStart w:id="6" w:name="_Toc237464668"/>
      <w:r w:rsidRPr="00CF0D99">
        <w:rPr>
          <w:rFonts w:ascii="Times New Roman" w:hAnsi="Times New Roman" w:cs="Times New Roman"/>
          <w:sz w:val="24"/>
          <w:szCs w:val="24"/>
        </w:rPr>
        <w:t>External Environmental Audit</w:t>
      </w:r>
      <w:bookmarkEnd w:id="6"/>
    </w:p>
    <w:p w14:paraId="712003FC" w14:textId="77777777" w:rsidR="00FA36DE" w:rsidRPr="00CF0D99" w:rsidRDefault="00FA36DE" w:rsidP="00CF0D99">
      <w:pPr>
        <w:spacing w:line="360" w:lineRule="auto"/>
        <w:rPr>
          <w:rFonts w:ascii="Times New Roman" w:hAnsi="Times New Roman" w:cs="Times New Roman"/>
        </w:rPr>
      </w:pPr>
      <w:r w:rsidRPr="00CF0D99">
        <w:rPr>
          <w:rFonts w:ascii="Times New Roman" w:hAnsi="Times New Roman" w:cs="Times New Roman"/>
        </w:rPr>
        <w:t>A PESTEL analysis demonstrates that Toyota operates within an increasingly challenging macro-environment. Politically and legally, stricter emissions requirements and decarbonisation policies are encouraging manufacturers to increase low-emission and electric vehicle production. Regulatory differences between countries, however, create uncertainty regarding the speed of electrification and support Toyota’s strategy of offering several powertrain technologies.</w:t>
      </w:r>
    </w:p>
    <w:p w14:paraId="7445DEDE" w14:textId="77777777" w:rsidR="00FA36DE" w:rsidRPr="00CF0D99" w:rsidRDefault="00FA36DE" w:rsidP="00CF0D99">
      <w:pPr>
        <w:spacing w:line="360" w:lineRule="auto"/>
        <w:rPr>
          <w:rFonts w:ascii="Times New Roman" w:hAnsi="Times New Roman" w:cs="Times New Roman"/>
        </w:rPr>
      </w:pPr>
      <w:r w:rsidRPr="00CF0D99">
        <w:rPr>
          <w:rFonts w:ascii="Times New Roman" w:hAnsi="Times New Roman" w:cs="Times New Roman"/>
        </w:rPr>
        <w:t>Economic factors include inflation, input costs, interest rates, currency fluctuations and international tariffs. Toyota’s extensive international operations provide market diversification but simultaneously increase exposure to geopolitical disruption and protectionist trade policies. The effect of U.S. tariffs on Toyota’s FY2026 operating income illustrates this vulnerability (Toyota Motor Corporation, 2026d).</w:t>
      </w:r>
    </w:p>
    <w:p w14:paraId="15FAE203" w14:textId="04B46048" w:rsidR="00FA36DE" w:rsidRPr="00CF0D99" w:rsidRDefault="0040335F" w:rsidP="00CF0D99">
      <w:pPr>
        <w:spacing w:line="360" w:lineRule="auto"/>
        <w:rPr>
          <w:rFonts w:ascii="Times New Roman" w:hAnsi="Times New Roman" w:cs="Times New Roman"/>
        </w:rPr>
      </w:pPr>
      <w:r w:rsidRPr="00CF0D99">
        <w:rPr>
          <w:rFonts w:ascii="Times New Roman" w:hAnsi="Times New Roman" w:cs="Times New Roman"/>
        </w:rPr>
        <w:t>As consumers take sustainability, connectivity, and digital functionality more into account when buying cars, social expectations are also shifting. However, the short-term importance of Toyota's hybrid portfolio is strengthened by the fact that consumer readiness for BEVs varies between regions due to price and uneven charging infrastructure.</w:t>
      </w:r>
    </w:p>
    <w:p w14:paraId="16B157C2" w14:textId="012DF2E2" w:rsidR="00822611" w:rsidRPr="00CF0D99" w:rsidRDefault="00822611" w:rsidP="00CF0D99">
      <w:pPr>
        <w:spacing w:line="360" w:lineRule="auto"/>
        <w:rPr>
          <w:rFonts w:ascii="Times New Roman" w:hAnsi="Times New Roman" w:cs="Times New Roman"/>
        </w:rPr>
      </w:pPr>
      <w:r w:rsidRPr="00CF0D99">
        <w:rPr>
          <w:rFonts w:ascii="Times New Roman" w:hAnsi="Times New Roman" w:cs="Times New Roman"/>
        </w:rPr>
        <w:t>One of Toyota's biggest strategic challenges is technological change. Over 21 million electric cars were sold worldwide in 2025, accounting for over 25% of all new automobile sales (IEA, 2026). Additionally, China manufactured nearly 75% of the world's electric vehicles, boosting Chinese manufacturers' competitiveness with cutting-edge battery technologies and cheaper production costs (IEA, 2026). Autonomous technology, artificial intelligence, and software-defined vehicles are all concurrently altering how automakers generate value for their customers.</w:t>
      </w:r>
    </w:p>
    <w:p w14:paraId="35DFE89F" w14:textId="28DB6FC5" w:rsidR="00387811" w:rsidRPr="00CF0D99" w:rsidRDefault="00387811" w:rsidP="00CF0D99">
      <w:pPr>
        <w:spacing w:line="360" w:lineRule="auto"/>
        <w:rPr>
          <w:rFonts w:ascii="Times New Roman" w:hAnsi="Times New Roman" w:cs="Times New Roman"/>
        </w:rPr>
      </w:pPr>
      <w:r w:rsidRPr="00CF0D99">
        <w:rPr>
          <w:rFonts w:ascii="Times New Roman" w:hAnsi="Times New Roman" w:cs="Times New Roman"/>
        </w:rPr>
        <w:t>High levels of industrial rivalry are also suggested by Porter's Five Forces (Porter, 2008). Tesla, BYD, and other tech-focused rivals fight with Toyota in addition to well-known manufacturers. While supplier power is still important for semiconductors, batteries, and essential minerals, buyer power is growing as consumers have access to more brands and powertrain options. Technological disruption has reduced some old industrial barriers, but hefty capital requirements still prevent new entry. As a result, Toyota needs to rely less on manufacturing size and more on innovation to compete.</w:t>
      </w:r>
    </w:p>
    <w:p w14:paraId="39C51045" w14:textId="0C70DF4D" w:rsidR="006B5E2C" w:rsidRPr="00CF0D99" w:rsidRDefault="00D568B9" w:rsidP="00CF0D99">
      <w:pPr>
        <w:pStyle w:val="Heading2"/>
        <w:spacing w:line="360" w:lineRule="auto"/>
        <w:rPr>
          <w:rFonts w:ascii="Times New Roman" w:hAnsi="Times New Roman" w:cs="Times New Roman"/>
          <w:sz w:val="24"/>
          <w:szCs w:val="24"/>
        </w:rPr>
      </w:pPr>
      <w:bookmarkStart w:id="7" w:name="_Toc237464669"/>
      <w:r w:rsidRPr="00CF0D99">
        <w:rPr>
          <w:rFonts w:ascii="Times New Roman" w:hAnsi="Times New Roman" w:cs="Times New Roman"/>
          <w:sz w:val="24"/>
          <w:szCs w:val="24"/>
        </w:rPr>
        <w:t>Internal Environmental Audit</w:t>
      </w:r>
      <w:bookmarkEnd w:id="7"/>
    </w:p>
    <w:p w14:paraId="05FD104C" w14:textId="3C80E321" w:rsidR="00D568B9" w:rsidRPr="00CF0D99" w:rsidRDefault="00D568B9" w:rsidP="00CF0D99">
      <w:pPr>
        <w:spacing w:line="360" w:lineRule="auto"/>
        <w:rPr>
          <w:rFonts w:ascii="Times New Roman" w:hAnsi="Times New Roman" w:cs="Times New Roman"/>
        </w:rPr>
      </w:pPr>
      <w:r w:rsidRPr="00CF0D99">
        <w:rPr>
          <w:rFonts w:ascii="Times New Roman" w:hAnsi="Times New Roman" w:cs="Times New Roman"/>
        </w:rPr>
        <w:t>Toyota's global brand, manufacturing scale, financial resources, hybrid leadership, distribution network, and Toyota Production System are identified as key assets by a SWAT study. In situations where customer readiness for BEVs is still questionable, its diverse powertrain array also offers flexibility. However, if BEV adoption picks up speed faster than expected, Toyota's more cautious approach to completely electric vehicles could become a vulnerability. Maintaining concurrent investments in software, BEV, hydrogen, and hybrid technologies may potentially dilute resources and increase complexity.</w:t>
      </w:r>
    </w:p>
    <w:p w14:paraId="1A8C2C60" w14:textId="7EFA86AC" w:rsidR="005440E3" w:rsidRPr="00CF0D99" w:rsidRDefault="005440E3" w:rsidP="00CF0D99">
      <w:pPr>
        <w:spacing w:line="360" w:lineRule="auto"/>
        <w:rPr>
          <w:rFonts w:ascii="Times New Roman" w:hAnsi="Times New Roman" w:cs="Times New Roman"/>
        </w:rPr>
      </w:pPr>
      <w:r w:rsidRPr="00CF0D99">
        <w:rPr>
          <w:rFonts w:ascii="Times New Roman" w:hAnsi="Times New Roman" w:cs="Times New Roman"/>
        </w:rPr>
        <w:t>Toyota's production expertise and continuous-improvement culture are significant strategic assets from a VRIO standpoint (Barney, 1991). Because they have evolved over decades and are ingrained in Toyota's organizational procedures, they are hard to fully replicate and provide value thru efficiency and quality. However, as automotive competitive advantage depends more and more on batteries, software, and AI, these qualities could not be enough on their own.</w:t>
      </w:r>
    </w:p>
    <w:p w14:paraId="0A9E9D8F" w14:textId="0E8F0F0F" w:rsidR="00D568B9" w:rsidRPr="00CF0D99" w:rsidRDefault="005440E3" w:rsidP="00CF0D99">
      <w:pPr>
        <w:spacing w:line="360" w:lineRule="auto"/>
        <w:rPr>
          <w:rFonts w:ascii="Times New Roman" w:hAnsi="Times New Roman" w:cs="Times New Roman"/>
        </w:rPr>
      </w:pPr>
      <w:r w:rsidRPr="00CF0D99">
        <w:rPr>
          <w:rFonts w:ascii="Times New Roman" w:hAnsi="Times New Roman" w:cs="Times New Roman"/>
        </w:rPr>
        <w:t>Close supplier ties, lean manufacturing, worldwide distribution, and comprehensive after-sales services continue to underpin Toyota's value chain. Thru software upgrades, predictive maintenance, connected features, and customized customer experiences, digital services offer chances to extract extra value.</w:t>
      </w:r>
    </w:p>
    <w:p w14:paraId="59EC44FF" w14:textId="0A26CD29" w:rsidR="005440E3" w:rsidRPr="00CF0D99" w:rsidRDefault="000C7F7C" w:rsidP="00CF0D99">
      <w:pPr>
        <w:spacing w:line="360" w:lineRule="auto"/>
        <w:rPr>
          <w:rFonts w:ascii="Times New Roman" w:hAnsi="Times New Roman" w:cs="Times New Roman"/>
        </w:rPr>
      </w:pPr>
      <w:r w:rsidRPr="00CF0D99">
        <w:rPr>
          <w:rFonts w:ascii="Times New Roman" w:hAnsi="Times New Roman" w:cs="Times New Roman"/>
        </w:rPr>
        <w:t>Consequently, Toyota's primary strategic challenge is not to replace its conventional strengths but rather to successfully integrate them with rapidly evolving digital and electrification talents.</w:t>
      </w:r>
    </w:p>
    <w:p w14:paraId="4C4C8CC5" w14:textId="34177260" w:rsidR="000C7F7C" w:rsidRPr="00CF0D99" w:rsidRDefault="009151D8" w:rsidP="00CF0D99">
      <w:pPr>
        <w:pStyle w:val="Heading1"/>
        <w:spacing w:line="360" w:lineRule="auto"/>
        <w:rPr>
          <w:rFonts w:ascii="Times New Roman" w:hAnsi="Times New Roman" w:cs="Times New Roman"/>
          <w:sz w:val="24"/>
          <w:szCs w:val="24"/>
        </w:rPr>
      </w:pPr>
      <w:bookmarkStart w:id="8" w:name="_Toc237464670"/>
      <w:r w:rsidRPr="00CF0D99">
        <w:rPr>
          <w:rFonts w:ascii="Times New Roman" w:hAnsi="Times New Roman" w:cs="Times New Roman"/>
          <w:sz w:val="24"/>
          <w:szCs w:val="24"/>
        </w:rPr>
        <w:t>Strategy Formulation</w:t>
      </w:r>
      <w:bookmarkEnd w:id="8"/>
    </w:p>
    <w:p w14:paraId="5A0CFDB8" w14:textId="2B961E7D" w:rsidR="009151D8" w:rsidRPr="00CF0D99" w:rsidRDefault="009151D8" w:rsidP="00CF0D99">
      <w:pPr>
        <w:spacing w:line="360" w:lineRule="auto"/>
        <w:rPr>
          <w:rFonts w:ascii="Times New Roman" w:hAnsi="Times New Roman" w:cs="Times New Roman"/>
        </w:rPr>
      </w:pPr>
      <w:r w:rsidRPr="00CF0D99">
        <w:rPr>
          <w:rFonts w:ascii="Times New Roman" w:hAnsi="Times New Roman" w:cs="Times New Roman"/>
        </w:rPr>
        <w:t>Toyota should adopt an Accelerated Digital-Electrification Strategy 2030 in accordance with the environmental study. This would boost investment in BEVs, software, and supply-chain resilience while maintaining the adaptability of its multi-pathway strategy.</w:t>
      </w:r>
    </w:p>
    <w:p w14:paraId="3FDB6AEF" w14:textId="3F6E5310" w:rsidR="009151D8" w:rsidRPr="00CF0D99" w:rsidRDefault="009151D8" w:rsidP="00CF0D99">
      <w:pPr>
        <w:spacing w:line="360" w:lineRule="auto"/>
        <w:rPr>
          <w:rFonts w:ascii="Times New Roman" w:hAnsi="Times New Roman" w:cs="Times New Roman"/>
        </w:rPr>
      </w:pPr>
      <w:r w:rsidRPr="00CF0D99">
        <w:rPr>
          <w:rFonts w:ascii="Times New Roman" w:hAnsi="Times New Roman" w:cs="Times New Roman"/>
        </w:rPr>
        <w:t>Toyota should first expedite the commercialization of next-generation BEVs that are competitive. Stronger BEV skills are required to properly compete with Tesla, BYD, and other new manufacturers, as electric vehicles will account for about 25% of global car sales in 2025 (IEA, 2026).</w:t>
      </w:r>
    </w:p>
    <w:p w14:paraId="149CEB51" w14:textId="6EBD946C" w:rsidR="006C1231" w:rsidRPr="00CF0D99" w:rsidRDefault="006C1231" w:rsidP="00CF0D99">
      <w:pPr>
        <w:spacing w:line="360" w:lineRule="auto"/>
        <w:rPr>
          <w:rFonts w:ascii="Times New Roman" w:hAnsi="Times New Roman" w:cs="Times New Roman"/>
        </w:rPr>
      </w:pPr>
      <w:r w:rsidRPr="00CF0D99">
        <w:rPr>
          <w:rFonts w:ascii="Times New Roman" w:hAnsi="Times New Roman" w:cs="Times New Roman"/>
        </w:rPr>
        <w:t>Second, Toyota should develop linked services, predictive maintenance, personalized functionality, and over-the-air upgrades in addition to growing its Arene software platform. In addition to fostering prospects for ongoing income after the initial vehicle sale, this could improve customer relations</w:t>
      </w:r>
      <w:r w:rsidRPr="00CF0D99">
        <w:rPr>
          <w:rFonts w:ascii="Times New Roman" w:hAnsi="Times New Roman" w:cs="Times New Roman"/>
        </w:rPr>
        <w:t>.</w:t>
      </w:r>
    </w:p>
    <w:p w14:paraId="10D1648B" w14:textId="62FC335A" w:rsidR="009151D8" w:rsidRPr="00CF0D99" w:rsidRDefault="006C1231" w:rsidP="00CF0D99">
      <w:pPr>
        <w:spacing w:line="360" w:lineRule="auto"/>
        <w:rPr>
          <w:rFonts w:ascii="Times New Roman" w:hAnsi="Times New Roman" w:cs="Times New Roman"/>
        </w:rPr>
      </w:pPr>
      <w:r w:rsidRPr="00CF0D99">
        <w:rPr>
          <w:rFonts w:ascii="Times New Roman" w:hAnsi="Times New Roman" w:cs="Times New Roman"/>
        </w:rPr>
        <w:t>Third, Toyota should localize strategically significant components, diversify its suppliers of vital minerals, and boost regional battery production. This would lessen vulnerability to supply shortages, tariffs, and geopolitical unrest.</w:t>
      </w:r>
    </w:p>
    <w:p w14:paraId="1A25F708" w14:textId="11F76756" w:rsidR="006C1231" w:rsidRPr="00CF0D99" w:rsidRDefault="00211288" w:rsidP="00CF0D99">
      <w:pPr>
        <w:spacing w:line="360" w:lineRule="auto"/>
        <w:rPr>
          <w:rFonts w:ascii="Times New Roman" w:hAnsi="Times New Roman" w:cs="Times New Roman"/>
        </w:rPr>
      </w:pPr>
      <w:r w:rsidRPr="00CF0D99">
        <w:rPr>
          <w:rFonts w:ascii="Times New Roman" w:hAnsi="Times New Roman" w:cs="Times New Roman"/>
        </w:rPr>
        <w:t>However, Toyota should continue to use hybrids as a transitional competitive advantage, especially in regions where BEV affordability and charging infrastructure are still limited. Therefore, the suggested approach reduces transition risk while minimizing undue reliance on established technologies by combining Toyota's proven manufacturing, hybrid, and brand strengths with improved capabilities in batteries, AI, and software.</w:t>
      </w:r>
    </w:p>
    <w:p w14:paraId="05FA0D79" w14:textId="1D944A79" w:rsidR="00211288" w:rsidRPr="00CF0D99" w:rsidRDefault="00211288" w:rsidP="00CF0D99">
      <w:pPr>
        <w:pStyle w:val="Heading1"/>
        <w:spacing w:line="360" w:lineRule="auto"/>
        <w:rPr>
          <w:rFonts w:ascii="Times New Roman" w:hAnsi="Times New Roman" w:cs="Times New Roman"/>
          <w:sz w:val="24"/>
          <w:szCs w:val="24"/>
        </w:rPr>
      </w:pPr>
      <w:bookmarkStart w:id="9" w:name="_Toc237464671"/>
      <w:r w:rsidRPr="00CF0D99">
        <w:rPr>
          <w:rFonts w:ascii="Times New Roman" w:hAnsi="Times New Roman" w:cs="Times New Roman"/>
          <w:sz w:val="24"/>
          <w:szCs w:val="24"/>
        </w:rPr>
        <w:t>Conclusion and Recommendations</w:t>
      </w:r>
      <w:bookmarkEnd w:id="9"/>
    </w:p>
    <w:p w14:paraId="0336A8D6" w14:textId="04F1D60E" w:rsidR="00644A68" w:rsidRPr="00CF0D99" w:rsidRDefault="00644A68" w:rsidP="00CF0D99">
      <w:pPr>
        <w:spacing w:line="360" w:lineRule="auto"/>
        <w:rPr>
          <w:rFonts w:ascii="Times New Roman" w:hAnsi="Times New Roman" w:cs="Times New Roman"/>
        </w:rPr>
      </w:pPr>
      <w:r w:rsidRPr="00CF0D99">
        <w:rPr>
          <w:rFonts w:ascii="Times New Roman" w:hAnsi="Times New Roman" w:cs="Times New Roman"/>
        </w:rPr>
        <w:t>Toyota's scale, brand reputation, hybrid competence, and Toyota Production System all contribute to its continued strong position in the global automobile market. However, the foundation of automotive competitive advantage is shifting due to electrification, software-defined vehicles, geopolitical challenges, and more competition from Chinese and technology-focused manufacturers.</w:t>
      </w:r>
    </w:p>
    <w:p w14:paraId="72BCD1F8" w14:textId="62F7DE00" w:rsidR="00211288" w:rsidRPr="00CF0D99" w:rsidRDefault="00644A68" w:rsidP="00CF0D99">
      <w:pPr>
        <w:spacing w:line="360" w:lineRule="auto"/>
        <w:rPr>
          <w:rFonts w:ascii="Times New Roman" w:hAnsi="Times New Roman" w:cs="Times New Roman"/>
        </w:rPr>
      </w:pPr>
      <w:r w:rsidRPr="00CF0D99">
        <w:rPr>
          <w:rFonts w:ascii="Times New Roman" w:hAnsi="Times New Roman" w:cs="Times New Roman"/>
        </w:rPr>
        <w:t>Toyota should accelerate BEVs, software development, and supply-chain localization while maintaining the adaptability of its multi-pathway strategy. Competitive next-generation BEVs, the growth of Arene-enabled services, and regional battery and component supply should be given top priority in the proposed Accelerated Digital-Electrification Strategy 2030.</w:t>
      </w:r>
    </w:p>
    <w:p w14:paraId="3A7E12E8" w14:textId="5EC8F7E6" w:rsidR="00644A68" w:rsidRPr="00CF0D99" w:rsidRDefault="001F7CA3" w:rsidP="00CF0D99">
      <w:pPr>
        <w:spacing w:line="360" w:lineRule="auto"/>
        <w:rPr>
          <w:rFonts w:ascii="Times New Roman" w:hAnsi="Times New Roman" w:cs="Times New Roman"/>
        </w:rPr>
      </w:pPr>
      <w:r w:rsidRPr="00CF0D99">
        <w:rPr>
          <w:rFonts w:ascii="Times New Roman" w:hAnsi="Times New Roman" w:cs="Times New Roman"/>
        </w:rPr>
        <w:t>Instead of becoming Toyota's key long-term growth platform, hybrids should continue to be a significant transitional strength. Toyota can preserve its competitive advantages and improve its standing in the shift to sustainable, connected transportation by fusing stronger electric and digital expertise with proven operational capabilities.</w:t>
      </w:r>
    </w:p>
    <w:p w14:paraId="05B54020" w14:textId="77777777" w:rsidR="00832BD2" w:rsidRDefault="00832BD2" w:rsidP="00CF0D99">
      <w:pPr>
        <w:pStyle w:val="Heading1"/>
        <w:spacing w:line="360" w:lineRule="auto"/>
        <w:rPr>
          <w:rFonts w:ascii="Times New Roman" w:hAnsi="Times New Roman" w:cs="Times New Roman"/>
          <w:sz w:val="24"/>
          <w:szCs w:val="24"/>
        </w:rPr>
      </w:pPr>
    </w:p>
    <w:p w14:paraId="127F3505" w14:textId="77777777" w:rsidR="00832BD2" w:rsidRDefault="00832BD2" w:rsidP="00CF0D99">
      <w:pPr>
        <w:pStyle w:val="Heading1"/>
        <w:spacing w:line="360" w:lineRule="auto"/>
        <w:rPr>
          <w:rFonts w:ascii="Times New Roman" w:hAnsi="Times New Roman" w:cs="Times New Roman"/>
          <w:sz w:val="24"/>
          <w:szCs w:val="24"/>
        </w:rPr>
      </w:pPr>
    </w:p>
    <w:p w14:paraId="6AF71CEE" w14:textId="77777777" w:rsidR="00832BD2" w:rsidRDefault="00832BD2" w:rsidP="00CF0D99">
      <w:pPr>
        <w:pStyle w:val="Heading1"/>
        <w:spacing w:line="360" w:lineRule="auto"/>
        <w:rPr>
          <w:rFonts w:ascii="Times New Roman" w:hAnsi="Times New Roman" w:cs="Times New Roman"/>
          <w:sz w:val="24"/>
          <w:szCs w:val="24"/>
        </w:rPr>
      </w:pPr>
    </w:p>
    <w:p w14:paraId="032E9B9D" w14:textId="77777777" w:rsidR="00832BD2" w:rsidRDefault="00832BD2" w:rsidP="00CF0D99">
      <w:pPr>
        <w:pStyle w:val="Heading1"/>
        <w:spacing w:line="360" w:lineRule="auto"/>
        <w:rPr>
          <w:rFonts w:ascii="Times New Roman" w:hAnsi="Times New Roman" w:cs="Times New Roman"/>
          <w:sz w:val="24"/>
          <w:szCs w:val="24"/>
        </w:rPr>
      </w:pPr>
    </w:p>
    <w:p w14:paraId="661FCA6D" w14:textId="77777777" w:rsidR="00832BD2" w:rsidRDefault="00832BD2" w:rsidP="00CF0D99">
      <w:pPr>
        <w:pStyle w:val="Heading1"/>
        <w:spacing w:line="360" w:lineRule="auto"/>
        <w:rPr>
          <w:rFonts w:ascii="Times New Roman" w:hAnsi="Times New Roman" w:cs="Times New Roman"/>
          <w:sz w:val="24"/>
          <w:szCs w:val="24"/>
        </w:rPr>
      </w:pPr>
    </w:p>
    <w:p w14:paraId="27534127" w14:textId="77777777" w:rsidR="00832BD2" w:rsidRDefault="00832BD2" w:rsidP="00CF0D99">
      <w:pPr>
        <w:pStyle w:val="Heading1"/>
        <w:spacing w:line="360" w:lineRule="auto"/>
        <w:rPr>
          <w:rFonts w:ascii="Times New Roman" w:hAnsi="Times New Roman" w:cs="Times New Roman"/>
          <w:sz w:val="24"/>
          <w:szCs w:val="24"/>
        </w:rPr>
      </w:pPr>
    </w:p>
    <w:p w14:paraId="0CAD5C44" w14:textId="77777777" w:rsidR="00832BD2" w:rsidRDefault="00832BD2" w:rsidP="00CF0D99">
      <w:pPr>
        <w:pStyle w:val="Heading1"/>
        <w:spacing w:line="360" w:lineRule="auto"/>
        <w:rPr>
          <w:rFonts w:ascii="Times New Roman" w:hAnsi="Times New Roman" w:cs="Times New Roman"/>
          <w:sz w:val="24"/>
          <w:szCs w:val="24"/>
        </w:rPr>
      </w:pPr>
    </w:p>
    <w:p w14:paraId="6D57059B" w14:textId="77777777" w:rsidR="00832BD2" w:rsidRDefault="00832BD2" w:rsidP="00CF0D99">
      <w:pPr>
        <w:pStyle w:val="Heading1"/>
        <w:spacing w:line="360" w:lineRule="auto"/>
        <w:rPr>
          <w:rFonts w:ascii="Times New Roman" w:hAnsi="Times New Roman" w:cs="Times New Roman"/>
          <w:sz w:val="24"/>
          <w:szCs w:val="24"/>
        </w:rPr>
      </w:pPr>
    </w:p>
    <w:p w14:paraId="27239DCB" w14:textId="77777777" w:rsidR="00832BD2" w:rsidRDefault="00832BD2" w:rsidP="00CF0D99">
      <w:pPr>
        <w:pStyle w:val="Heading1"/>
        <w:spacing w:line="360" w:lineRule="auto"/>
        <w:rPr>
          <w:rFonts w:ascii="Times New Roman" w:hAnsi="Times New Roman" w:cs="Times New Roman"/>
          <w:sz w:val="24"/>
          <w:szCs w:val="24"/>
        </w:rPr>
      </w:pPr>
    </w:p>
    <w:p w14:paraId="0ABCF2EC" w14:textId="77777777" w:rsidR="00832BD2" w:rsidRDefault="00832BD2" w:rsidP="00CF0D99">
      <w:pPr>
        <w:pStyle w:val="Heading1"/>
        <w:spacing w:line="360" w:lineRule="auto"/>
        <w:rPr>
          <w:rFonts w:ascii="Times New Roman" w:hAnsi="Times New Roman" w:cs="Times New Roman"/>
          <w:sz w:val="24"/>
          <w:szCs w:val="24"/>
        </w:rPr>
      </w:pPr>
    </w:p>
    <w:p w14:paraId="1BE0D817" w14:textId="77777777" w:rsidR="00832BD2" w:rsidRDefault="00832BD2" w:rsidP="00CF0D99">
      <w:pPr>
        <w:pStyle w:val="Heading1"/>
        <w:spacing w:line="360" w:lineRule="auto"/>
        <w:rPr>
          <w:rFonts w:ascii="Times New Roman" w:hAnsi="Times New Roman" w:cs="Times New Roman"/>
          <w:sz w:val="24"/>
          <w:szCs w:val="24"/>
        </w:rPr>
      </w:pPr>
    </w:p>
    <w:p w14:paraId="7C74A4D6" w14:textId="77777777" w:rsidR="00832BD2" w:rsidRPr="00832BD2" w:rsidRDefault="00832BD2" w:rsidP="00832BD2"/>
    <w:p w14:paraId="724A8892" w14:textId="1BCEA70D" w:rsidR="00A6277B" w:rsidRPr="00CF0D99" w:rsidRDefault="00A6277B" w:rsidP="00CF0D99">
      <w:pPr>
        <w:pStyle w:val="Heading1"/>
        <w:spacing w:line="360" w:lineRule="auto"/>
        <w:rPr>
          <w:rFonts w:ascii="Times New Roman" w:hAnsi="Times New Roman" w:cs="Times New Roman"/>
          <w:sz w:val="24"/>
          <w:szCs w:val="24"/>
        </w:rPr>
      </w:pPr>
      <w:bookmarkStart w:id="10" w:name="_Toc237464672"/>
      <w:r w:rsidRPr="00CF0D99">
        <w:rPr>
          <w:rFonts w:ascii="Times New Roman" w:hAnsi="Times New Roman" w:cs="Times New Roman"/>
          <w:sz w:val="24"/>
          <w:szCs w:val="24"/>
        </w:rPr>
        <w:t>Reference list</w:t>
      </w:r>
      <w:bookmarkEnd w:id="10"/>
    </w:p>
    <w:p w14:paraId="3F8F022F" w14:textId="652CA603"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Barney, J.B. (1991) ‘Firm resources and sustained competitive advantage’, </w:t>
      </w:r>
      <w:r w:rsidRPr="00CF0D99">
        <w:rPr>
          <w:rFonts w:ascii="Times New Roman" w:hAnsi="Times New Roman" w:cs="Times New Roman"/>
          <w:i/>
          <w:iCs/>
        </w:rPr>
        <w:t>Journal of Management</w:t>
      </w:r>
      <w:r w:rsidRPr="00CF0D99">
        <w:rPr>
          <w:rFonts w:ascii="Times New Roman" w:hAnsi="Times New Roman" w:cs="Times New Roman"/>
        </w:rPr>
        <w:t xml:space="preserve">, 17(1), pp. 99–120. </w:t>
      </w:r>
    </w:p>
    <w:p w14:paraId="6C538B94" w14:textId="11E67B9B"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International Energy Agency (IEA) (2026) </w:t>
      </w:r>
      <w:r w:rsidRPr="00CF0D99">
        <w:rPr>
          <w:rFonts w:ascii="Times New Roman" w:hAnsi="Times New Roman" w:cs="Times New Roman"/>
          <w:i/>
          <w:iCs/>
        </w:rPr>
        <w:t>Global EV Outlook 2026</w:t>
      </w:r>
      <w:r w:rsidRPr="00CF0D99">
        <w:rPr>
          <w:rFonts w:ascii="Times New Roman" w:hAnsi="Times New Roman" w:cs="Times New Roman"/>
        </w:rPr>
        <w:t xml:space="preserve">. Paris: International Energy Agency. Available at: </w:t>
      </w:r>
      <w:hyperlink r:id="rId6" w:history="1">
        <w:r w:rsidRPr="00CF0D99">
          <w:rPr>
            <w:rStyle w:val="Hyperlink"/>
            <w:rFonts w:ascii="Times New Roman" w:hAnsi="Times New Roman" w:cs="Times New Roman"/>
          </w:rPr>
          <w:t>https://www.iea.org/reports/global-ev-outlook-2026</w:t>
        </w:r>
      </w:hyperlink>
      <w:r w:rsidRPr="00CF0D99">
        <w:rPr>
          <w:rFonts w:ascii="Times New Roman" w:hAnsi="Times New Roman" w:cs="Times New Roman"/>
        </w:rPr>
        <w:t xml:space="preserve"> </w:t>
      </w:r>
      <w:r w:rsidRPr="00CF0D99">
        <w:rPr>
          <w:rFonts w:ascii="Times New Roman" w:hAnsi="Times New Roman" w:cs="Times New Roman"/>
        </w:rPr>
        <w:t>[</w:t>
      </w:r>
      <w:r w:rsidRPr="00CF0D99">
        <w:rPr>
          <w:rFonts w:ascii="Times New Roman" w:hAnsi="Times New Roman" w:cs="Times New Roman"/>
        </w:rPr>
        <w:t>Accessed: 1</w:t>
      </w:r>
      <w:r w:rsidRPr="00CF0D99">
        <w:rPr>
          <w:rFonts w:ascii="Times New Roman" w:hAnsi="Times New Roman" w:cs="Times New Roman"/>
        </w:rPr>
        <w:t>0</w:t>
      </w:r>
      <w:r w:rsidRPr="00CF0D99">
        <w:rPr>
          <w:rFonts w:ascii="Times New Roman" w:hAnsi="Times New Roman" w:cs="Times New Roman"/>
        </w:rPr>
        <w:t xml:space="preserve"> August 2026</w:t>
      </w:r>
      <w:r w:rsidRPr="00CF0D99">
        <w:rPr>
          <w:rFonts w:ascii="Times New Roman" w:hAnsi="Times New Roman" w:cs="Times New Roman"/>
        </w:rPr>
        <w:t>]</w:t>
      </w:r>
      <w:r w:rsidRPr="00CF0D99">
        <w:rPr>
          <w:rFonts w:ascii="Times New Roman" w:hAnsi="Times New Roman" w:cs="Times New Roman"/>
        </w:rPr>
        <w:t>.</w:t>
      </w:r>
    </w:p>
    <w:p w14:paraId="5C1EAA0B" w14:textId="7B212AE7"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Llopis-Albert, C., Rubio, F. and Valero, F. (2021) ‘Impact of digital transformation on the automotive industry’, </w:t>
      </w:r>
      <w:r w:rsidRPr="00CF0D99">
        <w:rPr>
          <w:rFonts w:ascii="Times New Roman" w:hAnsi="Times New Roman" w:cs="Times New Roman"/>
          <w:i/>
          <w:iCs/>
        </w:rPr>
        <w:t>Technological Forecasting and Social Change</w:t>
      </w:r>
      <w:r w:rsidRPr="00CF0D99">
        <w:rPr>
          <w:rFonts w:ascii="Times New Roman" w:hAnsi="Times New Roman" w:cs="Times New Roman"/>
        </w:rPr>
        <w:t xml:space="preserve">, 162, 120343. </w:t>
      </w:r>
    </w:p>
    <w:p w14:paraId="1F6E5CD0" w14:textId="77777777"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Porter, M.E. (2008) ‘The five competitive forces that shape strategy’, </w:t>
      </w:r>
      <w:r w:rsidRPr="00CF0D99">
        <w:rPr>
          <w:rFonts w:ascii="Times New Roman" w:hAnsi="Times New Roman" w:cs="Times New Roman"/>
          <w:i/>
          <w:iCs/>
        </w:rPr>
        <w:t>Harvard Business Review</w:t>
      </w:r>
      <w:r w:rsidRPr="00CF0D99">
        <w:rPr>
          <w:rFonts w:ascii="Times New Roman" w:hAnsi="Times New Roman" w:cs="Times New Roman"/>
        </w:rPr>
        <w:t>, 86(1), pp. 78–93.</w:t>
      </w:r>
    </w:p>
    <w:p w14:paraId="67EB51DB" w14:textId="6105F29C"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Toyota Motor Corporation (2025) </w:t>
      </w:r>
      <w:r w:rsidRPr="00CF0D99">
        <w:rPr>
          <w:rFonts w:ascii="Times New Roman" w:hAnsi="Times New Roman" w:cs="Times New Roman"/>
          <w:i/>
          <w:iCs/>
        </w:rPr>
        <w:t>New RAV4 makes world premiere in Japan</w:t>
      </w:r>
      <w:r w:rsidRPr="00CF0D99">
        <w:rPr>
          <w:rFonts w:ascii="Times New Roman" w:hAnsi="Times New Roman" w:cs="Times New Roman"/>
        </w:rPr>
        <w:t xml:space="preserve">. Available at: </w:t>
      </w:r>
      <w:hyperlink r:id="rId7" w:history="1">
        <w:r w:rsidRPr="00CF0D99">
          <w:rPr>
            <w:rStyle w:val="Hyperlink"/>
            <w:rFonts w:ascii="Times New Roman" w:hAnsi="Times New Roman" w:cs="Times New Roman"/>
          </w:rPr>
          <w:t>https://global.toyota/en/newsroom/toyota/42758168.html</w:t>
        </w:r>
      </w:hyperlink>
      <w:r w:rsidRPr="00CF0D99">
        <w:rPr>
          <w:rFonts w:ascii="Times New Roman" w:hAnsi="Times New Roman" w:cs="Times New Roman"/>
        </w:rPr>
        <w:t xml:space="preserve"> </w:t>
      </w:r>
      <w:r w:rsidRPr="00CF0D99">
        <w:rPr>
          <w:rFonts w:ascii="Times New Roman" w:hAnsi="Times New Roman" w:cs="Times New Roman"/>
        </w:rPr>
        <w:t>[</w:t>
      </w:r>
      <w:r w:rsidRPr="00CF0D99">
        <w:rPr>
          <w:rFonts w:ascii="Times New Roman" w:hAnsi="Times New Roman" w:cs="Times New Roman"/>
        </w:rPr>
        <w:t>Accessed: 11 August 2026</w:t>
      </w:r>
      <w:r w:rsidRPr="00CF0D99">
        <w:rPr>
          <w:rFonts w:ascii="Times New Roman" w:hAnsi="Times New Roman" w:cs="Times New Roman"/>
        </w:rPr>
        <w:t>]</w:t>
      </w:r>
      <w:r w:rsidRPr="00CF0D99">
        <w:rPr>
          <w:rFonts w:ascii="Times New Roman" w:hAnsi="Times New Roman" w:cs="Times New Roman"/>
        </w:rPr>
        <w:t>.</w:t>
      </w:r>
    </w:p>
    <w:p w14:paraId="49B02489" w14:textId="5D10F246"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Toyota Motor Corporation (2026a) </w:t>
      </w:r>
      <w:r w:rsidRPr="00CF0D99">
        <w:rPr>
          <w:rFonts w:ascii="Times New Roman" w:hAnsi="Times New Roman" w:cs="Times New Roman"/>
          <w:i/>
          <w:iCs/>
        </w:rPr>
        <w:t>Overview</w:t>
      </w:r>
      <w:r w:rsidRPr="00CF0D99">
        <w:rPr>
          <w:rFonts w:ascii="Times New Roman" w:hAnsi="Times New Roman" w:cs="Times New Roman"/>
        </w:rPr>
        <w:t xml:space="preserve">. Available at: </w:t>
      </w:r>
      <w:hyperlink r:id="rId8" w:history="1">
        <w:r w:rsidRPr="00CF0D99">
          <w:rPr>
            <w:rStyle w:val="Hyperlink"/>
            <w:rFonts w:ascii="Times New Roman" w:hAnsi="Times New Roman" w:cs="Times New Roman"/>
          </w:rPr>
          <w:t>https://global.toyota/en/company/profile/overview/index.html</w:t>
        </w:r>
      </w:hyperlink>
      <w:r w:rsidRPr="00CF0D99">
        <w:rPr>
          <w:rFonts w:ascii="Times New Roman" w:hAnsi="Times New Roman" w:cs="Times New Roman"/>
        </w:rPr>
        <w:t xml:space="preserve"> </w:t>
      </w:r>
      <w:r w:rsidRPr="00CF0D99">
        <w:rPr>
          <w:rFonts w:ascii="Times New Roman" w:hAnsi="Times New Roman" w:cs="Times New Roman"/>
        </w:rPr>
        <w:t>[</w:t>
      </w:r>
      <w:r w:rsidRPr="00CF0D99">
        <w:rPr>
          <w:rFonts w:ascii="Times New Roman" w:hAnsi="Times New Roman" w:cs="Times New Roman"/>
        </w:rPr>
        <w:t>Accessed: 11 August 2026</w:t>
      </w:r>
      <w:r w:rsidRPr="00CF0D99">
        <w:rPr>
          <w:rFonts w:ascii="Times New Roman" w:hAnsi="Times New Roman" w:cs="Times New Roman"/>
        </w:rPr>
        <w:t>]</w:t>
      </w:r>
      <w:r w:rsidRPr="00CF0D99">
        <w:rPr>
          <w:rFonts w:ascii="Times New Roman" w:hAnsi="Times New Roman" w:cs="Times New Roman"/>
        </w:rPr>
        <w:t>.</w:t>
      </w:r>
    </w:p>
    <w:p w14:paraId="05767DC8" w14:textId="2E52FA94"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Toyota Motor Corporation (2026b) </w:t>
      </w:r>
      <w:r w:rsidRPr="00CF0D99">
        <w:rPr>
          <w:rFonts w:ascii="Times New Roman" w:hAnsi="Times New Roman" w:cs="Times New Roman"/>
          <w:i/>
          <w:iCs/>
        </w:rPr>
        <w:t>Toyota Production System</w:t>
      </w:r>
      <w:r w:rsidRPr="00CF0D99">
        <w:rPr>
          <w:rFonts w:ascii="Times New Roman" w:hAnsi="Times New Roman" w:cs="Times New Roman"/>
        </w:rPr>
        <w:t xml:space="preserve">. Available at: </w:t>
      </w:r>
      <w:hyperlink r:id="rId9" w:history="1">
        <w:r w:rsidRPr="00CF0D99">
          <w:rPr>
            <w:rStyle w:val="Hyperlink"/>
            <w:rFonts w:ascii="Times New Roman" w:hAnsi="Times New Roman" w:cs="Times New Roman"/>
          </w:rPr>
          <w:t>https://global.toyota/en/company/vision-and-philosophy/production-system/index.html</w:t>
        </w:r>
      </w:hyperlink>
      <w:r w:rsidRPr="00CF0D99">
        <w:rPr>
          <w:rFonts w:ascii="Times New Roman" w:hAnsi="Times New Roman" w:cs="Times New Roman"/>
        </w:rPr>
        <w:t xml:space="preserve"> </w:t>
      </w:r>
      <w:r w:rsidRPr="00CF0D99">
        <w:rPr>
          <w:rFonts w:ascii="Times New Roman" w:hAnsi="Times New Roman" w:cs="Times New Roman"/>
        </w:rPr>
        <w:t>[</w:t>
      </w:r>
      <w:r w:rsidRPr="00CF0D99">
        <w:rPr>
          <w:rFonts w:ascii="Times New Roman" w:hAnsi="Times New Roman" w:cs="Times New Roman"/>
        </w:rPr>
        <w:t>Accessed: 11 August 2026</w:t>
      </w:r>
      <w:r w:rsidRPr="00CF0D99">
        <w:rPr>
          <w:rFonts w:ascii="Times New Roman" w:hAnsi="Times New Roman" w:cs="Times New Roman"/>
        </w:rPr>
        <w:t>]</w:t>
      </w:r>
      <w:r w:rsidRPr="00CF0D99">
        <w:rPr>
          <w:rFonts w:ascii="Times New Roman" w:hAnsi="Times New Roman" w:cs="Times New Roman"/>
        </w:rPr>
        <w:t>.</w:t>
      </w:r>
    </w:p>
    <w:p w14:paraId="2DC40540" w14:textId="31939B77"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Toyota Motor Corporation (2026c) </w:t>
      </w:r>
      <w:r w:rsidRPr="00CF0D99">
        <w:rPr>
          <w:rFonts w:ascii="Times New Roman" w:hAnsi="Times New Roman" w:cs="Times New Roman"/>
          <w:i/>
          <w:iCs/>
        </w:rPr>
        <w:t>Toyota Philosophy</w:t>
      </w:r>
      <w:r w:rsidRPr="00CF0D99">
        <w:rPr>
          <w:rFonts w:ascii="Times New Roman" w:hAnsi="Times New Roman" w:cs="Times New Roman"/>
        </w:rPr>
        <w:t xml:space="preserve">. Available at: </w:t>
      </w:r>
      <w:hyperlink r:id="rId10" w:history="1">
        <w:r w:rsidRPr="00CF0D99">
          <w:rPr>
            <w:rStyle w:val="Hyperlink"/>
            <w:rFonts w:ascii="Times New Roman" w:hAnsi="Times New Roman" w:cs="Times New Roman"/>
          </w:rPr>
          <w:t>https://global.toyota/en/company/vision-and-philosophy/philosophy/index.html</w:t>
        </w:r>
      </w:hyperlink>
      <w:r w:rsidRPr="00CF0D99">
        <w:rPr>
          <w:rFonts w:ascii="Times New Roman" w:hAnsi="Times New Roman" w:cs="Times New Roman"/>
        </w:rPr>
        <w:t xml:space="preserve"> </w:t>
      </w:r>
      <w:r w:rsidRPr="00CF0D99">
        <w:rPr>
          <w:rFonts w:ascii="Times New Roman" w:hAnsi="Times New Roman" w:cs="Times New Roman"/>
        </w:rPr>
        <w:t>[</w:t>
      </w:r>
      <w:r w:rsidRPr="00CF0D99">
        <w:rPr>
          <w:rFonts w:ascii="Times New Roman" w:hAnsi="Times New Roman" w:cs="Times New Roman"/>
        </w:rPr>
        <w:t>Accessed: 11 August 2026</w:t>
      </w:r>
      <w:r w:rsidRPr="00CF0D99">
        <w:rPr>
          <w:rFonts w:ascii="Times New Roman" w:hAnsi="Times New Roman" w:cs="Times New Roman"/>
        </w:rPr>
        <w:t>]</w:t>
      </w:r>
      <w:r w:rsidRPr="00CF0D99">
        <w:rPr>
          <w:rFonts w:ascii="Times New Roman" w:hAnsi="Times New Roman" w:cs="Times New Roman"/>
        </w:rPr>
        <w:t>.</w:t>
      </w:r>
    </w:p>
    <w:p w14:paraId="540A2671" w14:textId="5C89CDF3"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Toyota Motor Corporation (2026d) </w:t>
      </w:r>
      <w:r w:rsidRPr="00CF0D99">
        <w:rPr>
          <w:rFonts w:ascii="Times New Roman" w:hAnsi="Times New Roman" w:cs="Times New Roman"/>
          <w:i/>
          <w:iCs/>
        </w:rPr>
        <w:t>Financial Summary FY2026</w:t>
      </w:r>
      <w:r w:rsidRPr="00CF0D99">
        <w:rPr>
          <w:rFonts w:ascii="Times New Roman" w:hAnsi="Times New Roman" w:cs="Times New Roman"/>
        </w:rPr>
        <w:t xml:space="preserve">. Available at: </w:t>
      </w:r>
      <w:hyperlink r:id="rId11" w:history="1">
        <w:r w:rsidRPr="00CF0D99">
          <w:rPr>
            <w:rStyle w:val="Hyperlink"/>
            <w:rFonts w:ascii="Times New Roman" w:hAnsi="Times New Roman" w:cs="Times New Roman"/>
          </w:rPr>
          <w:t>https://global.toyota/pages/global_toyota/ir/financial-results/2026_4q_summary_en.pdf</w:t>
        </w:r>
      </w:hyperlink>
      <w:r w:rsidRPr="00CF0D99">
        <w:rPr>
          <w:rFonts w:ascii="Times New Roman" w:hAnsi="Times New Roman" w:cs="Times New Roman"/>
        </w:rPr>
        <w:t xml:space="preserve"> </w:t>
      </w:r>
      <w:r w:rsidRPr="00CF0D99">
        <w:rPr>
          <w:rFonts w:ascii="Times New Roman" w:hAnsi="Times New Roman" w:cs="Times New Roman"/>
        </w:rPr>
        <w:t>[</w:t>
      </w:r>
      <w:r w:rsidRPr="00CF0D99">
        <w:rPr>
          <w:rFonts w:ascii="Times New Roman" w:hAnsi="Times New Roman" w:cs="Times New Roman"/>
        </w:rPr>
        <w:t xml:space="preserve">Accessed: </w:t>
      </w:r>
      <w:r w:rsidRPr="00CF0D99">
        <w:rPr>
          <w:rFonts w:ascii="Times New Roman" w:hAnsi="Times New Roman" w:cs="Times New Roman"/>
        </w:rPr>
        <w:t>11</w:t>
      </w:r>
      <w:r w:rsidRPr="00CF0D99">
        <w:rPr>
          <w:rFonts w:ascii="Times New Roman" w:hAnsi="Times New Roman" w:cs="Times New Roman"/>
        </w:rPr>
        <w:t xml:space="preserve"> August 2026</w:t>
      </w:r>
      <w:r w:rsidRPr="00CF0D99">
        <w:rPr>
          <w:rFonts w:ascii="Times New Roman" w:hAnsi="Times New Roman" w:cs="Times New Roman"/>
        </w:rPr>
        <w:t>]</w:t>
      </w:r>
      <w:r w:rsidRPr="00CF0D99">
        <w:rPr>
          <w:rFonts w:ascii="Times New Roman" w:hAnsi="Times New Roman" w:cs="Times New Roman"/>
        </w:rPr>
        <w:t>.</w:t>
      </w:r>
    </w:p>
    <w:p w14:paraId="24718DC0" w14:textId="6B6A9D38"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Toyota Motor Corporation (2026e) </w:t>
      </w:r>
      <w:r w:rsidRPr="00CF0D99">
        <w:rPr>
          <w:rFonts w:ascii="Times New Roman" w:hAnsi="Times New Roman" w:cs="Times New Roman"/>
          <w:i/>
          <w:iCs/>
        </w:rPr>
        <w:t>Financial Summary FY2027 First Quarter</w:t>
      </w:r>
      <w:r w:rsidRPr="00CF0D99">
        <w:rPr>
          <w:rFonts w:ascii="Times New Roman" w:hAnsi="Times New Roman" w:cs="Times New Roman"/>
        </w:rPr>
        <w:t xml:space="preserve">. Available at: </w:t>
      </w:r>
      <w:hyperlink r:id="rId12" w:history="1">
        <w:r w:rsidRPr="00CF0D99">
          <w:rPr>
            <w:rStyle w:val="Hyperlink"/>
            <w:rFonts w:ascii="Times New Roman" w:hAnsi="Times New Roman" w:cs="Times New Roman"/>
          </w:rPr>
          <w:t>https://global.toyota/pages/global_toyota/ir/financial-results/2027_1q_summary_en.pdf</w:t>
        </w:r>
      </w:hyperlink>
      <w:r w:rsidRPr="00CF0D99">
        <w:rPr>
          <w:rFonts w:ascii="Times New Roman" w:hAnsi="Times New Roman" w:cs="Times New Roman"/>
        </w:rPr>
        <w:t xml:space="preserve"> </w:t>
      </w:r>
      <w:r w:rsidRPr="00CF0D99">
        <w:rPr>
          <w:rFonts w:ascii="Times New Roman" w:hAnsi="Times New Roman" w:cs="Times New Roman"/>
        </w:rPr>
        <w:t>[</w:t>
      </w:r>
      <w:r w:rsidRPr="00CF0D99">
        <w:rPr>
          <w:rFonts w:ascii="Times New Roman" w:hAnsi="Times New Roman" w:cs="Times New Roman"/>
        </w:rPr>
        <w:t>Accessed: 11 August 2026</w:t>
      </w:r>
      <w:r w:rsidRPr="00CF0D99">
        <w:rPr>
          <w:rFonts w:ascii="Times New Roman" w:hAnsi="Times New Roman" w:cs="Times New Roman"/>
        </w:rPr>
        <w:t>]</w:t>
      </w:r>
      <w:r w:rsidRPr="00CF0D99">
        <w:rPr>
          <w:rFonts w:ascii="Times New Roman" w:hAnsi="Times New Roman" w:cs="Times New Roman"/>
        </w:rPr>
        <w:t>.</w:t>
      </w:r>
    </w:p>
    <w:p w14:paraId="3357CA47" w14:textId="77777777"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Whittington, R., Regnér, P., Angwin, D., Johnson, G. and Scholes, K. (2019) </w:t>
      </w:r>
      <w:r w:rsidRPr="00CF0D99">
        <w:rPr>
          <w:rFonts w:ascii="Times New Roman" w:hAnsi="Times New Roman" w:cs="Times New Roman"/>
          <w:i/>
          <w:iCs/>
        </w:rPr>
        <w:t>Exploring Strategy: Text and Cases</w:t>
      </w:r>
      <w:r w:rsidRPr="00CF0D99">
        <w:rPr>
          <w:rFonts w:ascii="Times New Roman" w:hAnsi="Times New Roman" w:cs="Times New Roman"/>
        </w:rPr>
        <w:t>. 12th edn. Harlow: Pearson.</w:t>
      </w:r>
    </w:p>
    <w:p w14:paraId="49F7E33A" w14:textId="7FB914AB" w:rsidR="00A6277B" w:rsidRPr="00CF0D99" w:rsidRDefault="00A6277B" w:rsidP="00CF0D99">
      <w:pPr>
        <w:spacing w:line="360" w:lineRule="auto"/>
        <w:rPr>
          <w:rFonts w:ascii="Times New Roman" w:hAnsi="Times New Roman" w:cs="Times New Roman"/>
        </w:rPr>
      </w:pPr>
      <w:r w:rsidRPr="00CF0D99">
        <w:rPr>
          <w:rFonts w:ascii="Times New Roman" w:hAnsi="Times New Roman" w:cs="Times New Roman"/>
        </w:rPr>
        <w:t xml:space="preserve">Ziegler, D. and Abdelkafi, N. (2022) ‘Business models for electric vehicles: Literature review and key insights’, </w:t>
      </w:r>
      <w:r w:rsidRPr="00CF0D99">
        <w:rPr>
          <w:rFonts w:ascii="Times New Roman" w:hAnsi="Times New Roman" w:cs="Times New Roman"/>
          <w:i/>
          <w:iCs/>
        </w:rPr>
        <w:t>Journal of Cleaner Production</w:t>
      </w:r>
      <w:r w:rsidRPr="00CF0D99">
        <w:rPr>
          <w:rFonts w:ascii="Times New Roman" w:hAnsi="Times New Roman" w:cs="Times New Roman"/>
        </w:rPr>
        <w:t>, 330, 129803.</w:t>
      </w:r>
    </w:p>
    <w:p w14:paraId="5DAFC6DE" w14:textId="77777777" w:rsidR="00A6277B" w:rsidRPr="00A6277B" w:rsidRDefault="00A6277B" w:rsidP="00A6277B"/>
    <w:p w14:paraId="6FE5EC3C" w14:textId="77777777" w:rsidR="005440E3" w:rsidRPr="00D568B9" w:rsidRDefault="005440E3" w:rsidP="005440E3"/>
    <w:p w14:paraId="11549437" w14:textId="77777777" w:rsidR="00F76992" w:rsidRPr="00F76992" w:rsidRDefault="00F76992" w:rsidP="00F76992"/>
    <w:p w14:paraId="7619A072" w14:textId="5F6C012F" w:rsidR="00943E90" w:rsidRPr="007F11A4" w:rsidRDefault="00EC27B4" w:rsidP="00007219">
      <w:pPr>
        <w:pStyle w:val="Heading1"/>
      </w:pPr>
      <w:r>
        <w:t xml:space="preserve"> </w:t>
      </w:r>
    </w:p>
    <w:sectPr w:rsidR="00943E90" w:rsidRPr="007F11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7E13"/>
    <w:rsid w:val="00007219"/>
    <w:rsid w:val="000C7F7C"/>
    <w:rsid w:val="001177CE"/>
    <w:rsid w:val="00155090"/>
    <w:rsid w:val="001F7CA3"/>
    <w:rsid w:val="00211288"/>
    <w:rsid w:val="002C5486"/>
    <w:rsid w:val="003705F2"/>
    <w:rsid w:val="00387811"/>
    <w:rsid w:val="003A383D"/>
    <w:rsid w:val="003F6358"/>
    <w:rsid w:val="0040335F"/>
    <w:rsid w:val="00492C87"/>
    <w:rsid w:val="004F030B"/>
    <w:rsid w:val="00530572"/>
    <w:rsid w:val="005440E3"/>
    <w:rsid w:val="00644A68"/>
    <w:rsid w:val="00686255"/>
    <w:rsid w:val="006B5E2C"/>
    <w:rsid w:val="006C1231"/>
    <w:rsid w:val="006D15B6"/>
    <w:rsid w:val="007F11A4"/>
    <w:rsid w:val="007F34FE"/>
    <w:rsid w:val="00822611"/>
    <w:rsid w:val="00832BD2"/>
    <w:rsid w:val="00833EAE"/>
    <w:rsid w:val="009151D8"/>
    <w:rsid w:val="00917E13"/>
    <w:rsid w:val="00943E90"/>
    <w:rsid w:val="009D0D5D"/>
    <w:rsid w:val="00A6277B"/>
    <w:rsid w:val="00B4380D"/>
    <w:rsid w:val="00B868E5"/>
    <w:rsid w:val="00B95E05"/>
    <w:rsid w:val="00BA74CE"/>
    <w:rsid w:val="00C26662"/>
    <w:rsid w:val="00CC7292"/>
    <w:rsid w:val="00CF0D99"/>
    <w:rsid w:val="00D568B9"/>
    <w:rsid w:val="00EC27B4"/>
    <w:rsid w:val="00F57989"/>
    <w:rsid w:val="00F76992"/>
    <w:rsid w:val="00F8163F"/>
    <w:rsid w:val="00FA36DE"/>
    <w:rsid w:val="00FC5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01CC5"/>
  <w15:chartTrackingRefBased/>
  <w15:docId w15:val="{F6D2D01B-C494-4A58-AA1D-9FCA0FEC42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F030B"/>
    <w:pPr>
      <w:spacing w:line="276" w:lineRule="auto"/>
    </w:pPr>
  </w:style>
  <w:style w:type="paragraph" w:styleId="Heading1">
    <w:name w:val="heading 1"/>
    <w:basedOn w:val="Normal"/>
    <w:next w:val="Normal"/>
    <w:link w:val="Heading1Char"/>
    <w:uiPriority w:val="9"/>
    <w:qFormat/>
    <w:rsid w:val="00917E13"/>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17E13"/>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17E13"/>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17E13"/>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17E13"/>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17E13"/>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17E13"/>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17E13"/>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17E13"/>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7E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17E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17E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17E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17E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17E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17E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17E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17E13"/>
    <w:rPr>
      <w:rFonts w:eastAsiaTheme="majorEastAsia" w:cstheme="majorBidi"/>
      <w:color w:val="272727" w:themeColor="text1" w:themeTint="D8"/>
    </w:rPr>
  </w:style>
  <w:style w:type="paragraph" w:styleId="Title">
    <w:name w:val="Title"/>
    <w:basedOn w:val="Normal"/>
    <w:next w:val="Normal"/>
    <w:link w:val="TitleChar"/>
    <w:uiPriority w:val="10"/>
    <w:qFormat/>
    <w:rsid w:val="00917E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17E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17E13"/>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17E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17E13"/>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917E13"/>
    <w:rPr>
      <w:i/>
      <w:iCs/>
      <w:color w:val="404040" w:themeColor="text1" w:themeTint="BF"/>
    </w:rPr>
  </w:style>
  <w:style w:type="paragraph" w:styleId="ListParagraph">
    <w:name w:val="List Paragraph"/>
    <w:basedOn w:val="Normal"/>
    <w:uiPriority w:val="34"/>
    <w:qFormat/>
    <w:rsid w:val="00917E13"/>
    <w:pPr>
      <w:spacing w:line="278" w:lineRule="auto"/>
      <w:ind w:left="720"/>
      <w:contextualSpacing/>
    </w:pPr>
  </w:style>
  <w:style w:type="character" w:styleId="IntenseEmphasis">
    <w:name w:val="Intense Emphasis"/>
    <w:basedOn w:val="DefaultParagraphFont"/>
    <w:uiPriority w:val="21"/>
    <w:qFormat/>
    <w:rsid w:val="00917E13"/>
    <w:rPr>
      <w:i/>
      <w:iCs/>
      <w:color w:val="0F4761" w:themeColor="accent1" w:themeShade="BF"/>
    </w:rPr>
  </w:style>
  <w:style w:type="paragraph" w:styleId="IntenseQuote">
    <w:name w:val="Intense Quote"/>
    <w:basedOn w:val="Normal"/>
    <w:next w:val="Normal"/>
    <w:link w:val="IntenseQuoteChar"/>
    <w:uiPriority w:val="30"/>
    <w:qFormat/>
    <w:rsid w:val="00917E13"/>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17E13"/>
    <w:rPr>
      <w:i/>
      <w:iCs/>
      <w:color w:val="0F4761" w:themeColor="accent1" w:themeShade="BF"/>
    </w:rPr>
  </w:style>
  <w:style w:type="character" w:styleId="IntenseReference">
    <w:name w:val="Intense Reference"/>
    <w:basedOn w:val="DefaultParagraphFont"/>
    <w:uiPriority w:val="32"/>
    <w:qFormat/>
    <w:rsid w:val="00917E13"/>
    <w:rPr>
      <w:b/>
      <w:bCs/>
      <w:smallCaps/>
      <w:color w:val="0F4761" w:themeColor="accent1" w:themeShade="BF"/>
      <w:spacing w:val="5"/>
    </w:rPr>
  </w:style>
  <w:style w:type="paragraph" w:styleId="TOCHeading">
    <w:name w:val="TOC Heading"/>
    <w:basedOn w:val="Heading1"/>
    <w:next w:val="Normal"/>
    <w:uiPriority w:val="39"/>
    <w:unhideWhenUsed/>
    <w:qFormat/>
    <w:rsid w:val="004F030B"/>
    <w:pPr>
      <w:spacing w:before="240" w:after="0" w:line="259" w:lineRule="auto"/>
      <w:outlineLvl w:val="9"/>
    </w:pPr>
    <w:rPr>
      <w:kern w:val="0"/>
      <w:sz w:val="32"/>
      <w:szCs w:val="32"/>
      <w:lang w:val="en-US"/>
      <w14:ligatures w14:val="none"/>
    </w:rPr>
  </w:style>
  <w:style w:type="character" w:styleId="Hyperlink">
    <w:name w:val="Hyperlink"/>
    <w:basedOn w:val="DefaultParagraphFont"/>
    <w:uiPriority w:val="99"/>
    <w:unhideWhenUsed/>
    <w:rsid w:val="00A6277B"/>
    <w:rPr>
      <w:color w:val="467886" w:themeColor="hyperlink"/>
      <w:u w:val="single"/>
    </w:rPr>
  </w:style>
  <w:style w:type="character" w:styleId="UnresolvedMention">
    <w:name w:val="Unresolved Mention"/>
    <w:basedOn w:val="DefaultParagraphFont"/>
    <w:uiPriority w:val="99"/>
    <w:semiHidden/>
    <w:unhideWhenUsed/>
    <w:rsid w:val="00A6277B"/>
    <w:rPr>
      <w:color w:val="605E5C"/>
      <w:shd w:val="clear" w:color="auto" w:fill="E1DFDD"/>
    </w:rPr>
  </w:style>
  <w:style w:type="paragraph" w:styleId="TOC1">
    <w:name w:val="toc 1"/>
    <w:basedOn w:val="Normal"/>
    <w:next w:val="Normal"/>
    <w:autoRedefine/>
    <w:uiPriority w:val="39"/>
    <w:unhideWhenUsed/>
    <w:rsid w:val="00832BD2"/>
    <w:pPr>
      <w:spacing w:after="100"/>
    </w:pPr>
  </w:style>
  <w:style w:type="paragraph" w:styleId="TOC2">
    <w:name w:val="toc 2"/>
    <w:basedOn w:val="Normal"/>
    <w:next w:val="Normal"/>
    <w:autoRedefine/>
    <w:uiPriority w:val="39"/>
    <w:unhideWhenUsed/>
    <w:rsid w:val="00832BD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lobal.toyota/en/company/profile/overview/index.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global.toyota/en/newsroom/toyota/42758168.html" TargetMode="External"/><Relationship Id="rId12" Type="http://schemas.openxmlformats.org/officeDocument/2006/relationships/hyperlink" Target="https://global.toyota/pages/global_toyota/ir/financial-results/2027_1q_summary_en.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iea.org/reports/global-ev-outlook-2026" TargetMode="External"/><Relationship Id="rId11" Type="http://schemas.openxmlformats.org/officeDocument/2006/relationships/hyperlink" Target="https://global.toyota/pages/global_toyota/ir/financial-results/2026_4q_summary_en.pdf" TargetMode="External"/><Relationship Id="rId5" Type="http://schemas.openxmlformats.org/officeDocument/2006/relationships/image" Target="media/image1.jpeg"/><Relationship Id="rId10" Type="http://schemas.openxmlformats.org/officeDocument/2006/relationships/hyperlink" Target="https://global.toyota/en/company/vision-and-philosophy/philosophy/index.html" TargetMode="External"/><Relationship Id="rId4" Type="http://schemas.openxmlformats.org/officeDocument/2006/relationships/webSettings" Target="webSettings.xml"/><Relationship Id="rId9" Type="http://schemas.openxmlformats.org/officeDocument/2006/relationships/hyperlink" Target="https://global.toyota/en/company/vision-and-philosophy/production-system/index.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498D55-C6C5-41CE-8561-FFD263826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11</Pages>
  <Words>2700</Words>
  <Characters>15395</Characters>
  <Application>Microsoft Office Word</Application>
  <DocSecurity>0</DocSecurity>
  <Lines>128</Lines>
  <Paragraphs>36</Paragraphs>
  <ScaleCrop>false</ScaleCrop>
  <Company/>
  <LinksUpToDate>false</LinksUpToDate>
  <CharactersWithSpaces>18059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alisa mercar</dc:creator>
  <cp:keywords/>
  <dc:description/>
  <cp:lastModifiedBy>alisa mercar</cp:lastModifiedBy>
  <cp:revision>43</cp:revision>
  <dcterms:created xsi:type="dcterms:W3CDTF">2026-08-12T21:27:00Z</dcterms:created>
  <dcterms:modified xsi:type="dcterms:W3CDTF">2026-08-12T22:04:00Z</dcterms:modified>
</cp:coreProperties>
</file>