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jc w:val="center"/>
        <w:rPr>
          <w:rFonts w:ascii="Times New Roman" w:hAnsi="Times New Roman" w:eastAsia="Times New Roman" w:cs="Times New Roman"/>
          <w:b/>
          <w:b/>
          <w:sz w:val="32"/>
          <w:szCs w:val="32"/>
          <w:u w:val="single"/>
          <w:lang w:val="en-GB"/>
        </w:rPr>
      </w:pPr>
      <w:r>
        <w:rPr>
          <w:rFonts w:eastAsia="Times New Roman" w:cs="Times New Roman" w:ascii="Times New Roman" w:hAnsi="Times New Roman"/>
          <w:b/>
          <w:sz w:val="32"/>
          <w:szCs w:val="32"/>
          <w:u w:val="single"/>
          <w:lang w:val="en-GB"/>
        </w:rPr>
        <w:t>Law and Legal Practice</w:t>
      </w:r>
      <w:r>
        <w:br w:type="page"/>
      </w:r>
    </w:p>
    <w:p>
      <w:pPr>
        <w:pStyle w:val="Normal1"/>
        <w:spacing w:lineRule="auto" w:line="360"/>
        <w:jc w:val="center"/>
        <w:rPr>
          <w:rFonts w:ascii="Times New Roman" w:hAnsi="Times New Roman" w:eastAsia="Times New Roman" w:cs="Times New Roman"/>
          <w:b/>
          <w:b/>
          <w:sz w:val="24"/>
          <w:szCs w:val="24"/>
          <w:u w:val="single"/>
          <w:lang w:val="en-GB"/>
        </w:rPr>
      </w:pPr>
      <w:r>
        <w:rPr>
          <w:rFonts w:eastAsia="Times New Roman" w:cs="Times New Roman" w:ascii="Times New Roman" w:hAnsi="Times New Roman"/>
          <w:b/>
          <w:sz w:val="24"/>
          <w:szCs w:val="24"/>
          <w:u w:val="single"/>
          <w:lang w:val="en-GB"/>
        </w:rPr>
        <w:t>Table of Contents</w:t>
      </w:r>
    </w:p>
    <w:sdt>
      <w:sdtPr>
        <w:docPartObj>
          <w:docPartGallery w:val="Table of Contents"/>
          <w:docPartUnique w:val="true"/>
        </w:docPartObj>
      </w:sdtPr>
      <w:sdtContent>
        <w:p>
          <w:pPr>
            <w:pStyle w:val="Normal1"/>
            <w:tabs>
              <w:tab w:val="clear" w:pos="720"/>
              <w:tab w:val="right" w:pos="9025" w:leader="none"/>
            </w:tabs>
            <w:spacing w:lineRule="auto" w:line="360" w:before="80" w:after="0"/>
            <w:jc w:val="both"/>
            <w:rPr>
              <w:rFonts w:ascii="Times New Roman" w:hAnsi="Times New Roman" w:eastAsia="Times New Roman" w:cs="Times New Roman"/>
              <w:lang w:val="en-GB"/>
            </w:rPr>
          </w:pPr>
          <w:r>
            <w:fldChar w:fldCharType="begin"/>
          </w:r>
          <w:r>
            <w:rPr>
              <w:webHidden/>
              <w:rStyle w:val="IndexLink"/>
              <w:rFonts w:eastAsia="Times New Roman" w:cs="Times New Roman" w:ascii="Times New Roman" w:hAnsi="Times New Roman"/>
              <w:lang w:val="en-GB"/>
            </w:rPr>
            <w:instrText xml:space="preserve"> TOC \z \o "1-9" \u \h</w:instrText>
          </w:r>
          <w:r>
            <w:rPr>
              <w:webHidden/>
              <w:rStyle w:val="IndexLink"/>
              <w:rFonts w:eastAsia="Times New Roman" w:cs="Times New Roman" w:ascii="Times New Roman" w:hAnsi="Times New Roman"/>
              <w:lang w:val="en-GB"/>
            </w:rPr>
            <w:fldChar w:fldCharType="separate"/>
          </w:r>
          <w:hyperlink w:anchor="_r7nacglnpnvq">
            <w:r>
              <w:rPr>
                <w:webHidden/>
                <w:rStyle w:val="IndexLink"/>
                <w:rFonts w:eastAsia="Times New Roman" w:cs="Times New Roman" w:ascii="Times New Roman" w:hAnsi="Times New Roman"/>
                <w:lang w:val="en-GB"/>
              </w:rPr>
              <w:t>INTERNAL MEMORANDUM</w:t>
            </w:r>
          </w:hyperlink>
          <w:r>
            <w:rPr>
              <w:rFonts w:eastAsia="Times New Roman" w:cs="Times New Roman" w:ascii="Times New Roman" w:hAnsi="Times New Roman"/>
              <w:lang w:val="en-GB"/>
            </w:rPr>
            <w:tab/>
            <w:t>3</w:t>
          </w:r>
        </w:p>
        <w:p>
          <w:pPr>
            <w:pStyle w:val="Normal1"/>
            <w:tabs>
              <w:tab w:val="clear" w:pos="720"/>
              <w:tab w:val="right" w:pos="9025" w:leader="none"/>
            </w:tabs>
            <w:spacing w:lineRule="auto" w:line="360" w:before="200" w:after="80"/>
            <w:jc w:val="both"/>
            <w:rPr>
              <w:rFonts w:ascii="Times New Roman" w:hAnsi="Times New Roman" w:eastAsia="Times New Roman" w:cs="Times New Roman"/>
              <w:lang w:val="en-GB"/>
            </w:rPr>
          </w:pPr>
          <w:hyperlink w:anchor="_3271gamcueu6">
            <w:r>
              <w:rPr>
                <w:webHidden/>
                <w:rStyle w:val="IndexLink"/>
                <w:rFonts w:eastAsia="Times New Roman" w:cs="Times New Roman" w:ascii="Times New Roman" w:hAnsi="Times New Roman"/>
                <w:lang w:val="en-GB"/>
              </w:rPr>
              <w:t>References</w:t>
            </w:r>
          </w:hyperlink>
          <w:r>
            <w:rPr>
              <w:rFonts w:eastAsia="Times New Roman" w:cs="Times New Roman" w:ascii="Times New Roman" w:hAnsi="Times New Roman"/>
              <w:lang w:val="en-GB"/>
            </w:rPr>
            <w:tab/>
            <w:t>7</w:t>
          </w:r>
          <w:r>
            <w:rPr>
              <w:rFonts w:eastAsia="Times New Roman" w:cs="Times New Roman" w:ascii="Times New Roman" w:hAnsi="Times New Roman"/>
              <w:lang w:val="en-GB"/>
            </w:rPr>
            <w:fldChar w:fldCharType="end"/>
          </w:r>
        </w:p>
      </w:sdtContent>
    </w:sdt>
    <w:p>
      <w:pPr>
        <w:pStyle w:val="Normal1"/>
        <w:rPr>
          <w:rFonts w:ascii="Times New Roman" w:hAnsi="Times New Roman" w:eastAsia="Times New Roman" w:cs="Times New Roman"/>
          <w:b/>
          <w:b/>
          <w:sz w:val="24"/>
          <w:szCs w:val="24"/>
          <w:u w:val="single"/>
          <w:lang w:val="en-GB"/>
        </w:rPr>
      </w:pPr>
      <w:r>
        <w:rPr>
          <w:rFonts w:eastAsia="Times New Roman" w:cs="Times New Roman" w:ascii="Times New Roman" w:hAnsi="Times New Roman"/>
          <w:b/>
          <w:sz w:val="24"/>
          <w:szCs w:val="24"/>
          <w:u w:val="single"/>
          <w:lang w:val="en-GB"/>
        </w:rPr>
      </w:r>
    </w:p>
    <w:p>
      <w:pPr>
        <w:pStyle w:val="Normal1"/>
        <w:spacing w:lineRule="auto" w:line="360"/>
        <w:jc w:val="center"/>
        <w:rPr>
          <w:rFonts w:ascii="Times New Roman" w:hAnsi="Times New Roman" w:eastAsia="Times New Roman" w:cs="Times New Roman"/>
          <w:b/>
          <w:b/>
          <w:sz w:val="24"/>
          <w:szCs w:val="24"/>
          <w:u w:val="single"/>
          <w:lang w:val="en-GB"/>
        </w:rPr>
      </w:pPr>
      <w:r>
        <w:rPr>
          <w:rFonts w:eastAsia="Times New Roman" w:cs="Times New Roman" w:ascii="Times New Roman" w:hAnsi="Times New Roman"/>
          <w:b/>
          <w:sz w:val="24"/>
          <w:szCs w:val="24"/>
          <w:u w:val="single"/>
          <w:lang w:val="en-GB"/>
        </w:rPr>
      </w:r>
      <w:r>
        <w:br w:type="page"/>
      </w:r>
    </w:p>
    <w:p>
      <w:pPr>
        <w:pStyle w:val="Heading1"/>
        <w:rPr>
          <w:lang w:val="en-GB"/>
        </w:rPr>
      </w:pPr>
      <w:bookmarkStart w:id="0" w:name="_r7nacglnpnvq"/>
      <w:bookmarkEnd w:id="0"/>
      <w:r>
        <w:rPr>
          <w:lang w:val="en-GB"/>
        </w:rPr>
        <w:t>INTERNAL MEMORANDUM</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TO: Thomas Trinity</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 xml:space="preserve">FROM: </w:t>
      </w:r>
      <w:r>
        <w:rPr>
          <w:rFonts w:eastAsia="Times New Roman" w:cs="Times New Roman" w:ascii="Times New Roman" w:hAnsi="Times New Roman"/>
          <w:b/>
          <w:sz w:val="24"/>
          <w:szCs w:val="24"/>
          <w:lang w:val="en-GB"/>
        </w:rPr>
        <w:t>Gabriel Pop</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MATTER: The case of SARAH JONES</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b/>
          <w:sz w:val="24"/>
          <w:szCs w:val="24"/>
          <w:lang w:val="en-GB"/>
        </w:rPr>
        <w:t xml:space="preserve">DATE: </w:t>
      </w:r>
      <w:r>
        <w:rPr>
          <w:rFonts w:eastAsia="Times New Roman" w:cs="Times New Roman" w:ascii="Times New Roman" w:hAnsi="Times New Roman"/>
          <w:b/>
          <w:sz w:val="24"/>
          <w:szCs w:val="24"/>
          <w:lang w:val="en-GB"/>
        </w:rPr>
        <w:t>10/11/2022</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This is the case of Miss Sarah Jones. </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I will set out below the following</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w:t>
      </w:r>
      <w:r>
        <w:rPr>
          <w:rFonts w:eastAsia="Times New Roman" w:cs="Times New Roman" w:ascii="Times New Roman" w:hAnsi="Times New Roman"/>
          <w:b/>
          <w:sz w:val="24"/>
          <w:szCs w:val="24"/>
          <w:lang w:val="en-GB"/>
        </w:rPr>
        <w:t>The law for the offences and the role of mens rea and actus reus”</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The offence claimed by Miss Nora Davies and for which Miss Sarah Jones has been arrested is the theft of a Gucci handbag that belonged to Miss Davies. According to her, the bag was a gift from her grandmother who is now deceased and she has lost the receipt for the bag. Miss Jones can be convicted on account of the common law under the </w:t>
      </w:r>
      <w:r>
        <w:rPr>
          <w:rFonts w:eastAsia="Times New Roman" w:cs="Times New Roman" w:ascii="Times New Roman" w:hAnsi="Times New Roman"/>
          <w:b/>
          <w:i/>
          <w:sz w:val="24"/>
          <w:szCs w:val="24"/>
          <w:lang w:val="en-GB"/>
        </w:rPr>
        <w:t xml:space="preserve">“Theft Act 1968 (TA 1968)” </w:t>
      </w:r>
      <w:r>
        <w:rPr>
          <w:rFonts w:eastAsia="Times New Roman" w:cs="Times New Roman" w:ascii="Times New Roman" w:hAnsi="Times New Roman"/>
          <w:sz w:val="24"/>
          <w:szCs w:val="24"/>
          <w:lang w:val="en-GB"/>
        </w:rPr>
        <w:t xml:space="preserve">and the </w:t>
      </w:r>
      <w:r>
        <w:rPr>
          <w:rFonts w:eastAsia="Times New Roman" w:cs="Times New Roman" w:ascii="Times New Roman" w:hAnsi="Times New Roman"/>
          <w:b/>
          <w:i/>
          <w:sz w:val="24"/>
          <w:szCs w:val="24"/>
          <w:lang w:val="en-GB"/>
        </w:rPr>
        <w:t xml:space="preserve">“Theft Act 1978 (TA 1978)” </w:t>
      </w:r>
      <w:r>
        <w:rPr>
          <w:rFonts w:eastAsia="Times New Roman" w:cs="Times New Roman" w:ascii="Times New Roman" w:hAnsi="Times New Roman"/>
          <w:sz w:val="24"/>
          <w:szCs w:val="24"/>
          <w:lang w:val="en-GB"/>
        </w:rPr>
        <w:t>(Dambe and Fombad, 2020)</w:t>
      </w:r>
      <w:r>
        <w:rPr>
          <w:rFonts w:eastAsia="Times New Roman" w:cs="Times New Roman" w:ascii="Times New Roman" w:hAnsi="Times New Roman"/>
          <w:b/>
          <w:i/>
          <w:sz w:val="24"/>
          <w:szCs w:val="24"/>
          <w:lang w:val="en-GB"/>
        </w:rPr>
        <w:t xml:space="preserve">. </w:t>
      </w:r>
      <w:r>
        <w:rPr>
          <w:rFonts w:eastAsia="Times New Roman" w:cs="Times New Roman" w:ascii="Times New Roman" w:hAnsi="Times New Roman"/>
          <w:sz w:val="24"/>
          <w:szCs w:val="24"/>
          <w:lang w:val="en-GB"/>
        </w:rPr>
        <w:t xml:space="preserve">Assault is another offence that can be charged under the </w:t>
      </w:r>
      <w:r>
        <w:rPr>
          <w:rFonts w:eastAsia="Times New Roman" w:cs="Times New Roman" w:ascii="Times New Roman" w:hAnsi="Times New Roman"/>
          <w:b/>
          <w:i/>
          <w:sz w:val="24"/>
          <w:szCs w:val="24"/>
          <w:lang w:val="en-GB"/>
        </w:rPr>
        <w:t xml:space="preserve">“Offences Against the Person Act 1861”. </w:t>
      </w:r>
      <w:r>
        <w:rPr>
          <w:rFonts w:eastAsia="Times New Roman" w:cs="Times New Roman" w:ascii="Times New Roman" w:hAnsi="Times New Roman"/>
          <w:sz w:val="24"/>
          <w:szCs w:val="24"/>
          <w:lang w:val="en-GB"/>
        </w:rPr>
        <w:t xml:space="preserve">Under this law, a person can be charged with two types of assault namely </w:t>
      </w:r>
      <w:r>
        <w:rPr>
          <w:rFonts w:eastAsia="Times New Roman" w:cs="Times New Roman" w:ascii="Times New Roman" w:hAnsi="Times New Roman"/>
          <w:i/>
          <w:sz w:val="24"/>
          <w:szCs w:val="24"/>
          <w:lang w:val="en-GB"/>
        </w:rPr>
        <w:t xml:space="preserve">“common assault” and “battery” </w:t>
      </w:r>
      <w:r>
        <w:rPr>
          <w:rFonts w:eastAsia="Times New Roman" w:cs="Times New Roman" w:ascii="Times New Roman" w:hAnsi="Times New Roman"/>
          <w:sz w:val="24"/>
          <w:szCs w:val="24"/>
          <w:lang w:val="en-GB"/>
        </w:rPr>
        <w:t xml:space="preserve">(Dorostkar </w:t>
      </w:r>
      <w:r>
        <w:rPr>
          <w:rFonts w:eastAsia="Times New Roman" w:cs="Times New Roman" w:ascii="Times New Roman" w:hAnsi="Times New Roman"/>
          <w:i/>
          <w:sz w:val="24"/>
          <w:szCs w:val="24"/>
          <w:lang w:val="en-GB"/>
        </w:rPr>
        <w:t xml:space="preserve">et al., </w:t>
      </w:r>
      <w:r>
        <w:rPr>
          <w:rFonts w:eastAsia="Times New Roman" w:cs="Times New Roman" w:ascii="Times New Roman" w:hAnsi="Times New Roman"/>
          <w:sz w:val="24"/>
          <w:szCs w:val="24"/>
          <w:lang w:val="en-GB"/>
        </w:rPr>
        <w:t>2021)</w:t>
      </w:r>
      <w:r>
        <w:rPr>
          <w:rFonts w:eastAsia="Times New Roman" w:cs="Times New Roman" w:ascii="Times New Roman" w:hAnsi="Times New Roman"/>
          <w:i/>
          <w:sz w:val="24"/>
          <w:szCs w:val="24"/>
          <w:lang w:val="en-GB"/>
        </w:rPr>
        <w:t xml:space="preserve">. </w:t>
      </w:r>
      <w:r>
        <w:rPr>
          <w:rFonts w:eastAsia="Times New Roman" w:cs="Times New Roman" w:ascii="Times New Roman" w:hAnsi="Times New Roman"/>
          <w:b/>
          <w:i/>
          <w:sz w:val="24"/>
          <w:szCs w:val="24"/>
          <w:lang w:val="en-GB"/>
        </w:rPr>
        <w:t xml:space="preserve"> </w:t>
      </w:r>
      <w:r>
        <w:rPr>
          <w:rFonts w:eastAsia="Times New Roman" w:cs="Times New Roman" w:ascii="Times New Roman" w:hAnsi="Times New Roman"/>
          <w:sz w:val="24"/>
          <w:szCs w:val="24"/>
          <w:lang w:val="en-GB"/>
        </w:rPr>
        <w:t xml:space="preserve">In the case of Miss Jones, she can be charged with battery which means inflicting harm to the victim. Both acts can be placed upon Miss Jones as she was seen by PC Norman Jerkins and arrested on the suspicion of theft as well as assault. </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In this case, the two phrases hold significant importance namely </w:t>
      </w:r>
      <w:r>
        <w:rPr>
          <w:rFonts w:eastAsia="Times New Roman" w:cs="Times New Roman" w:ascii="Times New Roman" w:hAnsi="Times New Roman"/>
          <w:i/>
          <w:sz w:val="24"/>
          <w:szCs w:val="24"/>
          <w:lang w:val="en-GB"/>
        </w:rPr>
        <w:t xml:space="preserve">“mens rea” and “actus reus”. </w:t>
      </w:r>
      <w:r>
        <w:rPr>
          <w:rFonts w:eastAsia="Times New Roman" w:cs="Times New Roman" w:ascii="Times New Roman" w:hAnsi="Times New Roman"/>
          <w:sz w:val="24"/>
          <w:szCs w:val="24"/>
          <w:lang w:val="en-GB"/>
        </w:rPr>
        <w:t xml:space="preserve">These are Latin terms that mean </w:t>
      </w:r>
      <w:r>
        <w:rPr>
          <w:rFonts w:eastAsia="Times New Roman" w:cs="Times New Roman" w:ascii="Times New Roman" w:hAnsi="Times New Roman"/>
          <w:i/>
          <w:sz w:val="24"/>
          <w:szCs w:val="24"/>
          <w:lang w:val="en-GB"/>
        </w:rPr>
        <w:t xml:space="preserve">“guilty mind” </w:t>
      </w:r>
      <w:r>
        <w:rPr>
          <w:rFonts w:eastAsia="Times New Roman" w:cs="Times New Roman" w:ascii="Times New Roman" w:hAnsi="Times New Roman"/>
          <w:sz w:val="24"/>
          <w:szCs w:val="24"/>
          <w:lang w:val="en-GB"/>
        </w:rPr>
        <w:t xml:space="preserve">and </w:t>
      </w:r>
      <w:r>
        <w:rPr>
          <w:rFonts w:eastAsia="Times New Roman" w:cs="Times New Roman" w:ascii="Times New Roman" w:hAnsi="Times New Roman"/>
          <w:i/>
          <w:sz w:val="24"/>
          <w:szCs w:val="24"/>
          <w:lang w:val="en-GB"/>
        </w:rPr>
        <w:t xml:space="preserve">“guilty act” </w:t>
      </w:r>
      <w:r>
        <w:rPr>
          <w:rFonts w:eastAsia="Times New Roman" w:cs="Times New Roman" w:ascii="Times New Roman" w:hAnsi="Times New Roman"/>
          <w:sz w:val="24"/>
          <w:szCs w:val="24"/>
          <w:lang w:val="en-GB"/>
        </w:rPr>
        <w:t xml:space="preserve">respectively (Watt, 2019). These two phrases contain the basic aspects based on which a person can be convicted of a crime. “Mens rea” means the state of mind of the person while convicting the crime; whether that person knew that the act they are committing is illegal and still they did it. “Actus reus”, on the other hand, is an illegal act committed by the person (Saffary </w:t>
      </w:r>
      <w:r>
        <w:rPr>
          <w:rFonts w:eastAsia="Times New Roman" w:cs="Times New Roman" w:ascii="Times New Roman" w:hAnsi="Times New Roman"/>
          <w:i/>
          <w:sz w:val="24"/>
          <w:szCs w:val="24"/>
          <w:lang w:val="en-GB"/>
        </w:rPr>
        <w:t xml:space="preserve">et al., </w:t>
      </w:r>
      <w:r>
        <w:rPr>
          <w:rFonts w:eastAsia="Times New Roman" w:cs="Times New Roman" w:ascii="Times New Roman" w:hAnsi="Times New Roman"/>
          <w:sz w:val="24"/>
          <w:szCs w:val="24"/>
          <w:lang w:val="en-GB"/>
        </w:rPr>
        <w:t xml:space="preserve">2019). In order to prove a person guilty of the charges placed upon them, it is necessary to prove first that the person who committed the act was well aware that it was illegal and still executed it (Stasi, 2021). In the case of Miss Jones, the prosecution lawyer will have to prove that she committed the theft while being fully aware that it is a crime and was in the right state of mind while doing so. However, according to the statement provided by Miss Jones, she found the handbag lying on the street and merely picked it up.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w:t>
      </w:r>
      <w:r>
        <w:rPr>
          <w:rFonts w:eastAsia="Times New Roman" w:cs="Times New Roman" w:ascii="Times New Roman" w:hAnsi="Times New Roman"/>
          <w:b/>
          <w:sz w:val="24"/>
          <w:szCs w:val="24"/>
          <w:lang w:val="en-GB"/>
        </w:rPr>
        <w:t xml:space="preserve">The range of possible sentences for the alleged offences” </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The charges placed upon Miss Jones can be of theft and assault and the subsequent legislation can result in severe punishments. The maximum possible sentence for theft is </w:t>
      </w:r>
      <w:r>
        <w:rPr>
          <w:rFonts w:eastAsia="Times New Roman" w:cs="Times New Roman" w:ascii="Times New Roman" w:hAnsi="Times New Roman"/>
          <w:b/>
          <w:i/>
          <w:sz w:val="24"/>
          <w:szCs w:val="24"/>
          <w:lang w:val="en-GB"/>
        </w:rPr>
        <w:t>“custody for around seven years” while</w:t>
      </w:r>
      <w:r>
        <w:rPr>
          <w:rFonts w:eastAsia="Times New Roman" w:cs="Times New Roman" w:ascii="Times New Roman" w:hAnsi="Times New Roman"/>
          <w:sz w:val="24"/>
          <w:szCs w:val="24"/>
          <w:lang w:val="en-GB"/>
        </w:rPr>
        <w:t xml:space="preserve"> the maximum punishment for assault is </w:t>
      </w:r>
      <w:r>
        <w:rPr>
          <w:rFonts w:eastAsia="Times New Roman" w:cs="Times New Roman" w:ascii="Times New Roman" w:hAnsi="Times New Roman"/>
          <w:b/>
          <w:i/>
          <w:sz w:val="24"/>
          <w:szCs w:val="24"/>
          <w:lang w:val="en-GB"/>
        </w:rPr>
        <w:t xml:space="preserve">six months prison sentence or a fine or both </w:t>
      </w:r>
      <w:r>
        <w:rPr>
          <w:rFonts w:eastAsia="Times New Roman" w:cs="Times New Roman" w:ascii="Times New Roman" w:hAnsi="Times New Roman"/>
          <w:sz w:val="24"/>
          <w:szCs w:val="24"/>
          <w:lang w:val="en-GB"/>
        </w:rPr>
        <w:t xml:space="preserve">(Roberts, 2019). If the alleged has committed the crime for the first time, they are most like to be charged with a fine instead of a “custodial sentence”. In the case of a sentence for theft aggravating and mitigating factors play a crucial role. Aggravating factors refer to the criminal background of the convict such as whether they have committed similar crimes previously or have a history of committing crimes and so on. These factors can increase the sentence or its severity. Mitigating factors are the opposite meaning they can reduce the sentence or its severity. These include aspects such as whether the convicted person has a good character, has not been involved in any crime previously, is young and immature, is diagnosed with serious medical issues, is mentally unstable and so on (Belton, 2018).  In the case of Miss Jones, she has been previously convicted of robbery and sentenced to four years of custody but was paroled for good behaviour after two years. Thus, the aggravating factors can increase the chances of her being convicted guilty and also increase the severity of her punishment.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w:t>
      </w:r>
      <w:r>
        <w:rPr>
          <w:rFonts w:eastAsia="Times New Roman" w:cs="Times New Roman" w:ascii="Times New Roman" w:hAnsi="Times New Roman"/>
          <w:b/>
          <w:sz w:val="24"/>
          <w:szCs w:val="24"/>
          <w:lang w:val="en-GB"/>
        </w:rPr>
        <w:t>The strength of the evidence against the client”</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PC Norman Jenkins was on a routine patrol when he found two women fighting on Wind Street. He heard from Miss Davies that Miss Jones stole her bag and she was trying to recover it from the convict. There is no other eye witness who could testify regarding the allegations against Miss Jones. However, the aggravating factors mentioned above can have a negative influence on the case and strengthen the allegations. Miss Jones has been living in a troublesome neighbourhood and has been associated with criminal activities for a very long time. She was also sentenced to four years of “custodial sentence”</w:t>
      </w:r>
      <w:r>
        <w:rPr>
          <w:rFonts w:eastAsia="Times New Roman" w:cs="Times New Roman" w:ascii="Times New Roman" w:hAnsi="Times New Roman"/>
          <w:b/>
          <w:sz w:val="24"/>
          <w:szCs w:val="24"/>
          <w:lang w:val="en-GB"/>
        </w:rPr>
        <w:t xml:space="preserve"> </w:t>
      </w:r>
      <w:r>
        <w:rPr>
          <w:rFonts w:eastAsia="Times New Roman" w:cs="Times New Roman" w:ascii="Times New Roman" w:hAnsi="Times New Roman"/>
          <w:sz w:val="24"/>
          <w:szCs w:val="24"/>
          <w:lang w:val="en-GB"/>
        </w:rPr>
        <w:t xml:space="preserve">for a robbery five years ago and was only released on parole for good behaviour after two years. This criminal background can put the client in the wrong and turn the case against her. Moreover, she is also unemployed at the moment which can further strengthen the evidence as she is in desperate need of money to meet her basic needs.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w:t>
      </w:r>
      <w:r>
        <w:rPr>
          <w:rFonts w:eastAsia="Times New Roman" w:cs="Times New Roman" w:ascii="Times New Roman" w:hAnsi="Times New Roman"/>
          <w:b/>
          <w:sz w:val="24"/>
          <w:szCs w:val="24"/>
          <w:lang w:val="en-GB"/>
        </w:rPr>
        <w:t>The value/strength of Miss Davies’ claims and how this impacts upon Miss Jones’ case”</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sz w:val="24"/>
          <w:szCs w:val="24"/>
          <w:lang w:val="en-GB"/>
        </w:rPr>
        <w:t xml:space="preserve">The claims made by Miss Davies are not that strong and lack strong and proper evidence. There are no eyewitnesses and Miss Davies also does not have any proof that the handbag is her property and that Miss Jones was stealing it. The case can be stretched as the evidence can be fake or false depending on the background of the person alleging Miss Jones of theft and assault. According to Miss Jones, Nora Davies is also from a troublesome neighbourhood and she has never been employed. This raises the question of how she can afford such a costly Gucci handbag. Moreover, the receipt of the handbag is missing and Miss Davies claims that it was a gift from her deceased grandmother. This lack of proper and strong evidence can weaken the case against Miss Jones and can be a crucial intervention point for “Trinity Solicitors”. The prosecuting lawyer needs to prove the criminal intent of Miss Jones; it needs to be made clear to the presiding judge that she was well aware that the act is illegal and still went on to execute it. Miss Jones claims that she found the handbag lying on the street while she was on a night out. In addition to this, the fact that she is an active member of the local Catholic Church and has been participating in numerous charitable initiatives further strengthens her claim that she merely picked it up. This also proves that she had no intention of stealing the handbag.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w:t>
      </w:r>
      <w:r>
        <w:rPr>
          <w:rFonts w:eastAsia="Times New Roman" w:cs="Times New Roman" w:ascii="Times New Roman" w:hAnsi="Times New Roman"/>
          <w:b/>
          <w:sz w:val="24"/>
          <w:szCs w:val="24"/>
          <w:lang w:val="en-GB"/>
        </w:rPr>
        <w:t>The advantages and disadvantages in advising the client to remain silent during the police interview”</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Miss Jones can be advised to remain silent during the police interview as the client is not compelled to answer the questions asked by the police. </w:t>
      </w:r>
      <w:r>
        <w:rPr>
          <w:rFonts w:eastAsia="Times New Roman" w:cs="Times New Roman" w:ascii="Times New Roman" w:hAnsi="Times New Roman"/>
          <w:b/>
          <w:i/>
          <w:sz w:val="24"/>
          <w:szCs w:val="24"/>
          <w:lang w:val="en-GB"/>
        </w:rPr>
        <w:t xml:space="preserve">“The Right to silence” </w:t>
      </w:r>
      <w:r>
        <w:rPr>
          <w:rFonts w:eastAsia="Times New Roman" w:cs="Times New Roman" w:ascii="Times New Roman" w:hAnsi="Times New Roman"/>
          <w:sz w:val="24"/>
          <w:szCs w:val="24"/>
          <w:lang w:val="en-GB"/>
        </w:rPr>
        <w:t xml:space="preserve">exists and is recognised in English law since 1912 (Surmon-Böhr </w:t>
      </w:r>
      <w:r>
        <w:rPr>
          <w:rFonts w:eastAsia="Times New Roman" w:cs="Times New Roman" w:ascii="Times New Roman" w:hAnsi="Times New Roman"/>
          <w:i/>
          <w:sz w:val="24"/>
          <w:szCs w:val="24"/>
          <w:lang w:val="en-GB"/>
        </w:rPr>
        <w:t xml:space="preserve">et al., </w:t>
      </w:r>
      <w:r>
        <w:rPr>
          <w:rFonts w:eastAsia="Times New Roman" w:cs="Times New Roman" w:ascii="Times New Roman" w:hAnsi="Times New Roman"/>
          <w:sz w:val="24"/>
          <w:szCs w:val="24"/>
          <w:lang w:val="en-GB"/>
        </w:rPr>
        <w:t xml:space="preserve">2020). It gives special powers to the convict to remain silent when interrogated by the police. During pre-trial, which is the interrogation by the police, there have been numerous instances of torture and use of force to expose crucial information and evidence of the suspect. Moreover, the police can also force the suspect or manipulate them to say something that could go against them in court. It is important to note that anything a person says after getting arrested by the police and during the interviews, can be used against them as evidence during the court trials (Leahy-Harland and Bull, 2021). Moreover, when a person speaks certain facts and information in their defence in one interview and then the same information is forgotten or is spoken differently, it can go against the person. This can occur as the suspect may be tempted by the police or the situation and can make mistakes in panic and fear which could seriously weaken the defence (Conway and Daly, 2019). This is why defence lawyers advise their clients to remain silent during the interrogation process. This also protects the suspect from any kind of harassment or bad behaviour by the police before even getting convicted and proven guilty. </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Advising to remain silent during police interviews can also go against the suspect due to a number of reasons. Firstly, remaining silent when asked about the incident can result in failure to mention any evidence or facts that could be relied upon later in the court trial (Scherr </w:t>
      </w:r>
      <w:r>
        <w:rPr>
          <w:rFonts w:eastAsia="Times New Roman" w:cs="Times New Roman" w:ascii="Times New Roman" w:hAnsi="Times New Roman"/>
          <w:i/>
          <w:sz w:val="24"/>
          <w:szCs w:val="24"/>
          <w:lang w:val="en-GB"/>
        </w:rPr>
        <w:t xml:space="preserve">et al., </w:t>
      </w:r>
      <w:r>
        <w:rPr>
          <w:rFonts w:eastAsia="Times New Roman" w:cs="Times New Roman" w:ascii="Times New Roman" w:hAnsi="Times New Roman"/>
          <w:sz w:val="24"/>
          <w:szCs w:val="24"/>
          <w:lang w:val="en-GB"/>
        </w:rPr>
        <w:t xml:space="preserve">2020). This could seriously undermine the situation of the suspect and the police can draw the conclusion that the suspect was trying to hide crucial facts and information. Moreover, if the suspect fails to mention crucial information at the time of interrogation and the prosecution is able to prove that they were trying to hide the facts, it could go against the suspect.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w:t>
      </w:r>
      <w:r>
        <w:rPr>
          <w:rFonts w:eastAsia="Times New Roman" w:cs="Times New Roman" w:ascii="Times New Roman" w:hAnsi="Times New Roman"/>
          <w:b/>
          <w:sz w:val="24"/>
          <w:szCs w:val="24"/>
          <w:lang w:val="en-GB"/>
        </w:rPr>
        <w:t>The factors that the court will take into account when allocating Miss Jones’ case for trial”</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The court will look for the </w:t>
      </w:r>
      <w:r>
        <w:rPr>
          <w:rFonts w:eastAsia="Times New Roman" w:cs="Times New Roman" w:ascii="Times New Roman" w:hAnsi="Times New Roman"/>
          <w:b/>
          <w:i/>
          <w:sz w:val="24"/>
          <w:szCs w:val="24"/>
          <w:lang w:val="en-GB"/>
        </w:rPr>
        <w:t>offence pleaded by the accuser</w:t>
      </w:r>
      <w:r>
        <w:rPr>
          <w:rFonts w:eastAsia="Times New Roman" w:cs="Times New Roman" w:ascii="Times New Roman" w:hAnsi="Times New Roman"/>
          <w:sz w:val="24"/>
          <w:szCs w:val="24"/>
          <w:lang w:val="en-GB"/>
        </w:rPr>
        <w:t xml:space="preserve"> and the </w:t>
      </w:r>
      <w:r>
        <w:rPr>
          <w:rFonts w:eastAsia="Times New Roman" w:cs="Times New Roman" w:ascii="Times New Roman" w:hAnsi="Times New Roman"/>
          <w:b/>
          <w:i/>
          <w:sz w:val="24"/>
          <w:szCs w:val="24"/>
          <w:lang w:val="en-GB"/>
        </w:rPr>
        <w:t>circumstances in which the offence took place</w:t>
      </w:r>
      <w:r>
        <w:rPr>
          <w:rFonts w:eastAsia="Times New Roman" w:cs="Times New Roman" w:ascii="Times New Roman" w:hAnsi="Times New Roman"/>
          <w:sz w:val="24"/>
          <w:szCs w:val="24"/>
          <w:lang w:val="en-GB"/>
        </w:rPr>
        <w:t xml:space="preserve">. The court will also take into account the </w:t>
      </w:r>
      <w:r>
        <w:rPr>
          <w:rFonts w:eastAsia="Times New Roman" w:cs="Times New Roman" w:ascii="Times New Roman" w:hAnsi="Times New Roman"/>
          <w:b/>
          <w:i/>
          <w:sz w:val="24"/>
          <w:szCs w:val="24"/>
          <w:lang w:val="en-GB"/>
        </w:rPr>
        <w:t>criminal background and history</w:t>
      </w:r>
      <w:r>
        <w:rPr>
          <w:rFonts w:eastAsia="Times New Roman" w:cs="Times New Roman" w:ascii="Times New Roman" w:hAnsi="Times New Roman"/>
          <w:sz w:val="24"/>
          <w:szCs w:val="24"/>
          <w:lang w:val="en-GB"/>
        </w:rPr>
        <w:t xml:space="preserve"> of both the accuser and the accused. In addition to the past, the court will also take into account the </w:t>
      </w:r>
      <w:r>
        <w:rPr>
          <w:rFonts w:eastAsia="Times New Roman" w:cs="Times New Roman" w:ascii="Times New Roman" w:hAnsi="Times New Roman"/>
          <w:b/>
          <w:i/>
          <w:sz w:val="24"/>
          <w:szCs w:val="24"/>
          <w:lang w:val="en-GB"/>
        </w:rPr>
        <w:t>current situation</w:t>
      </w:r>
      <w:r>
        <w:rPr>
          <w:rFonts w:eastAsia="Times New Roman" w:cs="Times New Roman" w:ascii="Times New Roman" w:hAnsi="Times New Roman"/>
          <w:sz w:val="24"/>
          <w:szCs w:val="24"/>
          <w:lang w:val="en-GB"/>
        </w:rPr>
        <w:t xml:space="preserve"> of both parties (Galappathie and Shaw, 2020). The </w:t>
      </w:r>
      <w:r>
        <w:rPr>
          <w:rFonts w:eastAsia="Times New Roman" w:cs="Times New Roman" w:ascii="Times New Roman" w:hAnsi="Times New Roman"/>
          <w:b/>
          <w:i/>
          <w:sz w:val="24"/>
          <w:szCs w:val="24"/>
          <w:lang w:val="en-GB"/>
        </w:rPr>
        <w:t>nature of the evidence</w:t>
      </w:r>
      <w:r>
        <w:rPr>
          <w:rFonts w:eastAsia="Times New Roman" w:cs="Times New Roman" w:ascii="Times New Roman" w:hAnsi="Times New Roman"/>
          <w:sz w:val="24"/>
          <w:szCs w:val="24"/>
          <w:lang w:val="en-GB"/>
        </w:rPr>
        <w:t xml:space="preserve"> will also be reviewed and as mentioned above, the </w:t>
      </w:r>
      <w:r>
        <w:rPr>
          <w:rFonts w:eastAsia="Times New Roman" w:cs="Times New Roman" w:ascii="Times New Roman" w:hAnsi="Times New Roman"/>
          <w:b/>
          <w:i/>
          <w:sz w:val="24"/>
          <w:szCs w:val="24"/>
          <w:lang w:val="en-GB"/>
        </w:rPr>
        <w:t xml:space="preserve">intent of the suspect </w:t>
      </w:r>
      <w:r>
        <w:rPr>
          <w:rFonts w:eastAsia="Times New Roman" w:cs="Times New Roman" w:ascii="Times New Roman" w:hAnsi="Times New Roman"/>
          <w:sz w:val="24"/>
          <w:szCs w:val="24"/>
          <w:lang w:val="en-GB"/>
        </w:rPr>
        <w:t xml:space="preserve">while committing the crime will be of great significance. Furthermore, the court will also take into account the nature of the offence and its financial, physical as well as mental impact on the victim (Chamberlain </w:t>
      </w:r>
      <w:r>
        <w:rPr>
          <w:rFonts w:eastAsia="Times New Roman" w:cs="Times New Roman" w:ascii="Times New Roman" w:hAnsi="Times New Roman"/>
          <w:i/>
          <w:sz w:val="24"/>
          <w:szCs w:val="24"/>
          <w:lang w:val="en-GB"/>
        </w:rPr>
        <w:t xml:space="preserve">et al., </w:t>
      </w:r>
      <w:r>
        <w:rPr>
          <w:rFonts w:eastAsia="Times New Roman" w:cs="Times New Roman" w:ascii="Times New Roman" w:hAnsi="Times New Roman"/>
          <w:sz w:val="24"/>
          <w:szCs w:val="24"/>
          <w:lang w:val="en-GB"/>
        </w:rPr>
        <w:t>2021). The sentencing powers of the court and the seriousness of the crime will also be taken into consideration by the court while allocating Miss Jones’ case for trial.</w:t>
      </w:r>
      <w:r>
        <w:br w:type="page"/>
      </w:r>
    </w:p>
    <w:p>
      <w:pPr>
        <w:pStyle w:val="Heading1"/>
        <w:rPr>
          <w:lang w:val="en-GB"/>
        </w:rPr>
      </w:pPr>
      <w:bookmarkStart w:id="1" w:name="_3271gamcueu6"/>
      <w:bookmarkEnd w:id="1"/>
      <w:r>
        <w:rPr>
          <w:lang w:val="en-GB"/>
        </w:rPr>
        <w:t>References</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Belton, I. (2018) The role of personal mitigating factors in criminal sentencing judgments: An empirical investigation (Doctoral dissertation, Middlesex University).</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sz w:val="24"/>
          <w:szCs w:val="24"/>
          <w:lang w:val="en-GB"/>
        </w:rPr>
        <w:t>Chamberlain, P., Keppel-Palmer, M., Reardon, S. and Smith, T. (2021) It is criminal: The state of magistrates’ court reporting in England and Wales. Journalism, 22(9), pp.2404-2420.</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Conway, V. and Daly, Y.M. (2019) From legal advice to legal assistance: recognising the changing role of the solicitor in the Garda station. Irish Judicial Studies Journal, 2019(1), pp.103-123.</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Dambe, B.J. and Fombad, C.M. (2020) The stock theft act and customary courts in Botswana: justice sacrificed on the altar of expediency?. The Journal of Legal Pluralism and Unofficial Law, 52(1), pp.65-81.</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Dorostkar, J., Manshaee, G. and Yousefi, Z. (2021) The Effectiveness of Emotional Resilience Training in Aggression and Psychological Capital of Assault and Battery Offenders. International Journal of Behavioral Sciences, 15(3), pp.181-187.  </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Galappathie, N. and Shaw, A. (2020) Reforming fitness to plead and stand trial legislation in England and Wales. BJPsych Advances, 26(1), pp.8-15.</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Leahy-Harland, S. and Bull, R. (2021) The impact of context on real-life serious crime interviews. Police Practice and Research, 22(1), pp.1009-1026.</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Roberts, J.V. (2019) The evolution of sentencing guidelines in Minnesota and England and Wales. Crime and Justice, 48(1), pp.187-253.</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Saffary, A., Kousha, J. and Saberi, R. (2019) The Challenges of Absolute Application of the Principle of coincidence of mens rea and actus reus. Criminal law and Criminology Studies, 48(2), pp.357-377.</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Scherr, K.C., Redlich, A.D. and Kassin, S.M. (2020) Cumulative disadvantage: A psychological framework for understanding how innocence can lead to confession, wrongful conviction, and beyond. Perspectives on Psychological Science, 15(2), pp.353-383.</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Stasi, A. (2021) Actus Reus and Mens Rea. In General Principles of Thai Criminal Law (pp. 25-30). Springer, Singapore.</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Surmon-Böhr, F., Alison, L., Christiansen, P. and Alison, E. (2020) The right to silence and the permission to talk: Motivational interviewing and high-value detainees. American Psychologist, 75(7), p.1011.</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Watt, M.A. (2019) August. Guido and the guilty mind: Mens rea and actus reus in Inferno 27. In Forum Italicum (Vol. 53, No. 2, pp. 318-326). Sage UK: London, England: SAGE Publications.</w:t>
      </w:r>
    </w:p>
    <w:sectPr>
      <w:footerReference w:type="default" r:id="rId2"/>
      <w:type w:val="nextPage"/>
      <w:pgSz w:w="11906" w:h="16838"/>
      <w:pgMar w:left="1440" w:right="1440" w:gutter="0" w:header="0" w:top="1440" w:footer="720" w:bottom="144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imes New Roman">
    <w:charset w:val="00"/>
    <w:family w:val="swiss"/>
    <w:pitch w:val="variable"/>
  </w:font>
  <w:font w:name="Tahoma">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jc w:val="right"/>
      <w:rPr/>
    </w:pPr>
    <w:r>
      <w:rPr/>
      <w:fldChar w:fldCharType="begin"/>
    </w:r>
    <w:r>
      <w:rPr/>
      <w:instrText xml:space="preserve"> PAGE </w:instrText>
    </w:r>
    <w:r>
      <w:rPr/>
      <w:fldChar w:fldCharType="separate"/>
    </w:r>
    <w:r>
      <w:rPr/>
      <w:t>7</w:t>
    </w:r>
    <w:r>
      <w:rPr/>
      <w:fldChar w:fldCharType="end"/>
    </w:r>
  </w:p>
</w:ftr>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2"/>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0"/>
      <w:jc w:val="left"/>
    </w:pPr>
    <w:rPr>
      <w:rFonts w:ascii="Arial" w:hAnsi="Arial" w:eastAsia="Arial" w:cs="Arial"/>
      <w:color w:val="auto"/>
      <w:kern w:val="0"/>
      <w:sz w:val="22"/>
      <w:szCs w:val="22"/>
      <w:lang w:val="en-US" w:eastAsia="en-US" w:bidi="ar-SA"/>
    </w:rPr>
  </w:style>
  <w:style w:type="paragraph" w:styleId="Heading1">
    <w:name w:val="Heading 1"/>
    <w:basedOn w:val="Normal1"/>
    <w:next w:val="Normal1"/>
    <w:qFormat/>
    <w:rsid w:val="009a7ecd"/>
    <w:pPr>
      <w:keepNext w:val="true"/>
      <w:keepLines/>
      <w:spacing w:lineRule="auto" w:line="360"/>
      <w:jc w:val="both"/>
      <w:outlineLvl w:val="0"/>
    </w:pPr>
    <w:rPr>
      <w:rFonts w:ascii="Times New Roman" w:hAnsi="Times New Roman" w:eastAsia="Times New Roman" w:cs="Times New Roman"/>
      <w:b/>
      <w:sz w:val="24"/>
      <w:szCs w:val="24"/>
    </w:rPr>
  </w:style>
  <w:style w:type="paragraph" w:styleId="Heading2">
    <w:name w:val="Heading 2"/>
    <w:basedOn w:val="Normal1"/>
    <w:next w:val="Normal1"/>
    <w:qFormat/>
    <w:rsid w:val="009a7ecd"/>
    <w:pPr>
      <w:keepNext w:val="true"/>
      <w:keepLines/>
      <w:spacing w:before="360" w:after="120"/>
      <w:outlineLvl w:val="1"/>
    </w:pPr>
    <w:rPr>
      <w:sz w:val="32"/>
      <w:szCs w:val="32"/>
    </w:rPr>
  </w:style>
  <w:style w:type="paragraph" w:styleId="Heading3">
    <w:name w:val="Heading 3"/>
    <w:basedOn w:val="Normal1"/>
    <w:next w:val="Normal1"/>
    <w:qFormat/>
    <w:rsid w:val="009a7ecd"/>
    <w:pPr>
      <w:keepNext w:val="true"/>
      <w:keepLines/>
      <w:spacing w:before="320" w:after="80"/>
      <w:outlineLvl w:val="2"/>
    </w:pPr>
    <w:rPr>
      <w:color w:val="434343"/>
      <w:sz w:val="28"/>
      <w:szCs w:val="28"/>
    </w:rPr>
  </w:style>
  <w:style w:type="paragraph" w:styleId="Heading4">
    <w:name w:val="Heading 4"/>
    <w:basedOn w:val="Normal1"/>
    <w:next w:val="Normal1"/>
    <w:qFormat/>
    <w:rsid w:val="009a7ecd"/>
    <w:pPr>
      <w:keepNext w:val="true"/>
      <w:keepLines/>
      <w:spacing w:before="280" w:after="80"/>
      <w:outlineLvl w:val="3"/>
    </w:pPr>
    <w:rPr>
      <w:color w:val="666666"/>
      <w:sz w:val="24"/>
      <w:szCs w:val="24"/>
    </w:rPr>
  </w:style>
  <w:style w:type="paragraph" w:styleId="Heading5">
    <w:name w:val="Heading 5"/>
    <w:basedOn w:val="Normal1"/>
    <w:next w:val="Normal1"/>
    <w:qFormat/>
    <w:rsid w:val="009a7ecd"/>
    <w:pPr>
      <w:keepNext w:val="true"/>
      <w:keepLines/>
      <w:spacing w:before="240" w:after="80"/>
      <w:outlineLvl w:val="4"/>
    </w:pPr>
    <w:rPr>
      <w:color w:val="666666"/>
    </w:rPr>
  </w:style>
  <w:style w:type="paragraph" w:styleId="Heading6">
    <w:name w:val="Heading 6"/>
    <w:basedOn w:val="Normal1"/>
    <w:next w:val="Normal1"/>
    <w:qFormat/>
    <w:rsid w:val="009a7ecd"/>
    <w:pPr>
      <w:keepNext w:val="true"/>
      <w:keepLines/>
      <w:spacing w:before="240" w:after="80"/>
      <w:outlineLvl w:val="5"/>
    </w:pPr>
    <w:rPr>
      <w:i/>
      <w:color w:val="666666"/>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fb298b"/>
    <w:rPr>
      <w:rFonts w:ascii="Tahoma" w:hAnsi="Tahoma" w:cs="Tahoma"/>
      <w:sz w:val="16"/>
      <w:szCs w:val="16"/>
    </w:rPr>
  </w:style>
  <w:style w:type="character" w:styleId="InternetLink">
    <w:name w:val="Hyperlink"/>
    <w:rPr>
      <w:color w:val="000080"/>
      <w:u w:val="single"/>
      <w:lang w:val="zxx" w:eastAsia="zxx" w:bidi="zxx"/>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Normal1" w:customStyle="1">
    <w:name w:val="LO-normal"/>
    <w:qFormat/>
    <w:rsid w:val="009a7ecd"/>
    <w:pPr>
      <w:widowControl/>
      <w:bidi w:val="0"/>
      <w:spacing w:lineRule="auto" w:line="276" w:before="0" w:after="0"/>
      <w:jc w:val="left"/>
    </w:pPr>
    <w:rPr>
      <w:rFonts w:ascii="Arial" w:hAnsi="Arial" w:eastAsia="Arial" w:cs="Arial"/>
      <w:color w:val="auto"/>
      <w:kern w:val="0"/>
      <w:sz w:val="22"/>
      <w:szCs w:val="22"/>
      <w:lang w:val="en-US" w:eastAsia="en-US" w:bidi="ar-SA"/>
    </w:rPr>
  </w:style>
  <w:style w:type="paragraph" w:styleId="Title">
    <w:name w:val="Title"/>
    <w:basedOn w:val="Normal1"/>
    <w:next w:val="Normal1"/>
    <w:qFormat/>
    <w:rsid w:val="009a7ecd"/>
    <w:pPr>
      <w:keepNext w:val="true"/>
      <w:keepLines/>
      <w:spacing w:before="0" w:after="60"/>
    </w:pPr>
    <w:rPr>
      <w:sz w:val="52"/>
      <w:szCs w:val="52"/>
    </w:rPr>
  </w:style>
  <w:style w:type="paragraph" w:styleId="Subtitle">
    <w:name w:val="Subtitle"/>
    <w:basedOn w:val="Normal1"/>
    <w:next w:val="Normal1"/>
    <w:qFormat/>
    <w:rsid w:val="009a7ecd"/>
    <w:pPr>
      <w:keepNext w:val="true"/>
      <w:keepLines/>
      <w:spacing w:before="0" w:after="320"/>
    </w:pPr>
    <w:rPr>
      <w:color w:val="666666"/>
      <w:sz w:val="30"/>
      <w:szCs w:val="30"/>
    </w:rPr>
  </w:style>
  <w:style w:type="paragraph" w:styleId="BalloonText">
    <w:name w:val="Balloon Text"/>
    <w:basedOn w:val="Normal"/>
    <w:link w:val="BalloonTextChar"/>
    <w:uiPriority w:val="99"/>
    <w:semiHidden/>
    <w:unhideWhenUsed/>
    <w:qFormat/>
    <w:rsid w:val="00fb298b"/>
    <w:pPr>
      <w:spacing w:lineRule="auto" w:line="240"/>
    </w:pPr>
    <w:rPr>
      <w:rFonts w:ascii="Tahoma" w:hAnsi="Tahoma" w:cs="Tahoma"/>
      <w:sz w:val="16"/>
      <w:szCs w:val="16"/>
    </w:rPr>
  </w:style>
  <w:style w:type="paragraph" w:styleId="HeaderandFooter">
    <w:name w:val="Header and Footer"/>
    <w:basedOn w:val="Normal"/>
    <w:qFormat/>
    <w:pPr/>
    <w:rPr/>
  </w:style>
  <w:style w:type="paragraph" w:styleId="Footer">
    <w:name w:val="Footer"/>
    <w:basedOn w:val="HeaderandFooter"/>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Application>EasyOffice/7.4.1.2.0$Windows_X86_64 LibreOffice_project/a2821865dbda20afc0f3893178a1c6c4f3471238</Application>
  <AppVersion>15.0000</AppVersion>
  <Pages>7</Pages>
  <Words>1974</Words>
  <Characters>9836</Characters>
  <CharactersWithSpaces>11788</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2022-11-02T08:37:00Z</dcterms:created>
  <dc:creator>RT306</dc:creator>
  <dc:description/>
  <dc:language>en-GB</dc:language>
  <cp:lastModifiedBy/>
  <dcterms:modified xsi:type="dcterms:W3CDTF">2022-11-10T21:31:21Z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