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C1C1A" w:rsidP="002B4EA6" w:rsidRDefault="002B4EA6" w14:paraId="16C142E3" w14:textId="3DDCFF3E">
      <w:pPr>
        <w:spacing w:line="360" w:lineRule="auto"/>
        <w:rPr>
          <w:rFonts w:ascii="Times New Roman" w:hAnsi="Times New Roman" w:eastAsia="Times New Roman" w:cs="Times New Roman"/>
          <w:b/>
          <w:sz w:val="32"/>
          <w:szCs w:val="32"/>
        </w:rPr>
      </w:pPr>
      <w:r w:rsidRPr="002B4EA6">
        <w:rPr>
          <w:rFonts w:ascii="Times New Roman" w:hAnsi="Times New Roman" w:eastAsia="Times New Roman" w:cs="Times New Roman"/>
          <w:b/>
          <w:noProof/>
          <w:sz w:val="32"/>
          <w:szCs w:val="32"/>
        </w:rPr>
        <w:drawing>
          <wp:inline distT="0" distB="0" distL="0" distR="0" wp14:anchorId="6238C5F0" wp14:editId="370E6EEA">
            <wp:extent cx="2210108" cy="13146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10108" cy="1314633"/>
                    </a:xfrm>
                    <a:prstGeom prst="rect">
                      <a:avLst/>
                    </a:prstGeom>
                  </pic:spPr>
                </pic:pic>
              </a:graphicData>
            </a:graphic>
          </wp:inline>
        </w:drawing>
      </w:r>
    </w:p>
    <w:p w:rsidR="005A2840" w:rsidP="008C1C1A" w:rsidRDefault="005A2840" w14:paraId="305DAA49" w14:textId="77777777">
      <w:pPr>
        <w:spacing w:line="360" w:lineRule="auto"/>
        <w:jc w:val="center"/>
        <w:rPr>
          <w:rFonts w:ascii="Times New Roman" w:hAnsi="Times New Roman" w:eastAsia="Times New Roman" w:cs="Times New Roman"/>
          <w:b/>
          <w:sz w:val="32"/>
          <w:szCs w:val="32"/>
        </w:rPr>
      </w:pPr>
    </w:p>
    <w:p w:rsidR="005A2840" w:rsidP="008C1C1A" w:rsidRDefault="005A2840" w14:paraId="6DF5F78D" w14:textId="77777777">
      <w:pPr>
        <w:spacing w:line="360" w:lineRule="auto"/>
        <w:jc w:val="center"/>
        <w:rPr>
          <w:rFonts w:ascii="Times New Roman" w:hAnsi="Times New Roman" w:eastAsia="Times New Roman" w:cs="Times New Roman"/>
          <w:b/>
          <w:sz w:val="32"/>
          <w:szCs w:val="32"/>
        </w:rPr>
      </w:pPr>
    </w:p>
    <w:p w:rsidR="005A2840" w:rsidP="008C1C1A" w:rsidRDefault="005A2840" w14:paraId="3D9B36A7" w14:textId="77777777">
      <w:pPr>
        <w:spacing w:line="360" w:lineRule="auto"/>
        <w:jc w:val="center"/>
        <w:rPr>
          <w:rFonts w:ascii="Times New Roman" w:hAnsi="Times New Roman" w:eastAsia="Times New Roman" w:cs="Times New Roman"/>
          <w:b/>
          <w:sz w:val="32"/>
          <w:szCs w:val="32"/>
        </w:rPr>
      </w:pPr>
    </w:p>
    <w:p w:rsidR="005A2840" w:rsidP="008C1C1A" w:rsidRDefault="005A2840" w14:paraId="5714B071" w14:textId="77777777">
      <w:pPr>
        <w:spacing w:line="360" w:lineRule="auto"/>
        <w:jc w:val="center"/>
        <w:rPr>
          <w:rFonts w:ascii="Times New Roman" w:hAnsi="Times New Roman" w:eastAsia="Times New Roman" w:cs="Times New Roman"/>
          <w:b/>
          <w:sz w:val="32"/>
          <w:szCs w:val="32"/>
        </w:rPr>
      </w:pPr>
    </w:p>
    <w:p w:rsidR="005A2840" w:rsidP="23BF45E2" w:rsidRDefault="005A2840" w14:paraId="559137FE" w14:textId="77777777" w14:noSpellErr="1">
      <w:pPr>
        <w:spacing w:line="360" w:lineRule="auto"/>
        <w:jc w:val="center"/>
        <w:rPr>
          <w:rFonts w:ascii="Times New Roman" w:hAnsi="Times New Roman" w:eastAsia="Times New Roman" w:cs="Times New Roman"/>
          <w:b w:val="1"/>
          <w:bCs w:val="1"/>
          <w:sz w:val="32"/>
          <w:szCs w:val="32"/>
        </w:rPr>
      </w:pPr>
    </w:p>
    <w:p w:rsidR="00EB66D3" w:rsidP="23BF45E2" w:rsidRDefault="002947D8" w14:paraId="00000001" w14:textId="4FC1B6DE" w14:noSpellErr="1">
      <w:pPr>
        <w:spacing w:line="360" w:lineRule="auto"/>
        <w:jc w:val="center"/>
        <w:rPr>
          <w:rFonts w:ascii="Times New Roman" w:hAnsi="Times New Roman" w:eastAsia="Times New Roman" w:cs="Times New Roman"/>
          <w:b w:val="1"/>
          <w:bCs w:val="1"/>
          <w:sz w:val="32"/>
          <w:szCs w:val="32"/>
        </w:rPr>
      </w:pPr>
      <w:r w:rsidRPr="23BF45E2" w:rsidR="002947D8">
        <w:rPr>
          <w:rFonts w:ascii="Times New Roman" w:hAnsi="Times New Roman" w:eastAsia="Times New Roman" w:cs="Times New Roman"/>
          <w:b w:val="1"/>
          <w:bCs w:val="1"/>
          <w:sz w:val="32"/>
          <w:szCs w:val="32"/>
        </w:rPr>
        <w:t xml:space="preserve">MODULE NAME: </w:t>
      </w:r>
      <w:r w:rsidRPr="23BF45E2" w:rsidR="002947D8">
        <w:rPr>
          <w:rFonts w:ascii="Times New Roman" w:hAnsi="Times New Roman" w:eastAsia="Times New Roman" w:cs="Times New Roman"/>
          <w:b w:val="1"/>
          <w:bCs w:val="1"/>
          <w:sz w:val="32"/>
          <w:szCs w:val="32"/>
        </w:rPr>
        <w:t>INTERNATIONAL FINANCIAL MANAGEMENT</w:t>
      </w:r>
    </w:p>
    <w:p w:rsidR="00EB66D3" w:rsidP="008C1C1A" w:rsidRDefault="002947D8" w14:paraId="00000002" w14:textId="77777777">
      <w:pPr>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MODULE CODE: LCBB6002</w:t>
      </w:r>
    </w:p>
    <w:p w:rsidR="00EB66D3" w:rsidP="008C1C1A" w:rsidRDefault="002947D8" w14:paraId="00000003" w14:textId="77777777">
      <w:pPr>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ASSIGNMENT TYPE: REPORT</w:t>
      </w:r>
    </w:p>
    <w:p w:rsidR="00137734" w:rsidP="23BF45E2" w:rsidRDefault="002947D8" w14:paraId="37101513" w14:textId="02035097">
      <w:pPr>
        <w:spacing w:line="360" w:lineRule="auto"/>
        <w:jc w:val="center"/>
        <w:rPr>
          <w:rFonts w:ascii="Times New Roman" w:hAnsi="Times New Roman" w:eastAsia="Times New Roman" w:cs="Times New Roman"/>
          <w:b w:val="1"/>
          <w:bCs w:val="1"/>
          <w:sz w:val="32"/>
          <w:szCs w:val="32"/>
        </w:rPr>
      </w:pPr>
      <w:r w:rsidRPr="23BF45E2" w:rsidR="002947D8">
        <w:rPr>
          <w:rFonts w:ascii="Times New Roman" w:hAnsi="Times New Roman" w:eastAsia="Times New Roman" w:cs="Times New Roman"/>
          <w:b w:val="1"/>
          <w:bCs w:val="1"/>
          <w:sz w:val="32"/>
          <w:szCs w:val="32"/>
        </w:rPr>
        <w:t xml:space="preserve">STUDENT NAME: </w:t>
      </w:r>
      <w:r w:rsidRPr="23BF45E2" w:rsidR="18EBDA3B">
        <w:rPr>
          <w:rFonts w:ascii="Times New Roman" w:hAnsi="Times New Roman" w:eastAsia="Times New Roman" w:cs="Times New Roman"/>
          <w:b w:val="1"/>
          <w:bCs w:val="1"/>
          <w:sz w:val="32"/>
          <w:szCs w:val="32"/>
        </w:rPr>
        <w:t>CERASELA LAVINIA STOICA</w:t>
      </w:r>
    </w:p>
    <w:p w:rsidR="18EBDA3B" w:rsidP="23BF45E2" w:rsidRDefault="18EBDA3B" w14:paraId="5CF24DF1" w14:textId="6EF4B129">
      <w:pPr>
        <w:pStyle w:val="Normal"/>
        <w:spacing w:line="360" w:lineRule="auto"/>
        <w:jc w:val="center"/>
        <w:rPr>
          <w:rFonts w:ascii="Times New Roman" w:hAnsi="Times New Roman" w:eastAsia="Times New Roman" w:cs="Times New Roman"/>
          <w:b w:val="1"/>
          <w:bCs w:val="1"/>
          <w:sz w:val="32"/>
          <w:szCs w:val="32"/>
        </w:rPr>
      </w:pPr>
      <w:r w:rsidRPr="23BF45E2" w:rsidR="18EBDA3B">
        <w:rPr>
          <w:rFonts w:ascii="Times New Roman" w:hAnsi="Times New Roman" w:eastAsia="Times New Roman" w:cs="Times New Roman"/>
          <w:b w:val="1"/>
          <w:bCs w:val="1"/>
          <w:sz w:val="32"/>
          <w:szCs w:val="32"/>
        </w:rPr>
        <w:t>STUDENT ID: 2125057</w:t>
      </w:r>
    </w:p>
    <w:p w:rsidR="00137734" w:rsidRDefault="00137734" w14:paraId="0B2B0909" w14:textId="77777777">
      <w:pPr>
        <w:rPr>
          <w:rFonts w:ascii="Times New Roman" w:hAnsi="Times New Roman" w:eastAsia="Times New Roman" w:cs="Times New Roman"/>
          <w:b/>
          <w:sz w:val="32"/>
          <w:szCs w:val="32"/>
        </w:rPr>
      </w:pPr>
      <w:r>
        <w:rPr>
          <w:rFonts w:ascii="Times New Roman" w:hAnsi="Times New Roman" w:eastAsia="Times New Roman" w:cs="Times New Roman"/>
          <w:b/>
          <w:sz w:val="32"/>
          <w:szCs w:val="32"/>
        </w:rPr>
        <w:br w:type="page"/>
      </w:r>
    </w:p>
    <w:sdt>
      <w:sdtPr>
        <w:rPr>
          <w:rFonts w:ascii="Arial" w:hAnsi="Arial" w:eastAsia="Arial" w:cs="Arial"/>
          <w:b/>
          <w:bCs/>
          <w:color w:val="000000" w:themeColor="text1"/>
          <w:sz w:val="36"/>
          <w:szCs w:val="36"/>
          <w:lang w:val="en-GB"/>
        </w:rPr>
        <w:id w:val="-1277326356"/>
        <w:docPartObj>
          <w:docPartGallery w:val="Table of Contents"/>
          <w:docPartUnique/>
        </w:docPartObj>
      </w:sdtPr>
      <w:sdtEndPr>
        <w:rPr>
          <w:rFonts w:ascii="Arial" w:hAnsi="Arial" w:eastAsia="Arial" w:cs="Arial"/>
          <w:b w:val="1"/>
          <w:bCs w:val="1"/>
          <w:noProof/>
          <w:color w:val="auto"/>
          <w:sz w:val="22"/>
          <w:szCs w:val="22"/>
          <w:lang w:val="en-GB"/>
        </w:rPr>
      </w:sdtEndPr>
      <w:sdtContent>
        <w:p w:rsidRPr="00137734" w:rsidR="00137734" w:rsidP="00137734" w:rsidRDefault="00137734" w14:paraId="25CF4321" w14:textId="45E41464">
          <w:pPr>
            <w:pStyle w:val="TOCHeading"/>
            <w:spacing w:line="360" w:lineRule="auto"/>
            <w:jc w:val="center"/>
            <w:rPr>
              <w:rFonts w:ascii="Times New Roman" w:hAnsi="Times New Roman" w:cs="Times New Roman"/>
              <w:b/>
              <w:bCs/>
              <w:color w:val="000000" w:themeColor="text1"/>
              <w:sz w:val="28"/>
              <w:szCs w:val="28"/>
            </w:rPr>
          </w:pPr>
          <w:r w:rsidRPr="00137734">
            <w:rPr>
              <w:rFonts w:ascii="Times New Roman" w:hAnsi="Times New Roman" w:cs="Times New Roman"/>
              <w:b/>
              <w:bCs/>
              <w:color w:val="000000" w:themeColor="text1"/>
              <w:sz w:val="28"/>
              <w:szCs w:val="28"/>
            </w:rPr>
            <w:t>Table of Contents</w:t>
          </w:r>
        </w:p>
        <w:p w:rsidRPr="00137734" w:rsidR="00137734" w:rsidP="00137734" w:rsidRDefault="00137734" w14:paraId="5AB9C546" w14:textId="398CB1FB">
          <w:pPr>
            <w:pStyle w:val="TOC1"/>
            <w:tabs>
              <w:tab w:val="right" w:leader="dot" w:pos="9019"/>
            </w:tabs>
            <w:spacing w:line="360" w:lineRule="auto"/>
            <w:jc w:val="both"/>
            <w:rPr>
              <w:rFonts w:ascii="Times New Roman" w:hAnsi="Times New Roman" w:cs="Times New Roman"/>
              <w:noProof/>
              <w:sz w:val="24"/>
              <w:szCs w:val="24"/>
            </w:rPr>
          </w:pPr>
          <w:r w:rsidRPr="00137734">
            <w:rPr>
              <w:rFonts w:ascii="Times New Roman" w:hAnsi="Times New Roman" w:cs="Times New Roman"/>
              <w:sz w:val="24"/>
              <w:szCs w:val="24"/>
            </w:rPr>
            <w:fldChar w:fldCharType="begin"/>
          </w:r>
          <w:r w:rsidRPr="00137734">
            <w:rPr>
              <w:rFonts w:ascii="Times New Roman" w:hAnsi="Times New Roman" w:cs="Times New Roman"/>
              <w:sz w:val="24"/>
              <w:szCs w:val="24"/>
            </w:rPr>
            <w:instrText xml:space="preserve"> TOC \o "1-3" \h \z \u </w:instrText>
          </w:r>
          <w:r w:rsidRPr="00137734">
            <w:rPr>
              <w:rFonts w:ascii="Times New Roman" w:hAnsi="Times New Roman" w:cs="Times New Roman"/>
              <w:sz w:val="24"/>
              <w:szCs w:val="24"/>
            </w:rPr>
            <w:fldChar w:fldCharType="separate"/>
          </w:r>
          <w:hyperlink w:history="1" w:anchor="_Toc161752095">
            <w:r w:rsidRPr="00137734">
              <w:rPr>
                <w:rStyle w:val="Hyperlink"/>
                <w:rFonts w:ascii="Times New Roman" w:hAnsi="Times New Roman" w:cs="Times New Roman"/>
                <w:noProof/>
                <w:sz w:val="24"/>
                <w:szCs w:val="24"/>
              </w:rPr>
              <w:t>Introduction</w:t>
            </w:r>
            <w:r w:rsidRPr="00137734">
              <w:rPr>
                <w:rFonts w:ascii="Times New Roman" w:hAnsi="Times New Roman" w:cs="Times New Roman"/>
                <w:noProof/>
                <w:webHidden/>
                <w:sz w:val="24"/>
                <w:szCs w:val="24"/>
              </w:rPr>
              <w:tab/>
            </w:r>
            <w:r w:rsidRPr="00137734">
              <w:rPr>
                <w:rFonts w:ascii="Times New Roman" w:hAnsi="Times New Roman" w:cs="Times New Roman"/>
                <w:noProof/>
                <w:webHidden/>
                <w:sz w:val="24"/>
                <w:szCs w:val="24"/>
              </w:rPr>
              <w:fldChar w:fldCharType="begin"/>
            </w:r>
            <w:r w:rsidRPr="00137734">
              <w:rPr>
                <w:rFonts w:ascii="Times New Roman" w:hAnsi="Times New Roman" w:cs="Times New Roman"/>
                <w:noProof/>
                <w:webHidden/>
                <w:sz w:val="24"/>
                <w:szCs w:val="24"/>
              </w:rPr>
              <w:instrText xml:space="preserve"> PAGEREF _Toc161752095 \h </w:instrText>
            </w:r>
            <w:r w:rsidRPr="00137734">
              <w:rPr>
                <w:rFonts w:ascii="Times New Roman" w:hAnsi="Times New Roman" w:cs="Times New Roman"/>
                <w:noProof/>
                <w:webHidden/>
                <w:sz w:val="24"/>
                <w:szCs w:val="24"/>
              </w:rPr>
            </w:r>
            <w:r w:rsidRPr="00137734">
              <w:rPr>
                <w:rFonts w:ascii="Times New Roman" w:hAnsi="Times New Roman" w:cs="Times New Roman"/>
                <w:noProof/>
                <w:webHidden/>
                <w:sz w:val="24"/>
                <w:szCs w:val="24"/>
              </w:rPr>
              <w:fldChar w:fldCharType="separate"/>
            </w:r>
            <w:r w:rsidRPr="00137734">
              <w:rPr>
                <w:rFonts w:ascii="Times New Roman" w:hAnsi="Times New Roman" w:cs="Times New Roman"/>
                <w:noProof/>
                <w:webHidden/>
                <w:sz w:val="24"/>
                <w:szCs w:val="24"/>
              </w:rPr>
              <w:t>3</w:t>
            </w:r>
            <w:r w:rsidRPr="00137734">
              <w:rPr>
                <w:rFonts w:ascii="Times New Roman" w:hAnsi="Times New Roman" w:cs="Times New Roman"/>
                <w:noProof/>
                <w:webHidden/>
                <w:sz w:val="24"/>
                <w:szCs w:val="24"/>
              </w:rPr>
              <w:fldChar w:fldCharType="end"/>
            </w:r>
          </w:hyperlink>
        </w:p>
        <w:p w:rsidRPr="00137734" w:rsidR="00137734" w:rsidP="00137734" w:rsidRDefault="00152CC9" w14:paraId="23D1E4AD" w14:textId="340CB523">
          <w:pPr>
            <w:pStyle w:val="TOC1"/>
            <w:tabs>
              <w:tab w:val="right" w:leader="dot" w:pos="9019"/>
            </w:tabs>
            <w:spacing w:line="360" w:lineRule="auto"/>
            <w:jc w:val="both"/>
            <w:rPr>
              <w:rFonts w:ascii="Times New Roman" w:hAnsi="Times New Roman" w:cs="Times New Roman"/>
              <w:noProof/>
              <w:sz w:val="24"/>
              <w:szCs w:val="24"/>
            </w:rPr>
          </w:pPr>
          <w:hyperlink w:history="1" w:anchor="_Toc161752096">
            <w:r w:rsidRPr="00137734" w:rsidR="00137734">
              <w:rPr>
                <w:rStyle w:val="Hyperlink"/>
                <w:rFonts w:ascii="Times New Roman" w:hAnsi="Times New Roman" w:cs="Times New Roman"/>
                <w:noProof/>
                <w:sz w:val="24"/>
                <w:szCs w:val="24"/>
              </w:rPr>
              <w:t>Discussing the theoretical framework and models of IFM (International Financial Management)</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_Toc161752096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3</w:t>
            </w:r>
            <w:r w:rsidRPr="00137734" w:rsidR="00137734">
              <w:rPr>
                <w:rFonts w:ascii="Times New Roman" w:hAnsi="Times New Roman" w:cs="Times New Roman"/>
                <w:noProof/>
                <w:webHidden/>
                <w:sz w:val="24"/>
                <w:szCs w:val="24"/>
              </w:rPr>
              <w:fldChar w:fldCharType="end"/>
            </w:r>
          </w:hyperlink>
        </w:p>
        <w:p w:rsidRPr="00137734" w:rsidR="00137734" w:rsidP="00137734" w:rsidRDefault="00152CC9" w14:paraId="463E8DF3" w14:textId="3BC860FB">
          <w:pPr>
            <w:pStyle w:val="TOC1"/>
            <w:tabs>
              <w:tab w:val="right" w:leader="dot" w:pos="9019"/>
            </w:tabs>
            <w:spacing w:line="360" w:lineRule="auto"/>
            <w:jc w:val="both"/>
            <w:rPr>
              <w:rFonts w:ascii="Times New Roman" w:hAnsi="Times New Roman" w:cs="Times New Roman"/>
              <w:noProof/>
              <w:sz w:val="24"/>
              <w:szCs w:val="24"/>
            </w:rPr>
          </w:pPr>
          <w:hyperlink w:history="1" w:anchor="_Toc161752097">
            <w:r w:rsidRPr="00137734" w:rsidR="00137734">
              <w:rPr>
                <w:rStyle w:val="Hyperlink"/>
                <w:rFonts w:ascii="Times New Roman" w:hAnsi="Times New Roman" w:cs="Times New Roman"/>
                <w:noProof/>
                <w:sz w:val="24"/>
                <w:szCs w:val="24"/>
              </w:rPr>
              <w:t>Evaluating the impacts of frameworks and models of IFM</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_Toc161752097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4</w:t>
            </w:r>
            <w:r w:rsidRPr="00137734" w:rsidR="00137734">
              <w:rPr>
                <w:rFonts w:ascii="Times New Roman" w:hAnsi="Times New Roman" w:cs="Times New Roman"/>
                <w:noProof/>
                <w:webHidden/>
                <w:sz w:val="24"/>
                <w:szCs w:val="24"/>
              </w:rPr>
              <w:fldChar w:fldCharType="end"/>
            </w:r>
          </w:hyperlink>
        </w:p>
        <w:p w:rsidRPr="00137734" w:rsidR="00137734" w:rsidP="00137734" w:rsidRDefault="00152CC9" w14:paraId="68D87998" w14:textId="401DB12D">
          <w:pPr>
            <w:pStyle w:val="TOC1"/>
            <w:tabs>
              <w:tab w:val="right" w:leader="dot" w:pos="9019"/>
            </w:tabs>
            <w:spacing w:line="360" w:lineRule="auto"/>
            <w:jc w:val="both"/>
            <w:rPr>
              <w:rFonts w:ascii="Times New Roman" w:hAnsi="Times New Roman" w:cs="Times New Roman"/>
              <w:noProof/>
              <w:sz w:val="24"/>
              <w:szCs w:val="24"/>
            </w:rPr>
          </w:pPr>
          <w:hyperlink w:history="1" w:anchor="_Toc161752098">
            <w:r w:rsidRPr="00137734" w:rsidR="00137734">
              <w:rPr>
                <w:rStyle w:val="Hyperlink"/>
                <w:rFonts w:ascii="Times New Roman" w:hAnsi="Times New Roman" w:cs="Times New Roman"/>
                <w:noProof/>
                <w:sz w:val="24"/>
                <w:szCs w:val="24"/>
              </w:rPr>
              <w:t>Explaining different methods and strategies related to financing of international business</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_Toc161752098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5</w:t>
            </w:r>
            <w:r w:rsidRPr="00137734" w:rsidR="00137734">
              <w:rPr>
                <w:rFonts w:ascii="Times New Roman" w:hAnsi="Times New Roman" w:cs="Times New Roman"/>
                <w:noProof/>
                <w:webHidden/>
                <w:sz w:val="24"/>
                <w:szCs w:val="24"/>
              </w:rPr>
              <w:fldChar w:fldCharType="end"/>
            </w:r>
          </w:hyperlink>
        </w:p>
        <w:p w:rsidRPr="00137734" w:rsidR="00137734" w:rsidP="00137734" w:rsidRDefault="00152CC9" w14:paraId="53BD9FA6" w14:textId="54E99183">
          <w:pPr>
            <w:pStyle w:val="TOC1"/>
            <w:tabs>
              <w:tab w:val="right" w:leader="dot" w:pos="9019"/>
            </w:tabs>
            <w:spacing w:line="360" w:lineRule="auto"/>
            <w:jc w:val="both"/>
            <w:rPr>
              <w:rFonts w:ascii="Times New Roman" w:hAnsi="Times New Roman" w:cs="Times New Roman"/>
              <w:noProof/>
              <w:sz w:val="24"/>
              <w:szCs w:val="24"/>
            </w:rPr>
          </w:pPr>
          <w:hyperlink w:history="1" w:anchor="_Toc161752099">
            <w:r w:rsidRPr="00137734" w:rsidR="00137734">
              <w:rPr>
                <w:rStyle w:val="Hyperlink"/>
                <w:rFonts w:ascii="Times New Roman" w:hAnsi="Times New Roman" w:cs="Times New Roman"/>
                <w:noProof/>
                <w:sz w:val="24"/>
                <w:szCs w:val="24"/>
              </w:rPr>
              <w:t>Applying the different theoretical structures of corporate value and cost of capital internationally and financial framework</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_Toc161752099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6</w:t>
            </w:r>
            <w:r w:rsidRPr="00137734" w:rsidR="00137734">
              <w:rPr>
                <w:rFonts w:ascii="Times New Roman" w:hAnsi="Times New Roman" w:cs="Times New Roman"/>
                <w:noProof/>
                <w:webHidden/>
                <w:sz w:val="24"/>
                <w:szCs w:val="24"/>
              </w:rPr>
              <w:fldChar w:fldCharType="end"/>
            </w:r>
          </w:hyperlink>
        </w:p>
        <w:p w:rsidRPr="00137734" w:rsidR="00137734" w:rsidP="00137734" w:rsidRDefault="00152CC9" w14:paraId="2CA27E92" w14:textId="24E293BD">
          <w:pPr>
            <w:pStyle w:val="TOC1"/>
            <w:tabs>
              <w:tab w:val="right" w:leader="dot" w:pos="9019"/>
            </w:tabs>
            <w:spacing w:line="360" w:lineRule="auto"/>
            <w:jc w:val="both"/>
            <w:rPr>
              <w:rFonts w:ascii="Times New Roman" w:hAnsi="Times New Roman" w:cs="Times New Roman"/>
              <w:noProof/>
              <w:sz w:val="24"/>
              <w:szCs w:val="24"/>
            </w:rPr>
          </w:pPr>
          <w:hyperlink w:history="1" w:anchor="_Toc161752100">
            <w:r w:rsidRPr="00137734" w:rsidR="00137734">
              <w:rPr>
                <w:rStyle w:val="Hyperlink"/>
                <w:rFonts w:ascii="Times New Roman" w:hAnsi="Times New Roman" w:cs="Times New Roman"/>
                <w:noProof/>
                <w:sz w:val="24"/>
                <w:szCs w:val="24"/>
              </w:rPr>
              <w:t>Conclusion</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_Toc161752100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6</w:t>
            </w:r>
            <w:r w:rsidRPr="00137734" w:rsidR="00137734">
              <w:rPr>
                <w:rFonts w:ascii="Times New Roman" w:hAnsi="Times New Roman" w:cs="Times New Roman"/>
                <w:noProof/>
                <w:webHidden/>
                <w:sz w:val="24"/>
                <w:szCs w:val="24"/>
              </w:rPr>
              <w:fldChar w:fldCharType="end"/>
            </w:r>
          </w:hyperlink>
        </w:p>
        <w:p w:rsidRPr="00137734" w:rsidR="00137734" w:rsidP="00137734" w:rsidRDefault="00152CC9" w14:paraId="70DE63A7" w14:textId="5464DC03">
          <w:pPr>
            <w:pStyle w:val="TOC1"/>
            <w:tabs>
              <w:tab w:val="right" w:leader="dot" w:pos="9019"/>
            </w:tabs>
            <w:spacing w:line="360" w:lineRule="auto"/>
            <w:jc w:val="both"/>
            <w:rPr>
              <w:rFonts w:ascii="Times New Roman" w:hAnsi="Times New Roman" w:cs="Times New Roman"/>
              <w:noProof/>
              <w:sz w:val="24"/>
              <w:szCs w:val="24"/>
            </w:rPr>
          </w:pPr>
          <w:hyperlink w:history="1" w:anchor="_Toc161752101">
            <w:r w:rsidRPr="00137734" w:rsidR="00137734">
              <w:rPr>
                <w:rStyle w:val="Hyperlink"/>
                <w:rFonts w:ascii="Times New Roman" w:hAnsi="Times New Roman" w:cs="Times New Roman"/>
                <w:noProof/>
                <w:sz w:val="24"/>
                <w:szCs w:val="24"/>
              </w:rPr>
              <w:t>References</w:t>
            </w:r>
            <w:r w:rsidRPr="00137734" w:rsidR="00137734">
              <w:rPr>
                <w:rFonts w:ascii="Times New Roman" w:hAnsi="Times New Roman" w:cs="Times New Roman"/>
                <w:noProof/>
                <w:webHidden/>
                <w:sz w:val="24"/>
                <w:szCs w:val="24"/>
              </w:rPr>
              <w:tab/>
            </w:r>
            <w:r w:rsidRPr="00137734" w:rsidR="00137734">
              <w:rPr>
                <w:rFonts w:ascii="Times New Roman" w:hAnsi="Times New Roman" w:cs="Times New Roman"/>
                <w:noProof/>
                <w:webHidden/>
                <w:sz w:val="24"/>
                <w:szCs w:val="24"/>
              </w:rPr>
              <w:fldChar w:fldCharType="begin"/>
            </w:r>
            <w:r w:rsidRPr="00137734" w:rsidR="00137734">
              <w:rPr>
                <w:rFonts w:ascii="Times New Roman" w:hAnsi="Times New Roman" w:cs="Times New Roman"/>
                <w:noProof/>
                <w:webHidden/>
                <w:sz w:val="24"/>
                <w:szCs w:val="24"/>
              </w:rPr>
              <w:instrText xml:space="preserve"> PAGEREF _Toc161752101 \h </w:instrText>
            </w:r>
            <w:r w:rsidRPr="00137734" w:rsidR="00137734">
              <w:rPr>
                <w:rFonts w:ascii="Times New Roman" w:hAnsi="Times New Roman" w:cs="Times New Roman"/>
                <w:noProof/>
                <w:webHidden/>
                <w:sz w:val="24"/>
                <w:szCs w:val="24"/>
              </w:rPr>
            </w:r>
            <w:r w:rsidRPr="00137734" w:rsidR="00137734">
              <w:rPr>
                <w:rFonts w:ascii="Times New Roman" w:hAnsi="Times New Roman" w:cs="Times New Roman"/>
                <w:noProof/>
                <w:webHidden/>
                <w:sz w:val="24"/>
                <w:szCs w:val="24"/>
              </w:rPr>
              <w:fldChar w:fldCharType="separate"/>
            </w:r>
            <w:r w:rsidRPr="00137734" w:rsidR="00137734">
              <w:rPr>
                <w:rFonts w:ascii="Times New Roman" w:hAnsi="Times New Roman" w:cs="Times New Roman"/>
                <w:noProof/>
                <w:webHidden/>
                <w:sz w:val="24"/>
                <w:szCs w:val="24"/>
              </w:rPr>
              <w:t>7</w:t>
            </w:r>
            <w:r w:rsidRPr="00137734" w:rsidR="00137734">
              <w:rPr>
                <w:rFonts w:ascii="Times New Roman" w:hAnsi="Times New Roman" w:cs="Times New Roman"/>
                <w:noProof/>
                <w:webHidden/>
                <w:sz w:val="24"/>
                <w:szCs w:val="24"/>
              </w:rPr>
              <w:fldChar w:fldCharType="end"/>
            </w:r>
          </w:hyperlink>
        </w:p>
        <w:p w:rsidR="00137734" w:rsidP="00137734" w:rsidRDefault="00137734" w14:paraId="1B4F1DE2" w14:textId="3C5938C8">
          <w:pPr>
            <w:spacing w:line="360" w:lineRule="auto"/>
            <w:jc w:val="both"/>
          </w:pPr>
          <w:r w:rsidRPr="00137734">
            <w:rPr>
              <w:rFonts w:ascii="Times New Roman" w:hAnsi="Times New Roman" w:cs="Times New Roman"/>
              <w:b/>
              <w:bCs/>
              <w:noProof/>
              <w:sz w:val="24"/>
              <w:szCs w:val="24"/>
            </w:rPr>
            <w:fldChar w:fldCharType="end"/>
          </w:r>
        </w:p>
      </w:sdtContent>
    </w:sdt>
    <w:p w:rsidR="00EB66D3" w:rsidP="008C1C1A" w:rsidRDefault="002947D8" w14:paraId="00000004" w14:textId="7F0558C2">
      <w:pPr>
        <w:spacing w:line="360" w:lineRule="auto"/>
        <w:jc w:val="center"/>
        <w:rPr>
          <w:rFonts w:ascii="Times New Roman" w:hAnsi="Times New Roman" w:eastAsia="Times New Roman" w:cs="Times New Roman"/>
          <w:b/>
          <w:sz w:val="32"/>
          <w:szCs w:val="32"/>
        </w:rPr>
      </w:pPr>
      <w:r>
        <w:br w:type="page"/>
      </w:r>
    </w:p>
    <w:p w:rsidRPr="00443E8F" w:rsidR="00EB66D3" w:rsidP="00443E8F" w:rsidRDefault="002947D8" w14:paraId="00000005" w14:textId="77777777">
      <w:pPr>
        <w:pStyle w:val="Heading1"/>
      </w:pPr>
      <w:bookmarkStart w:name="_Toc161752095" w:id="0"/>
      <w:r>
        <w:lastRenderedPageBreak/>
        <w:t>Introduction</w:t>
      </w:r>
      <w:bookmarkEnd w:id="0"/>
    </w:p>
    <w:p w:rsidR="00EB66D3" w:rsidP="00443E8F" w:rsidRDefault="002947D8" w14:paraId="00000006" w14:textId="7056F1A0">
      <w:pPr>
        <w:spacing w:line="360" w:lineRule="auto"/>
        <w:jc w:val="both"/>
        <w:rPr>
          <w:rFonts w:ascii="Times New Roman" w:hAnsi="Times New Roman" w:eastAsia="Times New Roman" w:cs="Times New Roman"/>
          <w:b/>
          <w:sz w:val="28"/>
          <w:szCs w:val="28"/>
        </w:rPr>
      </w:pPr>
      <w:r>
        <w:rPr>
          <w:rFonts w:ascii="Times New Roman" w:hAnsi="Times New Roman" w:eastAsia="Times New Roman" w:cs="Times New Roman"/>
          <w:sz w:val="24"/>
          <w:szCs w:val="24"/>
        </w:rPr>
        <w:t xml:space="preserve">Foreign finance management is the planned management actions all over the country borders. </w:t>
      </w:r>
      <w:r w:rsidR="00443E8F">
        <w:rPr>
          <w:rFonts w:ascii="Times New Roman" w:hAnsi="Times New Roman" w:eastAsia="Times New Roman" w:cs="Times New Roman"/>
          <w:sz w:val="24"/>
          <w:szCs w:val="24"/>
        </w:rPr>
        <w:t>These needs</w:t>
      </w:r>
      <w:r>
        <w:rPr>
          <w:rFonts w:ascii="Times New Roman" w:hAnsi="Times New Roman" w:eastAsia="Times New Roman" w:cs="Times New Roman"/>
          <w:sz w:val="24"/>
          <w:szCs w:val="24"/>
        </w:rPr>
        <w:t xml:space="preserve"> managing the international finance functions such as financing, risk management and investing. This is essential as it provides international skills, enabling the company to shift all over the world with </w:t>
      </w:r>
      <w:r w:rsidR="00443E8F">
        <w:rPr>
          <w:rFonts w:ascii="Times New Roman" w:hAnsi="Times New Roman" w:eastAsia="Times New Roman" w:cs="Times New Roman"/>
          <w:sz w:val="24"/>
          <w:szCs w:val="24"/>
        </w:rPr>
        <w:t>several</w:t>
      </w:r>
      <w:r>
        <w:rPr>
          <w:rFonts w:ascii="Times New Roman" w:hAnsi="Times New Roman" w:eastAsia="Times New Roman" w:cs="Times New Roman"/>
          <w:sz w:val="24"/>
          <w:szCs w:val="24"/>
        </w:rPr>
        <w:t xml:space="preserve"> economic centres (</w:t>
      </w:r>
      <w:proofErr w:type="spellStart"/>
      <w:r>
        <w:rPr>
          <w:rFonts w:ascii="Times New Roman" w:hAnsi="Times New Roman" w:eastAsia="Times New Roman" w:cs="Times New Roman"/>
          <w:sz w:val="24"/>
          <w:szCs w:val="24"/>
        </w:rPr>
        <w:t>Finkler</w:t>
      </w:r>
      <w:proofErr w:type="spellEnd"/>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2022). The following report will discuss the theoretical framework and models of IFM (International Financial Management) and evaluate the models of IFM. Also, this study will elaborate different methods and strategies related to financing of international business including company examples. Along with this, the subject will mention the different theoretical structures of corporate value and cost of capital internationally and financial framework. </w:t>
      </w:r>
    </w:p>
    <w:p w:rsidR="00EB66D3" w:rsidP="00457E60" w:rsidRDefault="002947D8" w14:paraId="00000007" w14:textId="77777777">
      <w:pPr>
        <w:pStyle w:val="Heading1"/>
      </w:pPr>
      <w:bookmarkStart w:name="_Toc161752096" w:id="1"/>
      <w:r>
        <w:t>Discussing the theoretical framework and models of IFM (International Financial Management)</w:t>
      </w:r>
      <w:bookmarkEnd w:id="1"/>
    </w:p>
    <w:p w:rsidR="00EB66D3" w:rsidP="00443E8F" w:rsidRDefault="002947D8" w14:paraId="00000008" w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International Exchange Risk management</w:t>
      </w:r>
    </w:p>
    <w:p w:rsidR="00EB66D3" w:rsidP="00443E8F" w:rsidRDefault="002947D8" w14:paraId="00000009" w14:textId="1F289A0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Currency Forecasting: </w:t>
      </w:r>
      <w:r>
        <w:rPr>
          <w:rFonts w:ascii="Times New Roman" w:hAnsi="Times New Roman" w:eastAsia="Times New Roman" w:cs="Times New Roman"/>
          <w:sz w:val="24"/>
          <w:szCs w:val="24"/>
        </w:rPr>
        <w:t xml:space="preserve">Exchange rate predictions are evaluations </w:t>
      </w:r>
      <w:r w:rsidR="00443E8F">
        <w:rPr>
          <w:rFonts w:ascii="Times New Roman" w:hAnsi="Times New Roman" w:eastAsia="Times New Roman" w:cs="Times New Roman"/>
          <w:sz w:val="24"/>
          <w:szCs w:val="24"/>
        </w:rPr>
        <w:t>that try</w:t>
      </w:r>
      <w:r>
        <w:rPr>
          <w:rFonts w:ascii="Times New Roman" w:hAnsi="Times New Roman" w:eastAsia="Times New Roman" w:cs="Times New Roman"/>
          <w:sz w:val="24"/>
          <w:szCs w:val="24"/>
        </w:rPr>
        <w:t xml:space="preserve"> to assume the exchange rates over any time. Currency predictions are executed by </w:t>
      </w:r>
      <w:r w:rsidR="00443E8F">
        <w:rPr>
          <w:rFonts w:ascii="Times New Roman" w:hAnsi="Times New Roman" w:eastAsia="Times New Roman" w:cs="Times New Roman"/>
          <w:sz w:val="24"/>
          <w:szCs w:val="24"/>
        </w:rPr>
        <w:t>currency observers</w:t>
      </w:r>
      <w:r>
        <w:rPr>
          <w:rFonts w:ascii="Times New Roman" w:hAnsi="Times New Roman" w:eastAsia="Times New Roman" w:cs="Times New Roman"/>
          <w:sz w:val="24"/>
          <w:szCs w:val="24"/>
        </w:rPr>
        <w:t xml:space="preserve"> and </w:t>
      </w:r>
      <w:r w:rsidR="00443E8F">
        <w:rPr>
          <w:rFonts w:ascii="Times New Roman" w:hAnsi="Times New Roman" w:eastAsia="Times New Roman" w:cs="Times New Roman"/>
          <w:sz w:val="24"/>
          <w:szCs w:val="24"/>
        </w:rPr>
        <w:t>economists’</w:t>
      </w:r>
      <w:r>
        <w:rPr>
          <w:rFonts w:ascii="Times New Roman" w:hAnsi="Times New Roman" w:eastAsia="Times New Roman" w:cs="Times New Roman"/>
          <w:sz w:val="24"/>
          <w:szCs w:val="24"/>
        </w:rPr>
        <w:t xml:space="preserve"> evaluators performing for financial publications. Currency forecasting is important to estimate the international designated cash flows engaged in foreign transactions. This term is mainly related to money supply and this works at the time of increasing the exchange rate of a country from another country (Beckmann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2020). </w:t>
      </w:r>
    </w:p>
    <w:p w:rsidR="00EB66D3" w:rsidP="00443E8F" w:rsidRDefault="002947D8" w14:paraId="0000000A" w14:textId="48D4DF9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Economic Exposure: </w:t>
      </w:r>
      <w:r>
        <w:rPr>
          <w:rFonts w:ascii="Times New Roman" w:hAnsi="Times New Roman" w:eastAsia="Times New Roman" w:cs="Times New Roman"/>
          <w:sz w:val="24"/>
          <w:szCs w:val="24"/>
        </w:rPr>
        <w:t xml:space="preserve">Economic exposure which is a part of international trade exposure caused by the impact of unpredicted currency variation on a future cash flow of an organisation, international </w:t>
      </w:r>
      <w:r w:rsidR="00335AB4">
        <w:rPr>
          <w:rFonts w:ascii="Times New Roman" w:hAnsi="Times New Roman" w:eastAsia="Times New Roman" w:cs="Times New Roman"/>
          <w:sz w:val="24"/>
          <w:szCs w:val="24"/>
        </w:rPr>
        <w:t>investments,</w:t>
      </w:r>
      <w:r>
        <w:rPr>
          <w:rFonts w:ascii="Times New Roman" w:hAnsi="Times New Roman" w:eastAsia="Times New Roman" w:cs="Times New Roman"/>
          <w:sz w:val="24"/>
          <w:szCs w:val="24"/>
        </w:rPr>
        <w:t xml:space="preserve"> and incomes. Exposure analysis of the economy defines the wider effect of currency variations on an organisation's financial presentation. Along with this, this exposure analysis engages executing planning to reduce the entire threats associated with currency variations.   </w:t>
      </w:r>
    </w:p>
    <w:p w:rsidR="00EB66D3" w:rsidP="00443E8F" w:rsidRDefault="002947D8" w14:paraId="0000000B" w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Foreign Investment Decisions </w:t>
      </w:r>
    </w:p>
    <w:p w:rsidR="00EB66D3" w:rsidP="00443E8F" w:rsidRDefault="002947D8" w14:paraId="0000000C" w14:textId="33795BE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Capital Budgeting Methods: </w:t>
      </w:r>
      <w:r>
        <w:rPr>
          <w:rFonts w:ascii="Times New Roman" w:hAnsi="Times New Roman" w:eastAsia="Times New Roman" w:cs="Times New Roman"/>
          <w:sz w:val="24"/>
          <w:szCs w:val="24"/>
        </w:rPr>
        <w:t>This is the analysis of financial methods that a company manages to control the approval or rejection or investment project. This has different types of techniques such as net present value, PB (</w:t>
      </w:r>
      <w:r w:rsidR="00335AB4">
        <w:rPr>
          <w:rFonts w:ascii="Times New Roman" w:hAnsi="Times New Roman" w:eastAsia="Times New Roman" w:cs="Times New Roman"/>
          <w:sz w:val="24"/>
          <w:szCs w:val="24"/>
        </w:rPr>
        <w:t>P</w:t>
      </w:r>
      <w:r>
        <w:rPr>
          <w:rFonts w:ascii="Times New Roman" w:hAnsi="Times New Roman" w:eastAsia="Times New Roman" w:cs="Times New Roman"/>
          <w:sz w:val="24"/>
          <w:szCs w:val="24"/>
        </w:rPr>
        <w:t xml:space="preserve">ayback </w:t>
      </w:r>
      <w:r w:rsidR="00335AB4">
        <w:rPr>
          <w:rFonts w:ascii="Times New Roman" w:hAnsi="Times New Roman" w:eastAsia="Times New Roman" w:cs="Times New Roman"/>
          <w:sz w:val="24"/>
          <w:szCs w:val="24"/>
        </w:rPr>
        <w:t>P</w:t>
      </w:r>
      <w:r>
        <w:rPr>
          <w:rFonts w:ascii="Times New Roman" w:hAnsi="Times New Roman" w:eastAsia="Times New Roman" w:cs="Times New Roman"/>
          <w:sz w:val="24"/>
          <w:szCs w:val="24"/>
        </w:rPr>
        <w:t>eriod</w:t>
      </w:r>
      <w:r w:rsidR="00335AB4">
        <w:rPr>
          <w:rFonts w:ascii="Times New Roman" w:hAnsi="Times New Roman" w:eastAsia="Times New Roman" w:cs="Times New Roman"/>
          <w:sz w:val="24"/>
          <w:szCs w:val="24"/>
        </w:rPr>
        <w:t>), IRR</w:t>
      </w:r>
      <w:r>
        <w:rPr>
          <w:rFonts w:ascii="Times New Roman" w:hAnsi="Times New Roman" w:eastAsia="Times New Roman" w:cs="Times New Roman"/>
          <w:sz w:val="24"/>
          <w:szCs w:val="24"/>
        </w:rPr>
        <w:t xml:space="preserve"> (</w:t>
      </w:r>
      <w:r w:rsidR="00335AB4">
        <w:rPr>
          <w:rFonts w:ascii="Times New Roman" w:hAnsi="Times New Roman" w:eastAsia="Times New Roman" w:cs="Times New Roman"/>
          <w:sz w:val="24"/>
          <w:szCs w:val="24"/>
        </w:rPr>
        <w:t>I</w:t>
      </w:r>
      <w:r>
        <w:rPr>
          <w:rFonts w:ascii="Times New Roman" w:hAnsi="Times New Roman" w:eastAsia="Times New Roman" w:cs="Times New Roman"/>
          <w:sz w:val="24"/>
          <w:szCs w:val="24"/>
        </w:rPr>
        <w:t xml:space="preserve">nner </w:t>
      </w:r>
      <w:r w:rsidR="00335AB4">
        <w:rPr>
          <w:rFonts w:ascii="Times New Roman" w:hAnsi="Times New Roman" w:eastAsia="Times New Roman" w:cs="Times New Roman"/>
          <w:sz w:val="24"/>
          <w:szCs w:val="24"/>
        </w:rPr>
        <w:t>R</w:t>
      </w:r>
      <w:r>
        <w:rPr>
          <w:rFonts w:ascii="Times New Roman" w:hAnsi="Times New Roman" w:eastAsia="Times New Roman" w:cs="Times New Roman"/>
          <w:sz w:val="24"/>
          <w:szCs w:val="24"/>
        </w:rPr>
        <w:t xml:space="preserve">ate of </w:t>
      </w:r>
      <w:r w:rsidR="00335AB4">
        <w:rPr>
          <w:rFonts w:ascii="Times New Roman" w:hAnsi="Times New Roman" w:eastAsia="Times New Roman" w:cs="Times New Roman"/>
          <w:sz w:val="24"/>
          <w:szCs w:val="24"/>
        </w:rPr>
        <w:t>R</w:t>
      </w:r>
      <w:r>
        <w:rPr>
          <w:rFonts w:ascii="Times New Roman" w:hAnsi="Times New Roman" w:eastAsia="Times New Roman" w:cs="Times New Roman"/>
          <w:sz w:val="24"/>
          <w:szCs w:val="24"/>
        </w:rPr>
        <w:t xml:space="preserve">eturn) and total present value. Capital budgeting depends on several fundamental applications where long-term budgets are risky, and uncertain. This is essential as this builds responsibility and is computable (Bedford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2022).  </w:t>
      </w:r>
    </w:p>
    <w:p w:rsidR="00A257A2" w:rsidP="00443E8F" w:rsidRDefault="002947D8" w14:paraId="466B2BD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lastRenderedPageBreak/>
        <w:t xml:space="preserve">Country Risk Analysis: </w:t>
      </w:r>
      <w:r>
        <w:rPr>
          <w:rFonts w:ascii="Times New Roman" w:hAnsi="Times New Roman" w:eastAsia="Times New Roman" w:cs="Times New Roman"/>
          <w:sz w:val="24"/>
          <w:szCs w:val="24"/>
        </w:rPr>
        <w:t xml:space="preserve">This defines the unpredictability related to funding in a specific country. In case of foreign investment, this country's risk can lead to losses </w:t>
      </w:r>
      <w:r w:rsidR="00335AB4">
        <w:rPr>
          <w:rFonts w:ascii="Times New Roman" w:hAnsi="Times New Roman" w:eastAsia="Times New Roman" w:cs="Times New Roman"/>
          <w:sz w:val="24"/>
          <w:szCs w:val="24"/>
        </w:rPr>
        <w:t>for capitalists</w:t>
      </w:r>
      <w:r>
        <w:rPr>
          <w:rFonts w:ascii="Times New Roman" w:hAnsi="Times New Roman" w:eastAsia="Times New Roman" w:cs="Times New Roman"/>
          <w:sz w:val="24"/>
          <w:szCs w:val="24"/>
        </w:rPr>
        <w:t xml:space="preserve">. International investment decisions are defined as economic estimation criteria. Currently, organisations are becoming conscious about additional threats associated with international investment that occur as a direct challenge of selecting to operate in a separate environment. Country risk evaluation as an existing function in foreign business which reflects an increasing acknowledgement of the demand to involve an estimation of extra risks (Contractor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2020).</w:t>
      </w:r>
    </w:p>
    <w:p w:rsidR="00EB66D3" w:rsidP="00443E8F" w:rsidRDefault="00A257A2" w14:paraId="0000000D" w14:textId="106D4711">
      <w:pPr>
        <w:spacing w:line="360" w:lineRule="auto"/>
        <w:jc w:val="both"/>
        <w:rPr>
          <w:rFonts w:ascii="Times New Roman" w:hAnsi="Times New Roman" w:eastAsia="Times New Roman" w:cs="Times New Roman"/>
          <w:sz w:val="24"/>
          <w:szCs w:val="24"/>
        </w:rPr>
      </w:pPr>
      <w:r>
        <w:rPr>
          <w:noProof/>
        </w:rPr>
        <w:drawing>
          <wp:inline distT="0" distB="0" distL="0" distR="0" wp14:anchorId="39E3C047" wp14:editId="761825CB">
            <wp:extent cx="5733415" cy="3000375"/>
            <wp:effectExtent l="19050" t="19050" r="19685" b="28575"/>
            <wp:docPr id="2" name="Picture 2" descr="Mapped: Global Macroeconomic Risk, by Country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ped: Global Macroeconomic Risk, by Country in 20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000375"/>
                    </a:xfrm>
                    <a:prstGeom prst="rect">
                      <a:avLst/>
                    </a:prstGeom>
                    <a:noFill/>
                    <a:ln>
                      <a:solidFill>
                        <a:schemeClr val="tx1"/>
                      </a:solidFill>
                    </a:ln>
                  </pic:spPr>
                </pic:pic>
              </a:graphicData>
            </a:graphic>
          </wp:inline>
        </w:drawing>
      </w:r>
    </w:p>
    <w:p w:rsidRPr="00A257A2" w:rsidR="00A257A2" w:rsidP="00A257A2" w:rsidRDefault="00A257A2" w14:paraId="4B4C08C7" w14:textId="214A0476">
      <w:pPr>
        <w:spacing w:line="360" w:lineRule="auto"/>
        <w:jc w:val="center"/>
        <w:rPr>
          <w:rFonts w:ascii="Times New Roman" w:hAnsi="Times New Roman" w:eastAsia="Times New Roman" w:cs="Times New Roman"/>
          <w:b/>
          <w:bCs/>
          <w:sz w:val="24"/>
          <w:szCs w:val="24"/>
        </w:rPr>
      </w:pPr>
      <w:r w:rsidRPr="00A257A2">
        <w:rPr>
          <w:rFonts w:ascii="Times New Roman" w:hAnsi="Times New Roman" w:eastAsia="Times New Roman" w:cs="Times New Roman"/>
          <w:b/>
          <w:bCs/>
          <w:sz w:val="24"/>
          <w:szCs w:val="24"/>
        </w:rPr>
        <w:t>Figure 1: Global macro-economic risk</w:t>
      </w:r>
    </w:p>
    <w:p w:rsidRPr="00A257A2" w:rsidR="00A257A2" w:rsidP="00A257A2" w:rsidRDefault="00A257A2" w14:paraId="2F99F1FE" w14:textId="1EE3B173">
      <w:pPr>
        <w:spacing w:line="360" w:lineRule="auto"/>
        <w:jc w:val="center"/>
        <w:rPr>
          <w:rFonts w:ascii="Times New Roman" w:hAnsi="Times New Roman" w:eastAsia="Times New Roman" w:cs="Times New Roman"/>
          <w:b/>
          <w:bCs/>
          <w:sz w:val="24"/>
          <w:szCs w:val="24"/>
        </w:rPr>
      </w:pPr>
      <w:r w:rsidRPr="00A257A2">
        <w:rPr>
          <w:rFonts w:ascii="Times New Roman" w:hAnsi="Times New Roman" w:eastAsia="Times New Roman" w:cs="Times New Roman"/>
          <w:b/>
          <w:bCs/>
          <w:sz w:val="24"/>
          <w:szCs w:val="24"/>
        </w:rPr>
        <w:t>(Source: Chance and Brooks, 2021)</w:t>
      </w:r>
    </w:p>
    <w:p w:rsidR="00EB66D3" w:rsidP="00443E8F" w:rsidRDefault="002947D8" w14:paraId="0000000E" w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Foreign Financial Decisions</w:t>
      </w:r>
    </w:p>
    <w:p w:rsidR="00EB66D3" w:rsidP="00443E8F" w:rsidRDefault="002947D8" w14:paraId="0000000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Cost of capital:</w:t>
      </w:r>
      <w:r>
        <w:rPr>
          <w:rFonts w:ascii="Times New Roman" w:hAnsi="Times New Roman" w:eastAsia="Times New Roman" w:cs="Times New Roman"/>
          <w:sz w:val="24"/>
          <w:szCs w:val="24"/>
        </w:rPr>
        <w:t xml:space="preserve"> Cost of capital defines the essential return on investment that an organisation forecasts when it creates an investment in an international country. This takes into explanation the threat related to the investment like geopolitical threat, exchange rate risk, and possible returns risks. The cost of capital is essential in international financial decision making as it estimates the cost that a trading suffers to finance its functions.       </w:t>
      </w:r>
    </w:p>
    <w:p w:rsidR="00EB66D3" w:rsidP="00443E8F" w:rsidRDefault="002947D8" w14:paraId="00000010" w14:textId="114065F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Capital Structure: </w:t>
      </w:r>
      <w:r>
        <w:rPr>
          <w:rFonts w:ascii="Times New Roman" w:hAnsi="Times New Roman" w:eastAsia="Times New Roman" w:cs="Times New Roman"/>
          <w:sz w:val="24"/>
          <w:szCs w:val="24"/>
        </w:rPr>
        <w:t xml:space="preserve">Capital framework is the specific combination of equity and debt used by an organisation to finance its entire operations and development. The ratio of debt to equity is helpful in regulating the riskiness of an organisation’s negotiating practices. The capital of equity occurs from the shares </w:t>
      </w:r>
      <w:r w:rsidR="00335AB4">
        <w:rPr>
          <w:rFonts w:ascii="Times New Roman" w:hAnsi="Times New Roman" w:eastAsia="Times New Roman" w:cs="Times New Roman"/>
          <w:sz w:val="24"/>
          <w:szCs w:val="24"/>
        </w:rPr>
        <w:t>of proprietary</w:t>
      </w:r>
      <w:r>
        <w:rPr>
          <w:rFonts w:ascii="Times New Roman" w:hAnsi="Times New Roman" w:eastAsia="Times New Roman" w:cs="Times New Roman"/>
          <w:sz w:val="24"/>
          <w:szCs w:val="24"/>
        </w:rPr>
        <w:t xml:space="preserve"> rights in an organisation and maintains to its cash flow and profit margins for future. Along with this, debt happens in terms of bond or loans, preferred </w:t>
      </w:r>
      <w:r w:rsidR="00335AB4">
        <w:rPr>
          <w:rFonts w:ascii="Times New Roman" w:hAnsi="Times New Roman" w:eastAsia="Times New Roman" w:cs="Times New Roman"/>
          <w:sz w:val="24"/>
          <w:szCs w:val="24"/>
        </w:rPr>
        <w:t>stock,</w:t>
      </w:r>
      <w:r>
        <w:rPr>
          <w:rFonts w:ascii="Times New Roman" w:hAnsi="Times New Roman" w:eastAsia="Times New Roman" w:cs="Times New Roman"/>
          <w:sz w:val="24"/>
          <w:szCs w:val="24"/>
        </w:rPr>
        <w:t xml:space="preserve"> and incomes (Bateman and Mace, 2020). </w:t>
      </w:r>
    </w:p>
    <w:p w:rsidR="00EB66D3" w:rsidP="00457E60" w:rsidRDefault="002947D8" w14:paraId="00000011" w14:textId="77777777">
      <w:pPr>
        <w:pStyle w:val="Heading1"/>
      </w:pPr>
      <w:bookmarkStart w:name="_Toc161752097" w:id="2"/>
      <w:r>
        <w:lastRenderedPageBreak/>
        <w:t>Evaluating the impacts of frameworks and models of IFM</w:t>
      </w:r>
      <w:bookmarkEnd w:id="2"/>
    </w:p>
    <w:p w:rsidR="00EB66D3" w:rsidP="00443E8F" w:rsidRDefault="002947D8" w14:paraId="00000012" w14:textId="002676F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Market conditions:</w:t>
      </w:r>
      <w:r>
        <w:rPr>
          <w:rFonts w:ascii="Times New Roman" w:hAnsi="Times New Roman" w:eastAsia="Times New Roman" w:cs="Times New Roman"/>
          <w:sz w:val="24"/>
          <w:szCs w:val="24"/>
        </w:rPr>
        <w:t xml:space="preserve"> Foreign investment decisions can be the reason for negative impacts on domestic organisations, if international capitalists compress national investors from the market, and become sellers. This loss can be created in the payment balance of the host</w:t>
      </w:r>
      <w:r w:rsidR="00443E8F">
        <w:rPr>
          <w:rFonts w:ascii="Times New Roman" w:hAnsi="Times New Roman" w:eastAsia="Times New Roman" w:cs="Times New Roman"/>
          <w:sz w:val="24"/>
          <w:szCs w:val="24"/>
        </w:rPr>
        <w:t>ing</w:t>
      </w:r>
      <w:r>
        <w:rPr>
          <w:rFonts w:ascii="Times New Roman" w:hAnsi="Times New Roman" w:eastAsia="Times New Roman" w:cs="Times New Roman"/>
          <w:sz w:val="24"/>
          <w:szCs w:val="24"/>
        </w:rPr>
        <w:t xml:space="preserve"> </w:t>
      </w:r>
      <w:r w:rsidR="00443E8F">
        <w:rPr>
          <w:rFonts w:ascii="Times New Roman" w:hAnsi="Times New Roman" w:eastAsia="Times New Roman" w:cs="Times New Roman"/>
          <w:sz w:val="24"/>
          <w:szCs w:val="24"/>
        </w:rPr>
        <w:t>nation</w:t>
      </w:r>
      <w:r>
        <w:rPr>
          <w:rFonts w:ascii="Times New Roman" w:hAnsi="Times New Roman" w:eastAsia="Times New Roman" w:cs="Times New Roman"/>
          <w:sz w:val="24"/>
          <w:szCs w:val="24"/>
        </w:rPr>
        <w:t xml:space="preserve"> for their high number of outflows of profits of investors or large numbers of imports. Along with this, this defines that foreign investment decisions have impacts on the local economy which is beyond the increasing of direct investments in capital. This term offers a quick exit to the foreign market and a developed living standard. The decision-making of foreign investments is a prime improved </w:t>
      </w:r>
      <w:r w:rsidR="00443E8F">
        <w:rPr>
          <w:rFonts w:ascii="Times New Roman" w:hAnsi="Times New Roman" w:eastAsia="Times New Roman" w:cs="Times New Roman"/>
          <w:sz w:val="24"/>
          <w:szCs w:val="24"/>
        </w:rPr>
        <w:t>element</w:t>
      </w:r>
      <w:r>
        <w:rPr>
          <w:rFonts w:ascii="Times New Roman" w:hAnsi="Times New Roman" w:eastAsia="Times New Roman" w:cs="Times New Roman"/>
          <w:sz w:val="24"/>
          <w:szCs w:val="24"/>
        </w:rPr>
        <w:t xml:space="preserve"> in the </w:t>
      </w:r>
      <w:r w:rsidR="00443E8F">
        <w:rPr>
          <w:rFonts w:ascii="Times New Roman" w:hAnsi="Times New Roman" w:eastAsia="Times New Roman" w:cs="Times New Roman"/>
          <w:sz w:val="24"/>
          <w:szCs w:val="24"/>
        </w:rPr>
        <w:t>contemporary</w:t>
      </w:r>
      <w:r>
        <w:rPr>
          <w:rFonts w:ascii="Times New Roman" w:hAnsi="Times New Roman" w:eastAsia="Times New Roman" w:cs="Times New Roman"/>
          <w:sz w:val="24"/>
          <w:szCs w:val="24"/>
        </w:rPr>
        <w:t xml:space="preserve"> economy, and in partnership with the </w:t>
      </w:r>
      <w:r w:rsidR="00443E8F">
        <w:rPr>
          <w:rFonts w:ascii="Times New Roman" w:hAnsi="Times New Roman" w:eastAsia="Times New Roman" w:cs="Times New Roman"/>
          <w:sz w:val="24"/>
          <w:szCs w:val="24"/>
        </w:rPr>
        <w:t>business</w:t>
      </w:r>
      <w:r>
        <w:rPr>
          <w:rFonts w:ascii="Times New Roman" w:hAnsi="Times New Roman" w:eastAsia="Times New Roman" w:cs="Times New Roman"/>
          <w:sz w:val="24"/>
          <w:szCs w:val="24"/>
        </w:rPr>
        <w:t xml:space="preserve">, defines the most essential purchase of a business, organisation of manufacturing, supplying </w:t>
      </w:r>
      <w:r w:rsidR="00443E8F">
        <w:rPr>
          <w:rFonts w:ascii="Times New Roman" w:hAnsi="Times New Roman" w:eastAsia="Times New Roman" w:cs="Times New Roman"/>
          <w:sz w:val="24"/>
          <w:szCs w:val="24"/>
        </w:rPr>
        <w:t xml:space="preserve">services and </w:t>
      </w:r>
      <w:r>
        <w:rPr>
          <w:rFonts w:ascii="Times New Roman" w:hAnsi="Times New Roman" w:eastAsia="Times New Roman" w:cs="Times New Roman"/>
          <w:sz w:val="24"/>
          <w:szCs w:val="24"/>
        </w:rPr>
        <w:t xml:space="preserve">products on an international </w:t>
      </w:r>
      <w:r w:rsidR="00443E8F">
        <w:rPr>
          <w:rFonts w:ascii="Times New Roman" w:hAnsi="Times New Roman" w:eastAsia="Times New Roman" w:cs="Times New Roman"/>
          <w:sz w:val="24"/>
          <w:szCs w:val="24"/>
        </w:rPr>
        <w:t>level</w:t>
      </w:r>
      <w:r>
        <w:rPr>
          <w:rFonts w:ascii="Times New Roman" w:hAnsi="Times New Roman" w:eastAsia="Times New Roman" w:cs="Times New Roman"/>
          <w:sz w:val="24"/>
          <w:szCs w:val="24"/>
        </w:rPr>
        <w:t xml:space="preserve"> (</w:t>
      </w:r>
      <w:proofErr w:type="spellStart"/>
      <w:r>
        <w:rPr>
          <w:rFonts w:ascii="Times New Roman" w:hAnsi="Times New Roman" w:eastAsia="Times New Roman" w:cs="Times New Roman"/>
          <w:sz w:val="24"/>
          <w:szCs w:val="24"/>
        </w:rPr>
        <w:t>Lutfiani</w:t>
      </w:r>
      <w:proofErr w:type="spellEnd"/>
      <w:r>
        <w:rPr>
          <w:rFonts w:ascii="Times New Roman" w:hAnsi="Times New Roman" w:eastAsia="Times New Roman" w:cs="Times New Roman"/>
          <w:sz w:val="24"/>
          <w:szCs w:val="24"/>
        </w:rPr>
        <w:t xml:space="preserve"> and </w:t>
      </w:r>
      <w:proofErr w:type="spellStart"/>
      <w:r>
        <w:rPr>
          <w:rFonts w:ascii="Times New Roman" w:hAnsi="Times New Roman" w:eastAsia="Times New Roman" w:cs="Times New Roman"/>
          <w:sz w:val="24"/>
          <w:szCs w:val="24"/>
        </w:rPr>
        <w:t>Hidayah</w:t>
      </w:r>
      <w:proofErr w:type="spellEnd"/>
      <w:r>
        <w:rPr>
          <w:rFonts w:ascii="Times New Roman" w:hAnsi="Times New Roman" w:eastAsia="Times New Roman" w:cs="Times New Roman"/>
          <w:sz w:val="24"/>
          <w:szCs w:val="24"/>
        </w:rPr>
        <w:t xml:space="preserve">, 2022).   </w:t>
      </w:r>
    </w:p>
    <w:p w:rsidR="00EB66D3" w:rsidP="00443E8F" w:rsidRDefault="002947D8" w14:paraId="00000013" w14:textId="51C81BF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Data availability: </w:t>
      </w:r>
      <w:r>
        <w:rPr>
          <w:rFonts w:ascii="Times New Roman" w:hAnsi="Times New Roman" w:eastAsia="Times New Roman" w:cs="Times New Roman"/>
          <w:sz w:val="24"/>
          <w:szCs w:val="24"/>
        </w:rPr>
        <w:t xml:space="preserve">International financial decisions </w:t>
      </w:r>
      <w:r w:rsidR="00335AB4">
        <w:rPr>
          <w:rFonts w:ascii="Times New Roman" w:hAnsi="Times New Roman" w:eastAsia="Times New Roman" w:cs="Times New Roman"/>
          <w:sz w:val="24"/>
          <w:szCs w:val="24"/>
        </w:rPr>
        <w:t>provide</w:t>
      </w:r>
      <w:r>
        <w:rPr>
          <w:rFonts w:ascii="Times New Roman" w:hAnsi="Times New Roman" w:eastAsia="Times New Roman" w:cs="Times New Roman"/>
          <w:sz w:val="24"/>
          <w:szCs w:val="24"/>
        </w:rPr>
        <w:t xml:space="preserve"> the data availability by which the foreign financial decisions can observe and examine weather related risks to stability of financial sections. Threats to financial security from weather change vary in their quantity and </w:t>
      </w:r>
      <w:r w:rsidR="00457E60">
        <w:rPr>
          <w:rFonts w:ascii="Times New Roman" w:hAnsi="Times New Roman" w:eastAsia="Times New Roman" w:cs="Times New Roman"/>
          <w:sz w:val="24"/>
          <w:szCs w:val="24"/>
        </w:rPr>
        <w:t>nature from</w:t>
      </w:r>
      <w:r>
        <w:rPr>
          <w:rFonts w:ascii="Times New Roman" w:hAnsi="Times New Roman" w:eastAsia="Times New Roman" w:cs="Times New Roman"/>
          <w:sz w:val="24"/>
          <w:szCs w:val="24"/>
        </w:rPr>
        <w:t xml:space="preserve"> other threats to the financial system. IFM allows a better acknowledgement of the financial landscape, mapping the data availability and budget cycle from budget estimation. Along with this, risk management is important for foreign trading and this removes possible financial losses and security investments. The most vital aspect of global risk management is to make sure of the observation with agreements connected to international functions (Chance and Brooks, 2021).   </w:t>
      </w:r>
    </w:p>
    <w:p w:rsidR="00EB66D3" w:rsidP="00457E60" w:rsidRDefault="002947D8" w14:paraId="00000014" w14:textId="77777777">
      <w:pPr>
        <w:pStyle w:val="Heading1"/>
      </w:pPr>
      <w:bookmarkStart w:name="_Toc161752098" w:id="3"/>
      <w:r>
        <w:t>Explaining different methods and strategies related to financing of international business</w:t>
      </w:r>
      <w:bookmarkEnd w:id="3"/>
    </w:p>
    <w:p w:rsidR="00EB66D3" w:rsidP="00443E8F" w:rsidRDefault="002947D8" w14:paraId="0000001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Letter of credit:</w:t>
      </w:r>
      <w:r>
        <w:rPr>
          <w:rFonts w:ascii="Times New Roman" w:hAnsi="Times New Roman" w:eastAsia="Times New Roman" w:cs="Times New Roman"/>
          <w:sz w:val="24"/>
          <w:szCs w:val="24"/>
        </w:rPr>
        <w:t xml:space="preserve"> This is an equipment presented by a bank based on the request of the importer, in which the bank assures to make the payment of the amount to the receiver introducing a particular document in the letter of credit. For instance, Zenith Bank Limited offers a letter of credit by providing surety of paying money to the exporter or importer a particular amount of capital on a particular date (zenith-bank.co.uk, 2024).    </w:t>
      </w:r>
    </w:p>
    <w:p w:rsidR="00EB66D3" w:rsidP="00443E8F" w:rsidRDefault="002947D8" w14:paraId="0000001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Factoring: </w:t>
      </w:r>
      <w:r>
        <w:rPr>
          <w:rFonts w:ascii="Times New Roman" w:hAnsi="Times New Roman" w:eastAsia="Times New Roman" w:cs="Times New Roman"/>
          <w:sz w:val="24"/>
          <w:szCs w:val="24"/>
        </w:rPr>
        <w:t xml:space="preserve">This is another essential method of capitalising international business. In this method, the organisation or exporters sell their accounts invoice to the term Factor with a discount to increase the fluidity. By supplying a factor, an organisation can make sure that their terms and conditions are competitive and manageable as per the local application.  Under this term Factoring, customers may be offered the option of payment on an open account. For </w:t>
      </w:r>
      <w:r>
        <w:rPr>
          <w:rFonts w:ascii="Times New Roman" w:hAnsi="Times New Roman" w:eastAsia="Times New Roman" w:cs="Times New Roman"/>
          <w:sz w:val="24"/>
          <w:szCs w:val="24"/>
        </w:rPr>
        <w:lastRenderedPageBreak/>
        <w:t xml:space="preserve">instance, Lloyds Bank is a leading contributor of factoring and personal invoice discounting solutions including resources-based lending (realbusinessrescue.co.uk, 2024). </w:t>
      </w:r>
    </w:p>
    <w:p w:rsidR="00EB66D3" w:rsidP="00443E8F" w:rsidRDefault="002947D8" w14:paraId="0000001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Forfaiting:</w:t>
      </w:r>
      <w:r>
        <w:rPr>
          <w:rFonts w:ascii="Times New Roman" w:hAnsi="Times New Roman" w:eastAsia="Times New Roman" w:cs="Times New Roman"/>
          <w:sz w:val="24"/>
          <w:szCs w:val="24"/>
        </w:rPr>
        <w:t xml:space="preserve"> This term is another specified factoring method used in terms of ultimate credit risk. In case of export financing, when the general ledger of a distributor is allowed whereby the distributor delivers the right to collect payment approving of transferring the transaction is known as Forfaiting. For instance, HSBC achieves credit terms for their buyer that an exporter can be unable to offer. In these terms, the bank gets their products and pays later for the products (business.hsbc.co.in, 2024).         </w:t>
      </w:r>
    </w:p>
    <w:p w:rsidR="00A257A2" w:rsidP="00443E8F" w:rsidRDefault="002947D8" w14:paraId="1910988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Export Credit agencies:</w:t>
      </w:r>
      <w:r>
        <w:rPr>
          <w:rFonts w:ascii="Times New Roman" w:hAnsi="Times New Roman" w:eastAsia="Times New Roman" w:cs="Times New Roman"/>
          <w:sz w:val="24"/>
          <w:szCs w:val="24"/>
        </w:rPr>
        <w:t xml:space="preserve"> This term provides marketing finance and other services to make it possible for national </w:t>
      </w:r>
      <w:r w:rsidR="00457E60">
        <w:rPr>
          <w:rFonts w:ascii="Times New Roman" w:hAnsi="Times New Roman" w:eastAsia="Times New Roman" w:cs="Times New Roman"/>
          <w:sz w:val="24"/>
          <w:szCs w:val="24"/>
        </w:rPr>
        <w:t>organisation’s</w:t>
      </w:r>
      <w:r>
        <w:rPr>
          <w:rFonts w:ascii="Times New Roman" w:hAnsi="Times New Roman" w:eastAsia="Times New Roman" w:cs="Times New Roman"/>
          <w:sz w:val="24"/>
          <w:szCs w:val="24"/>
        </w:rPr>
        <w:t xml:space="preserve"> foreign exports. ECAs help the national economy and in creating job opportunities by assisting organisations find international product markets. The terms provide loans, insurance, and loan guarantees to assist national organisations limit the threat of selling products and services in international markets. Through these ECAs, international business can play a leading role in foreign project financing and transports. These factors help in filling the capitalising gap that private sector creditors make with </w:t>
      </w:r>
      <w:r w:rsidR="00457E60">
        <w:rPr>
          <w:rFonts w:ascii="Times New Roman" w:hAnsi="Times New Roman" w:eastAsia="Times New Roman" w:cs="Times New Roman"/>
          <w:sz w:val="24"/>
          <w:szCs w:val="24"/>
        </w:rPr>
        <w:t>their incapability</w:t>
      </w:r>
      <w:r>
        <w:rPr>
          <w:rFonts w:ascii="Times New Roman" w:hAnsi="Times New Roman" w:eastAsia="Times New Roman" w:cs="Times New Roman"/>
          <w:sz w:val="24"/>
          <w:szCs w:val="24"/>
        </w:rPr>
        <w:t xml:space="preserve"> to provide fundings. For instance, UK Export Finance (UKEF) helps distributors to access the insurance and investments where there is a lack of capacity (oecd.org, 2024).</w:t>
      </w:r>
    </w:p>
    <w:p w:rsidR="00A257A2" w:rsidP="00443E8F" w:rsidRDefault="00A257A2" w14:paraId="6CB63863" w14:textId="77777777">
      <w:pPr>
        <w:spacing w:line="360" w:lineRule="auto"/>
        <w:jc w:val="both"/>
        <w:rPr>
          <w:rFonts w:ascii="Times New Roman" w:hAnsi="Times New Roman" w:eastAsia="Times New Roman" w:cs="Times New Roman"/>
          <w:sz w:val="24"/>
          <w:szCs w:val="24"/>
        </w:rPr>
      </w:pPr>
      <w:r>
        <w:rPr>
          <w:noProof/>
        </w:rPr>
        <w:drawing>
          <wp:inline distT="0" distB="0" distL="0" distR="0" wp14:anchorId="27C37346" wp14:editId="6768F895">
            <wp:extent cx="5733415" cy="3619500"/>
            <wp:effectExtent l="19050" t="19050" r="19685" b="19050"/>
            <wp:docPr id="3" name="Picture 3" descr="Export Credit Agencies (ECA) | 2022 Trade Finance Global Export Finance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ort Credit Agencies (ECA) | 2022 Trade Finance Global Export Finance Hub"/>
                    <pic:cNvPicPr>
                      <a:picLocks noChangeAspect="1" noChangeArrowheads="1"/>
                    </pic:cNvPicPr>
                  </pic:nvPicPr>
                  <pic:blipFill rotWithShape="1">
                    <a:blip r:embed="rId9">
                      <a:extLst>
                        <a:ext uri="{28A0092B-C50C-407E-A947-70E740481C1C}">
                          <a14:useLocalDpi xmlns:a14="http://schemas.microsoft.com/office/drawing/2010/main" val="0"/>
                        </a:ext>
                      </a:extLst>
                    </a:blip>
                    <a:srcRect b="15855"/>
                    <a:stretch/>
                  </pic:blipFill>
                  <pic:spPr bwMode="auto">
                    <a:xfrm>
                      <a:off x="0" y="0"/>
                      <a:ext cx="5733415" cy="36195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2947D8">
        <w:rPr>
          <w:rFonts w:ascii="Times New Roman" w:hAnsi="Times New Roman" w:eastAsia="Times New Roman" w:cs="Times New Roman"/>
          <w:sz w:val="24"/>
          <w:szCs w:val="24"/>
        </w:rPr>
        <w:t xml:space="preserve"> </w:t>
      </w:r>
    </w:p>
    <w:p w:rsidRPr="00A257A2" w:rsidR="00A257A2" w:rsidP="00A257A2" w:rsidRDefault="00A257A2" w14:paraId="3422E68C" w14:textId="77777777">
      <w:pPr>
        <w:spacing w:line="360" w:lineRule="auto"/>
        <w:jc w:val="center"/>
        <w:rPr>
          <w:rFonts w:ascii="Times New Roman" w:hAnsi="Times New Roman" w:eastAsia="Times New Roman" w:cs="Times New Roman"/>
          <w:b/>
          <w:bCs/>
          <w:sz w:val="24"/>
          <w:szCs w:val="24"/>
        </w:rPr>
      </w:pPr>
      <w:r w:rsidRPr="00A257A2">
        <w:rPr>
          <w:rFonts w:ascii="Times New Roman" w:hAnsi="Times New Roman" w:eastAsia="Times New Roman" w:cs="Times New Roman"/>
          <w:b/>
          <w:bCs/>
          <w:sz w:val="24"/>
          <w:szCs w:val="24"/>
        </w:rPr>
        <w:t>Figure 2: ECA working procedure</w:t>
      </w:r>
    </w:p>
    <w:p w:rsidRPr="00A257A2" w:rsidR="00EB66D3" w:rsidP="00A257A2" w:rsidRDefault="00A257A2" w14:paraId="00000018" w14:textId="4F099969">
      <w:pPr>
        <w:spacing w:line="360" w:lineRule="auto"/>
        <w:jc w:val="center"/>
        <w:rPr>
          <w:rFonts w:ascii="Times New Roman" w:hAnsi="Times New Roman" w:eastAsia="Times New Roman" w:cs="Times New Roman"/>
          <w:b/>
          <w:bCs/>
          <w:sz w:val="24"/>
          <w:szCs w:val="24"/>
        </w:rPr>
      </w:pPr>
      <w:r w:rsidRPr="00A257A2">
        <w:rPr>
          <w:rFonts w:ascii="Times New Roman" w:hAnsi="Times New Roman" w:eastAsia="Times New Roman" w:cs="Times New Roman"/>
          <w:b/>
          <w:bCs/>
          <w:sz w:val="24"/>
          <w:szCs w:val="24"/>
        </w:rPr>
        <w:t>(Source: oecd.org, 2024)</w:t>
      </w:r>
    </w:p>
    <w:p w:rsidR="00EB66D3" w:rsidP="00457E60" w:rsidRDefault="002947D8" w14:paraId="00000019" w14:textId="77777777">
      <w:pPr>
        <w:pStyle w:val="Heading1"/>
      </w:pPr>
      <w:bookmarkStart w:name="_Toc161752099" w:id="4"/>
      <w:r>
        <w:lastRenderedPageBreak/>
        <w:t>Applying the different theoretical structures of corporate value and cost of capital internationally and financial framework</w:t>
      </w:r>
      <w:bookmarkEnd w:id="4"/>
      <w:r>
        <w:t xml:space="preserve"> </w:t>
      </w:r>
    </w:p>
    <w:p w:rsidR="00EB66D3" w:rsidP="00443E8F" w:rsidRDefault="002947D8" w14:paraId="0000001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International Cost of capital:</w:t>
      </w:r>
      <w:r>
        <w:rPr>
          <w:rFonts w:ascii="Times New Roman" w:hAnsi="Times New Roman" w:eastAsia="Times New Roman" w:cs="Times New Roman"/>
          <w:sz w:val="24"/>
          <w:szCs w:val="24"/>
        </w:rPr>
        <w:t xml:space="preserve"> This defines the essential return on investment that an organisation predicts when it creates an expenditure in an international country. This considers an account of the threat related to the investment, like possible returns, exchange rate, and geopolitical threat. The approach of foreign cost of capital involves taking an international view of investment options of factors, funding opportunities and expected returns (Mayer,2021). </w:t>
      </w:r>
    </w:p>
    <w:p w:rsidR="00EB66D3" w:rsidP="00443E8F" w:rsidRDefault="002947D8" w14:paraId="0000001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Capital structure:</w:t>
      </w:r>
      <w:r>
        <w:rPr>
          <w:rFonts w:ascii="Times New Roman" w:hAnsi="Times New Roman" w:eastAsia="Times New Roman" w:cs="Times New Roman"/>
          <w:sz w:val="24"/>
          <w:szCs w:val="24"/>
        </w:rPr>
        <w:t xml:space="preserve"> The approach of capital structure is to consider the value segment of the capital share to the entire cost of capital for an organisation to produce. This term is used in terms and conditions of a business. This is explained as the balance between the debt and an organisation’s equity (</w:t>
      </w:r>
      <w:proofErr w:type="spellStart"/>
      <w:r>
        <w:rPr>
          <w:rFonts w:ascii="Times New Roman" w:hAnsi="Times New Roman" w:eastAsia="Times New Roman" w:cs="Times New Roman"/>
          <w:sz w:val="24"/>
          <w:szCs w:val="24"/>
        </w:rPr>
        <w:t>Vitolla</w:t>
      </w:r>
      <w:proofErr w:type="spellEnd"/>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et al.</w:t>
      </w:r>
      <w:r>
        <w:rPr>
          <w:rFonts w:ascii="Times New Roman" w:hAnsi="Times New Roman" w:eastAsia="Times New Roman" w:cs="Times New Roman"/>
          <w:sz w:val="24"/>
          <w:szCs w:val="24"/>
        </w:rPr>
        <w:t xml:space="preserve">, 2020).  </w:t>
      </w:r>
    </w:p>
    <w:p w:rsidR="00EB66D3" w:rsidP="00443E8F" w:rsidRDefault="002947D8" w14:paraId="0000001C" w14:textId="05370BC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Company Value:</w:t>
      </w:r>
      <w:r>
        <w:rPr>
          <w:rFonts w:ascii="Times New Roman" w:hAnsi="Times New Roman" w:eastAsia="Times New Roman" w:cs="Times New Roman"/>
          <w:sz w:val="24"/>
          <w:szCs w:val="24"/>
        </w:rPr>
        <w:t xml:space="preserve">  This is known as core values of a set of managing principles and basic beliefs that assist teams work toward common business </w:t>
      </w:r>
      <w:r w:rsidR="00457E60">
        <w:rPr>
          <w:rFonts w:ascii="Times New Roman" w:hAnsi="Times New Roman" w:eastAsia="Times New Roman" w:cs="Times New Roman"/>
          <w:sz w:val="24"/>
          <w:szCs w:val="24"/>
        </w:rPr>
        <w:t>targets. These</w:t>
      </w:r>
      <w:r>
        <w:rPr>
          <w:rFonts w:ascii="Times New Roman" w:hAnsi="Times New Roman" w:eastAsia="Times New Roman" w:cs="Times New Roman"/>
          <w:sz w:val="24"/>
          <w:szCs w:val="24"/>
        </w:rPr>
        <w:t xml:space="preserve"> values are connected to trade connections, customer relations and growth of the company. The motive of a company is the role of serving long-term values and various needs for all stakeholders.    </w:t>
      </w:r>
    </w:p>
    <w:p w:rsidR="00EB66D3" w:rsidP="00457E60" w:rsidRDefault="002947D8" w14:paraId="0000001D" w14:textId="77777777">
      <w:pPr>
        <w:pStyle w:val="Heading1"/>
      </w:pPr>
      <w:bookmarkStart w:name="_Toc161752100" w:id="5"/>
      <w:r>
        <w:t>Conclusion</w:t>
      </w:r>
      <w:bookmarkEnd w:id="5"/>
    </w:p>
    <w:p w:rsidR="00EB66D3" w:rsidP="00443E8F" w:rsidRDefault="002947D8" w14:paraId="0000001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study has discussed that</w:t>
      </w:r>
      <w:r>
        <w:rPr>
          <w:rFonts w:ascii="Times New Roman" w:hAnsi="Times New Roman" w:eastAsia="Times New Roman" w:cs="Times New Roman"/>
          <w:b/>
          <w:sz w:val="28"/>
          <w:szCs w:val="28"/>
        </w:rPr>
        <w:t xml:space="preserve"> </w:t>
      </w:r>
      <w:r>
        <w:rPr>
          <w:rFonts w:ascii="Times New Roman" w:hAnsi="Times New Roman" w:eastAsia="Times New Roman" w:cs="Times New Roman"/>
          <w:sz w:val="24"/>
          <w:szCs w:val="24"/>
        </w:rPr>
        <w:t>the role of international investment decisions for the economy of a country improves the major indicators of the economy. Along with this, the topic has highlighted the methods and strategies related to financing of international business. Commercial letter of credit that defines a letter which mitigates the threat of non-execution of the transaction. Forfaiting term is without option which is offering medium term export outstanding designated in complete exchangeable currencies such as Swiss, Pound, US Dollar, Franc and more.</w:t>
      </w:r>
      <w:r>
        <w:br w:type="page"/>
      </w:r>
    </w:p>
    <w:p w:rsidR="00EB66D3" w:rsidP="00457E60" w:rsidRDefault="002947D8" w14:paraId="0000001F" w14:textId="77777777">
      <w:pPr>
        <w:pStyle w:val="Heading1"/>
      </w:pPr>
      <w:bookmarkStart w:name="_Toc161752101" w:id="6"/>
      <w:r>
        <w:lastRenderedPageBreak/>
        <w:t>References</w:t>
      </w:r>
      <w:bookmarkEnd w:id="6"/>
    </w:p>
    <w:p w:rsidR="005C0FF9" w:rsidP="00BD6D99" w:rsidRDefault="005C0FF9" w14:paraId="6C36B67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Bateman, I.J. and Mace, G.M., (2020). The natural capital framework for sustainably efficient and equitable decision making. </w:t>
      </w:r>
      <w:r>
        <w:rPr>
          <w:rFonts w:ascii="Times New Roman" w:hAnsi="Times New Roman" w:eastAsia="Times New Roman" w:cs="Times New Roman"/>
          <w:i/>
          <w:sz w:val="24"/>
          <w:szCs w:val="24"/>
        </w:rPr>
        <w:t>Nature 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3</w:t>
      </w:r>
      <w:r>
        <w:rPr>
          <w:rFonts w:ascii="Times New Roman" w:hAnsi="Times New Roman" w:eastAsia="Times New Roman" w:cs="Times New Roman"/>
          <w:sz w:val="24"/>
          <w:szCs w:val="24"/>
        </w:rPr>
        <w:t>(10), pp.776-783.</w:t>
      </w:r>
    </w:p>
    <w:p w:rsidR="005C0FF9" w:rsidP="00BD6D99" w:rsidRDefault="005C0FF9" w14:paraId="0A03758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Beckmann, J., </w:t>
      </w:r>
      <w:proofErr w:type="spellStart"/>
      <w:r>
        <w:rPr>
          <w:rFonts w:ascii="Times New Roman" w:hAnsi="Times New Roman" w:eastAsia="Times New Roman" w:cs="Times New Roman"/>
          <w:sz w:val="24"/>
          <w:szCs w:val="24"/>
        </w:rPr>
        <w:t>Czudaj</w:t>
      </w:r>
      <w:proofErr w:type="spellEnd"/>
      <w:r>
        <w:rPr>
          <w:rFonts w:ascii="Times New Roman" w:hAnsi="Times New Roman" w:eastAsia="Times New Roman" w:cs="Times New Roman"/>
          <w:sz w:val="24"/>
          <w:szCs w:val="24"/>
        </w:rPr>
        <w:t xml:space="preserve">, R.L. and Arora, V., (2020). The relationship between oil prices and exchange rates: Revisiting theory and evidence. </w:t>
      </w:r>
      <w:r>
        <w:rPr>
          <w:rFonts w:ascii="Times New Roman" w:hAnsi="Times New Roman" w:eastAsia="Times New Roman" w:cs="Times New Roman"/>
          <w:i/>
          <w:sz w:val="24"/>
          <w:szCs w:val="24"/>
        </w:rPr>
        <w:t>Energy Economics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88</w:t>
      </w:r>
      <w:r>
        <w:rPr>
          <w:rFonts w:ascii="Times New Roman" w:hAnsi="Times New Roman" w:eastAsia="Times New Roman" w:cs="Times New Roman"/>
          <w:sz w:val="24"/>
          <w:szCs w:val="24"/>
        </w:rPr>
        <w:t>, p.104772.</w:t>
      </w:r>
    </w:p>
    <w:p w:rsidR="005C0FF9" w:rsidP="00BD6D99" w:rsidRDefault="005C0FF9" w14:paraId="41BFDA9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Bedford, D.S., </w:t>
      </w:r>
      <w:proofErr w:type="spellStart"/>
      <w:r>
        <w:rPr>
          <w:rFonts w:ascii="Times New Roman" w:hAnsi="Times New Roman" w:eastAsia="Times New Roman" w:cs="Times New Roman"/>
          <w:sz w:val="24"/>
          <w:szCs w:val="24"/>
        </w:rPr>
        <w:t>Speklé</w:t>
      </w:r>
      <w:proofErr w:type="spellEnd"/>
      <w:r>
        <w:rPr>
          <w:rFonts w:ascii="Times New Roman" w:hAnsi="Times New Roman" w:eastAsia="Times New Roman" w:cs="Times New Roman"/>
          <w:sz w:val="24"/>
          <w:szCs w:val="24"/>
        </w:rPr>
        <w:t xml:space="preserve">, R.F. and Widener, S.K., (2022). Budgeting and employee stress in times of crisis: Evidence from the Covid-19 pandemic. </w:t>
      </w:r>
      <w:r>
        <w:rPr>
          <w:rFonts w:ascii="Times New Roman" w:hAnsi="Times New Roman" w:eastAsia="Times New Roman" w:cs="Times New Roman"/>
          <w:i/>
          <w:sz w:val="24"/>
          <w:szCs w:val="24"/>
        </w:rPr>
        <w:t>Accounting, Organizations and Society</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101</w:t>
      </w:r>
      <w:r>
        <w:rPr>
          <w:rFonts w:ascii="Times New Roman" w:hAnsi="Times New Roman" w:eastAsia="Times New Roman" w:cs="Times New Roman"/>
          <w:sz w:val="24"/>
          <w:szCs w:val="24"/>
        </w:rPr>
        <w:t>, p.101346.</w:t>
      </w:r>
    </w:p>
    <w:p w:rsidR="005C0FF9" w:rsidP="00BD6D99" w:rsidRDefault="005C0FF9" w14:paraId="7830941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business.hsbc.co.in, (2024). </w:t>
      </w:r>
      <w:r>
        <w:rPr>
          <w:rFonts w:ascii="Times New Roman" w:hAnsi="Times New Roman" w:eastAsia="Times New Roman" w:cs="Times New Roman"/>
          <w:i/>
          <w:sz w:val="24"/>
          <w:szCs w:val="24"/>
        </w:rPr>
        <w:t>Forfaiting</w:t>
      </w:r>
      <w:r>
        <w:rPr>
          <w:rFonts w:ascii="Times New Roman" w:hAnsi="Times New Roman" w:eastAsia="Times New Roman" w:cs="Times New Roman"/>
          <w:sz w:val="24"/>
          <w:szCs w:val="24"/>
        </w:rPr>
        <w:t>. Available at: https://www.business.hsbc.co.in/en-gb/solutions/forfaiting [Accessed on: 18</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March 2024].</w:t>
      </w:r>
    </w:p>
    <w:p w:rsidR="005C0FF9" w:rsidP="00BD6D99" w:rsidRDefault="005C0FF9" w14:paraId="7AADFEA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Chance, D.M. and Brooks, R., (2021). </w:t>
      </w:r>
      <w:r>
        <w:rPr>
          <w:rFonts w:ascii="Times New Roman" w:hAnsi="Times New Roman" w:eastAsia="Times New Roman" w:cs="Times New Roman"/>
          <w:i/>
          <w:sz w:val="24"/>
          <w:szCs w:val="24"/>
        </w:rPr>
        <w:t>An introduction to derivatives and risk management</w:t>
      </w:r>
      <w:r>
        <w:rPr>
          <w:rFonts w:ascii="Times New Roman" w:hAnsi="Times New Roman" w:eastAsia="Times New Roman" w:cs="Times New Roman"/>
          <w:sz w:val="24"/>
          <w:szCs w:val="24"/>
        </w:rPr>
        <w:t>. South-Western, Cengage Learning.</w:t>
      </w:r>
    </w:p>
    <w:p w:rsidR="005C0FF9" w:rsidP="00BD6D99" w:rsidRDefault="005C0FF9" w14:paraId="000F7E2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Contractor, F.J., </w:t>
      </w:r>
      <w:proofErr w:type="spellStart"/>
      <w:r>
        <w:rPr>
          <w:rFonts w:ascii="Times New Roman" w:hAnsi="Times New Roman" w:eastAsia="Times New Roman" w:cs="Times New Roman"/>
          <w:sz w:val="24"/>
          <w:szCs w:val="24"/>
        </w:rPr>
        <w:t>Dangol</w:t>
      </w:r>
      <w:proofErr w:type="spellEnd"/>
      <w:r>
        <w:rPr>
          <w:rFonts w:ascii="Times New Roman" w:hAnsi="Times New Roman" w:eastAsia="Times New Roman" w:cs="Times New Roman"/>
          <w:sz w:val="24"/>
          <w:szCs w:val="24"/>
        </w:rPr>
        <w:t xml:space="preserve">, R., </w:t>
      </w:r>
      <w:proofErr w:type="spellStart"/>
      <w:r>
        <w:rPr>
          <w:rFonts w:ascii="Times New Roman" w:hAnsi="Times New Roman" w:eastAsia="Times New Roman" w:cs="Times New Roman"/>
          <w:sz w:val="24"/>
          <w:szCs w:val="24"/>
        </w:rPr>
        <w:t>Nuruzzaman</w:t>
      </w:r>
      <w:proofErr w:type="spellEnd"/>
      <w:r>
        <w:rPr>
          <w:rFonts w:ascii="Times New Roman" w:hAnsi="Times New Roman" w:eastAsia="Times New Roman" w:cs="Times New Roman"/>
          <w:sz w:val="24"/>
          <w:szCs w:val="24"/>
        </w:rPr>
        <w:t xml:space="preserve">, N. and Raghunath, S., (2020). How do country regulations and business environment impact foreign direct investment (FDI) </w:t>
      </w:r>
      <w:proofErr w:type="gramStart"/>
      <w:r>
        <w:rPr>
          <w:rFonts w:ascii="Times New Roman" w:hAnsi="Times New Roman" w:eastAsia="Times New Roman" w:cs="Times New Roman"/>
          <w:sz w:val="24"/>
          <w:szCs w:val="24"/>
        </w:rPr>
        <w:t>inflows?.</w:t>
      </w:r>
      <w:proofErr w:type="gramEnd"/>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International Business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29</w:t>
      </w:r>
      <w:r>
        <w:rPr>
          <w:rFonts w:ascii="Times New Roman" w:hAnsi="Times New Roman" w:eastAsia="Times New Roman" w:cs="Times New Roman"/>
          <w:sz w:val="24"/>
          <w:szCs w:val="24"/>
        </w:rPr>
        <w:t>(2), p.101640.</w:t>
      </w:r>
    </w:p>
    <w:p w:rsidR="005C0FF9" w:rsidP="00BD6D99" w:rsidRDefault="005C0FF9" w14:paraId="6D6843A9" w14:textId="77777777">
      <w:pPr>
        <w:spacing w:line="360" w:lineRule="auto"/>
        <w:jc w:val="both"/>
        <w:rPr>
          <w:rFonts w:ascii="Times New Roman" w:hAnsi="Times New Roman" w:eastAsia="Times New Roman" w:cs="Times New Roman"/>
          <w:sz w:val="24"/>
          <w:szCs w:val="24"/>
        </w:rPr>
      </w:pPr>
      <w:proofErr w:type="spellStart"/>
      <w:r>
        <w:rPr>
          <w:rFonts w:ascii="Times New Roman" w:hAnsi="Times New Roman" w:eastAsia="Times New Roman" w:cs="Times New Roman"/>
          <w:sz w:val="24"/>
          <w:szCs w:val="24"/>
        </w:rPr>
        <w:t>Finkler</w:t>
      </w:r>
      <w:proofErr w:type="spellEnd"/>
      <w:r>
        <w:rPr>
          <w:rFonts w:ascii="Times New Roman" w:hAnsi="Times New Roman" w:eastAsia="Times New Roman" w:cs="Times New Roman"/>
          <w:sz w:val="24"/>
          <w:szCs w:val="24"/>
        </w:rPr>
        <w:t xml:space="preserve">, S.A., Calabrese, T.D. and Smith, D.L., (2022). </w:t>
      </w:r>
      <w:r>
        <w:rPr>
          <w:rFonts w:ascii="Times New Roman" w:hAnsi="Times New Roman" w:eastAsia="Times New Roman" w:cs="Times New Roman"/>
          <w:i/>
          <w:sz w:val="24"/>
          <w:szCs w:val="24"/>
        </w:rPr>
        <w:t>Financial management for public, health, and not-for-profit organizations</w:t>
      </w:r>
      <w:r>
        <w:rPr>
          <w:rFonts w:ascii="Times New Roman" w:hAnsi="Times New Roman" w:eastAsia="Times New Roman" w:cs="Times New Roman"/>
          <w:sz w:val="24"/>
          <w:szCs w:val="24"/>
        </w:rPr>
        <w:t>. CQ Press.</w:t>
      </w:r>
    </w:p>
    <w:p w:rsidR="005C0FF9" w:rsidP="00BD6D99" w:rsidRDefault="005C0FF9" w14:paraId="53F896E4" w14:textId="77777777">
      <w:pPr>
        <w:spacing w:line="360" w:lineRule="auto"/>
        <w:jc w:val="both"/>
        <w:rPr>
          <w:rFonts w:ascii="Times New Roman" w:hAnsi="Times New Roman" w:eastAsia="Times New Roman" w:cs="Times New Roman"/>
          <w:sz w:val="24"/>
          <w:szCs w:val="24"/>
        </w:rPr>
      </w:pPr>
      <w:proofErr w:type="spellStart"/>
      <w:r>
        <w:rPr>
          <w:rFonts w:ascii="Times New Roman" w:hAnsi="Times New Roman" w:eastAsia="Times New Roman" w:cs="Times New Roman"/>
          <w:sz w:val="24"/>
          <w:szCs w:val="24"/>
        </w:rPr>
        <w:t>Lutfiani</w:t>
      </w:r>
      <w:proofErr w:type="spellEnd"/>
      <w:r>
        <w:rPr>
          <w:rFonts w:ascii="Times New Roman" w:hAnsi="Times New Roman" w:eastAsia="Times New Roman" w:cs="Times New Roman"/>
          <w:sz w:val="24"/>
          <w:szCs w:val="24"/>
        </w:rPr>
        <w:t xml:space="preserve">, A.P. and </w:t>
      </w:r>
      <w:proofErr w:type="spellStart"/>
      <w:r>
        <w:rPr>
          <w:rFonts w:ascii="Times New Roman" w:hAnsi="Times New Roman" w:eastAsia="Times New Roman" w:cs="Times New Roman"/>
          <w:sz w:val="24"/>
          <w:szCs w:val="24"/>
        </w:rPr>
        <w:t>Hidayah</w:t>
      </w:r>
      <w:proofErr w:type="spellEnd"/>
      <w:r>
        <w:rPr>
          <w:rFonts w:ascii="Times New Roman" w:hAnsi="Times New Roman" w:eastAsia="Times New Roman" w:cs="Times New Roman"/>
          <w:sz w:val="24"/>
          <w:szCs w:val="24"/>
        </w:rPr>
        <w:t xml:space="preserve">, R., (2022). ESG Performance and Ownership Structure on Cost of Capital and Research &amp; Development Investment. </w:t>
      </w:r>
      <w:proofErr w:type="spellStart"/>
      <w:r>
        <w:rPr>
          <w:rFonts w:ascii="Times New Roman" w:hAnsi="Times New Roman" w:eastAsia="Times New Roman" w:cs="Times New Roman"/>
          <w:i/>
          <w:sz w:val="24"/>
          <w:szCs w:val="24"/>
        </w:rPr>
        <w:t>Fokus</w:t>
      </w:r>
      <w:proofErr w:type="spellEnd"/>
      <w:r>
        <w:rPr>
          <w:rFonts w:ascii="Times New Roman" w:hAnsi="Times New Roman" w:eastAsia="Times New Roman" w:cs="Times New Roman"/>
          <w:i/>
          <w:sz w:val="24"/>
          <w:szCs w:val="24"/>
        </w:rPr>
        <w:t xml:space="preserve"> </w:t>
      </w:r>
      <w:proofErr w:type="spellStart"/>
      <w:r>
        <w:rPr>
          <w:rFonts w:ascii="Times New Roman" w:hAnsi="Times New Roman" w:eastAsia="Times New Roman" w:cs="Times New Roman"/>
          <w:i/>
          <w:sz w:val="24"/>
          <w:szCs w:val="24"/>
        </w:rPr>
        <w:t>Bisnis</w:t>
      </w:r>
      <w:proofErr w:type="spellEnd"/>
      <w:r>
        <w:rPr>
          <w:rFonts w:ascii="Times New Roman" w:hAnsi="Times New Roman" w:eastAsia="Times New Roman" w:cs="Times New Roman"/>
          <w:i/>
          <w:sz w:val="24"/>
          <w:szCs w:val="24"/>
        </w:rPr>
        <w:t xml:space="preserve"> Media </w:t>
      </w:r>
      <w:proofErr w:type="spellStart"/>
      <w:r>
        <w:rPr>
          <w:rFonts w:ascii="Times New Roman" w:hAnsi="Times New Roman" w:eastAsia="Times New Roman" w:cs="Times New Roman"/>
          <w:i/>
          <w:sz w:val="24"/>
          <w:szCs w:val="24"/>
        </w:rPr>
        <w:t>Pengkajian</w:t>
      </w:r>
      <w:proofErr w:type="spellEnd"/>
      <w:r>
        <w:rPr>
          <w:rFonts w:ascii="Times New Roman" w:hAnsi="Times New Roman" w:eastAsia="Times New Roman" w:cs="Times New Roman"/>
          <w:i/>
          <w:sz w:val="24"/>
          <w:szCs w:val="24"/>
        </w:rPr>
        <w:t xml:space="preserve"> </w:t>
      </w:r>
      <w:proofErr w:type="spellStart"/>
      <w:r>
        <w:rPr>
          <w:rFonts w:ascii="Times New Roman" w:hAnsi="Times New Roman" w:eastAsia="Times New Roman" w:cs="Times New Roman"/>
          <w:i/>
          <w:sz w:val="24"/>
          <w:szCs w:val="24"/>
        </w:rPr>
        <w:t>Manajemen</w:t>
      </w:r>
      <w:proofErr w:type="spellEnd"/>
      <w:r>
        <w:rPr>
          <w:rFonts w:ascii="Times New Roman" w:hAnsi="Times New Roman" w:eastAsia="Times New Roman" w:cs="Times New Roman"/>
          <w:i/>
          <w:sz w:val="24"/>
          <w:szCs w:val="24"/>
        </w:rPr>
        <w:t xml:space="preserve"> dan </w:t>
      </w:r>
      <w:proofErr w:type="spellStart"/>
      <w:r>
        <w:rPr>
          <w:rFonts w:ascii="Times New Roman" w:hAnsi="Times New Roman" w:eastAsia="Times New Roman" w:cs="Times New Roman"/>
          <w:i/>
          <w:sz w:val="24"/>
          <w:szCs w:val="24"/>
        </w:rPr>
        <w:t>Akuntansi</w:t>
      </w:r>
      <w:proofErr w:type="spellEnd"/>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21</w:t>
      </w:r>
      <w:r>
        <w:rPr>
          <w:rFonts w:ascii="Times New Roman" w:hAnsi="Times New Roman" w:eastAsia="Times New Roman" w:cs="Times New Roman"/>
          <w:sz w:val="24"/>
          <w:szCs w:val="24"/>
        </w:rPr>
        <w:t>(1), pp.25-42.</w:t>
      </w:r>
    </w:p>
    <w:p w:rsidR="005C0FF9" w:rsidP="00BD6D99" w:rsidRDefault="005C0FF9" w14:paraId="02C1910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Mayer, C., (2021). The future of the corporation and the economics of purpose. </w:t>
      </w:r>
      <w:r>
        <w:rPr>
          <w:rFonts w:ascii="Times New Roman" w:hAnsi="Times New Roman" w:eastAsia="Times New Roman" w:cs="Times New Roman"/>
          <w:i/>
          <w:sz w:val="24"/>
          <w:szCs w:val="24"/>
        </w:rPr>
        <w:t>Journal of Management Studies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58</w:t>
      </w:r>
      <w:r>
        <w:rPr>
          <w:rFonts w:ascii="Times New Roman" w:hAnsi="Times New Roman" w:eastAsia="Times New Roman" w:cs="Times New Roman"/>
          <w:sz w:val="24"/>
          <w:szCs w:val="24"/>
        </w:rPr>
        <w:t>(3), pp.887-901.</w:t>
      </w:r>
    </w:p>
    <w:p w:rsidR="005C0FF9" w:rsidP="00BD6D99" w:rsidRDefault="005C0FF9" w14:paraId="56E692F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oecd.org, (2024). </w:t>
      </w:r>
      <w:r>
        <w:rPr>
          <w:rFonts w:ascii="Times New Roman" w:hAnsi="Times New Roman" w:eastAsia="Times New Roman" w:cs="Times New Roman"/>
          <w:i/>
          <w:sz w:val="24"/>
          <w:szCs w:val="24"/>
        </w:rPr>
        <w:t>Export Credit Agencies</w:t>
      </w:r>
      <w:r>
        <w:rPr>
          <w:rFonts w:ascii="Times New Roman" w:hAnsi="Times New Roman" w:eastAsia="Times New Roman" w:cs="Times New Roman"/>
          <w:sz w:val="24"/>
          <w:szCs w:val="24"/>
        </w:rPr>
        <w:t>. Available at: https://www.oecd.org/fr/sites/mena/competitivite/ismed-export-credit-agencies.htm [Accessed on: 18</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March 2024].</w:t>
      </w:r>
    </w:p>
    <w:p w:rsidR="005C0FF9" w:rsidP="00BD6D99" w:rsidRDefault="005C0FF9" w14:paraId="66A0CF2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realbusinessrescue.co.uk, (2024). </w:t>
      </w:r>
      <w:r>
        <w:rPr>
          <w:rFonts w:ascii="Times New Roman" w:hAnsi="Times New Roman" w:eastAsia="Times New Roman" w:cs="Times New Roman"/>
          <w:i/>
          <w:sz w:val="24"/>
          <w:szCs w:val="24"/>
        </w:rPr>
        <w:t>Which Invoice Finance Companies Offer the Best Factoring Service?</w:t>
      </w:r>
      <w:r>
        <w:rPr>
          <w:rFonts w:ascii="Times New Roman" w:hAnsi="Times New Roman" w:eastAsia="Times New Roman" w:cs="Times New Roman"/>
          <w:sz w:val="24"/>
          <w:szCs w:val="24"/>
        </w:rPr>
        <w:t xml:space="preserve"> Available at: https://www.realbusinessrescue.co.uk/finance/invoice-finance/which-invoice-finance-companies-offer-the-best-factoring-service [Accessed on: 18</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March 2024].</w:t>
      </w:r>
    </w:p>
    <w:p w:rsidR="005C0FF9" w:rsidP="00443E8F" w:rsidRDefault="005C0FF9" w14:paraId="42379EE0" w14:textId="77777777">
      <w:pPr>
        <w:spacing w:line="360" w:lineRule="auto"/>
        <w:jc w:val="both"/>
        <w:rPr>
          <w:rFonts w:ascii="Times New Roman" w:hAnsi="Times New Roman" w:eastAsia="Times New Roman" w:cs="Times New Roman"/>
          <w:sz w:val="24"/>
          <w:szCs w:val="24"/>
        </w:rPr>
      </w:pPr>
      <w:proofErr w:type="spellStart"/>
      <w:r>
        <w:rPr>
          <w:rFonts w:ascii="Times New Roman" w:hAnsi="Times New Roman" w:eastAsia="Times New Roman" w:cs="Times New Roman"/>
          <w:sz w:val="24"/>
          <w:szCs w:val="24"/>
        </w:rPr>
        <w:t>Vitolla</w:t>
      </w:r>
      <w:proofErr w:type="spellEnd"/>
      <w:r>
        <w:rPr>
          <w:rFonts w:ascii="Times New Roman" w:hAnsi="Times New Roman" w:eastAsia="Times New Roman" w:cs="Times New Roman"/>
          <w:sz w:val="24"/>
          <w:szCs w:val="24"/>
        </w:rPr>
        <w:t xml:space="preserve">, F., Salvi, A., </w:t>
      </w:r>
      <w:proofErr w:type="spellStart"/>
      <w:r>
        <w:rPr>
          <w:rFonts w:ascii="Times New Roman" w:hAnsi="Times New Roman" w:eastAsia="Times New Roman" w:cs="Times New Roman"/>
          <w:sz w:val="24"/>
          <w:szCs w:val="24"/>
        </w:rPr>
        <w:t>Raimo</w:t>
      </w:r>
      <w:proofErr w:type="spellEnd"/>
      <w:r>
        <w:rPr>
          <w:rFonts w:ascii="Times New Roman" w:hAnsi="Times New Roman" w:eastAsia="Times New Roman" w:cs="Times New Roman"/>
          <w:sz w:val="24"/>
          <w:szCs w:val="24"/>
        </w:rPr>
        <w:t xml:space="preserve">, N., </w:t>
      </w:r>
      <w:proofErr w:type="spellStart"/>
      <w:r>
        <w:rPr>
          <w:rFonts w:ascii="Times New Roman" w:hAnsi="Times New Roman" w:eastAsia="Times New Roman" w:cs="Times New Roman"/>
          <w:sz w:val="24"/>
          <w:szCs w:val="24"/>
        </w:rPr>
        <w:t>Petruzzella</w:t>
      </w:r>
      <w:proofErr w:type="spellEnd"/>
      <w:r>
        <w:rPr>
          <w:rFonts w:ascii="Times New Roman" w:hAnsi="Times New Roman" w:eastAsia="Times New Roman" w:cs="Times New Roman"/>
          <w:sz w:val="24"/>
          <w:szCs w:val="24"/>
        </w:rPr>
        <w:t xml:space="preserve">, F. and </w:t>
      </w:r>
      <w:proofErr w:type="spellStart"/>
      <w:r>
        <w:rPr>
          <w:rFonts w:ascii="Times New Roman" w:hAnsi="Times New Roman" w:eastAsia="Times New Roman" w:cs="Times New Roman"/>
          <w:sz w:val="24"/>
          <w:szCs w:val="24"/>
        </w:rPr>
        <w:t>Rubino</w:t>
      </w:r>
      <w:proofErr w:type="spellEnd"/>
      <w:r>
        <w:rPr>
          <w:rFonts w:ascii="Times New Roman" w:hAnsi="Times New Roman" w:eastAsia="Times New Roman" w:cs="Times New Roman"/>
          <w:sz w:val="24"/>
          <w:szCs w:val="24"/>
        </w:rPr>
        <w:t xml:space="preserve">, M., (2020). The impact on the cost of equity capital in the effects of integrated reporting quality. </w:t>
      </w:r>
      <w:r>
        <w:rPr>
          <w:rFonts w:ascii="Times New Roman" w:hAnsi="Times New Roman" w:eastAsia="Times New Roman" w:cs="Times New Roman"/>
          <w:i/>
          <w:sz w:val="24"/>
          <w:szCs w:val="24"/>
        </w:rPr>
        <w:t>Business Strategy and the Environment</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29</w:t>
      </w:r>
      <w:r>
        <w:rPr>
          <w:rFonts w:ascii="Times New Roman" w:hAnsi="Times New Roman" w:eastAsia="Times New Roman" w:cs="Times New Roman"/>
          <w:sz w:val="24"/>
          <w:szCs w:val="24"/>
        </w:rPr>
        <w:t>(2), pp.519-529.</w:t>
      </w:r>
    </w:p>
    <w:p w:rsidR="005C0FF9" w:rsidP="00BD6D99" w:rsidRDefault="005C0FF9" w14:paraId="6AD6C87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zenith-bank.co.uk, (2024). </w:t>
      </w:r>
      <w:r>
        <w:rPr>
          <w:rFonts w:ascii="Times New Roman" w:hAnsi="Times New Roman" w:eastAsia="Times New Roman" w:cs="Times New Roman"/>
          <w:i/>
          <w:sz w:val="24"/>
          <w:szCs w:val="24"/>
        </w:rPr>
        <w:t>Letters of Credit</w:t>
      </w:r>
      <w:r>
        <w:rPr>
          <w:rFonts w:ascii="Times New Roman" w:hAnsi="Times New Roman" w:eastAsia="Times New Roman" w:cs="Times New Roman"/>
          <w:sz w:val="24"/>
          <w:szCs w:val="24"/>
        </w:rPr>
        <w:t>. Available at: https://www.zenith-bank.co.uk/trade-services/letters-of-credit/ [Accessed on: 18</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March 2024].</w:t>
      </w:r>
    </w:p>
    <w:sectPr w:rsidR="005C0FF9">
      <w:footerReference w:type="default" r:id="rId1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2CC9" w:rsidP="00443E8F" w:rsidRDefault="00152CC9" w14:paraId="026A158B" w14:textId="77777777">
      <w:pPr>
        <w:spacing w:line="240" w:lineRule="auto"/>
      </w:pPr>
      <w:r>
        <w:separator/>
      </w:r>
    </w:p>
  </w:endnote>
  <w:endnote w:type="continuationSeparator" w:id="0">
    <w:p w:rsidR="00152CC9" w:rsidP="00443E8F" w:rsidRDefault="00152CC9" w14:paraId="536EFC0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694273"/>
      <w:docPartObj>
        <w:docPartGallery w:val="Page Numbers (Bottom of Page)"/>
        <w:docPartUnique/>
      </w:docPartObj>
    </w:sdtPr>
    <w:sdtEndPr>
      <w:rPr>
        <w:rFonts w:ascii="Times New Roman" w:hAnsi="Times New Roman" w:cs="Times New Roman"/>
        <w:b/>
        <w:bCs/>
        <w:noProof/>
        <w:sz w:val="24"/>
        <w:szCs w:val="24"/>
      </w:rPr>
    </w:sdtEndPr>
    <w:sdtContent>
      <w:p w:rsidRPr="00443E8F" w:rsidR="00443E8F" w:rsidRDefault="00443E8F" w14:paraId="0889E5FA" w14:textId="4EB1E3F3">
        <w:pPr>
          <w:pStyle w:val="Footer"/>
          <w:jc w:val="right"/>
          <w:rPr>
            <w:rFonts w:ascii="Times New Roman" w:hAnsi="Times New Roman" w:cs="Times New Roman"/>
            <w:b/>
            <w:bCs/>
            <w:sz w:val="24"/>
            <w:szCs w:val="24"/>
          </w:rPr>
        </w:pPr>
        <w:r w:rsidRPr="00443E8F">
          <w:rPr>
            <w:rFonts w:ascii="Times New Roman" w:hAnsi="Times New Roman" w:cs="Times New Roman"/>
            <w:b/>
            <w:bCs/>
            <w:sz w:val="24"/>
            <w:szCs w:val="24"/>
          </w:rPr>
          <w:fldChar w:fldCharType="begin"/>
        </w:r>
        <w:r w:rsidRPr="00443E8F">
          <w:rPr>
            <w:rFonts w:ascii="Times New Roman" w:hAnsi="Times New Roman" w:cs="Times New Roman"/>
            <w:b/>
            <w:bCs/>
            <w:sz w:val="24"/>
            <w:szCs w:val="24"/>
          </w:rPr>
          <w:instrText xml:space="preserve"> PAGE   \* MERGEFORMAT </w:instrText>
        </w:r>
        <w:r w:rsidRPr="00443E8F">
          <w:rPr>
            <w:rFonts w:ascii="Times New Roman" w:hAnsi="Times New Roman" w:cs="Times New Roman"/>
            <w:b/>
            <w:bCs/>
            <w:sz w:val="24"/>
            <w:szCs w:val="24"/>
          </w:rPr>
          <w:fldChar w:fldCharType="separate"/>
        </w:r>
        <w:r w:rsidRPr="00443E8F">
          <w:rPr>
            <w:rFonts w:ascii="Times New Roman" w:hAnsi="Times New Roman" w:cs="Times New Roman"/>
            <w:b/>
            <w:bCs/>
            <w:noProof/>
            <w:sz w:val="24"/>
            <w:szCs w:val="24"/>
          </w:rPr>
          <w:t>2</w:t>
        </w:r>
        <w:r w:rsidRPr="00443E8F">
          <w:rPr>
            <w:rFonts w:ascii="Times New Roman" w:hAnsi="Times New Roman" w:cs="Times New Roman"/>
            <w:b/>
            <w:bCs/>
            <w:noProof/>
            <w:sz w:val="24"/>
            <w:szCs w:val="24"/>
          </w:rPr>
          <w:fldChar w:fldCharType="end"/>
        </w:r>
      </w:p>
    </w:sdtContent>
  </w:sdt>
  <w:p w:rsidR="00443E8F" w:rsidRDefault="00443E8F" w14:paraId="47ED384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2CC9" w:rsidP="00443E8F" w:rsidRDefault="00152CC9" w14:paraId="5ADD4F6D" w14:textId="77777777">
      <w:pPr>
        <w:spacing w:line="240" w:lineRule="auto"/>
      </w:pPr>
      <w:r>
        <w:separator/>
      </w:r>
    </w:p>
  </w:footnote>
  <w:footnote w:type="continuationSeparator" w:id="0">
    <w:p w:rsidR="00152CC9" w:rsidP="00443E8F" w:rsidRDefault="00152CC9" w14:paraId="776E4158"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6D3"/>
    <w:rsid w:val="00137734"/>
    <w:rsid w:val="00152CC9"/>
    <w:rsid w:val="002947D8"/>
    <w:rsid w:val="002B4EA6"/>
    <w:rsid w:val="00335AB4"/>
    <w:rsid w:val="003A383B"/>
    <w:rsid w:val="00443E8F"/>
    <w:rsid w:val="00457E60"/>
    <w:rsid w:val="005A2840"/>
    <w:rsid w:val="005C0FF9"/>
    <w:rsid w:val="00747110"/>
    <w:rsid w:val="008226E9"/>
    <w:rsid w:val="008C1C1A"/>
    <w:rsid w:val="00A257A2"/>
    <w:rsid w:val="00BD6D99"/>
    <w:rsid w:val="00EB66D3"/>
    <w:rsid w:val="18EBDA3B"/>
    <w:rsid w:val="23BF45E2"/>
    <w:rsid w:val="32C091D1"/>
    <w:rsid w:val="3843FDE8"/>
    <w:rsid w:val="702B3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9D50"/>
  <w15:docId w15:val="{E16043C8-16E0-4C72-8C73-EEC50B8EE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443E8F"/>
    <w:pPr>
      <w:spacing w:line="360" w:lineRule="auto"/>
      <w:jc w:val="both"/>
      <w:outlineLvl w:val="0"/>
    </w:pPr>
    <w:rPr>
      <w:rFonts w:ascii="Times New Roman" w:hAnsi="Times New Roman" w:eastAsia="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43E8F"/>
    <w:pPr>
      <w:tabs>
        <w:tab w:val="center" w:pos="4680"/>
        <w:tab w:val="right" w:pos="9360"/>
      </w:tabs>
      <w:spacing w:line="240" w:lineRule="auto"/>
    </w:pPr>
  </w:style>
  <w:style w:type="character" w:styleId="HeaderChar" w:customStyle="1">
    <w:name w:val="Header Char"/>
    <w:basedOn w:val="DefaultParagraphFont"/>
    <w:link w:val="Header"/>
    <w:uiPriority w:val="99"/>
    <w:rsid w:val="00443E8F"/>
  </w:style>
  <w:style w:type="paragraph" w:styleId="Footer">
    <w:name w:val="footer"/>
    <w:basedOn w:val="Normal"/>
    <w:link w:val="FooterChar"/>
    <w:uiPriority w:val="99"/>
    <w:unhideWhenUsed/>
    <w:rsid w:val="00443E8F"/>
    <w:pPr>
      <w:tabs>
        <w:tab w:val="center" w:pos="4680"/>
        <w:tab w:val="right" w:pos="9360"/>
      </w:tabs>
      <w:spacing w:line="240" w:lineRule="auto"/>
    </w:pPr>
  </w:style>
  <w:style w:type="character" w:styleId="FooterChar" w:customStyle="1">
    <w:name w:val="Footer Char"/>
    <w:basedOn w:val="DefaultParagraphFont"/>
    <w:link w:val="Footer"/>
    <w:uiPriority w:val="99"/>
    <w:rsid w:val="00443E8F"/>
  </w:style>
  <w:style w:type="paragraph" w:styleId="TOCHeading">
    <w:name w:val="TOC Heading"/>
    <w:basedOn w:val="Heading1"/>
    <w:next w:val="Normal"/>
    <w:uiPriority w:val="39"/>
    <w:unhideWhenUsed/>
    <w:qFormat/>
    <w:rsid w:val="00137734"/>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37734"/>
    <w:pPr>
      <w:spacing w:after="100"/>
    </w:pPr>
  </w:style>
  <w:style w:type="character" w:styleId="Hyperlink">
    <w:name w:val="Hyperlink"/>
    <w:basedOn w:val="DefaultParagraphFont"/>
    <w:uiPriority w:val="99"/>
    <w:unhideWhenUsed/>
    <w:rsid w:val="001377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3DF9BB-3162-4DB8-AA55-63FE24A9E9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2024-03-19T10:43:00.0000000Z</dcterms:created>
  <dcterms:modified xsi:type="dcterms:W3CDTF">2024-04-01T22:39:51.2503975Z</dcterms:modified>
  <lastModifiedBy>cerasela stoica</lastModifiedBy>
</coreProperties>
</file>