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2D31E1" wp14:paraId="2FEA5FDE" wp14:textId="62613614">
      <w:pPr>
        <w:numPr>
          <w:ilvl w:val="0"/>
          <w:numId w:val="0"/>
        </w:numPr>
        <w:spacing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5F3C2BF6">
        <w:drawing>
          <wp:inline xmlns:wp14="http://schemas.microsoft.com/office/word/2010/wordprocessingDrawing" wp14:editId="3715575E" wp14:anchorId="13A3ABBB">
            <wp:extent cx="4286250" cy="1905000"/>
            <wp:effectExtent l="0" t="0" r="0" b="0"/>
            <wp:docPr id="873324132" name="drawing" title="Immagin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3324132" name="Picture 873324132"/>
                    <pic:cNvPicPr/>
                  </pic:nvPicPr>
                  <pic:blipFill>
                    <a:blip xmlns:r="http://schemas.openxmlformats.org/officeDocument/2006/relationships" r:embed="rId480212381">
                      <a:extLst>
                        <a:ext uri="{28A0092B-C50C-407E-A947-70E740481C1C}">
                          <a14:useLocalDpi xmlns:a14="http://schemas.microsoft.com/office/drawing/2010/main"/>
                        </a:ext>
                      </a:extLst>
                    </a:blip>
                    <a:stretch>
                      <a:fillRect/>
                    </a:stretch>
                  </pic:blipFill>
                  <pic:spPr>
                    <a:xfrm>
                      <a:off x="0" y="0"/>
                      <a:ext cx="4286250" cy="1905000"/>
                    </a:xfrm>
                    <a:prstGeom prst="rect">
                      <a:avLst/>
                    </a:prstGeom>
                  </pic:spPr>
                </pic:pic>
              </a:graphicData>
            </a:graphic>
          </wp:inline>
        </w:drawing>
      </w:r>
    </w:p>
    <w:p xmlns:wp14="http://schemas.microsoft.com/office/word/2010/wordml" w:rsidP="202D31E1" wp14:paraId="6689FBFE" wp14:textId="74323236">
      <w:pPr>
        <w:numPr>
          <w:ilvl w:val="0"/>
          <w:numId w:val="0"/>
        </w:numPr>
        <w:spacing w:line="360" w:lineRule="auto"/>
        <w:ind/>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02D31E1" w:rsidR="5F3C2B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02D31E1" wp14:paraId="5CEB1D78" wp14:textId="0910FA2F">
      <w:pPr>
        <w:numPr>
          <w:ilvl w:val="0"/>
          <w:numId w:val="0"/>
        </w:numPr>
        <w:spacing w:line="360" w:lineRule="auto"/>
        <w:ind/>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202D31E1" wp14:paraId="5E7639C6" wp14:textId="4D67F47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202D31E1" w:rsidR="3651E6C8">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Industry 4.0 Transformation at DIT: A Project Plan for Implementing </w:t>
      </w:r>
      <w:r w:rsidRPr="202D31E1" w:rsidR="2339AFBB">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the</w:t>
      </w:r>
      <w:r w:rsidRPr="202D31E1" w:rsidR="3651E6C8">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MELTIO</w:t>
      </w:r>
      <w:r w:rsidRPr="202D31E1" w:rsidR="41DD89A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Hybrid Additive Manufacturing System.</w:t>
      </w:r>
      <w:r w:rsidRPr="202D31E1" w:rsidR="3651E6C8">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w:t>
      </w:r>
    </w:p>
    <w:p xmlns:wp14="http://schemas.microsoft.com/office/word/2010/wordml" w:rsidP="202D31E1" wp14:paraId="4A8304DE" wp14:textId="1682E07D">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202D31E1" wp14:paraId="662C25FF" wp14:textId="03987096">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02D31E1" wp14:paraId="1241371C" wp14:textId="25C84753">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02D31E1" wp14:paraId="15E16BBD" wp14:textId="6879F384">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202D31E1" wp14:paraId="35BB4ECA" wp14:textId="37A8A3DA">
      <w:pPr>
        <w:pStyle w:val="Normal"/>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Name &amp; Student ID:  </w:t>
      </w: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Dana Pellegrini Babcinschii (2317100)</w:t>
      </w:r>
    </w:p>
    <w:p xmlns:wp14="http://schemas.microsoft.com/office/word/2010/wordml" w:rsidP="202D31E1" wp14:paraId="26666D8F" wp14:textId="581A2B54">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w:t>
      </w: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02D31E1" w:rsidR="3B0DD88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Management</w:t>
      </w:r>
    </w:p>
    <w:p xmlns:wp14="http://schemas.microsoft.com/office/word/2010/wordml" w:rsidP="202D31E1" wp14:paraId="1D2194CF" wp14:textId="62445D77">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 Code:</w:t>
      </w: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LCBB</w:t>
      </w:r>
      <w:r w:rsidRPr="202D31E1" w:rsidR="3A29AA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6006</w:t>
      </w:r>
    </w:p>
    <w:p xmlns:wp14="http://schemas.microsoft.com/office/word/2010/wordml" w:rsidP="202D31E1" wp14:paraId="4072F839" wp14:textId="12639A06">
      <w:pPr>
        <w:numPr>
          <w:ilvl w:val="0"/>
          <w:numId w:val="0"/>
        </w:numPr>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2D31E1" w:rsidR="5F3C2BF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Lecturer:</w:t>
      </w:r>
      <w:r w:rsidRPr="202D31E1" w:rsidR="5F3C2B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Zainab Atta</w:t>
      </w:r>
    </w:p>
    <w:sdt>
      <w:sdtPr>
        <w:id w:val="870169372"/>
        <w:docPartObj>
          <w:docPartGallery w:val="Table of Contents"/>
          <w:docPartUnique/>
        </w:docPartObj>
      </w:sdtPr>
      <w:sdtContent>
        <w:p xmlns:wp14="http://schemas.microsoft.com/office/word/2010/wordml" w:rsidP="202D31E1" wp14:paraId="6BAF518A" wp14:textId="3F660E31">
          <w:pPr>
            <w:pStyle w:val="TOC1"/>
            <w:tabs>
              <w:tab w:val="left" w:leader="none" w:pos="480"/>
              <w:tab w:val="right" w:leader="dot" w:pos="9360"/>
            </w:tabs>
            <w:bidi w:val="0"/>
            <w:spacing w:line="360" w:lineRule="auto"/>
            <w:ind/>
            <w:rPr>
              <w:rStyle w:val="Hyperlink"/>
            </w:rPr>
          </w:pPr>
          <w:r>
            <w:fldChar w:fldCharType="begin"/>
          </w:r>
          <w:r>
            <w:instrText xml:space="preserve">TOC \o \z \u \h</w:instrText>
          </w:r>
          <w:r>
            <w:fldChar w:fldCharType="separate"/>
          </w:r>
          <w:hyperlink w:anchor="_Toc1693440986">
            <w:r w:rsidRPr="202D31E1" w:rsidR="202D31E1">
              <w:rPr>
                <w:rStyle w:val="Hyperlink"/>
              </w:rPr>
              <w:t>1.</w:t>
            </w:r>
            <w:r>
              <w:tab/>
            </w:r>
            <w:r w:rsidRPr="202D31E1" w:rsidR="202D31E1">
              <w:rPr>
                <w:rStyle w:val="Hyperlink"/>
              </w:rPr>
              <w:t>Introduction</w:t>
            </w:r>
            <w:r>
              <w:tab/>
            </w:r>
            <w:r>
              <w:fldChar w:fldCharType="begin"/>
            </w:r>
            <w:r>
              <w:instrText xml:space="preserve">PAGEREF _Toc1693440986 \h</w:instrText>
            </w:r>
            <w:r>
              <w:fldChar w:fldCharType="separate"/>
            </w:r>
            <w:r w:rsidRPr="202D31E1" w:rsidR="202D31E1">
              <w:rPr>
                <w:rStyle w:val="Hyperlink"/>
              </w:rPr>
              <w:t>2</w:t>
            </w:r>
            <w:r>
              <w:fldChar w:fldCharType="end"/>
            </w:r>
          </w:hyperlink>
        </w:p>
        <w:p xmlns:wp14="http://schemas.microsoft.com/office/word/2010/wordml" w:rsidP="202D31E1" wp14:paraId="1EDF029F" wp14:textId="25C31B62">
          <w:pPr>
            <w:pStyle w:val="TOC1"/>
            <w:tabs>
              <w:tab w:val="left" w:leader="none" w:pos="480"/>
              <w:tab w:val="right" w:leader="dot" w:pos="9360"/>
            </w:tabs>
            <w:bidi w:val="0"/>
            <w:spacing w:line="360" w:lineRule="auto"/>
            <w:ind/>
            <w:rPr>
              <w:rStyle w:val="Hyperlink"/>
            </w:rPr>
          </w:pPr>
          <w:hyperlink w:anchor="_Toc843780990">
            <w:r w:rsidRPr="202D31E1" w:rsidR="202D31E1">
              <w:rPr>
                <w:rStyle w:val="Hyperlink"/>
              </w:rPr>
              <w:t>2.</w:t>
            </w:r>
            <w:r>
              <w:tab/>
            </w:r>
            <w:r w:rsidRPr="202D31E1" w:rsidR="202D31E1">
              <w:rPr>
                <w:rStyle w:val="Hyperlink"/>
              </w:rPr>
              <w:t>Project Aim, Objectives, and Scope</w:t>
            </w:r>
            <w:r>
              <w:tab/>
            </w:r>
            <w:r>
              <w:fldChar w:fldCharType="begin"/>
            </w:r>
            <w:r>
              <w:instrText xml:space="preserve">PAGEREF _Toc843780990 \h</w:instrText>
            </w:r>
            <w:r>
              <w:fldChar w:fldCharType="separate"/>
            </w:r>
            <w:r w:rsidRPr="202D31E1" w:rsidR="202D31E1">
              <w:rPr>
                <w:rStyle w:val="Hyperlink"/>
              </w:rPr>
              <w:t>3</w:t>
            </w:r>
            <w:r>
              <w:fldChar w:fldCharType="end"/>
            </w:r>
          </w:hyperlink>
        </w:p>
        <w:p xmlns:wp14="http://schemas.microsoft.com/office/word/2010/wordml" w:rsidP="202D31E1" wp14:paraId="4968F362" wp14:textId="661EA6AD">
          <w:pPr>
            <w:pStyle w:val="TOC2"/>
            <w:tabs>
              <w:tab w:val="right" w:leader="dot" w:pos="9360"/>
            </w:tabs>
            <w:bidi w:val="0"/>
            <w:spacing w:line="360" w:lineRule="auto"/>
            <w:ind/>
            <w:rPr>
              <w:rStyle w:val="Hyperlink"/>
            </w:rPr>
          </w:pPr>
          <w:hyperlink w:anchor="_Toc1641547898">
            <w:r w:rsidRPr="202D31E1" w:rsidR="202D31E1">
              <w:rPr>
                <w:rStyle w:val="Hyperlink"/>
              </w:rPr>
              <w:t>2.1 Project Aim</w:t>
            </w:r>
            <w:r>
              <w:tab/>
            </w:r>
            <w:r>
              <w:fldChar w:fldCharType="begin"/>
            </w:r>
            <w:r>
              <w:instrText xml:space="preserve">PAGEREF _Toc1641547898 \h</w:instrText>
            </w:r>
            <w:r>
              <w:fldChar w:fldCharType="separate"/>
            </w:r>
            <w:r w:rsidRPr="202D31E1" w:rsidR="202D31E1">
              <w:rPr>
                <w:rStyle w:val="Hyperlink"/>
              </w:rPr>
              <w:t>3</w:t>
            </w:r>
            <w:r>
              <w:fldChar w:fldCharType="end"/>
            </w:r>
          </w:hyperlink>
        </w:p>
        <w:p xmlns:wp14="http://schemas.microsoft.com/office/word/2010/wordml" w:rsidP="202D31E1" wp14:paraId="4B70F38C" wp14:textId="3E1A64C5">
          <w:pPr>
            <w:pStyle w:val="TOC2"/>
            <w:tabs>
              <w:tab w:val="right" w:leader="dot" w:pos="9360"/>
            </w:tabs>
            <w:bidi w:val="0"/>
            <w:spacing w:line="360" w:lineRule="auto"/>
            <w:ind/>
            <w:rPr>
              <w:rStyle w:val="Hyperlink"/>
            </w:rPr>
          </w:pPr>
          <w:hyperlink w:anchor="_Toc1720682733">
            <w:r w:rsidRPr="202D31E1" w:rsidR="202D31E1">
              <w:rPr>
                <w:rStyle w:val="Hyperlink"/>
              </w:rPr>
              <w:t>2.2 SMART Framework Foundation applied to DIT</w:t>
            </w:r>
            <w:r>
              <w:tab/>
            </w:r>
            <w:r>
              <w:fldChar w:fldCharType="begin"/>
            </w:r>
            <w:r>
              <w:instrText xml:space="preserve">PAGEREF _Toc1720682733 \h</w:instrText>
            </w:r>
            <w:r>
              <w:fldChar w:fldCharType="separate"/>
            </w:r>
            <w:r w:rsidRPr="202D31E1" w:rsidR="202D31E1">
              <w:rPr>
                <w:rStyle w:val="Hyperlink"/>
              </w:rPr>
              <w:t>4</w:t>
            </w:r>
            <w:r>
              <w:fldChar w:fldCharType="end"/>
            </w:r>
          </w:hyperlink>
        </w:p>
        <w:p xmlns:wp14="http://schemas.microsoft.com/office/word/2010/wordml" w:rsidP="202D31E1" wp14:paraId="127ABEFB" wp14:textId="70EAA4E7">
          <w:pPr>
            <w:pStyle w:val="TOC2"/>
            <w:tabs>
              <w:tab w:val="right" w:leader="dot" w:pos="9360"/>
            </w:tabs>
            <w:bidi w:val="0"/>
            <w:spacing w:line="360" w:lineRule="auto"/>
            <w:ind/>
            <w:rPr>
              <w:rStyle w:val="Hyperlink"/>
            </w:rPr>
          </w:pPr>
          <w:hyperlink w:anchor="_Toc1515246925">
            <w:r w:rsidRPr="202D31E1" w:rsidR="202D31E1">
              <w:rPr>
                <w:rStyle w:val="Hyperlink"/>
              </w:rPr>
              <w:t>2.3 SMART Objectives</w:t>
            </w:r>
            <w:r>
              <w:tab/>
            </w:r>
            <w:r>
              <w:fldChar w:fldCharType="begin"/>
            </w:r>
            <w:r>
              <w:instrText xml:space="preserve">PAGEREF _Toc1515246925 \h</w:instrText>
            </w:r>
            <w:r>
              <w:fldChar w:fldCharType="separate"/>
            </w:r>
            <w:r w:rsidRPr="202D31E1" w:rsidR="202D31E1">
              <w:rPr>
                <w:rStyle w:val="Hyperlink"/>
              </w:rPr>
              <w:t>4</w:t>
            </w:r>
            <w:r>
              <w:fldChar w:fldCharType="end"/>
            </w:r>
          </w:hyperlink>
        </w:p>
        <w:p xmlns:wp14="http://schemas.microsoft.com/office/word/2010/wordml" w:rsidP="202D31E1" wp14:paraId="14EB3DB9" wp14:textId="273EC9FB">
          <w:pPr>
            <w:pStyle w:val="TOC2"/>
            <w:tabs>
              <w:tab w:val="right" w:leader="dot" w:pos="9360"/>
            </w:tabs>
            <w:bidi w:val="0"/>
            <w:spacing w:line="360" w:lineRule="auto"/>
            <w:ind/>
            <w:rPr>
              <w:rStyle w:val="Hyperlink"/>
            </w:rPr>
          </w:pPr>
          <w:hyperlink w:anchor="_Toc117775240">
            <w:r w:rsidRPr="202D31E1" w:rsidR="202D31E1">
              <w:rPr>
                <w:rStyle w:val="Hyperlink"/>
              </w:rPr>
              <w:t>2.4 Achievable and Realistic Constraints for DIT</w:t>
            </w:r>
            <w:r>
              <w:tab/>
            </w:r>
            <w:r>
              <w:fldChar w:fldCharType="begin"/>
            </w:r>
            <w:r>
              <w:instrText xml:space="preserve">PAGEREF _Toc117775240 \h</w:instrText>
            </w:r>
            <w:r>
              <w:fldChar w:fldCharType="separate"/>
            </w:r>
            <w:r w:rsidRPr="202D31E1" w:rsidR="202D31E1">
              <w:rPr>
                <w:rStyle w:val="Hyperlink"/>
              </w:rPr>
              <w:t>5</w:t>
            </w:r>
            <w:r>
              <w:fldChar w:fldCharType="end"/>
            </w:r>
          </w:hyperlink>
        </w:p>
        <w:p xmlns:wp14="http://schemas.microsoft.com/office/word/2010/wordml" w:rsidP="202D31E1" wp14:paraId="72164E63" wp14:textId="03E4310A">
          <w:pPr>
            <w:pStyle w:val="TOC2"/>
            <w:tabs>
              <w:tab w:val="right" w:leader="dot" w:pos="9360"/>
            </w:tabs>
            <w:bidi w:val="0"/>
            <w:spacing w:line="360" w:lineRule="auto"/>
            <w:ind/>
            <w:rPr>
              <w:rStyle w:val="Hyperlink"/>
            </w:rPr>
          </w:pPr>
          <w:hyperlink w:anchor="_Toc1847949469">
            <w:r w:rsidRPr="202D31E1" w:rsidR="202D31E1">
              <w:rPr>
                <w:rStyle w:val="Hyperlink"/>
              </w:rPr>
              <w:t>2.5 Project scope</w:t>
            </w:r>
            <w:r>
              <w:tab/>
            </w:r>
            <w:r>
              <w:fldChar w:fldCharType="begin"/>
            </w:r>
            <w:r>
              <w:instrText xml:space="preserve">PAGEREF _Toc1847949469 \h</w:instrText>
            </w:r>
            <w:r>
              <w:fldChar w:fldCharType="separate"/>
            </w:r>
            <w:r w:rsidRPr="202D31E1" w:rsidR="202D31E1">
              <w:rPr>
                <w:rStyle w:val="Hyperlink"/>
              </w:rPr>
              <w:t>5</w:t>
            </w:r>
            <w:r>
              <w:fldChar w:fldCharType="end"/>
            </w:r>
          </w:hyperlink>
        </w:p>
        <w:p xmlns:wp14="http://schemas.microsoft.com/office/word/2010/wordml" w:rsidP="202D31E1" wp14:paraId="3639B89A" wp14:textId="563F40F0">
          <w:pPr>
            <w:pStyle w:val="TOC1"/>
            <w:tabs>
              <w:tab w:val="left" w:leader="none" w:pos="480"/>
              <w:tab w:val="right" w:leader="dot" w:pos="9360"/>
            </w:tabs>
            <w:bidi w:val="0"/>
            <w:spacing w:line="360" w:lineRule="auto"/>
            <w:ind/>
            <w:rPr>
              <w:rStyle w:val="Hyperlink"/>
            </w:rPr>
          </w:pPr>
          <w:hyperlink w:anchor="_Toc1306490912">
            <w:r w:rsidRPr="202D31E1" w:rsidR="202D31E1">
              <w:rPr>
                <w:rStyle w:val="Hyperlink"/>
              </w:rPr>
              <w:t>3.</w:t>
            </w:r>
            <w:r>
              <w:tab/>
            </w:r>
            <w:r w:rsidRPr="202D31E1" w:rsidR="202D31E1">
              <w:rPr>
                <w:rStyle w:val="Hyperlink"/>
              </w:rPr>
              <w:t>Project Outputs (Deliverables)</w:t>
            </w:r>
            <w:r>
              <w:tab/>
            </w:r>
            <w:r>
              <w:fldChar w:fldCharType="begin"/>
            </w:r>
            <w:r>
              <w:instrText xml:space="preserve">PAGEREF _Toc1306490912 \h</w:instrText>
            </w:r>
            <w:r>
              <w:fldChar w:fldCharType="separate"/>
            </w:r>
            <w:r w:rsidRPr="202D31E1" w:rsidR="202D31E1">
              <w:rPr>
                <w:rStyle w:val="Hyperlink"/>
              </w:rPr>
              <w:t>6</w:t>
            </w:r>
            <w:r>
              <w:fldChar w:fldCharType="end"/>
            </w:r>
          </w:hyperlink>
        </w:p>
        <w:p xmlns:wp14="http://schemas.microsoft.com/office/word/2010/wordml" w:rsidP="202D31E1" wp14:paraId="19211198" wp14:textId="0A99EC52">
          <w:pPr>
            <w:pStyle w:val="TOC2"/>
            <w:tabs>
              <w:tab w:val="right" w:leader="dot" w:pos="9360"/>
            </w:tabs>
            <w:bidi w:val="0"/>
            <w:spacing w:line="360" w:lineRule="auto"/>
            <w:ind/>
            <w:rPr>
              <w:rStyle w:val="Hyperlink"/>
            </w:rPr>
          </w:pPr>
          <w:hyperlink w:anchor="_Toc887272001">
            <w:r w:rsidRPr="202D31E1" w:rsidR="202D31E1">
              <w:rPr>
                <w:rStyle w:val="Hyperlink"/>
              </w:rPr>
              <w:t>3.1 Primary Outputs</w:t>
            </w:r>
            <w:r>
              <w:tab/>
            </w:r>
            <w:r>
              <w:fldChar w:fldCharType="begin"/>
            </w:r>
            <w:r>
              <w:instrText xml:space="preserve">PAGEREF _Toc887272001 \h</w:instrText>
            </w:r>
            <w:r>
              <w:fldChar w:fldCharType="separate"/>
            </w:r>
            <w:r w:rsidRPr="202D31E1" w:rsidR="202D31E1">
              <w:rPr>
                <w:rStyle w:val="Hyperlink"/>
              </w:rPr>
              <w:t>6</w:t>
            </w:r>
            <w:r>
              <w:fldChar w:fldCharType="end"/>
            </w:r>
          </w:hyperlink>
        </w:p>
        <w:p xmlns:wp14="http://schemas.microsoft.com/office/word/2010/wordml" w:rsidP="202D31E1" wp14:paraId="1351BB03" wp14:textId="38326982">
          <w:pPr>
            <w:pStyle w:val="TOC1"/>
            <w:tabs>
              <w:tab w:val="left" w:leader="none" w:pos="480"/>
              <w:tab w:val="right" w:leader="dot" w:pos="9360"/>
            </w:tabs>
            <w:bidi w:val="0"/>
            <w:spacing w:line="360" w:lineRule="auto"/>
            <w:ind/>
            <w:rPr>
              <w:rStyle w:val="Hyperlink"/>
            </w:rPr>
          </w:pPr>
          <w:hyperlink w:anchor="_Toc105384701">
            <w:r w:rsidRPr="202D31E1" w:rsidR="202D31E1">
              <w:rPr>
                <w:rStyle w:val="Hyperlink"/>
              </w:rPr>
              <w:t>4.</w:t>
            </w:r>
            <w:r>
              <w:tab/>
            </w:r>
            <w:r w:rsidRPr="202D31E1" w:rsidR="202D31E1">
              <w:rPr>
                <w:rStyle w:val="Hyperlink"/>
              </w:rPr>
              <w:t>Work Breakdown Structure (WBS)</w:t>
            </w:r>
            <w:r>
              <w:tab/>
            </w:r>
            <w:r>
              <w:fldChar w:fldCharType="begin"/>
            </w:r>
            <w:r>
              <w:instrText xml:space="preserve">PAGEREF _Toc105384701 \h</w:instrText>
            </w:r>
            <w:r>
              <w:fldChar w:fldCharType="separate"/>
            </w:r>
            <w:r w:rsidRPr="202D31E1" w:rsidR="202D31E1">
              <w:rPr>
                <w:rStyle w:val="Hyperlink"/>
              </w:rPr>
              <w:t>6</w:t>
            </w:r>
            <w:r>
              <w:fldChar w:fldCharType="end"/>
            </w:r>
          </w:hyperlink>
        </w:p>
        <w:p xmlns:wp14="http://schemas.microsoft.com/office/word/2010/wordml" w:rsidP="202D31E1" wp14:paraId="1399532A" wp14:textId="660FDA96">
          <w:pPr>
            <w:pStyle w:val="TOC1"/>
            <w:tabs>
              <w:tab w:val="left" w:leader="none" w:pos="480"/>
              <w:tab w:val="right" w:leader="dot" w:pos="9360"/>
            </w:tabs>
            <w:bidi w:val="0"/>
            <w:spacing w:line="360" w:lineRule="auto"/>
            <w:ind/>
            <w:rPr>
              <w:rStyle w:val="Hyperlink"/>
            </w:rPr>
          </w:pPr>
          <w:hyperlink w:anchor="_Toc1737280251">
            <w:r w:rsidRPr="202D31E1" w:rsidR="202D31E1">
              <w:rPr>
                <w:rStyle w:val="Hyperlink"/>
              </w:rPr>
              <w:t>5.</w:t>
            </w:r>
            <w:r>
              <w:tab/>
            </w:r>
            <w:r w:rsidRPr="202D31E1" w:rsidR="202D31E1">
              <w:rPr>
                <w:rStyle w:val="Hyperlink"/>
              </w:rPr>
              <w:t>Project milestones</w:t>
            </w:r>
            <w:r>
              <w:tab/>
            </w:r>
            <w:r>
              <w:fldChar w:fldCharType="begin"/>
            </w:r>
            <w:r>
              <w:instrText xml:space="preserve">PAGEREF _Toc1737280251 \h</w:instrText>
            </w:r>
            <w:r>
              <w:fldChar w:fldCharType="separate"/>
            </w:r>
            <w:r w:rsidRPr="202D31E1" w:rsidR="202D31E1">
              <w:rPr>
                <w:rStyle w:val="Hyperlink"/>
              </w:rPr>
              <w:t>7</w:t>
            </w:r>
            <w:r>
              <w:fldChar w:fldCharType="end"/>
            </w:r>
          </w:hyperlink>
        </w:p>
        <w:p xmlns:wp14="http://schemas.microsoft.com/office/word/2010/wordml" w:rsidP="202D31E1" wp14:paraId="1F5794B8" wp14:textId="016EF5BC">
          <w:pPr>
            <w:pStyle w:val="TOC1"/>
            <w:tabs>
              <w:tab w:val="left" w:leader="none" w:pos="480"/>
              <w:tab w:val="right" w:leader="dot" w:pos="9360"/>
            </w:tabs>
            <w:bidi w:val="0"/>
            <w:spacing w:line="360" w:lineRule="auto"/>
            <w:ind/>
            <w:rPr>
              <w:rStyle w:val="Hyperlink"/>
            </w:rPr>
          </w:pPr>
          <w:hyperlink w:anchor="_Toc1556423622">
            <w:r w:rsidRPr="202D31E1" w:rsidR="202D31E1">
              <w:rPr>
                <w:rStyle w:val="Hyperlink"/>
              </w:rPr>
              <w:t>6.</w:t>
            </w:r>
            <w:r>
              <w:tab/>
            </w:r>
            <w:r w:rsidRPr="202D31E1" w:rsidR="202D31E1">
              <w:rPr>
                <w:rStyle w:val="Hyperlink"/>
              </w:rPr>
              <w:t>Gantt Chart</w:t>
            </w:r>
            <w:r>
              <w:tab/>
            </w:r>
            <w:r>
              <w:fldChar w:fldCharType="begin"/>
            </w:r>
            <w:r>
              <w:instrText xml:space="preserve">PAGEREF _Toc1556423622 \h</w:instrText>
            </w:r>
            <w:r>
              <w:fldChar w:fldCharType="separate"/>
            </w:r>
            <w:r w:rsidRPr="202D31E1" w:rsidR="202D31E1">
              <w:rPr>
                <w:rStyle w:val="Hyperlink"/>
              </w:rPr>
              <w:t>8</w:t>
            </w:r>
            <w:r>
              <w:fldChar w:fldCharType="end"/>
            </w:r>
          </w:hyperlink>
        </w:p>
        <w:p xmlns:wp14="http://schemas.microsoft.com/office/word/2010/wordml" w:rsidP="202D31E1" wp14:paraId="4AD3137A" wp14:textId="72E758D5">
          <w:pPr>
            <w:pStyle w:val="TOC1"/>
            <w:tabs>
              <w:tab w:val="left" w:leader="none" w:pos="480"/>
              <w:tab w:val="right" w:leader="dot" w:pos="9360"/>
            </w:tabs>
            <w:bidi w:val="0"/>
            <w:spacing w:line="360" w:lineRule="auto"/>
            <w:ind/>
            <w:rPr>
              <w:rStyle w:val="Hyperlink"/>
            </w:rPr>
          </w:pPr>
          <w:hyperlink w:anchor="_Toc1467144735">
            <w:r w:rsidRPr="202D31E1" w:rsidR="202D31E1">
              <w:rPr>
                <w:rStyle w:val="Hyperlink"/>
              </w:rPr>
              <w:t>7.</w:t>
            </w:r>
            <w:r>
              <w:tab/>
            </w:r>
            <w:r w:rsidRPr="202D31E1" w:rsidR="202D31E1">
              <w:rPr>
                <w:rStyle w:val="Hyperlink"/>
              </w:rPr>
              <w:t>Personnel Resources</w:t>
            </w:r>
            <w:r>
              <w:tab/>
            </w:r>
            <w:r>
              <w:fldChar w:fldCharType="begin"/>
            </w:r>
            <w:r>
              <w:instrText xml:space="preserve">PAGEREF _Toc1467144735 \h</w:instrText>
            </w:r>
            <w:r>
              <w:fldChar w:fldCharType="separate"/>
            </w:r>
            <w:r w:rsidRPr="202D31E1" w:rsidR="202D31E1">
              <w:rPr>
                <w:rStyle w:val="Hyperlink"/>
              </w:rPr>
              <w:t>8</w:t>
            </w:r>
            <w:r>
              <w:fldChar w:fldCharType="end"/>
            </w:r>
          </w:hyperlink>
        </w:p>
        <w:p xmlns:wp14="http://schemas.microsoft.com/office/word/2010/wordml" w:rsidP="202D31E1" wp14:paraId="255F7995" wp14:textId="641EE288">
          <w:pPr>
            <w:pStyle w:val="TOC2"/>
            <w:tabs>
              <w:tab w:val="right" w:leader="dot" w:pos="9360"/>
            </w:tabs>
            <w:bidi w:val="0"/>
            <w:spacing w:line="360" w:lineRule="auto"/>
            <w:ind/>
            <w:rPr>
              <w:rStyle w:val="Hyperlink"/>
            </w:rPr>
          </w:pPr>
          <w:hyperlink w:anchor="_Toc589535912">
            <w:r w:rsidRPr="202D31E1" w:rsidR="202D31E1">
              <w:rPr>
                <w:rStyle w:val="Hyperlink"/>
              </w:rPr>
              <w:t>7.1 Personnel Resource</w:t>
            </w:r>
            <w:r>
              <w:tab/>
            </w:r>
            <w:r>
              <w:fldChar w:fldCharType="begin"/>
            </w:r>
            <w:r>
              <w:instrText xml:space="preserve">PAGEREF _Toc589535912 \h</w:instrText>
            </w:r>
            <w:r>
              <w:fldChar w:fldCharType="separate"/>
            </w:r>
            <w:r w:rsidRPr="202D31E1" w:rsidR="202D31E1">
              <w:rPr>
                <w:rStyle w:val="Hyperlink"/>
              </w:rPr>
              <w:t>9</w:t>
            </w:r>
            <w:r>
              <w:fldChar w:fldCharType="end"/>
            </w:r>
          </w:hyperlink>
        </w:p>
        <w:p xmlns:wp14="http://schemas.microsoft.com/office/word/2010/wordml" w:rsidP="202D31E1" wp14:paraId="0C4B017E" wp14:textId="29368CA3">
          <w:pPr>
            <w:pStyle w:val="TOC2"/>
            <w:tabs>
              <w:tab w:val="right" w:leader="dot" w:pos="9360"/>
            </w:tabs>
            <w:bidi w:val="0"/>
            <w:spacing w:line="360" w:lineRule="auto"/>
            <w:ind/>
            <w:rPr>
              <w:rStyle w:val="Hyperlink"/>
            </w:rPr>
          </w:pPr>
          <w:hyperlink w:anchor="_Toc471196519">
            <w:r w:rsidRPr="202D31E1" w:rsidR="202D31E1">
              <w:rPr>
                <w:rStyle w:val="Hyperlink"/>
              </w:rPr>
              <w:t>7.2 Material and Financial Resources</w:t>
            </w:r>
            <w:r>
              <w:tab/>
            </w:r>
            <w:r>
              <w:fldChar w:fldCharType="begin"/>
            </w:r>
            <w:r>
              <w:instrText xml:space="preserve">PAGEREF _Toc471196519 \h</w:instrText>
            </w:r>
            <w:r>
              <w:fldChar w:fldCharType="separate"/>
            </w:r>
            <w:r w:rsidRPr="202D31E1" w:rsidR="202D31E1">
              <w:rPr>
                <w:rStyle w:val="Hyperlink"/>
              </w:rPr>
              <w:t>10</w:t>
            </w:r>
            <w:r>
              <w:fldChar w:fldCharType="end"/>
            </w:r>
          </w:hyperlink>
        </w:p>
        <w:p xmlns:wp14="http://schemas.microsoft.com/office/word/2010/wordml" w:rsidP="202D31E1" wp14:paraId="01C63C76" wp14:textId="6DC4E7D8">
          <w:pPr>
            <w:pStyle w:val="TOC1"/>
            <w:tabs>
              <w:tab w:val="left" w:leader="none" w:pos="480"/>
              <w:tab w:val="right" w:leader="dot" w:pos="9360"/>
            </w:tabs>
            <w:bidi w:val="0"/>
            <w:spacing w:line="360" w:lineRule="auto"/>
            <w:ind/>
            <w:rPr>
              <w:rStyle w:val="Hyperlink"/>
            </w:rPr>
          </w:pPr>
          <w:hyperlink w:anchor="_Toc704251975">
            <w:r w:rsidRPr="202D31E1" w:rsidR="202D31E1">
              <w:rPr>
                <w:rStyle w:val="Hyperlink"/>
              </w:rPr>
              <w:t>8.</w:t>
            </w:r>
            <w:r>
              <w:tab/>
            </w:r>
            <w:r w:rsidRPr="202D31E1" w:rsidR="202D31E1">
              <w:rPr>
                <w:rStyle w:val="Hyperlink"/>
              </w:rPr>
              <w:t>Communication Plan</w:t>
            </w:r>
            <w:r>
              <w:tab/>
            </w:r>
            <w:r>
              <w:fldChar w:fldCharType="begin"/>
            </w:r>
            <w:r>
              <w:instrText xml:space="preserve">PAGEREF _Toc704251975 \h</w:instrText>
            </w:r>
            <w:r>
              <w:fldChar w:fldCharType="separate"/>
            </w:r>
            <w:r w:rsidRPr="202D31E1" w:rsidR="202D31E1">
              <w:rPr>
                <w:rStyle w:val="Hyperlink"/>
              </w:rPr>
              <w:t>11</w:t>
            </w:r>
            <w:r>
              <w:fldChar w:fldCharType="end"/>
            </w:r>
          </w:hyperlink>
        </w:p>
        <w:p xmlns:wp14="http://schemas.microsoft.com/office/word/2010/wordml" w:rsidP="202D31E1" wp14:paraId="6E3881B9" wp14:textId="7D8BB3F2">
          <w:pPr>
            <w:pStyle w:val="TOC2"/>
            <w:tabs>
              <w:tab w:val="right" w:leader="dot" w:pos="9360"/>
            </w:tabs>
            <w:bidi w:val="0"/>
            <w:spacing w:line="360" w:lineRule="auto"/>
            <w:ind/>
            <w:rPr>
              <w:rStyle w:val="Hyperlink"/>
            </w:rPr>
          </w:pPr>
          <w:hyperlink w:anchor="_Toc1374796595">
            <w:r w:rsidRPr="202D31E1" w:rsidR="202D31E1">
              <w:rPr>
                <w:rStyle w:val="Hyperlink"/>
              </w:rPr>
              <w:t>8.1 Communication Matrix</w:t>
            </w:r>
            <w:r>
              <w:tab/>
            </w:r>
            <w:r>
              <w:fldChar w:fldCharType="begin"/>
            </w:r>
            <w:r>
              <w:instrText xml:space="preserve">PAGEREF _Toc1374796595 \h</w:instrText>
            </w:r>
            <w:r>
              <w:fldChar w:fldCharType="separate"/>
            </w:r>
            <w:r w:rsidRPr="202D31E1" w:rsidR="202D31E1">
              <w:rPr>
                <w:rStyle w:val="Hyperlink"/>
              </w:rPr>
              <w:t>11</w:t>
            </w:r>
            <w:r>
              <w:fldChar w:fldCharType="end"/>
            </w:r>
          </w:hyperlink>
        </w:p>
        <w:p xmlns:wp14="http://schemas.microsoft.com/office/word/2010/wordml" w:rsidP="202D31E1" wp14:paraId="727C25A2" wp14:textId="49FBCF34">
          <w:pPr>
            <w:pStyle w:val="TOC1"/>
            <w:tabs>
              <w:tab w:val="left" w:leader="none" w:pos="480"/>
              <w:tab w:val="right" w:leader="dot" w:pos="9360"/>
            </w:tabs>
            <w:bidi w:val="0"/>
            <w:spacing w:line="360" w:lineRule="auto"/>
            <w:ind/>
            <w:rPr>
              <w:rStyle w:val="Hyperlink"/>
            </w:rPr>
          </w:pPr>
          <w:hyperlink w:anchor="_Toc1795146094">
            <w:r w:rsidRPr="202D31E1" w:rsidR="202D31E1">
              <w:rPr>
                <w:rStyle w:val="Hyperlink"/>
              </w:rPr>
              <w:t>9.</w:t>
            </w:r>
            <w:r>
              <w:tab/>
            </w:r>
            <w:r w:rsidRPr="202D31E1" w:rsidR="202D31E1">
              <w:rPr>
                <w:rStyle w:val="Hyperlink"/>
              </w:rPr>
              <w:t>Stakeholder Matrix</w:t>
            </w:r>
            <w:r>
              <w:tab/>
            </w:r>
            <w:r>
              <w:fldChar w:fldCharType="begin"/>
            </w:r>
            <w:r>
              <w:instrText xml:space="preserve">PAGEREF _Toc1795146094 \h</w:instrText>
            </w:r>
            <w:r>
              <w:fldChar w:fldCharType="separate"/>
            </w:r>
            <w:r w:rsidRPr="202D31E1" w:rsidR="202D31E1">
              <w:rPr>
                <w:rStyle w:val="Hyperlink"/>
              </w:rPr>
              <w:t>12</w:t>
            </w:r>
            <w:r>
              <w:fldChar w:fldCharType="end"/>
            </w:r>
          </w:hyperlink>
        </w:p>
        <w:p xmlns:wp14="http://schemas.microsoft.com/office/word/2010/wordml" w:rsidP="202D31E1" wp14:paraId="42AE3FEE" wp14:textId="690C89FB">
          <w:pPr>
            <w:pStyle w:val="TOC2"/>
            <w:tabs>
              <w:tab w:val="right" w:leader="dot" w:pos="9360"/>
            </w:tabs>
            <w:bidi w:val="0"/>
            <w:spacing w:line="360" w:lineRule="auto"/>
            <w:ind/>
            <w:rPr>
              <w:rStyle w:val="Hyperlink"/>
            </w:rPr>
          </w:pPr>
          <w:hyperlink w:anchor="_Toc344413263">
            <w:r w:rsidRPr="202D31E1" w:rsidR="202D31E1">
              <w:rPr>
                <w:rStyle w:val="Hyperlink"/>
              </w:rPr>
              <w:t>9.1 Stakeholder Matrix</w:t>
            </w:r>
            <w:r>
              <w:tab/>
            </w:r>
            <w:r>
              <w:fldChar w:fldCharType="begin"/>
            </w:r>
            <w:r>
              <w:instrText xml:space="preserve">PAGEREF _Toc344413263 \h</w:instrText>
            </w:r>
            <w:r>
              <w:fldChar w:fldCharType="separate"/>
            </w:r>
            <w:r w:rsidRPr="202D31E1" w:rsidR="202D31E1">
              <w:rPr>
                <w:rStyle w:val="Hyperlink"/>
              </w:rPr>
              <w:t>12</w:t>
            </w:r>
            <w:r>
              <w:fldChar w:fldCharType="end"/>
            </w:r>
          </w:hyperlink>
        </w:p>
        <w:p xmlns:wp14="http://schemas.microsoft.com/office/word/2010/wordml" w:rsidP="202D31E1" wp14:paraId="38B68671" wp14:textId="57EF2705">
          <w:pPr>
            <w:pStyle w:val="TOC1"/>
            <w:tabs>
              <w:tab w:val="right" w:leader="dot" w:pos="9360"/>
            </w:tabs>
            <w:bidi w:val="0"/>
            <w:spacing w:line="360" w:lineRule="auto"/>
            <w:ind/>
            <w:rPr>
              <w:rStyle w:val="Hyperlink"/>
            </w:rPr>
          </w:pPr>
          <w:hyperlink w:anchor="_Toc194456313">
            <w:r w:rsidRPr="202D31E1" w:rsidR="202D31E1">
              <w:rPr>
                <w:rStyle w:val="Hyperlink"/>
              </w:rPr>
              <w:t>10. Risk Register</w:t>
            </w:r>
            <w:r>
              <w:tab/>
            </w:r>
            <w:r>
              <w:fldChar w:fldCharType="begin"/>
            </w:r>
            <w:r>
              <w:instrText xml:space="preserve">PAGEREF _Toc194456313 \h</w:instrText>
            </w:r>
            <w:r>
              <w:fldChar w:fldCharType="separate"/>
            </w:r>
            <w:r w:rsidRPr="202D31E1" w:rsidR="202D31E1">
              <w:rPr>
                <w:rStyle w:val="Hyperlink"/>
              </w:rPr>
              <w:t>13</w:t>
            </w:r>
            <w:r>
              <w:fldChar w:fldCharType="end"/>
            </w:r>
          </w:hyperlink>
        </w:p>
        <w:p xmlns:wp14="http://schemas.microsoft.com/office/word/2010/wordml" w:rsidP="202D31E1" wp14:paraId="6DBA6677" wp14:textId="3719D8E2">
          <w:pPr>
            <w:pStyle w:val="TOC2"/>
            <w:tabs>
              <w:tab w:val="right" w:leader="dot" w:pos="9360"/>
            </w:tabs>
            <w:bidi w:val="0"/>
            <w:spacing w:line="360" w:lineRule="auto"/>
            <w:ind/>
            <w:rPr>
              <w:rStyle w:val="Hyperlink"/>
            </w:rPr>
          </w:pPr>
          <w:hyperlink w:anchor="_Toc273892800">
            <w:r w:rsidRPr="202D31E1" w:rsidR="202D31E1">
              <w:rPr>
                <w:rStyle w:val="Hyperlink"/>
              </w:rPr>
              <w:t>10.1 DIT Project risk Register</w:t>
            </w:r>
            <w:r>
              <w:tab/>
            </w:r>
            <w:r>
              <w:fldChar w:fldCharType="begin"/>
            </w:r>
            <w:r>
              <w:instrText xml:space="preserve">PAGEREF _Toc273892800 \h</w:instrText>
            </w:r>
            <w:r>
              <w:fldChar w:fldCharType="separate"/>
            </w:r>
            <w:r w:rsidRPr="202D31E1" w:rsidR="202D31E1">
              <w:rPr>
                <w:rStyle w:val="Hyperlink"/>
              </w:rPr>
              <w:t>13</w:t>
            </w:r>
            <w:r>
              <w:fldChar w:fldCharType="end"/>
            </w:r>
          </w:hyperlink>
        </w:p>
        <w:p xmlns:wp14="http://schemas.microsoft.com/office/word/2010/wordml" w:rsidP="202D31E1" wp14:paraId="5E46EE48" wp14:textId="60E4D385">
          <w:pPr>
            <w:pStyle w:val="TOC1"/>
            <w:tabs>
              <w:tab w:val="right" w:leader="dot" w:pos="9360"/>
            </w:tabs>
            <w:bidi w:val="0"/>
            <w:spacing w:line="360" w:lineRule="auto"/>
            <w:ind/>
            <w:rPr>
              <w:rStyle w:val="Hyperlink"/>
            </w:rPr>
          </w:pPr>
          <w:hyperlink w:anchor="_Toc1807203768">
            <w:r w:rsidRPr="202D31E1" w:rsidR="202D31E1">
              <w:rPr>
                <w:rStyle w:val="Hyperlink"/>
              </w:rPr>
              <w:t>11. Conclusion</w:t>
            </w:r>
            <w:r>
              <w:tab/>
            </w:r>
            <w:r>
              <w:fldChar w:fldCharType="begin"/>
            </w:r>
            <w:r>
              <w:instrText xml:space="preserve">PAGEREF _Toc1807203768 \h</w:instrText>
            </w:r>
            <w:r>
              <w:fldChar w:fldCharType="separate"/>
            </w:r>
            <w:r w:rsidRPr="202D31E1" w:rsidR="202D31E1">
              <w:rPr>
                <w:rStyle w:val="Hyperlink"/>
              </w:rPr>
              <w:t>14</w:t>
            </w:r>
            <w:r>
              <w:fldChar w:fldCharType="end"/>
            </w:r>
          </w:hyperlink>
        </w:p>
        <w:p xmlns:wp14="http://schemas.microsoft.com/office/word/2010/wordml" w:rsidP="202D31E1" wp14:paraId="47B68B68" wp14:textId="7561253D">
          <w:pPr>
            <w:pStyle w:val="TOC1"/>
            <w:tabs>
              <w:tab w:val="right" w:leader="dot" w:pos="9360"/>
            </w:tabs>
            <w:bidi w:val="0"/>
            <w:spacing w:line="360" w:lineRule="auto"/>
            <w:ind/>
            <w:rPr>
              <w:rStyle w:val="Hyperlink"/>
            </w:rPr>
          </w:pPr>
          <w:hyperlink w:anchor="_Toc1950557279">
            <w:r w:rsidRPr="202D31E1" w:rsidR="202D31E1">
              <w:rPr>
                <w:rStyle w:val="Hyperlink"/>
              </w:rPr>
              <w:t>11. Reference List</w:t>
            </w:r>
            <w:r>
              <w:tab/>
            </w:r>
            <w:r>
              <w:fldChar w:fldCharType="begin"/>
            </w:r>
            <w:r>
              <w:instrText xml:space="preserve">PAGEREF _Toc1950557279 \h</w:instrText>
            </w:r>
            <w:r>
              <w:fldChar w:fldCharType="separate"/>
            </w:r>
            <w:r w:rsidRPr="202D31E1" w:rsidR="202D31E1">
              <w:rPr>
                <w:rStyle w:val="Hyperlink"/>
              </w:rPr>
              <w:t>15</w:t>
            </w:r>
            <w:r>
              <w:fldChar w:fldCharType="end"/>
            </w:r>
          </w:hyperlink>
        </w:p>
        <w:p xmlns:wp14="http://schemas.microsoft.com/office/word/2010/wordml" w:rsidP="202D31E1" wp14:paraId="0CBA5086" wp14:textId="03B3895F">
          <w:pPr>
            <w:pStyle w:val="TOC1"/>
            <w:tabs>
              <w:tab w:val="right" w:leader="dot" w:pos="9360"/>
            </w:tabs>
            <w:bidi w:val="0"/>
            <w:spacing w:line="360" w:lineRule="auto"/>
            <w:ind/>
            <w:rPr>
              <w:rStyle w:val="Hyperlink"/>
            </w:rPr>
          </w:pPr>
          <w:hyperlink w:anchor="_Toc1229525826">
            <w:r w:rsidRPr="202D31E1" w:rsidR="202D31E1">
              <w:rPr>
                <w:rStyle w:val="Hyperlink"/>
              </w:rPr>
              <w:t>12. Appendix</w:t>
            </w:r>
            <w:r>
              <w:tab/>
            </w:r>
            <w:r>
              <w:fldChar w:fldCharType="begin"/>
            </w:r>
            <w:r>
              <w:instrText xml:space="preserve">PAGEREF _Toc1229525826 \h</w:instrText>
            </w:r>
            <w:r>
              <w:fldChar w:fldCharType="separate"/>
            </w:r>
            <w:r w:rsidRPr="202D31E1" w:rsidR="202D31E1">
              <w:rPr>
                <w:rStyle w:val="Hyperlink"/>
              </w:rPr>
              <w:t>17</w:t>
            </w:r>
            <w:r>
              <w:fldChar w:fldCharType="end"/>
            </w:r>
          </w:hyperlink>
        </w:p>
        <w:p xmlns:wp14="http://schemas.microsoft.com/office/word/2010/wordml" w:rsidP="202D31E1" wp14:paraId="27556F97" wp14:textId="68C08761">
          <w:pPr>
            <w:pStyle w:val="TOC2"/>
            <w:tabs>
              <w:tab w:val="right" w:leader="dot" w:pos="9360"/>
            </w:tabs>
            <w:bidi w:val="0"/>
            <w:spacing w:line="360" w:lineRule="auto"/>
            <w:ind/>
            <w:rPr>
              <w:rStyle w:val="Hyperlink"/>
            </w:rPr>
          </w:pPr>
          <w:hyperlink w:anchor="_Toc1037395484">
            <w:r w:rsidRPr="202D31E1" w:rsidR="202D31E1">
              <w:rPr>
                <w:rStyle w:val="Hyperlink"/>
              </w:rPr>
              <w:t>12.1 Appendix A – Project Assumption Log</w:t>
            </w:r>
            <w:r>
              <w:tab/>
            </w:r>
            <w:r>
              <w:fldChar w:fldCharType="begin"/>
            </w:r>
            <w:r>
              <w:instrText xml:space="preserve">PAGEREF _Toc1037395484 \h</w:instrText>
            </w:r>
            <w:r>
              <w:fldChar w:fldCharType="separate"/>
            </w:r>
            <w:r w:rsidRPr="202D31E1" w:rsidR="202D31E1">
              <w:rPr>
                <w:rStyle w:val="Hyperlink"/>
              </w:rPr>
              <w:t>18</w:t>
            </w:r>
            <w:r>
              <w:fldChar w:fldCharType="end"/>
            </w:r>
          </w:hyperlink>
        </w:p>
        <w:p xmlns:wp14="http://schemas.microsoft.com/office/word/2010/wordml" w:rsidP="202D31E1" wp14:paraId="3E99C774" wp14:textId="1143A3C4">
          <w:pPr>
            <w:pStyle w:val="TOC2"/>
            <w:tabs>
              <w:tab w:val="right" w:leader="dot" w:pos="9360"/>
            </w:tabs>
            <w:bidi w:val="0"/>
            <w:spacing w:line="360" w:lineRule="auto"/>
            <w:ind/>
            <w:rPr>
              <w:rStyle w:val="Hyperlink"/>
            </w:rPr>
          </w:pPr>
          <w:hyperlink w:anchor="_Toc1306947806">
            <w:r w:rsidRPr="202D31E1" w:rsidR="202D31E1">
              <w:rPr>
                <w:rStyle w:val="Hyperlink"/>
              </w:rPr>
              <w:t>12.2 Appendix B - Training Needs Summary</w:t>
            </w:r>
            <w:r>
              <w:tab/>
            </w:r>
            <w:r>
              <w:fldChar w:fldCharType="begin"/>
            </w:r>
            <w:r>
              <w:instrText xml:space="preserve">PAGEREF _Toc1306947806 \h</w:instrText>
            </w:r>
            <w:r>
              <w:fldChar w:fldCharType="separate"/>
            </w:r>
            <w:r w:rsidRPr="202D31E1" w:rsidR="202D31E1">
              <w:rPr>
                <w:rStyle w:val="Hyperlink"/>
              </w:rPr>
              <w:t>18</w:t>
            </w:r>
            <w:r>
              <w:fldChar w:fldCharType="end"/>
            </w:r>
          </w:hyperlink>
        </w:p>
        <w:p xmlns:wp14="http://schemas.microsoft.com/office/word/2010/wordml" w:rsidP="202D31E1" wp14:paraId="01B45EBE" wp14:textId="564EAF0D">
          <w:pPr>
            <w:pStyle w:val="TOC2"/>
            <w:tabs>
              <w:tab w:val="right" w:leader="dot" w:pos="9360"/>
            </w:tabs>
            <w:bidi w:val="0"/>
            <w:spacing w:line="360" w:lineRule="auto"/>
            <w:ind/>
            <w:rPr>
              <w:rStyle w:val="Hyperlink"/>
            </w:rPr>
          </w:pPr>
          <w:hyperlink w:anchor="_Toc257276580">
            <w:r w:rsidRPr="202D31E1" w:rsidR="202D31E1">
              <w:rPr>
                <w:rStyle w:val="Hyperlink"/>
              </w:rPr>
              <w:t>12.3 Appendix C – Risk probability &amp; Impact Matrix</w:t>
            </w:r>
            <w:r>
              <w:tab/>
            </w:r>
            <w:r>
              <w:fldChar w:fldCharType="begin"/>
            </w:r>
            <w:r>
              <w:instrText xml:space="preserve">PAGEREF _Toc257276580 \h</w:instrText>
            </w:r>
            <w:r>
              <w:fldChar w:fldCharType="separate"/>
            </w:r>
            <w:r w:rsidRPr="202D31E1" w:rsidR="202D31E1">
              <w:rPr>
                <w:rStyle w:val="Hyperlink"/>
              </w:rPr>
              <w:t>18</w:t>
            </w:r>
            <w:r>
              <w:fldChar w:fldCharType="end"/>
            </w:r>
          </w:hyperlink>
        </w:p>
        <w:p xmlns:wp14="http://schemas.microsoft.com/office/word/2010/wordml" w:rsidP="202D31E1" wp14:paraId="6C929D74" wp14:textId="5756D2F3">
          <w:pPr>
            <w:pStyle w:val="TOC2"/>
            <w:tabs>
              <w:tab w:val="right" w:leader="dot" w:pos="9360"/>
            </w:tabs>
            <w:bidi w:val="0"/>
            <w:spacing w:line="360" w:lineRule="auto"/>
            <w:ind/>
            <w:rPr>
              <w:rStyle w:val="Hyperlink"/>
            </w:rPr>
          </w:pPr>
          <w:hyperlink w:anchor="_Toc1595807503">
            <w:r w:rsidRPr="202D31E1" w:rsidR="202D31E1">
              <w:rPr>
                <w:rStyle w:val="Hyperlink"/>
              </w:rPr>
              <w:t>12.4 Appendix D – Shopfloor Blueprint</w:t>
            </w:r>
            <w:r>
              <w:tab/>
            </w:r>
            <w:r>
              <w:fldChar w:fldCharType="begin"/>
            </w:r>
            <w:r>
              <w:instrText xml:space="preserve">PAGEREF _Toc1595807503 \h</w:instrText>
            </w:r>
            <w:r>
              <w:fldChar w:fldCharType="separate"/>
            </w:r>
            <w:r w:rsidRPr="202D31E1" w:rsidR="202D31E1">
              <w:rPr>
                <w:rStyle w:val="Hyperlink"/>
              </w:rPr>
              <w:t>19</w:t>
            </w:r>
            <w:r>
              <w:fldChar w:fldCharType="end"/>
            </w:r>
          </w:hyperlink>
        </w:p>
        <w:p xmlns:wp14="http://schemas.microsoft.com/office/word/2010/wordml" w:rsidP="202D31E1" wp14:paraId="0AC9D882" wp14:textId="088EEAAE">
          <w:pPr>
            <w:pStyle w:val="TOC2"/>
            <w:tabs>
              <w:tab w:val="right" w:leader="dot" w:pos="9360"/>
            </w:tabs>
            <w:bidi w:val="0"/>
            <w:spacing w:line="360" w:lineRule="auto"/>
            <w:ind/>
            <w:rPr>
              <w:rStyle w:val="Hyperlink"/>
            </w:rPr>
          </w:pPr>
          <w:hyperlink w:anchor="_Toc117988147">
            <w:r w:rsidRPr="202D31E1" w:rsidR="202D31E1">
              <w:rPr>
                <w:rStyle w:val="Hyperlink"/>
              </w:rPr>
              <w:t>12.5 Glossary</w:t>
            </w:r>
            <w:r>
              <w:tab/>
            </w:r>
            <w:r>
              <w:fldChar w:fldCharType="begin"/>
            </w:r>
            <w:r>
              <w:instrText xml:space="preserve">PAGEREF _Toc117988147 \h</w:instrText>
            </w:r>
            <w:r>
              <w:fldChar w:fldCharType="separate"/>
            </w:r>
            <w:r w:rsidRPr="202D31E1" w:rsidR="202D31E1">
              <w:rPr>
                <w:rStyle w:val="Hyperlink"/>
              </w:rPr>
              <w:t>20</w:t>
            </w:r>
            <w:r>
              <w:fldChar w:fldCharType="end"/>
            </w:r>
          </w:hyperlink>
          <w:r>
            <w:fldChar w:fldCharType="end"/>
          </w:r>
        </w:p>
      </w:sdtContent>
    </w:sdt>
    <w:p xmlns:wp14="http://schemas.microsoft.com/office/word/2010/wordml" w:rsidP="202D31E1" wp14:paraId="7864CB17" wp14:textId="33F995BC">
      <w:pPr>
        <w:pStyle w:val="Normal"/>
      </w:pPr>
    </w:p>
    <w:p xmlns:wp14="http://schemas.microsoft.com/office/word/2010/wordml" w:rsidP="1655D4EF" wp14:paraId="26E154DD" wp14:textId="58C75AD1">
      <w:pPr>
        <w:numPr>
          <w:ilvl w:val="0"/>
          <w:numId w:val="0"/>
        </w:numPr>
      </w:pPr>
      <w:r>
        <w:br w:type="page"/>
      </w:r>
    </w:p>
    <w:p xmlns:wp14="http://schemas.microsoft.com/office/word/2010/wordml" w:rsidP="202D31E1" wp14:paraId="2C078E63" wp14:textId="281AE0A6">
      <w:pPr>
        <w:pStyle w:val="Heading1"/>
        <w:rPr>
          <w:rFonts w:ascii="Times New Roman" w:hAnsi="Times New Roman" w:eastAsia="Times New Roman" w:cs="Times New Roman"/>
          <w:b w:val="1"/>
          <w:bCs w:val="1"/>
          <w:sz w:val="32"/>
          <w:szCs w:val="32"/>
        </w:rPr>
      </w:pPr>
      <w:bookmarkStart w:name="_Toc1693440986" w:id="1751114174"/>
      <w:r w:rsidR="42D43648">
        <w:rPr/>
        <w:t>Introduction</w:t>
      </w:r>
      <w:bookmarkEnd w:id="1751114174"/>
      <w:r w:rsidR="42D43648">
        <w:rPr/>
        <w:t xml:space="preserve"> </w:t>
      </w:r>
    </w:p>
    <w:p w:rsidR="606AD92B" w:rsidP="1655D4EF" w:rsidRDefault="606AD92B" w14:paraId="6EF9EEC5" w14:textId="7B8601F7">
      <w:pPr>
        <w:pStyle w:val="Normal"/>
        <w:spacing w:line="360" w:lineRule="auto"/>
      </w:pPr>
      <w:r w:rsidR="606AD92B">
        <w:rPr/>
        <w:t xml:space="preserve">The accelerated growth of Industry 4.0 and digital transformation has drastically changed </w:t>
      </w:r>
      <w:r w:rsidR="556C6F69">
        <w:rPr/>
        <w:t xml:space="preserve">industrial infrastructure worldwide. </w:t>
      </w:r>
      <w:r w:rsidR="4A6D1864">
        <w:rPr/>
        <w:t xml:space="preserve">Manufacturing companies are gradually adopting </w:t>
      </w:r>
      <w:r w:rsidR="17B247DE">
        <w:rPr/>
        <w:t>modern technologies</w:t>
      </w:r>
      <w:r w:rsidR="4A6D1864">
        <w:rPr/>
        <w:t xml:space="preserve">, </w:t>
      </w:r>
      <w:r w:rsidR="22FD2448">
        <w:rPr/>
        <w:t>including robots, 3D manufacturing, and real-time digital quality systems</w:t>
      </w:r>
      <w:r w:rsidR="0F6C5CDA">
        <w:rPr/>
        <w:t xml:space="preserve">, to </w:t>
      </w:r>
      <w:r w:rsidR="0F6C5CDA">
        <w:rPr/>
        <w:t>maintain</w:t>
      </w:r>
      <w:r w:rsidR="0F6C5CDA">
        <w:rPr/>
        <w:t xml:space="preserve"> </w:t>
      </w:r>
      <w:r w:rsidR="0F6C5CDA">
        <w:rPr/>
        <w:t>competitiveness</w:t>
      </w:r>
      <w:r w:rsidR="0F6C5CDA">
        <w:rPr/>
        <w:t xml:space="preserve"> in high-precision sectors. </w:t>
      </w:r>
    </w:p>
    <w:p w:rsidR="0F6C5CDA" w:rsidP="1655D4EF" w:rsidRDefault="0F6C5CDA" w14:paraId="1FDC9D9F" w14:textId="3F81462B">
      <w:pPr>
        <w:pStyle w:val="Normal"/>
        <w:spacing w:line="360" w:lineRule="auto"/>
      </w:pPr>
      <w:r w:rsidR="0F6C5CDA">
        <w:rPr/>
        <w:t>Studies on Quality 4.0</w:t>
      </w:r>
      <w:r w:rsidR="4915C104">
        <w:rPr/>
        <w:t xml:space="preserve">, </w:t>
      </w:r>
      <w:r w:rsidR="0F6C5CDA">
        <w:rPr/>
        <w:t>whic</w:t>
      </w:r>
      <w:r w:rsidR="73DE70DD">
        <w:rPr/>
        <w:t>h is the modern approach to quality management that uses technologies from Industry 4.0 to improve an organi</w:t>
      </w:r>
      <w:r w:rsidR="22DE7B73">
        <w:rPr/>
        <w:t>s</w:t>
      </w:r>
      <w:r w:rsidR="73DE70DD">
        <w:rPr/>
        <w:t>ation's quality, products, and services</w:t>
      </w:r>
      <w:r w:rsidR="42C47609">
        <w:rPr/>
        <w:t xml:space="preserve">, </w:t>
      </w:r>
      <w:r w:rsidR="42C47609">
        <w:rPr/>
        <w:t>demonstrate</w:t>
      </w:r>
      <w:r w:rsidR="42C47609">
        <w:rPr/>
        <w:t xml:space="preserve"> that digitalisation increases traditional </w:t>
      </w:r>
      <w:r w:rsidR="0741B9E5">
        <w:rPr/>
        <w:t xml:space="preserve">quality management </w:t>
      </w:r>
      <w:r w:rsidR="3931FEBB">
        <w:rPr/>
        <w:t>through improved data visibility, predictive analytics, and automated process control, leading to increased</w:t>
      </w:r>
      <w:r w:rsidR="6D959909">
        <w:rPr/>
        <w:t xml:space="preserve"> </w:t>
      </w:r>
      <w:r w:rsidR="07D04EAD">
        <w:rPr/>
        <w:t xml:space="preserve">productivity </w:t>
      </w:r>
      <w:r w:rsidR="6D959909">
        <w:rPr/>
        <w:t xml:space="preserve">and production accuracy (Yadav et al., 2021) </w:t>
      </w:r>
    </w:p>
    <w:p w:rsidR="6D959909" w:rsidP="1655D4EF" w:rsidRDefault="6D959909" w14:paraId="0922B320" w14:textId="5AB5FE83">
      <w:pPr>
        <w:pStyle w:val="Normal"/>
        <w:spacing w:line="360" w:lineRule="auto"/>
      </w:pPr>
      <w:r w:rsidR="6D959909">
        <w:rPr/>
        <w:t>Downhole International</w:t>
      </w:r>
      <w:r w:rsidR="28AED7BD">
        <w:rPr/>
        <w:t xml:space="preserve"> Tools</w:t>
      </w:r>
      <w:r w:rsidR="6D959909">
        <w:rPr/>
        <w:t xml:space="preserve"> (</w:t>
      </w:r>
      <w:r w:rsidR="17143E87">
        <w:rPr/>
        <w:t>DIT</w:t>
      </w:r>
      <w:r w:rsidR="6D959909">
        <w:rPr/>
        <w:t>), a company serving the oil and gas drilling industry,</w:t>
      </w:r>
      <w:r w:rsidR="73C2CC82">
        <w:rPr/>
        <w:t xml:space="preserve"> still utilises conventional CNC technology for </w:t>
      </w:r>
      <w:r w:rsidR="7B1843FA">
        <w:rPr/>
        <w:t>its</w:t>
      </w:r>
      <w:r w:rsidR="73C2CC82">
        <w:rPr/>
        <w:t xml:space="preserve"> production. CNC systems provide pr</w:t>
      </w:r>
      <w:r w:rsidR="6DC2AC65">
        <w:rPr/>
        <w:t>ecision and durability, yet they are constrained by restrictions in speed, flexibility, and production flow. Consequent</w:t>
      </w:r>
      <w:r w:rsidR="2B0B4D63">
        <w:rPr/>
        <w:t xml:space="preserve">ly, </w:t>
      </w:r>
      <w:r w:rsidR="28EA1BFD">
        <w:rPr/>
        <w:t>DIT</w:t>
      </w:r>
      <w:r w:rsidR="2B0B4D63">
        <w:rPr/>
        <w:t xml:space="preserve">’s On-Time-To-Target (OTTT) performance </w:t>
      </w:r>
      <w:r w:rsidR="42353AAE">
        <w:rPr/>
        <w:t>currently</w:t>
      </w:r>
      <w:r w:rsidR="2B0B4D63">
        <w:rPr/>
        <w:t xml:space="preserve"> </w:t>
      </w:r>
      <w:r w:rsidR="2B0B4D63">
        <w:rPr/>
        <w:t xml:space="preserve">averages </w:t>
      </w:r>
      <w:r w:rsidR="3E5C4D60">
        <w:rPr/>
        <w:t xml:space="preserve">76% yearly, which is below the organisational aim. </w:t>
      </w:r>
      <w:r w:rsidR="3E5C4D60">
        <w:rPr/>
        <w:t xml:space="preserve">To rectify this performance deficiency, the </w:t>
      </w:r>
      <w:r w:rsidR="03807E1D">
        <w:rPr/>
        <w:t xml:space="preserve">organisation </w:t>
      </w:r>
      <w:r w:rsidR="1E04F0BE">
        <w:rPr/>
        <w:t>aims to</w:t>
      </w:r>
      <w:r w:rsidR="03807E1D">
        <w:rPr/>
        <w:t xml:space="preserve"> </w:t>
      </w:r>
      <w:r w:rsidR="03807E1D">
        <w:rPr/>
        <w:t>adopt a MELTIO 3D Metal Printing Robot Cell, capable of manufacturing components more efficiently</w:t>
      </w:r>
      <w:r w:rsidR="647FC018">
        <w:rPr/>
        <w:t xml:space="preserve">, with </w:t>
      </w:r>
      <w:r w:rsidR="4F6FF0BA">
        <w:rPr/>
        <w:t>greater</w:t>
      </w:r>
      <w:r w:rsidR="647FC018">
        <w:rPr/>
        <w:t xml:space="preserve"> design complexity, and </w:t>
      </w:r>
      <w:r w:rsidR="694CE128">
        <w:rPr/>
        <w:t>fewer</w:t>
      </w:r>
      <w:r w:rsidR="647FC018">
        <w:rPr/>
        <w:t xml:space="preserve"> processing stages. </w:t>
      </w:r>
    </w:p>
    <w:p w:rsidR="647FC018" w:rsidP="1655D4EF" w:rsidRDefault="647FC018" w14:paraId="25699A3C" w14:textId="138B77E4">
      <w:pPr>
        <w:pStyle w:val="Normal"/>
        <w:spacing w:line="360" w:lineRule="auto"/>
      </w:pPr>
      <w:r w:rsidR="647FC018">
        <w:rPr/>
        <w:t xml:space="preserve">Additive manufacturing coincided with Industry 4.0 concepts by </w:t>
      </w:r>
      <w:r w:rsidR="647FC018">
        <w:rPr/>
        <w:t>facilitating</w:t>
      </w:r>
      <w:r w:rsidR="647FC018">
        <w:rPr/>
        <w:t xml:space="preserve"> hybrid, adaptable, and digitally integrated manufacturing</w:t>
      </w:r>
      <w:r w:rsidR="3407158F">
        <w:rPr/>
        <w:t xml:space="preserve"> processes. </w:t>
      </w:r>
      <w:r w:rsidR="3BB88CFD">
        <w:rPr/>
        <w:t xml:space="preserve">Research studies </w:t>
      </w:r>
      <w:r w:rsidR="4AA4BD88">
        <w:rPr/>
        <w:t>demonstrated</w:t>
      </w:r>
      <w:r w:rsidR="3BB88CFD">
        <w:rPr/>
        <w:t xml:space="preserve"> that organisations using Green Lean Six Sigma in digital manufacturing </w:t>
      </w:r>
      <w:r w:rsidR="2FF86662">
        <w:rPr/>
        <w:t xml:space="preserve">industries achieve </w:t>
      </w:r>
      <w:r w:rsidR="63DCAA7B">
        <w:rPr/>
        <w:t>superior resource efficiency, waste reduction, and sustainability (Letchumanan et al., 2022)</w:t>
      </w:r>
      <w:r w:rsidR="04B28900">
        <w:rPr/>
        <w:t xml:space="preserve">. </w:t>
      </w:r>
      <w:r w:rsidR="63DCAA7B">
        <w:rPr/>
        <w:t xml:space="preserve">The MELTIO system has the capacity to </w:t>
      </w:r>
      <w:bookmarkStart w:name="_Int_fnfTCwOR" w:id="803789355"/>
      <w:r w:rsidR="025BC75C">
        <w:rPr/>
        <w:t>substantially</w:t>
      </w:r>
      <w:r w:rsidR="63DCAA7B">
        <w:rPr/>
        <w:t xml:space="preserve"> improve</w:t>
      </w:r>
      <w:bookmarkEnd w:id="803789355"/>
      <w:r w:rsidR="63DCAA7B">
        <w:rPr/>
        <w:t xml:space="preserve"> </w:t>
      </w:r>
      <w:r w:rsidR="06025A7B">
        <w:rPr/>
        <w:t>DIT</w:t>
      </w:r>
      <w:r w:rsidR="63DCAA7B">
        <w:rPr/>
        <w:t xml:space="preserve">’s productivity and quality outcomes. </w:t>
      </w:r>
    </w:p>
    <w:p w:rsidR="021A434A" w:rsidP="1655D4EF" w:rsidRDefault="021A434A" w14:paraId="48916488" w14:textId="6F43D6A7">
      <w:pPr>
        <w:pStyle w:val="Normal"/>
        <w:spacing w:line="360" w:lineRule="auto"/>
      </w:pPr>
      <w:r w:rsidR="021A434A">
        <w:rPr/>
        <w:t xml:space="preserve">This report delineates the aim, </w:t>
      </w:r>
      <w:r w:rsidR="021A434A">
        <w:rPr/>
        <w:t>objectiv</w:t>
      </w:r>
      <w:r w:rsidR="021A434A">
        <w:rPr/>
        <w:t>es</w:t>
      </w:r>
      <w:r w:rsidR="021A434A">
        <w:rPr/>
        <w:t>, scope,</w:t>
      </w:r>
      <w:r w:rsidR="021A434A">
        <w:rPr/>
        <w:t xml:space="preserve"> deliverables, Work Breakdown Structure (WBS), milestones, timelines, </w:t>
      </w:r>
      <w:r w:rsidR="3C4AF992">
        <w:rPr/>
        <w:t xml:space="preserve">resource planning, and key project management elements necessary for the implementation of the MELTIO system within </w:t>
      </w:r>
      <w:r w:rsidR="742D1251">
        <w:rPr/>
        <w:t xml:space="preserve">a </w:t>
      </w:r>
      <w:r w:rsidR="07992AF5">
        <w:rPr/>
        <w:t xml:space="preserve">six-month </w:t>
      </w:r>
      <w:bookmarkStart w:name="_Int_bmrOYibg" w:id="692660646"/>
      <w:r w:rsidR="07992AF5">
        <w:rPr/>
        <w:t>timefram</w:t>
      </w:r>
      <w:r w:rsidR="07992AF5">
        <w:rPr/>
        <w:t>e</w:t>
      </w:r>
      <w:bookmarkEnd w:id="692660646"/>
      <w:r w:rsidR="07992AF5">
        <w:rPr/>
        <w:t xml:space="preserve">. </w:t>
      </w:r>
    </w:p>
    <w:p w:rsidR="76063C1B" w:rsidP="202D31E1" w:rsidRDefault="76063C1B" w14:paraId="64413A65" w14:textId="5428AA6C">
      <w:pPr>
        <w:pStyle w:val="Heading1"/>
        <w:rPr>
          <w:b w:val="1"/>
          <w:bCs w:val="1"/>
          <w:sz w:val="32"/>
          <w:szCs w:val="32"/>
          <w:u w:val="none"/>
        </w:rPr>
      </w:pPr>
      <w:bookmarkStart w:name="_Toc843780990" w:id="1858712425"/>
      <w:r w:rsidR="1DC5D7EB">
        <w:rPr/>
        <w:t>Project Aim</w:t>
      </w:r>
      <w:r w:rsidR="5B8ABD0A">
        <w:rPr/>
        <w:t xml:space="preserve">, </w:t>
      </w:r>
      <w:r w:rsidR="5B8ABD0A">
        <w:rPr/>
        <w:t>Objectives</w:t>
      </w:r>
      <w:r w:rsidR="5B8ABD0A">
        <w:rPr/>
        <w:t>, and Scope</w:t>
      </w:r>
      <w:bookmarkEnd w:id="1858712425"/>
      <w:r w:rsidR="5B8ABD0A">
        <w:rPr/>
        <w:t xml:space="preserve"> </w:t>
      </w:r>
    </w:p>
    <w:p w:rsidR="5B8ABD0A" w:rsidP="1655D4EF" w:rsidRDefault="5B8ABD0A" w14:paraId="212D1765" w14:textId="25B93352">
      <w:pPr>
        <w:pStyle w:val="Heading2"/>
        <w:spacing w:line="360" w:lineRule="auto"/>
        <w:rPr>
          <w:rFonts w:ascii="Times New Roman" w:hAnsi="Times New Roman" w:eastAsia="Times New Roman" w:cs="Times New Roman"/>
          <w:b w:val="1"/>
          <w:bCs w:val="1"/>
        </w:rPr>
      </w:pPr>
      <w:bookmarkStart w:name="_Toc1641547898" w:id="1908979709"/>
      <w:r w:rsidR="5B8ABD0A">
        <w:rPr/>
        <w:t>2.1 Project Aim</w:t>
      </w:r>
      <w:bookmarkEnd w:id="1908979709"/>
      <w:r w:rsidR="5B8ABD0A">
        <w:rPr/>
        <w:t xml:space="preserve"> </w:t>
      </w:r>
    </w:p>
    <w:p w:rsidR="7A8745EC" w:rsidP="1655D4EF" w:rsidRDefault="7A8745EC" w14:paraId="386CA3A0" w14:textId="21BA56D9">
      <w:pPr>
        <w:pStyle w:val="Normal"/>
        <w:spacing w:line="360" w:lineRule="auto"/>
      </w:pPr>
      <w:r w:rsidR="7A8745EC">
        <w:rPr/>
        <w:t>This project aims to substitute specific CNC machinery with a MELTIO 3D Metal Printing Robot Cell within six months, improving pro</w:t>
      </w:r>
      <w:r w:rsidR="40AD3384">
        <w:rPr/>
        <w:t xml:space="preserve">duction efficiency, decreasing non-conformance percentages, and elevating OTTT </w:t>
      </w:r>
      <w:r w:rsidR="4D01CC2B">
        <w:rPr/>
        <w:t>performance</w:t>
      </w:r>
      <w:r w:rsidR="55A050DB">
        <w:rPr/>
        <w:t xml:space="preserve"> from 76%</w:t>
      </w:r>
      <w:r w:rsidR="40AD3384">
        <w:rPr/>
        <w:t xml:space="preserve"> to 90%. </w:t>
      </w:r>
      <w:r w:rsidR="677B235C">
        <w:rPr/>
        <w:t xml:space="preserve">A well-defined goal guarantees the </w:t>
      </w:r>
      <w:r w:rsidR="2CB7325C">
        <w:rPr/>
        <w:t>alignment</w:t>
      </w:r>
      <w:r w:rsidR="677B235C">
        <w:rPr/>
        <w:t xml:space="preserve"> between</w:t>
      </w:r>
      <w:r w:rsidR="6F55C92B">
        <w:rPr/>
        <w:t xml:space="preserve"> </w:t>
      </w:r>
      <w:r w:rsidR="77E274A1">
        <w:rPr/>
        <w:t>DIT</w:t>
      </w:r>
      <w:r w:rsidR="6F55C92B">
        <w:rPr/>
        <w:t>’s</w:t>
      </w:r>
      <w:r w:rsidR="677B235C">
        <w:rPr/>
        <w:t xml:space="preserve"> organisational </w:t>
      </w:r>
      <w:r w:rsidR="677B235C">
        <w:rPr/>
        <w:t>objectives</w:t>
      </w:r>
      <w:r w:rsidR="677B235C">
        <w:rPr/>
        <w:t xml:space="preserve"> and operational execution </w:t>
      </w:r>
      <w:r w:rsidR="518DA1F7">
        <w:rPr/>
        <w:t>throughout the implementation process</w:t>
      </w:r>
      <w:r w:rsidR="2FDD1989">
        <w:rPr/>
        <w:t xml:space="preserve"> of advanced </w:t>
      </w:r>
      <w:r w:rsidR="2FDD1989">
        <w:rPr/>
        <w:t>Industry</w:t>
      </w:r>
      <w:r w:rsidR="2FDD1989">
        <w:rPr/>
        <w:t xml:space="preserve"> 4.0 technologies</w:t>
      </w:r>
      <w:r w:rsidR="518DA1F7">
        <w:rPr/>
        <w:t xml:space="preserve"> </w:t>
      </w:r>
      <w:r w:rsidR="1D5D7D8B">
        <w:rPr/>
        <w:t xml:space="preserve">(Reiff &amp; Schlegel, 2022). </w:t>
      </w:r>
    </w:p>
    <w:p w:rsidR="34BD55DE" w:rsidP="1655D4EF" w:rsidRDefault="34BD55DE" w14:paraId="0DA0488C" w14:textId="0ED3EFB5">
      <w:pPr>
        <w:pStyle w:val="Heading2"/>
        <w:spacing w:line="360" w:lineRule="auto"/>
      </w:pPr>
      <w:bookmarkStart w:name="_Toc1720682733" w:id="444029723"/>
      <w:r w:rsidR="34BD55DE">
        <w:rPr/>
        <w:t xml:space="preserve">2.2 </w:t>
      </w:r>
      <w:r w:rsidR="6AE3F50C">
        <w:rPr/>
        <w:t xml:space="preserve">SMART Framework Foundation applied to </w:t>
      </w:r>
      <w:r w:rsidR="77E274A1">
        <w:rPr/>
        <w:t>DIT</w:t>
      </w:r>
      <w:bookmarkEnd w:id="444029723"/>
    </w:p>
    <w:p w:rsidR="42FE7428" w:rsidP="1655D4EF" w:rsidRDefault="42FE7428" w14:paraId="53AE359A" w14:textId="2E53BB86">
      <w:pPr>
        <w:pStyle w:val="Normal"/>
        <w:spacing w:line="360" w:lineRule="auto"/>
      </w:pPr>
      <w:r w:rsidR="42FE7428">
        <w:rPr>
          <w:b w:val="0"/>
          <w:bCs w:val="0"/>
        </w:rPr>
        <w:t xml:space="preserve">The SMART framework allows </w:t>
      </w:r>
      <w:r w:rsidR="6EF4491C">
        <w:rPr>
          <w:b w:val="0"/>
          <w:bCs w:val="0"/>
        </w:rPr>
        <w:t>DIT</w:t>
      </w:r>
      <w:r w:rsidR="42FE7428">
        <w:rPr>
          <w:b w:val="0"/>
          <w:bCs w:val="0"/>
        </w:rPr>
        <w:t xml:space="preserve"> to change its transformation goals into explicit, quantifiable, and exe</w:t>
      </w:r>
      <w:r w:rsidR="5252060A">
        <w:rPr>
          <w:b w:val="0"/>
          <w:bCs w:val="0"/>
        </w:rPr>
        <w:t xml:space="preserve">cutable </w:t>
      </w:r>
      <w:r w:rsidR="5252060A">
        <w:rPr>
          <w:b w:val="0"/>
          <w:bCs w:val="0"/>
        </w:rPr>
        <w:t>objectives</w:t>
      </w:r>
      <w:r w:rsidR="5252060A">
        <w:rPr>
          <w:b w:val="0"/>
          <w:bCs w:val="0"/>
        </w:rPr>
        <w:t xml:space="preserve">. Studies on Industry 4.0 underscore the significance of </w:t>
      </w:r>
      <w:r w:rsidR="51DFDD2B">
        <w:rPr>
          <w:b w:val="0"/>
          <w:bCs w:val="0"/>
        </w:rPr>
        <w:t>quantifiable</w:t>
      </w:r>
      <w:r w:rsidR="5252060A">
        <w:rPr>
          <w:b w:val="0"/>
          <w:bCs w:val="0"/>
        </w:rPr>
        <w:t xml:space="preserve"> performance indicators to tracking </w:t>
      </w:r>
      <w:r w:rsidR="7E47EBB9">
        <w:rPr>
          <w:b w:val="0"/>
          <w:bCs w:val="0"/>
        </w:rPr>
        <w:t>performance in</w:t>
      </w:r>
      <w:r w:rsidR="5252060A">
        <w:rPr>
          <w:b w:val="0"/>
          <w:bCs w:val="0"/>
        </w:rPr>
        <w:t xml:space="preserve"> digital tran</w:t>
      </w:r>
      <w:r w:rsidR="0998C926">
        <w:rPr>
          <w:b w:val="0"/>
          <w:bCs w:val="0"/>
        </w:rPr>
        <w:t>sformation</w:t>
      </w:r>
      <w:r w:rsidR="4D2C8240">
        <w:rPr>
          <w:b w:val="0"/>
          <w:bCs w:val="0"/>
        </w:rPr>
        <w:t xml:space="preserve"> (Mittal et al., 2023). </w:t>
      </w:r>
      <w:r w:rsidR="1EB73B1E">
        <w:rPr>
          <w:b w:val="0"/>
          <w:bCs w:val="0"/>
        </w:rPr>
        <w:t xml:space="preserve">Successful </w:t>
      </w:r>
      <w:r w:rsidR="4D2C8240">
        <w:rPr>
          <w:b w:val="0"/>
          <w:bCs w:val="0"/>
        </w:rPr>
        <w:t xml:space="preserve">adoption of Industry 4.0 </w:t>
      </w:r>
      <w:r w:rsidR="4D2C8240">
        <w:rPr>
          <w:b w:val="0"/>
          <w:bCs w:val="0"/>
        </w:rPr>
        <w:t>necessitates</w:t>
      </w:r>
      <w:r w:rsidR="4D2C8240">
        <w:rPr>
          <w:b w:val="0"/>
          <w:bCs w:val="0"/>
        </w:rPr>
        <w:t xml:space="preserve"> clearly defined </w:t>
      </w:r>
      <w:r w:rsidR="4D2C8240">
        <w:rPr>
          <w:b w:val="0"/>
          <w:bCs w:val="0"/>
        </w:rPr>
        <w:t>objectives</w:t>
      </w:r>
      <w:r w:rsidR="4D2C8240">
        <w:rPr>
          <w:b w:val="0"/>
          <w:bCs w:val="0"/>
        </w:rPr>
        <w:t>, comprehensive planning, and subs</w:t>
      </w:r>
      <w:r w:rsidR="2334A780">
        <w:rPr>
          <w:b w:val="0"/>
          <w:bCs w:val="0"/>
        </w:rPr>
        <w:t xml:space="preserve">tantial managerial dedication. </w:t>
      </w:r>
    </w:p>
    <w:p w:rsidR="51F79CCD" w:rsidP="1655D4EF" w:rsidRDefault="51F79CCD" w14:paraId="00056650" w14:textId="52E29497">
      <w:pPr>
        <w:pStyle w:val="Normal"/>
        <w:spacing w:line="360" w:lineRule="auto"/>
      </w:pPr>
      <w:r w:rsidR="51F79CCD">
        <w:rPr>
          <w:b w:val="0"/>
          <w:bCs w:val="0"/>
        </w:rPr>
        <w:t>Additional</w:t>
      </w:r>
      <w:r w:rsidR="2334A780">
        <w:rPr>
          <w:b w:val="0"/>
          <w:bCs w:val="0"/>
        </w:rPr>
        <w:t xml:space="preserve"> research on digital manufacturing emphasises how real-time data, made possible by digital twins, sensors, and automated analytics, improves the Measurable a</w:t>
      </w:r>
      <w:r w:rsidR="3231BB5B">
        <w:rPr>
          <w:b w:val="0"/>
          <w:bCs w:val="0"/>
        </w:rPr>
        <w:t xml:space="preserve">nd Achievable components of SMART goals by </w:t>
      </w:r>
      <w:r w:rsidR="666BB15F">
        <w:rPr>
          <w:b w:val="0"/>
          <w:bCs w:val="0"/>
        </w:rPr>
        <w:t>facilitating</w:t>
      </w:r>
      <w:r w:rsidR="3231BB5B">
        <w:rPr>
          <w:b w:val="0"/>
          <w:bCs w:val="0"/>
        </w:rPr>
        <w:t xml:space="preserve"> </w:t>
      </w:r>
      <w:r w:rsidR="3231BB5B">
        <w:rPr>
          <w:b w:val="0"/>
          <w:bCs w:val="0"/>
        </w:rPr>
        <w:t>accurate</w:t>
      </w:r>
      <w:r w:rsidR="3231BB5B">
        <w:rPr>
          <w:b w:val="0"/>
          <w:bCs w:val="0"/>
        </w:rPr>
        <w:t xml:space="preserve"> performance monitoring (Pan &amp; Zhang, 2021). These digital capabilities </w:t>
      </w:r>
      <w:r w:rsidR="23926A3E">
        <w:rPr>
          <w:b w:val="0"/>
          <w:bCs w:val="0"/>
        </w:rPr>
        <w:t xml:space="preserve">are in line </w:t>
      </w:r>
      <w:r w:rsidR="13D21A71">
        <w:rPr>
          <w:b w:val="0"/>
          <w:bCs w:val="0"/>
        </w:rPr>
        <w:t>with</w:t>
      </w:r>
      <w:r w:rsidR="23926A3E">
        <w:rPr>
          <w:b w:val="0"/>
          <w:bCs w:val="0"/>
        </w:rPr>
        <w:t xml:space="preserve"> the MELTIO </w:t>
      </w:r>
      <w:r w:rsidR="05FE33CB">
        <w:rPr>
          <w:b w:val="0"/>
          <w:bCs w:val="0"/>
        </w:rPr>
        <w:t>system is</w:t>
      </w:r>
      <w:r w:rsidR="23926A3E">
        <w:rPr>
          <w:b w:val="0"/>
          <w:bCs w:val="0"/>
        </w:rPr>
        <w:t xml:space="preserve"> </w:t>
      </w:r>
      <w:r w:rsidR="23926A3E">
        <w:rPr>
          <w:b w:val="0"/>
          <w:bCs w:val="0"/>
        </w:rPr>
        <w:t>monitoring</w:t>
      </w:r>
      <w:r w:rsidR="23926A3E">
        <w:rPr>
          <w:b w:val="0"/>
          <w:bCs w:val="0"/>
        </w:rPr>
        <w:t xml:space="preserve"> tools, </w:t>
      </w:r>
      <w:r w:rsidR="23926A3E">
        <w:rPr>
          <w:b w:val="0"/>
          <w:bCs w:val="0"/>
        </w:rPr>
        <w:t>facilitating</w:t>
      </w:r>
      <w:r w:rsidR="23926A3E">
        <w:rPr>
          <w:b w:val="0"/>
          <w:bCs w:val="0"/>
        </w:rPr>
        <w:t xml:space="preserve"> early </w:t>
      </w:r>
      <w:r w:rsidR="772DF49D">
        <w:rPr>
          <w:b w:val="0"/>
          <w:bCs w:val="0"/>
        </w:rPr>
        <w:t>detection</w:t>
      </w:r>
      <w:r w:rsidR="23926A3E">
        <w:rPr>
          <w:b w:val="0"/>
          <w:bCs w:val="0"/>
        </w:rPr>
        <w:t xml:space="preserve"> of </w:t>
      </w:r>
      <w:r w:rsidR="16F4D291">
        <w:rPr>
          <w:b w:val="0"/>
          <w:bCs w:val="0"/>
        </w:rPr>
        <w:t>deviations,</w:t>
      </w:r>
      <w:r w:rsidR="1009D1D9">
        <w:rPr>
          <w:b w:val="0"/>
          <w:bCs w:val="0"/>
        </w:rPr>
        <w:t xml:space="preserve"> and fostering evidence-base</w:t>
      </w:r>
      <w:r w:rsidR="00BBC102">
        <w:rPr>
          <w:b w:val="0"/>
          <w:bCs w:val="0"/>
        </w:rPr>
        <w:t>d</w:t>
      </w:r>
      <w:r w:rsidR="1009D1D9">
        <w:rPr>
          <w:b w:val="0"/>
          <w:bCs w:val="0"/>
        </w:rPr>
        <w:t xml:space="preserve"> decision-making. </w:t>
      </w:r>
    </w:p>
    <w:p w:rsidR="4CE1AE97" w:rsidP="1655D4EF" w:rsidRDefault="4CE1AE97" w14:paraId="334943B9" w14:textId="4D49A729">
      <w:pPr>
        <w:pStyle w:val="Heading2"/>
        <w:spacing w:line="360" w:lineRule="auto"/>
      </w:pPr>
      <w:bookmarkStart w:name="_Toc1515246925" w:id="1269126935"/>
      <w:r w:rsidR="4CE1AE97">
        <w:rPr/>
        <w:t>2.3 SMART Objectives</w:t>
      </w:r>
      <w:bookmarkEnd w:id="1269126935"/>
    </w:p>
    <w:p w:rsidR="4CE1AE97" w:rsidP="1655D4EF" w:rsidRDefault="4CE1AE97" w14:paraId="3B9E9F1D" w14:textId="787A8F0D">
      <w:pPr>
        <w:pStyle w:val="Normal"/>
        <w:spacing w:line="360" w:lineRule="auto"/>
        <w:rPr>
          <w:u w:val="single"/>
        </w:rPr>
      </w:pPr>
      <w:r w:rsidRPr="202D31E1" w:rsidR="4CE1AE97">
        <w:rPr>
          <w:u w:val="single"/>
        </w:rPr>
        <w:t xml:space="preserve">Specific </w:t>
      </w:r>
    </w:p>
    <w:p w:rsidR="4CE1AE97" w:rsidP="1655D4EF" w:rsidRDefault="4CE1AE97" w14:paraId="466B0AB2" w14:textId="2A42C693">
      <w:pPr>
        <w:pStyle w:val="ListParagraph"/>
        <w:numPr>
          <w:ilvl w:val="0"/>
          <w:numId w:val="2"/>
        </w:numPr>
        <w:spacing w:line="360" w:lineRule="auto"/>
        <w:rPr>
          <w:sz w:val="24"/>
          <w:szCs w:val="24"/>
        </w:rPr>
      </w:pPr>
      <w:r w:rsidRPr="1655D4EF" w:rsidR="4CE1AE97">
        <w:rPr>
          <w:sz w:val="24"/>
          <w:szCs w:val="24"/>
        </w:rPr>
        <w:t xml:space="preserve">Replace three CNC machines with the MELTIO hybrid AM system. </w:t>
      </w:r>
    </w:p>
    <w:p w:rsidR="4CE1AE97" w:rsidP="1655D4EF" w:rsidRDefault="4CE1AE97" w14:paraId="691CD33F" w14:textId="154E1D8B">
      <w:pPr>
        <w:pStyle w:val="ListParagraph"/>
        <w:numPr>
          <w:ilvl w:val="0"/>
          <w:numId w:val="2"/>
        </w:numPr>
        <w:spacing w:line="360" w:lineRule="auto"/>
        <w:rPr>
          <w:sz w:val="24"/>
          <w:szCs w:val="24"/>
        </w:rPr>
      </w:pPr>
      <w:r w:rsidRPr="1655D4EF" w:rsidR="4CE1AE97">
        <w:rPr>
          <w:sz w:val="24"/>
          <w:szCs w:val="24"/>
        </w:rPr>
        <w:t xml:space="preserve">Establish digital monitoring for real-time defect and efficiency tracking. </w:t>
      </w:r>
    </w:p>
    <w:p w:rsidR="4CE1AE97" w:rsidP="1655D4EF" w:rsidRDefault="4CE1AE97" w14:paraId="175E37C7" w14:textId="06FCCB4D">
      <w:pPr>
        <w:pStyle w:val="Normal"/>
        <w:spacing w:line="360" w:lineRule="auto"/>
        <w:ind w:left="0"/>
      </w:pPr>
      <w:r w:rsidRPr="202D31E1" w:rsidR="4CE1AE97">
        <w:rPr>
          <w:sz w:val="24"/>
          <w:szCs w:val="24"/>
          <w:u w:val="single"/>
        </w:rPr>
        <w:t>Measurable</w:t>
      </w:r>
    </w:p>
    <w:p w:rsidR="4CE1AE97" w:rsidP="1655D4EF" w:rsidRDefault="4CE1AE97" w14:paraId="59B1F38D" w14:textId="2A69668B">
      <w:pPr>
        <w:pStyle w:val="ListParagraph"/>
        <w:numPr>
          <w:ilvl w:val="0"/>
          <w:numId w:val="3"/>
        </w:numPr>
        <w:spacing w:line="360" w:lineRule="auto"/>
        <w:rPr>
          <w:sz w:val="24"/>
          <w:szCs w:val="24"/>
          <w:u w:val="none"/>
        </w:rPr>
      </w:pPr>
      <w:r w:rsidRPr="1655D4EF" w:rsidR="4CE1AE97">
        <w:rPr>
          <w:sz w:val="24"/>
          <w:szCs w:val="24"/>
          <w:u w:val="none"/>
        </w:rPr>
        <w:t>Improve OTTT from 76% to 90%.</w:t>
      </w:r>
    </w:p>
    <w:p w:rsidR="4CE1AE97" w:rsidP="1655D4EF" w:rsidRDefault="4CE1AE97" w14:paraId="69998D22" w14:textId="504C570E">
      <w:pPr>
        <w:pStyle w:val="ListParagraph"/>
        <w:numPr>
          <w:ilvl w:val="0"/>
          <w:numId w:val="3"/>
        </w:numPr>
        <w:spacing w:line="360" w:lineRule="auto"/>
        <w:rPr>
          <w:sz w:val="24"/>
          <w:szCs w:val="24"/>
          <w:u w:val="none"/>
        </w:rPr>
      </w:pPr>
      <w:r w:rsidRPr="1655D4EF" w:rsidR="4CE1AE97">
        <w:rPr>
          <w:sz w:val="24"/>
          <w:szCs w:val="24"/>
          <w:u w:val="none"/>
        </w:rPr>
        <w:t>Reduce Non-conformance rates by 20%.</w:t>
      </w:r>
    </w:p>
    <w:p w:rsidR="4CE1AE97" w:rsidP="1655D4EF" w:rsidRDefault="4CE1AE97" w14:paraId="56F6E7DB" w14:textId="4BB75503">
      <w:pPr>
        <w:pStyle w:val="ListParagraph"/>
        <w:numPr>
          <w:ilvl w:val="0"/>
          <w:numId w:val="3"/>
        </w:numPr>
        <w:spacing w:line="360" w:lineRule="auto"/>
        <w:rPr>
          <w:sz w:val="24"/>
          <w:szCs w:val="24"/>
          <w:u w:val="none"/>
        </w:rPr>
      </w:pPr>
      <w:r w:rsidRPr="1655D4EF" w:rsidR="4CE1AE97">
        <w:rPr>
          <w:sz w:val="24"/>
          <w:szCs w:val="24"/>
          <w:u w:val="none"/>
        </w:rPr>
        <w:t xml:space="preserve">Establish weekly efficiency reporting and bi-weekly defect analysis by month 4. </w:t>
      </w:r>
    </w:p>
    <w:p w:rsidR="4CE1AE97" w:rsidP="1655D4EF" w:rsidRDefault="4CE1AE97" w14:paraId="153CE327" w14:textId="637B61FB">
      <w:pPr>
        <w:pStyle w:val="Normal"/>
        <w:spacing w:line="360" w:lineRule="auto"/>
        <w:ind w:left="0"/>
        <w:rPr>
          <w:sz w:val="24"/>
          <w:szCs w:val="24"/>
          <w:u w:val="single"/>
        </w:rPr>
      </w:pPr>
      <w:r w:rsidRPr="202D31E1" w:rsidR="4CE1AE97">
        <w:rPr>
          <w:sz w:val="24"/>
          <w:szCs w:val="24"/>
          <w:u w:val="single"/>
        </w:rPr>
        <w:t>Achievable</w:t>
      </w:r>
    </w:p>
    <w:p w:rsidR="4CE1AE97" w:rsidP="1655D4EF" w:rsidRDefault="4CE1AE97" w14:paraId="4544EC74" w14:textId="6DA7DD87">
      <w:pPr>
        <w:pStyle w:val="ListParagraph"/>
        <w:numPr>
          <w:ilvl w:val="0"/>
          <w:numId w:val="4"/>
        </w:numPr>
        <w:spacing w:line="360" w:lineRule="auto"/>
        <w:rPr>
          <w:sz w:val="24"/>
          <w:szCs w:val="24"/>
          <w:u w:val="none"/>
        </w:rPr>
      </w:pPr>
      <w:r w:rsidRPr="202D31E1" w:rsidR="4CE1AE97">
        <w:rPr>
          <w:sz w:val="24"/>
          <w:szCs w:val="24"/>
          <w:u w:val="none"/>
        </w:rPr>
        <w:t xml:space="preserve">Supported by supplier-led training, internal capability </w:t>
      </w:r>
      <w:r w:rsidRPr="202D31E1" w:rsidR="20F43449">
        <w:rPr>
          <w:sz w:val="24"/>
          <w:szCs w:val="24"/>
          <w:u w:val="none"/>
        </w:rPr>
        <w:t>development</w:t>
      </w:r>
      <w:r w:rsidRPr="202D31E1" w:rsidR="4CE1AE97">
        <w:rPr>
          <w:sz w:val="24"/>
          <w:szCs w:val="24"/>
          <w:u w:val="none"/>
        </w:rPr>
        <w:t>, and validated readiness frameworks (Sony &amp; Nail, 2019; Ghobakhloo &amp; Fathi, 2020).</w:t>
      </w:r>
    </w:p>
    <w:p w:rsidR="4CE1AE97" w:rsidP="1655D4EF" w:rsidRDefault="4CE1AE97" w14:paraId="1228547D" w14:textId="5B1079D1">
      <w:pPr>
        <w:pStyle w:val="Normal"/>
        <w:spacing w:line="360" w:lineRule="auto"/>
        <w:ind w:left="0"/>
        <w:rPr>
          <w:sz w:val="24"/>
          <w:szCs w:val="24"/>
          <w:u w:val="single"/>
        </w:rPr>
      </w:pPr>
      <w:r w:rsidRPr="202D31E1" w:rsidR="4CE1AE97">
        <w:rPr>
          <w:sz w:val="24"/>
          <w:szCs w:val="24"/>
          <w:u w:val="single"/>
        </w:rPr>
        <w:t>Relevant</w:t>
      </w:r>
    </w:p>
    <w:p w:rsidR="4CE1AE97" w:rsidP="1655D4EF" w:rsidRDefault="4CE1AE97" w14:paraId="7AB38DC3" w14:textId="6915ABE3">
      <w:pPr>
        <w:pStyle w:val="ListParagraph"/>
        <w:numPr>
          <w:ilvl w:val="0"/>
          <w:numId w:val="5"/>
        </w:numPr>
        <w:spacing w:line="360" w:lineRule="auto"/>
        <w:rPr>
          <w:sz w:val="24"/>
          <w:szCs w:val="24"/>
          <w:u w:val="none"/>
        </w:rPr>
      </w:pPr>
      <w:r w:rsidRPr="202D31E1" w:rsidR="4CE1AE97">
        <w:rPr>
          <w:sz w:val="24"/>
          <w:szCs w:val="24"/>
          <w:u w:val="none"/>
        </w:rPr>
        <w:t>Directly addresse</w:t>
      </w:r>
      <w:r w:rsidRPr="202D31E1" w:rsidR="34CAA799">
        <w:rPr>
          <w:sz w:val="24"/>
          <w:szCs w:val="24"/>
          <w:u w:val="none"/>
        </w:rPr>
        <w:t>s</w:t>
      </w:r>
      <w:r w:rsidRPr="202D31E1" w:rsidR="4CE1AE97">
        <w:rPr>
          <w:sz w:val="24"/>
          <w:szCs w:val="24"/>
          <w:u w:val="none"/>
        </w:rPr>
        <w:t xml:space="preserve"> bottlenecks, reduces rework, and supports </w:t>
      </w:r>
      <w:r w:rsidRPr="202D31E1" w:rsidR="6EF4491C">
        <w:rPr>
          <w:sz w:val="24"/>
          <w:szCs w:val="24"/>
          <w:u w:val="none"/>
        </w:rPr>
        <w:t>DIT</w:t>
      </w:r>
      <w:r w:rsidRPr="202D31E1" w:rsidR="4CE1AE97">
        <w:rPr>
          <w:sz w:val="24"/>
          <w:szCs w:val="24"/>
          <w:u w:val="none"/>
        </w:rPr>
        <w:t xml:space="preserve">’s strategy for competitiveness in </w:t>
      </w:r>
      <w:r w:rsidRPr="202D31E1" w:rsidR="39F1DBB8">
        <w:rPr>
          <w:sz w:val="24"/>
          <w:szCs w:val="24"/>
          <w:u w:val="none"/>
        </w:rPr>
        <w:t xml:space="preserve">the </w:t>
      </w:r>
      <w:r w:rsidRPr="202D31E1" w:rsidR="4CE1AE97">
        <w:rPr>
          <w:sz w:val="24"/>
          <w:szCs w:val="24"/>
          <w:u w:val="none"/>
        </w:rPr>
        <w:t xml:space="preserve">oil and gas industry. </w:t>
      </w:r>
    </w:p>
    <w:p w:rsidR="4CE1AE97" w:rsidP="1655D4EF" w:rsidRDefault="4CE1AE97" w14:paraId="00B9E72A" w14:textId="7D112180">
      <w:pPr>
        <w:pStyle w:val="Normal"/>
        <w:spacing w:line="360" w:lineRule="auto"/>
        <w:ind w:left="0"/>
        <w:rPr>
          <w:sz w:val="24"/>
          <w:szCs w:val="24"/>
          <w:u w:val="single"/>
        </w:rPr>
      </w:pPr>
      <w:r w:rsidRPr="202D31E1" w:rsidR="4CE1AE97">
        <w:rPr>
          <w:sz w:val="24"/>
          <w:szCs w:val="24"/>
          <w:u w:val="single"/>
        </w:rPr>
        <w:t>Time-Bound</w:t>
      </w:r>
    </w:p>
    <w:p w:rsidR="4CE1AE97" w:rsidP="1655D4EF" w:rsidRDefault="4CE1AE97" w14:paraId="105629BE" w14:textId="5B690120">
      <w:pPr>
        <w:pStyle w:val="ListParagraph"/>
        <w:numPr>
          <w:ilvl w:val="0"/>
          <w:numId w:val="6"/>
        </w:numPr>
        <w:spacing w:line="360" w:lineRule="auto"/>
        <w:rPr>
          <w:sz w:val="24"/>
          <w:szCs w:val="24"/>
          <w:u w:val="none"/>
        </w:rPr>
      </w:pPr>
      <w:r w:rsidRPr="1655D4EF" w:rsidR="4CE1AE97">
        <w:rPr>
          <w:sz w:val="24"/>
          <w:szCs w:val="24"/>
          <w:u w:val="none"/>
        </w:rPr>
        <w:t>CNC decommissioning and sale – Month 1</w:t>
      </w:r>
    </w:p>
    <w:p w:rsidR="4CE1AE97" w:rsidP="1655D4EF" w:rsidRDefault="4CE1AE97" w14:paraId="0BC6A0A5" w14:textId="36252C79">
      <w:pPr>
        <w:pStyle w:val="ListParagraph"/>
        <w:numPr>
          <w:ilvl w:val="0"/>
          <w:numId w:val="6"/>
        </w:numPr>
        <w:spacing w:line="360" w:lineRule="auto"/>
        <w:rPr>
          <w:sz w:val="24"/>
          <w:szCs w:val="24"/>
          <w:u w:val="none"/>
        </w:rPr>
      </w:pPr>
      <w:r w:rsidRPr="1655D4EF" w:rsidR="4CE1AE97">
        <w:rPr>
          <w:sz w:val="24"/>
          <w:szCs w:val="24"/>
          <w:u w:val="none"/>
        </w:rPr>
        <w:t>Procurement – Month 2</w:t>
      </w:r>
    </w:p>
    <w:p w:rsidR="4CE1AE97" w:rsidP="1655D4EF" w:rsidRDefault="4CE1AE97" w14:paraId="2EBAC08F" w14:textId="6D0F7891">
      <w:pPr>
        <w:pStyle w:val="ListParagraph"/>
        <w:numPr>
          <w:ilvl w:val="0"/>
          <w:numId w:val="6"/>
        </w:numPr>
        <w:spacing w:line="360" w:lineRule="auto"/>
        <w:rPr>
          <w:sz w:val="24"/>
          <w:szCs w:val="24"/>
          <w:u w:val="none"/>
        </w:rPr>
      </w:pPr>
      <w:r w:rsidRPr="1655D4EF" w:rsidR="4CE1AE97">
        <w:rPr>
          <w:sz w:val="24"/>
          <w:szCs w:val="24"/>
          <w:u w:val="none"/>
        </w:rPr>
        <w:t>Installation and commissioning – Month 3</w:t>
      </w:r>
    </w:p>
    <w:p w:rsidR="4CE1AE97" w:rsidP="1655D4EF" w:rsidRDefault="4CE1AE97" w14:paraId="46CBAF64" w14:textId="7C261ED3">
      <w:pPr>
        <w:pStyle w:val="ListParagraph"/>
        <w:numPr>
          <w:ilvl w:val="0"/>
          <w:numId w:val="6"/>
        </w:numPr>
        <w:spacing w:line="360" w:lineRule="auto"/>
        <w:rPr>
          <w:sz w:val="24"/>
          <w:szCs w:val="24"/>
          <w:u w:val="none"/>
        </w:rPr>
      </w:pPr>
      <w:r w:rsidRPr="1655D4EF" w:rsidR="4CE1AE97">
        <w:rPr>
          <w:sz w:val="24"/>
          <w:szCs w:val="24"/>
          <w:u w:val="none"/>
        </w:rPr>
        <w:t xml:space="preserve">Training competition – Month 4 </w:t>
      </w:r>
    </w:p>
    <w:p w:rsidR="4CE1AE97" w:rsidP="1655D4EF" w:rsidRDefault="4CE1AE97" w14:paraId="493612AD" w14:textId="0D728F0E">
      <w:pPr>
        <w:pStyle w:val="ListParagraph"/>
        <w:numPr>
          <w:ilvl w:val="0"/>
          <w:numId w:val="6"/>
        </w:numPr>
        <w:spacing w:line="360" w:lineRule="auto"/>
        <w:rPr>
          <w:sz w:val="24"/>
          <w:szCs w:val="24"/>
          <w:u w:val="none"/>
        </w:rPr>
      </w:pPr>
      <w:r w:rsidRPr="1655D4EF" w:rsidR="4CE1AE97">
        <w:rPr>
          <w:sz w:val="24"/>
          <w:szCs w:val="24"/>
          <w:u w:val="none"/>
        </w:rPr>
        <w:t>Live production – Month 4</w:t>
      </w:r>
    </w:p>
    <w:p w:rsidR="4CE1AE97" w:rsidP="1655D4EF" w:rsidRDefault="4CE1AE97" w14:paraId="18D7062B" w14:textId="4CE16745">
      <w:pPr>
        <w:pStyle w:val="ListParagraph"/>
        <w:numPr>
          <w:ilvl w:val="0"/>
          <w:numId w:val="6"/>
        </w:numPr>
        <w:spacing w:line="360" w:lineRule="auto"/>
        <w:rPr>
          <w:sz w:val="24"/>
          <w:szCs w:val="24"/>
          <w:u w:val="none"/>
        </w:rPr>
      </w:pPr>
      <w:r w:rsidRPr="1655D4EF" w:rsidR="4CE1AE97">
        <w:rPr>
          <w:sz w:val="24"/>
          <w:szCs w:val="24"/>
          <w:u w:val="none"/>
        </w:rPr>
        <w:t>NCR reduction and OTTT improvements – Month 6</w:t>
      </w:r>
    </w:p>
    <w:p w:rsidR="1009D1D9" w:rsidP="1655D4EF" w:rsidRDefault="1009D1D9" w14:paraId="67EBA4E7" w14:textId="720012FF">
      <w:pPr>
        <w:pStyle w:val="Heading2"/>
        <w:spacing w:line="360" w:lineRule="auto"/>
      </w:pPr>
      <w:bookmarkStart w:name="_Toc117775240" w:id="663824613"/>
      <w:r w:rsidR="1009D1D9">
        <w:rPr/>
        <w:t>2.</w:t>
      </w:r>
      <w:r w:rsidR="0145AF78">
        <w:rPr/>
        <w:t>4</w:t>
      </w:r>
      <w:r w:rsidR="1009D1D9">
        <w:rPr/>
        <w:t xml:space="preserve"> </w:t>
      </w:r>
      <w:r w:rsidR="1009D1D9">
        <w:rPr/>
        <w:t>Achievable</w:t>
      </w:r>
      <w:r w:rsidR="1009D1D9">
        <w:rPr/>
        <w:t xml:space="preserve"> and Realistic Constraints for </w:t>
      </w:r>
      <w:r w:rsidR="1C7FC551">
        <w:rPr/>
        <w:t>DIT</w:t>
      </w:r>
      <w:bookmarkEnd w:id="663824613"/>
      <w:r w:rsidR="1009D1D9">
        <w:rPr/>
        <w:t xml:space="preserve"> </w:t>
      </w:r>
    </w:p>
    <w:p w:rsidR="56414F3A" w:rsidP="1655D4EF" w:rsidRDefault="56414F3A" w14:paraId="6D4A89A0" w14:textId="33C76601">
      <w:pPr>
        <w:pStyle w:val="Normal"/>
        <w:spacing w:line="360" w:lineRule="auto"/>
      </w:pPr>
      <w:r w:rsidR="355E501E">
        <w:rPr/>
        <w:t>Achievability</w:t>
      </w:r>
      <w:r w:rsidR="56414F3A">
        <w:rPr/>
        <w:t xml:space="preserve"> is based upon organisational readiness, training capabilities, and resource accessibility. </w:t>
      </w:r>
      <w:r w:rsidR="24BCCEAD">
        <w:rPr/>
        <w:t>Obstacles</w:t>
      </w:r>
      <w:r w:rsidR="56414F3A">
        <w:rPr/>
        <w:t xml:space="preserve"> such as skill</w:t>
      </w:r>
      <w:r w:rsidR="5B445F9F">
        <w:rPr/>
        <w:t xml:space="preserve"> deficiencies, reluctance to change, and integration </w:t>
      </w:r>
      <w:r w:rsidR="5785DA8E">
        <w:rPr/>
        <w:t>difficulties</w:t>
      </w:r>
      <w:r w:rsidR="5B445F9F">
        <w:rPr/>
        <w:t xml:space="preserve"> </w:t>
      </w:r>
      <w:r w:rsidR="5B445F9F">
        <w:rPr/>
        <w:t>frequently</w:t>
      </w:r>
      <w:r w:rsidR="5B445F9F">
        <w:rPr/>
        <w:t xml:space="preserve"> arise during the deployment of digital manufacturing (Letchumana</w:t>
      </w:r>
      <w:r w:rsidR="67152055">
        <w:rPr/>
        <w:t xml:space="preserve">n et al., 2022). Operators at </w:t>
      </w:r>
      <w:r w:rsidR="1C7FC551">
        <w:rPr/>
        <w:t>DIT</w:t>
      </w:r>
      <w:r w:rsidR="67152055">
        <w:rPr/>
        <w:t xml:space="preserve"> migrating from CNC systems require new skills in 3D printing, digital monitoring, and defect analysis</w:t>
      </w:r>
      <w:r w:rsidR="3DA82179">
        <w:rPr/>
        <w:t xml:space="preserve"> (Fergusson, 2022)</w:t>
      </w:r>
      <w:r w:rsidR="5D823852">
        <w:rPr/>
        <w:t>.</w:t>
      </w:r>
      <w:r w:rsidR="7019FCE0">
        <w:rPr/>
        <w:t xml:space="preserve"> </w:t>
      </w:r>
    </w:p>
    <w:p w:rsidR="02BEEBBA" w:rsidP="1655D4EF" w:rsidRDefault="02BEEBBA" w14:paraId="26D0FFD7" w14:textId="43F45248">
      <w:pPr>
        <w:pStyle w:val="Normal"/>
        <w:spacing w:line="360" w:lineRule="auto"/>
      </w:pPr>
      <w:r w:rsidR="02BEEBBA">
        <w:rPr/>
        <w:t xml:space="preserve">Lean-digitised structures </w:t>
      </w:r>
      <w:r w:rsidR="02BEEBBA">
        <w:rPr/>
        <w:t>necessitate</w:t>
      </w:r>
      <w:r w:rsidR="02BEEBBA">
        <w:rPr/>
        <w:t xml:space="preserve"> robust foundations in resource coordination and process integration (</w:t>
      </w:r>
      <w:r w:rsidR="02BEEBBA">
        <w:rPr/>
        <w:t>Ghobakhloo</w:t>
      </w:r>
      <w:r w:rsidR="02BEEBBA">
        <w:rPr/>
        <w:t xml:space="preserve"> &amp; </w:t>
      </w:r>
      <w:r w:rsidR="092F8CD4">
        <w:rPr/>
        <w:t xml:space="preserve">Fathi, 2020). Advance Manufacturing proves that hybrid additive manufacturing systems require </w:t>
      </w:r>
      <w:r w:rsidR="5680B69D">
        <w:rPr/>
        <w:t xml:space="preserve">precise calibration, planning for </w:t>
      </w:r>
      <w:r w:rsidR="7D64DA6B">
        <w:rPr/>
        <w:t>maintenance</w:t>
      </w:r>
      <w:r w:rsidR="5680B69D">
        <w:rPr/>
        <w:t xml:space="preserve">, and </w:t>
      </w:r>
      <w:r w:rsidR="5680B69D">
        <w:rPr/>
        <w:t>proficiency</w:t>
      </w:r>
      <w:r w:rsidR="5680B69D">
        <w:rPr/>
        <w:t xml:space="preserve"> in digital skills (Raoufi et al., 2024)</w:t>
      </w:r>
      <w:r w:rsidR="048D3729">
        <w:rPr/>
        <w:t xml:space="preserve">. Those factors </w:t>
      </w:r>
      <w:r w:rsidR="048D3729">
        <w:rPr/>
        <w:t>determine</w:t>
      </w:r>
      <w:r w:rsidR="048D3729">
        <w:rPr/>
        <w:t xml:space="preserve"> </w:t>
      </w:r>
      <w:r w:rsidR="2196A12B">
        <w:rPr/>
        <w:t>DIT</w:t>
      </w:r>
      <w:r w:rsidR="048D3729">
        <w:rPr/>
        <w:t xml:space="preserve">’s project timeline and influence the likelihood of delivering measurable results within six months. </w:t>
      </w:r>
    </w:p>
    <w:p w:rsidR="6098F5BB" w:rsidP="1655D4EF" w:rsidRDefault="6098F5BB" w14:paraId="41866C66" w14:textId="66ACDAD5">
      <w:pPr>
        <w:pStyle w:val="Heading2"/>
        <w:spacing w:line="360" w:lineRule="auto"/>
      </w:pPr>
      <w:bookmarkStart w:name="_Toc1847949469" w:id="867917556"/>
      <w:r w:rsidR="156326CF">
        <w:rPr/>
        <w:t>2.5 Project scope</w:t>
      </w:r>
      <w:bookmarkEnd w:id="867917556"/>
      <w:r w:rsidR="156326CF">
        <w:rPr/>
        <w:t xml:space="preserve"> </w:t>
      </w:r>
    </w:p>
    <w:p w:rsidR="156326CF" w:rsidP="1655D4EF" w:rsidRDefault="156326CF" w14:paraId="7F1D8074" w14:textId="65EE0507">
      <w:pPr>
        <w:pStyle w:val="Normal"/>
      </w:pPr>
      <w:r w:rsidR="156326CF">
        <w:rPr/>
        <w:t>In scope</w:t>
      </w:r>
    </w:p>
    <w:p w:rsidR="156326CF" w:rsidP="1655D4EF" w:rsidRDefault="156326CF" w14:paraId="55B4C206" w14:textId="48B9712D">
      <w:pPr>
        <w:pStyle w:val="ListParagraph"/>
        <w:numPr>
          <w:ilvl w:val="0"/>
          <w:numId w:val="7"/>
        </w:numPr>
        <w:rPr/>
      </w:pPr>
      <w:r w:rsidR="156326CF">
        <w:rPr/>
        <w:t>CNC machine decommissioning and sale.</w:t>
      </w:r>
    </w:p>
    <w:p w:rsidR="156326CF" w:rsidP="1655D4EF" w:rsidRDefault="156326CF" w14:paraId="148175AA" w14:textId="1D436B1D">
      <w:pPr>
        <w:pStyle w:val="ListParagraph"/>
        <w:numPr>
          <w:ilvl w:val="0"/>
          <w:numId w:val="7"/>
        </w:numPr>
        <w:rPr/>
      </w:pPr>
      <w:r w:rsidR="156326CF">
        <w:rPr/>
        <w:t>Procurement, delivery, installation, and commissioning of MELTIO.</w:t>
      </w:r>
    </w:p>
    <w:p w:rsidR="156326CF" w:rsidP="1655D4EF" w:rsidRDefault="156326CF" w14:paraId="07677E33" w14:textId="0ADB34DC">
      <w:pPr>
        <w:pStyle w:val="ListParagraph"/>
        <w:numPr>
          <w:ilvl w:val="0"/>
          <w:numId w:val="7"/>
        </w:numPr>
        <w:rPr/>
      </w:pPr>
      <w:r w:rsidR="156326CF">
        <w:rPr/>
        <w:t>Shopfloor redesign and preparation.</w:t>
      </w:r>
    </w:p>
    <w:p w:rsidR="156326CF" w:rsidP="1655D4EF" w:rsidRDefault="156326CF" w14:paraId="477BE1DF" w14:textId="00EB27A6">
      <w:pPr>
        <w:pStyle w:val="ListParagraph"/>
        <w:numPr>
          <w:ilvl w:val="0"/>
          <w:numId w:val="7"/>
        </w:numPr>
        <w:rPr/>
      </w:pPr>
      <w:r w:rsidR="156326CF">
        <w:rPr/>
        <w:t>Technical and operator training.</w:t>
      </w:r>
    </w:p>
    <w:p w:rsidR="156326CF" w:rsidP="1655D4EF" w:rsidRDefault="156326CF" w14:paraId="4FFCA3E5" w14:textId="048D331F">
      <w:pPr>
        <w:pStyle w:val="ListParagraph"/>
        <w:numPr>
          <w:ilvl w:val="0"/>
          <w:numId w:val="7"/>
        </w:numPr>
        <w:rPr/>
      </w:pPr>
      <w:r w:rsidR="156326CF">
        <w:rPr/>
        <w:t xml:space="preserve">Integration of monitoring systems. </w:t>
      </w:r>
    </w:p>
    <w:p w:rsidR="156326CF" w:rsidP="1655D4EF" w:rsidRDefault="156326CF" w14:paraId="46F752AC" w14:textId="3080386A">
      <w:pPr>
        <w:pStyle w:val="Normal"/>
        <w:ind w:left="0"/>
      </w:pPr>
      <w:r w:rsidRPr="202D31E1" w:rsidR="156326CF">
        <w:rPr>
          <w:u w:val="single"/>
        </w:rPr>
        <w:t>Out of scope</w:t>
      </w:r>
    </w:p>
    <w:p w:rsidR="156326CF" w:rsidP="1655D4EF" w:rsidRDefault="156326CF" w14:paraId="6439373C" w14:textId="3DD2E3E3">
      <w:pPr>
        <w:pStyle w:val="ListParagraph"/>
        <w:numPr>
          <w:ilvl w:val="0"/>
          <w:numId w:val="8"/>
        </w:numPr>
        <w:rPr>
          <w:u w:val="none"/>
        </w:rPr>
      </w:pPr>
      <w:r w:rsidR="156326CF">
        <w:rPr>
          <w:u w:val="none"/>
        </w:rPr>
        <w:t xml:space="preserve">Hiring </w:t>
      </w:r>
      <w:bookmarkStart w:name="_Int_5AuxQwge" w:id="913285782"/>
      <w:r w:rsidR="156326CF">
        <w:rPr>
          <w:u w:val="none"/>
        </w:rPr>
        <w:t>new staff</w:t>
      </w:r>
      <w:bookmarkEnd w:id="913285782"/>
      <w:r w:rsidR="156326CF">
        <w:rPr>
          <w:u w:val="none"/>
        </w:rPr>
        <w:t>.</w:t>
      </w:r>
    </w:p>
    <w:p w:rsidR="156326CF" w:rsidP="1655D4EF" w:rsidRDefault="156326CF" w14:paraId="5E5C86D2" w14:textId="7AE8BDA4">
      <w:pPr>
        <w:pStyle w:val="ListParagraph"/>
        <w:numPr>
          <w:ilvl w:val="0"/>
          <w:numId w:val="8"/>
        </w:numPr>
        <w:rPr>
          <w:u w:val="none"/>
        </w:rPr>
      </w:pPr>
      <w:r w:rsidR="156326CF">
        <w:rPr>
          <w:u w:val="none"/>
        </w:rPr>
        <w:t>Outsourcing operations.</w:t>
      </w:r>
    </w:p>
    <w:p w:rsidR="156326CF" w:rsidP="1655D4EF" w:rsidRDefault="156326CF" w14:paraId="58635E4C" w14:textId="1176C100">
      <w:pPr>
        <w:pStyle w:val="ListParagraph"/>
        <w:numPr>
          <w:ilvl w:val="0"/>
          <w:numId w:val="8"/>
        </w:numPr>
        <w:rPr>
          <w:u w:val="none"/>
        </w:rPr>
      </w:pPr>
      <w:r w:rsidR="156326CF">
        <w:rPr>
          <w:u w:val="none"/>
        </w:rPr>
        <w:t>Structural building changes.</w:t>
      </w:r>
    </w:p>
    <w:p w:rsidR="156326CF" w:rsidP="1655D4EF" w:rsidRDefault="156326CF" w14:paraId="32834D04" w14:textId="2280698D">
      <w:pPr>
        <w:pStyle w:val="ListParagraph"/>
        <w:numPr>
          <w:ilvl w:val="0"/>
          <w:numId w:val="8"/>
        </w:numPr>
        <w:rPr>
          <w:u w:val="none"/>
        </w:rPr>
      </w:pPr>
      <w:r w:rsidR="156326CF">
        <w:rPr>
          <w:u w:val="none"/>
        </w:rPr>
        <w:t>Upstream or downstream supply chain redesign.</w:t>
      </w:r>
    </w:p>
    <w:p w:rsidR="0A35FE89" w:rsidP="202D31E1" w:rsidRDefault="0A35FE89" w14:paraId="6346646F" w14:textId="5FA5DCA1">
      <w:pPr>
        <w:pStyle w:val="Heading1"/>
        <w:rPr>
          <w:u w:val="none"/>
        </w:rPr>
      </w:pPr>
      <w:bookmarkStart w:name="_Toc1306490912" w:id="1498755406"/>
      <w:r w:rsidR="0A35FE89">
        <w:rPr/>
        <w:t>Project Outputs (Deliverables)</w:t>
      </w:r>
      <w:bookmarkEnd w:id="1498755406"/>
      <w:r w:rsidR="0A35FE89">
        <w:rPr/>
        <w:t xml:space="preserve"> </w:t>
      </w:r>
    </w:p>
    <w:p w:rsidR="0A35FE89" w:rsidP="1655D4EF" w:rsidRDefault="0A35FE89" w14:paraId="142B2D56" w14:textId="36E1B85B">
      <w:pPr>
        <w:pStyle w:val="Normal"/>
        <w:spacing w:line="360" w:lineRule="auto"/>
      </w:pPr>
      <w:r w:rsidR="0A35FE89">
        <w:rPr/>
        <w:t>I</w:t>
      </w:r>
      <w:r w:rsidR="6078507D">
        <w:rPr/>
        <w:t xml:space="preserve">ndustry 4.0 and Lean Six Sigma </w:t>
      </w:r>
      <w:r w:rsidR="5556F5E9">
        <w:rPr/>
        <w:t>show</w:t>
      </w:r>
      <w:r w:rsidR="6078507D">
        <w:rPr/>
        <w:t xml:space="preserve"> </w:t>
      </w:r>
      <w:r w:rsidR="4C91A240">
        <w:rPr/>
        <w:t>how</w:t>
      </w:r>
      <w:r w:rsidR="6078507D">
        <w:rPr/>
        <w:t xml:space="preserve"> deliverables must be structured </w:t>
      </w:r>
      <w:bookmarkStart w:name="_Int_k1caBuSu" w:id="880990108"/>
      <w:r w:rsidR="1B3414E3">
        <w:rPr/>
        <w:t>in order to</w:t>
      </w:r>
      <w:bookmarkEnd w:id="880990108"/>
      <w:r w:rsidR="1B3414E3">
        <w:rPr/>
        <w:t xml:space="preserve"> </w:t>
      </w:r>
      <w:r w:rsidR="1B3414E3">
        <w:rPr/>
        <w:t>eliminate</w:t>
      </w:r>
      <w:r w:rsidR="1B3414E3">
        <w:rPr/>
        <w:t xml:space="preserve"> inefficiencies while improving process stability. </w:t>
      </w:r>
      <w:r w:rsidR="2196A12B">
        <w:rPr/>
        <w:t>DIT</w:t>
      </w:r>
      <w:r w:rsidR="1B3414E3">
        <w:rPr/>
        <w:t xml:space="preserve"> </w:t>
      </w:r>
      <w:r w:rsidR="59342149">
        <w:rPr/>
        <w:t>requires</w:t>
      </w:r>
      <w:r w:rsidR="59342149">
        <w:rPr/>
        <w:t xml:space="preserve"> deliverables that directly </w:t>
      </w:r>
      <w:r w:rsidR="24AD3234">
        <w:rPr/>
        <w:t>address</w:t>
      </w:r>
      <w:r w:rsidR="59342149">
        <w:rPr/>
        <w:t xml:space="preserve"> prolonged CNC cycle times, elevated rework rates, and </w:t>
      </w:r>
      <w:r w:rsidR="6572056D">
        <w:rPr/>
        <w:t>restricted</w:t>
      </w:r>
      <w:r w:rsidR="59342149">
        <w:rPr/>
        <w:t xml:space="preserve"> </w:t>
      </w:r>
      <w:r w:rsidR="53B30085">
        <w:rPr/>
        <w:t xml:space="preserve">design adaptability, while </w:t>
      </w:r>
      <w:r w:rsidR="53B30085">
        <w:rPr/>
        <w:t>facilitating</w:t>
      </w:r>
      <w:r w:rsidR="53B30085">
        <w:rPr/>
        <w:t xml:space="preserve"> the implementation of ME</w:t>
      </w:r>
      <w:r w:rsidR="02D12619">
        <w:rPr/>
        <w:t>LTIO’s hybrid additive manufacturing into daily processes (Y</w:t>
      </w:r>
      <w:r w:rsidR="7DB5AE22">
        <w:rPr/>
        <w:t xml:space="preserve">adav et al., 2021; Ghobakhloo &amp; Fathi, 2020). </w:t>
      </w:r>
    </w:p>
    <w:p w:rsidR="2503CBC7" w:rsidP="1655D4EF" w:rsidRDefault="2503CBC7" w14:paraId="2878B776" w14:textId="4098ABFE">
      <w:pPr>
        <w:pStyle w:val="Heading2"/>
      </w:pPr>
      <w:bookmarkStart w:name="_Toc887272001" w:id="1288440899"/>
      <w:r w:rsidR="2503CBC7">
        <w:rPr/>
        <w:t>3.1 Primary Outputs</w:t>
      </w:r>
      <w:bookmarkEnd w:id="1288440899"/>
      <w:r w:rsidR="2503CBC7">
        <w:rPr/>
        <w:t xml:space="preserve"> </w:t>
      </w:r>
    </w:p>
    <w:p w:rsidR="2503CBC7" w:rsidP="1655D4EF" w:rsidRDefault="2503CBC7" w14:paraId="46C94DD9" w14:textId="0EA80623">
      <w:pPr>
        <w:pStyle w:val="Normal"/>
        <w:spacing w:line="360" w:lineRule="auto"/>
      </w:pPr>
      <w:r w:rsidR="2503CBC7">
        <w:rPr/>
        <w:t xml:space="preserve">D1. Decommissioning and sale of three CNC machines. </w:t>
      </w:r>
    </w:p>
    <w:p w:rsidR="2503CBC7" w:rsidP="1655D4EF" w:rsidRDefault="2503CBC7" w14:paraId="65202B0D" w14:textId="516862B1">
      <w:pPr>
        <w:pStyle w:val="Normal"/>
        <w:spacing w:line="360" w:lineRule="auto"/>
      </w:pPr>
      <w:r w:rsidR="2503CBC7">
        <w:rPr/>
        <w:t>D2. Signed MELTIO procurement contract.</w:t>
      </w:r>
    </w:p>
    <w:p w:rsidR="2503CBC7" w:rsidP="1655D4EF" w:rsidRDefault="2503CBC7" w14:paraId="3049EC3A" w14:textId="0FB8412C">
      <w:pPr>
        <w:pStyle w:val="Normal"/>
        <w:spacing w:line="360" w:lineRule="auto"/>
      </w:pPr>
      <w:r w:rsidR="2503CBC7">
        <w:rPr/>
        <w:t>D3. Shopfloor redesign complete.</w:t>
      </w:r>
    </w:p>
    <w:p w:rsidR="2503CBC7" w:rsidP="1655D4EF" w:rsidRDefault="2503CBC7" w14:paraId="017FDC03" w14:textId="20B920B6">
      <w:pPr>
        <w:pStyle w:val="Normal"/>
        <w:spacing w:line="360" w:lineRule="auto"/>
      </w:pPr>
      <w:r w:rsidR="2503CBC7">
        <w:rPr/>
        <w:t xml:space="preserve">D4. MELTIO </w:t>
      </w:r>
      <w:r w:rsidR="7F537C9C">
        <w:rPr/>
        <w:t xml:space="preserve">was </w:t>
      </w:r>
      <w:r w:rsidR="2503CBC7">
        <w:rPr/>
        <w:t>installed and commissioned.</w:t>
      </w:r>
    </w:p>
    <w:p w:rsidR="2503CBC7" w:rsidP="1655D4EF" w:rsidRDefault="2503CBC7" w14:paraId="5B89AE78" w14:textId="4B3DB566">
      <w:pPr>
        <w:pStyle w:val="Normal"/>
        <w:spacing w:line="360" w:lineRule="auto"/>
      </w:pPr>
      <w:r w:rsidR="2503CBC7">
        <w:rPr/>
        <w:t>D5. Completed operator and supervisor training programme.</w:t>
      </w:r>
    </w:p>
    <w:p w:rsidR="2503CBC7" w:rsidP="1655D4EF" w:rsidRDefault="2503CBC7" w14:paraId="5A4CB5D4" w14:textId="57CD73A2">
      <w:pPr>
        <w:pStyle w:val="Normal"/>
        <w:spacing w:line="360" w:lineRule="auto"/>
      </w:pPr>
      <w:r w:rsidR="2503CBC7">
        <w:rPr/>
        <w:t>D6. Digital monitoring dashboards.</w:t>
      </w:r>
    </w:p>
    <w:p w:rsidR="2503CBC7" w:rsidP="1655D4EF" w:rsidRDefault="2503CBC7" w14:paraId="7A7F6098" w14:textId="0A08C233">
      <w:pPr>
        <w:pStyle w:val="Normal"/>
        <w:spacing w:line="360" w:lineRule="auto"/>
      </w:pPr>
      <w:r w:rsidR="2503CBC7">
        <w:rPr/>
        <w:t>D7. Weekly and bi-weekly reporting structures.</w:t>
      </w:r>
    </w:p>
    <w:p w:rsidR="2503CBC7" w:rsidP="1655D4EF" w:rsidRDefault="2503CBC7" w14:paraId="5DF2F14E" w14:textId="483F232C">
      <w:pPr>
        <w:pStyle w:val="Normal"/>
        <w:spacing w:line="360" w:lineRule="auto"/>
      </w:pPr>
      <w:r w:rsidR="2503CBC7">
        <w:rPr/>
        <w:t>D8. Fully operational AM cell with improved throughput.</w:t>
      </w:r>
    </w:p>
    <w:p w:rsidR="57767B85" w:rsidP="1655D4EF" w:rsidRDefault="57767B85" w14:paraId="3EBDDF8A" w14:textId="1307CFE4">
      <w:pPr>
        <w:pStyle w:val="Heading1"/>
        <w:spacing w:line="360" w:lineRule="auto"/>
        <w:rPr/>
      </w:pPr>
      <w:bookmarkStart w:name="_Toc105384701" w:id="481848493"/>
      <w:r w:rsidR="57767B85">
        <w:rPr/>
        <w:t xml:space="preserve">Work </w:t>
      </w:r>
      <w:r w:rsidR="57767B85">
        <w:rPr/>
        <w:t>Breakdown</w:t>
      </w:r>
      <w:r w:rsidR="57767B85">
        <w:rPr/>
        <w:t xml:space="preserve"> Structure (WBS)</w:t>
      </w:r>
      <w:bookmarkEnd w:id="481848493"/>
    </w:p>
    <w:p w:rsidR="2FFAA0D6" w:rsidP="1655D4EF" w:rsidRDefault="2FFAA0D6" w14:paraId="6FE22C1A" w14:textId="4F1B60B1">
      <w:pPr>
        <w:pStyle w:val="Normal"/>
      </w:pPr>
      <w:r w:rsidR="2FFAA0D6">
        <w:rPr/>
        <w:t xml:space="preserve">The Work Breakdown </w:t>
      </w:r>
      <w:r w:rsidR="4F607DDB">
        <w:rPr/>
        <w:t>S</w:t>
      </w:r>
      <w:r w:rsidR="2FFAA0D6">
        <w:rPr/>
        <w:t>tructure (WBS) prevents scope creep, promotes collaborative communication, and adheres to project management guidelines for digital manufacturing scenarios (Al-</w:t>
      </w:r>
      <w:r w:rsidR="2FFAA0D6">
        <w:rPr/>
        <w:t>Kasabeh</w:t>
      </w:r>
      <w:r w:rsidR="2FFAA0D6">
        <w:rPr/>
        <w:t xml:space="preserve"> et al., 2021). </w:t>
      </w:r>
    </w:p>
    <w:p w:rsidR="57767B85" w:rsidP="1655D4EF" w:rsidRDefault="57767B85" w14:paraId="3D42B82D" w14:textId="6904D450">
      <w:pPr>
        <w:pStyle w:val="Normal"/>
      </w:pPr>
      <w:r w:rsidR="57767B85">
        <w:rPr/>
        <w:t xml:space="preserve">The </w:t>
      </w:r>
      <w:r w:rsidR="3BD85345">
        <w:rPr/>
        <w:t>work breakdown structure (</w:t>
      </w:r>
      <w:r w:rsidR="57767B85">
        <w:rPr/>
        <w:t>WBS</w:t>
      </w:r>
      <w:r w:rsidR="32E61537">
        <w:rPr/>
        <w:t>)</w:t>
      </w:r>
      <w:r w:rsidR="57767B85">
        <w:rPr/>
        <w:t xml:space="preserve"> </w:t>
      </w:r>
      <w:r w:rsidR="7AFB575E">
        <w:rPr/>
        <w:t>divides</w:t>
      </w:r>
      <w:r w:rsidR="57767B85">
        <w:rPr/>
        <w:t xml:space="preserve"> the project into hierarchical work </w:t>
      </w:r>
      <w:r w:rsidR="7B6D629A">
        <w:rPr/>
        <w:t xml:space="preserve">packages, allowing for explicit assignment of roles and task sequencing. </w:t>
      </w:r>
      <w:r w:rsidR="0696FE77">
        <w:rPr/>
        <w:t xml:space="preserve">During the </w:t>
      </w:r>
      <w:r w:rsidR="76F570F4">
        <w:rPr/>
        <w:t>s</w:t>
      </w:r>
      <w:r w:rsidR="0696FE77">
        <w:rPr/>
        <w:t xml:space="preserve">hift from CNC to hybrid </w:t>
      </w:r>
      <w:r w:rsidR="48BDED44">
        <w:rPr/>
        <w:t>additive</w:t>
      </w:r>
      <w:r w:rsidR="0696FE77">
        <w:rPr/>
        <w:t xml:space="preserve"> manufacturing, </w:t>
      </w:r>
      <w:r w:rsidR="3AC99C47">
        <w:rPr/>
        <w:t>DIT</w:t>
      </w:r>
      <w:r w:rsidR="0696FE77">
        <w:rPr/>
        <w:t xml:space="preserve"> can </w:t>
      </w:r>
      <w:r w:rsidR="18BB5DBA">
        <w:rPr/>
        <w:t>maintain</w:t>
      </w:r>
      <w:r w:rsidR="18BB5DBA">
        <w:rPr/>
        <w:t xml:space="preserve"> visibility and control by breaking the MELTIO implementation into distinct phases of work</w:t>
      </w:r>
      <w:r w:rsidR="2E7E2BF2">
        <w:rPr/>
        <w:t>, which include CNC decommissioning and sale, procurement, shopfloor preparation, installation, training, and monitoring</w:t>
      </w:r>
      <w:r w:rsidR="2E7E2BF2">
        <w:rPr/>
        <w:t xml:space="preserve">. </w:t>
      </w:r>
    </w:p>
    <w:p w:rsidR="61B53AC2" w:rsidP="1655D4EF" w:rsidRDefault="61B53AC2" w14:paraId="24C7A947" w14:textId="6BF9E924">
      <w:pPr>
        <w:pStyle w:val="Normal"/>
        <w:jc w:val="center"/>
      </w:pPr>
      <w:r w:rsidR="60942075">
        <w:drawing>
          <wp:inline wp14:editId="6C0F767D" wp14:anchorId="4D235B1F">
            <wp:extent cx="4014650" cy="5457825"/>
            <wp:effectExtent l="0" t="0" r="0" b="0"/>
            <wp:docPr id="164936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36078" name="Picture 164936078"/>
                    <pic:cNvPicPr/>
                  </pic:nvPicPr>
                  <pic:blipFill>
                    <a:blip xmlns:r="http://schemas.openxmlformats.org/officeDocument/2006/relationships" r:embed="rId2070754574">
                      <a:extLst>
                        <a:ext uri="{28A0092B-C50C-407E-A947-70E740481C1C}">
                          <a14:useLocalDpi xmlns:a14="http://schemas.microsoft.com/office/drawing/2010/main"/>
                        </a:ext>
                      </a:extLst>
                    </a:blip>
                    <a:stretch>
                      <a:fillRect/>
                    </a:stretch>
                  </pic:blipFill>
                  <pic:spPr>
                    <a:xfrm rot="0">
                      <a:off x="0" y="0"/>
                      <a:ext cx="4014650" cy="5457825"/>
                    </a:xfrm>
                    <a:prstGeom prst="rect">
                      <a:avLst/>
                    </a:prstGeom>
                  </pic:spPr>
                </pic:pic>
              </a:graphicData>
            </a:graphic>
          </wp:inline>
        </w:drawing>
      </w:r>
    </w:p>
    <w:p w:rsidR="38B3368E" w:rsidP="1655D4EF" w:rsidRDefault="38B3368E" w14:paraId="38FFD2BD" w14:textId="45A7F6C5">
      <w:pPr>
        <w:pStyle w:val="Heading1"/>
        <w:rPr>
          <w:color w:val="auto"/>
        </w:rPr>
      </w:pPr>
      <w:bookmarkStart w:name="_Toc1737280251" w:id="1504123205"/>
      <w:r w:rsidRPr="202D31E1" w:rsidR="38B3368E">
        <w:rPr>
          <w:color w:val="auto"/>
        </w:rPr>
        <w:t>Project milestones</w:t>
      </w:r>
      <w:bookmarkEnd w:id="1504123205"/>
    </w:p>
    <w:p w:rsidR="25B0CE11" w:rsidP="202D31E1" w:rsidRDefault="25B0CE11" w14:paraId="12093314" w14:textId="647EA288">
      <w:pPr>
        <w:pStyle w:val="Normal"/>
      </w:pPr>
      <w:r w:rsidR="25B0CE11">
        <w:rPr/>
        <w:t xml:space="preserve">Milestones enable </w:t>
      </w:r>
      <w:r w:rsidR="3AC99C47">
        <w:rPr/>
        <w:t>DIT</w:t>
      </w:r>
      <w:r w:rsidR="25B0CE11">
        <w:rPr/>
        <w:t xml:space="preserve"> to </w:t>
      </w:r>
      <w:r w:rsidR="25B0CE11">
        <w:rPr/>
        <w:t>monitor</w:t>
      </w:r>
      <w:r w:rsidR="25B0CE11">
        <w:rPr/>
        <w:t xml:space="preserve"> achievement and pivotal decision phases, guaranteeing the essential tasks, including shop floor preparation, system installation, and op</w:t>
      </w:r>
      <w:r w:rsidR="48D562E0">
        <w:rPr/>
        <w:t xml:space="preserve">erator training, are executed within the designated six-month </w:t>
      </w:r>
      <w:bookmarkStart w:name="_Int_N2kiJybS" w:id="1084937401"/>
      <w:r w:rsidR="48D562E0">
        <w:rPr/>
        <w:t>timeframe</w:t>
      </w:r>
      <w:bookmarkEnd w:id="1084937401"/>
      <w:r w:rsidR="48D562E0">
        <w:rPr/>
        <w:t xml:space="preserve">. Those checkpoints </w:t>
      </w:r>
      <w:r w:rsidR="74D39065">
        <w:rPr/>
        <w:t xml:space="preserve">minimise </w:t>
      </w:r>
      <w:r w:rsidR="1D291722">
        <w:rPr/>
        <w:t>schedule</w:t>
      </w:r>
      <w:r w:rsidR="74D39065">
        <w:rPr/>
        <w:t xml:space="preserve"> unpredictability and </w:t>
      </w:r>
      <w:r w:rsidR="74D39065">
        <w:rPr/>
        <w:t>assist</w:t>
      </w:r>
      <w:r w:rsidR="74D39065">
        <w:rPr/>
        <w:t xml:space="preserve"> management in confirming whether the implementation is advancing according to plan (Pop et al., 2024)</w:t>
      </w:r>
      <w:r w:rsidR="2DF96744">
        <w:rPr/>
        <w:t xml:space="preserve">. </w:t>
      </w:r>
    </w:p>
    <w:p w:rsidR="52585C06" w:rsidP="202D31E1" w:rsidRDefault="52585C06" w14:paraId="421F48E8" w14:textId="1B69B3EF">
      <w:pPr>
        <w:pStyle w:val="Normal"/>
      </w:pPr>
      <w:r w:rsidR="52585C06">
        <w:rPr/>
        <w:t xml:space="preserve">The key milestones for </w:t>
      </w:r>
      <w:r w:rsidR="23D63DD7">
        <w:rPr/>
        <w:t>DIT</w:t>
      </w:r>
      <w:r w:rsidR="52585C06">
        <w:rPr/>
        <w:t xml:space="preserve"> </w:t>
      </w:r>
      <w:r w:rsidR="44A2B2FC">
        <w:rPr/>
        <w:t>represent</w:t>
      </w:r>
      <w:r w:rsidR="52585C06">
        <w:rPr/>
        <w:t xml:space="preserve"> operational requirements, including completion of CNC decommissioning without </w:t>
      </w:r>
      <w:r w:rsidR="12617972">
        <w:rPr/>
        <w:t>disrupting</w:t>
      </w:r>
      <w:r w:rsidR="52585C06">
        <w:rPr/>
        <w:t xml:space="preserve"> active or</w:t>
      </w:r>
      <w:r w:rsidR="39C4B3B2">
        <w:rPr/>
        <w:t xml:space="preserve">ders, finalisation of </w:t>
      </w:r>
      <w:r w:rsidR="28F7999C">
        <w:rPr/>
        <w:t>procurement</w:t>
      </w:r>
      <w:r w:rsidR="39C4B3B2">
        <w:rPr/>
        <w:t xml:space="preserve"> approvals, and the preparation of the shopfloor to securely </w:t>
      </w:r>
      <w:r w:rsidR="483AC233">
        <w:rPr/>
        <w:t>accommodate</w:t>
      </w:r>
      <w:r w:rsidR="39C4B3B2">
        <w:rPr/>
        <w:t xml:space="preserve"> the MELTIO cell. Setting milestones for training </w:t>
      </w:r>
      <w:r w:rsidR="0D0ACECC">
        <w:rPr/>
        <w:t>comp</w:t>
      </w:r>
      <w:r w:rsidR="641BABF0">
        <w:rPr/>
        <w:t>letion</w:t>
      </w:r>
      <w:r w:rsidR="7BAC0D47">
        <w:rPr/>
        <w:t xml:space="preserve"> and the initiation of live production guarantees that operator readiness corresponds with equipment</w:t>
      </w:r>
      <w:r w:rsidR="2EB6A456">
        <w:rPr/>
        <w:t xml:space="preserve"> launch. </w:t>
      </w:r>
    </w:p>
    <w:p w:rsidR="2DF96744" w:rsidP="1655D4EF" w:rsidRDefault="2DF96744" w14:paraId="2FA8299A" w14:textId="00656051">
      <w:pPr>
        <w:pStyle w:val="Normal"/>
        <w:jc w:val="center"/>
      </w:pPr>
      <w:r w:rsidR="166F7968">
        <w:drawing>
          <wp:inline wp14:editId="3A266282" wp14:anchorId="2F73B1E4">
            <wp:extent cx="3283409" cy="2022512"/>
            <wp:effectExtent l="0" t="0" r="0" b="0"/>
            <wp:docPr id="2022230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230479" name="Picture 2022230479"/>
                    <pic:cNvPicPr/>
                  </pic:nvPicPr>
                  <pic:blipFill>
                    <a:blip xmlns:r="http://schemas.openxmlformats.org/officeDocument/2006/relationships" r:embed="rId452713732">
                      <a:extLst>
                        <a:ext uri="{28A0092B-C50C-407E-A947-70E740481C1C}">
                          <a14:useLocalDpi xmlns:a14="http://schemas.microsoft.com/office/drawing/2010/main"/>
                        </a:ext>
                      </a:extLst>
                    </a:blip>
                    <a:stretch>
                      <a:fillRect/>
                    </a:stretch>
                  </pic:blipFill>
                  <pic:spPr>
                    <a:xfrm rot="0">
                      <a:off x="0" y="0"/>
                      <a:ext cx="3283409" cy="2022512"/>
                    </a:xfrm>
                    <a:prstGeom prst="rect">
                      <a:avLst/>
                    </a:prstGeom>
                  </pic:spPr>
                </pic:pic>
              </a:graphicData>
            </a:graphic>
          </wp:inline>
        </w:drawing>
      </w:r>
    </w:p>
    <w:p w:rsidR="2B4F136D" w:rsidP="1655D4EF" w:rsidRDefault="2B4F136D" w14:paraId="02D0087E" w14:textId="02C2B636">
      <w:pPr>
        <w:pStyle w:val="Heading1"/>
        <w:jc w:val="left"/>
        <w:rPr/>
      </w:pPr>
      <w:bookmarkStart w:name="_Toc1556423622" w:id="73807874"/>
      <w:r w:rsidR="2B4F136D">
        <w:rPr/>
        <w:t>Gantt Chart</w:t>
      </w:r>
      <w:bookmarkEnd w:id="73807874"/>
      <w:r w:rsidR="2B4F136D">
        <w:rPr/>
        <w:t xml:space="preserve"> </w:t>
      </w:r>
    </w:p>
    <w:p w:rsidR="2B4F136D" w:rsidP="202D31E1" w:rsidRDefault="2B4F136D" w14:paraId="78D8A096" w14:textId="74FBBDEA">
      <w:pPr>
        <w:pStyle w:val="Normal"/>
        <w:spacing w:line="360" w:lineRule="auto"/>
      </w:pPr>
      <w:r w:rsidR="2B4F136D">
        <w:rPr/>
        <w:t xml:space="preserve">The Gantt chart visually displays project activities over a </w:t>
      </w:r>
      <w:r w:rsidR="65A5BF08">
        <w:rPr/>
        <w:t>six-month</w:t>
      </w:r>
      <w:r w:rsidR="2B4F136D">
        <w:rPr/>
        <w:t xml:space="preserve"> period and shows where rapid progression </w:t>
      </w:r>
      <w:r w:rsidR="2956B919">
        <w:rPr/>
        <w:t>occurs</w:t>
      </w:r>
      <w:r w:rsidR="2A93F148">
        <w:rPr/>
        <w:t xml:space="preserve">, such as the </w:t>
      </w:r>
      <w:r w:rsidR="2B4F136D">
        <w:rPr/>
        <w:t>overlap</w:t>
      </w:r>
      <w:r w:rsidR="2820FBB1">
        <w:rPr/>
        <w:t>ping</w:t>
      </w:r>
      <w:r w:rsidR="24197D18">
        <w:rPr/>
        <w:t xml:space="preserve"> of</w:t>
      </w:r>
      <w:r w:rsidR="2820FBB1">
        <w:rPr/>
        <w:t xml:space="preserve"> </w:t>
      </w:r>
      <w:r w:rsidR="42853A51">
        <w:rPr/>
        <w:t xml:space="preserve">procurement, training, </w:t>
      </w:r>
      <w:r w:rsidR="731D29A0">
        <w:rPr/>
        <w:t>and preparation phase</w:t>
      </w:r>
      <w:r w:rsidR="06F9AEDC">
        <w:rPr/>
        <w:t>s</w:t>
      </w:r>
      <w:r w:rsidR="731D29A0">
        <w:rPr/>
        <w:t xml:space="preserve">. This visual </w:t>
      </w:r>
      <w:r w:rsidR="731D29A0">
        <w:rPr/>
        <w:t>methodology</w:t>
      </w:r>
      <w:r w:rsidR="731D29A0">
        <w:rPr/>
        <w:t xml:space="preserve"> </w:t>
      </w:r>
      <w:r w:rsidR="731D29A0">
        <w:rPr/>
        <w:t>facilitates</w:t>
      </w:r>
      <w:r w:rsidR="731D29A0">
        <w:rPr/>
        <w:t xml:space="preserve"> efficient coordination and </w:t>
      </w:r>
      <w:r w:rsidR="64413033">
        <w:rPr/>
        <w:t>reflects standard project management practices for complex technology integration (PMI, 2021)</w:t>
      </w:r>
      <w:r w:rsidR="64413033">
        <w:rPr/>
        <w:t xml:space="preserve">. </w:t>
      </w:r>
    </w:p>
    <w:p w:rsidR="1F59BCC3" w:rsidP="202D31E1" w:rsidRDefault="1F59BCC3" w14:paraId="0D43BA3C" w14:textId="204793D6">
      <w:pPr>
        <w:pStyle w:val="Normal"/>
      </w:pPr>
      <w:r w:rsidR="1F59BCC3">
        <w:drawing>
          <wp:inline wp14:editId="5963B67B" wp14:anchorId="789B8CD6">
            <wp:extent cx="5943600" cy="3009900"/>
            <wp:effectExtent l="0" t="0" r="0" b="0"/>
            <wp:docPr id="14127502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750210" name="Picture 1412750210"/>
                    <pic:cNvPicPr/>
                  </pic:nvPicPr>
                  <pic:blipFill>
                    <a:blip xmlns:r="http://schemas.openxmlformats.org/officeDocument/2006/relationships" r:embed="rId1532660541">
                      <a:extLst>
                        <a:ext uri="{28A0092B-C50C-407E-A947-70E740481C1C}">
                          <a14:useLocalDpi xmlns:a14="http://schemas.microsoft.com/office/drawing/2010/main"/>
                        </a:ext>
                      </a:extLst>
                    </a:blip>
                    <a:stretch>
                      <a:fillRect/>
                    </a:stretch>
                  </pic:blipFill>
                  <pic:spPr>
                    <a:xfrm>
                      <a:off x="0" y="0"/>
                      <a:ext cx="5943600" cy="3009900"/>
                    </a:xfrm>
                    <a:prstGeom prst="rect">
                      <a:avLst/>
                    </a:prstGeom>
                  </pic:spPr>
                </pic:pic>
              </a:graphicData>
            </a:graphic>
          </wp:inline>
        </w:drawing>
      </w:r>
    </w:p>
    <w:p w:rsidR="11CC46D4" w:rsidP="202D31E1" w:rsidRDefault="11CC46D4" w14:paraId="4808B9C0" w14:textId="66E800E2">
      <w:pPr>
        <w:pStyle w:val="Heading1"/>
        <w:rPr/>
      </w:pPr>
      <w:bookmarkStart w:name="_Toc1467144735" w:id="665312746"/>
      <w:r w:rsidR="11CC46D4">
        <w:rPr/>
        <w:t xml:space="preserve">Personnel </w:t>
      </w:r>
      <w:r w:rsidR="11CC46D4">
        <w:rPr/>
        <w:t>Resources</w:t>
      </w:r>
      <w:bookmarkEnd w:id="665312746"/>
      <w:r w:rsidR="11CC46D4">
        <w:rPr/>
        <w:t xml:space="preserve"> </w:t>
      </w:r>
    </w:p>
    <w:p w:rsidR="11CC46D4" w:rsidP="202D31E1" w:rsidRDefault="11CC46D4" w14:paraId="6E2EEADA" w14:textId="082EE8A1">
      <w:pPr>
        <w:pStyle w:val="Normal"/>
      </w:pPr>
      <w:r w:rsidR="11CC46D4">
        <w:rPr/>
        <w:t>The successful execution of the MELTIO</w:t>
      </w:r>
      <w:r w:rsidR="10694118">
        <w:rPr/>
        <w:t xml:space="preserve"> hybrid additive manufacturing system requires well-defined </w:t>
      </w:r>
      <w:r w:rsidR="6DACD0E9">
        <w:rPr/>
        <w:t xml:space="preserve">employee assignments and sufficient human resource allocation. Studies on advanced </w:t>
      </w:r>
      <w:r w:rsidR="0837684A">
        <w:rPr/>
        <w:t xml:space="preserve">manufacturing </w:t>
      </w:r>
      <w:r w:rsidR="0837684A">
        <w:rPr/>
        <w:t>indicate</w:t>
      </w:r>
      <w:r w:rsidR="0837684A">
        <w:rPr/>
        <w:t xml:space="preserve"> that resource coordination, technical capability, and workforce </w:t>
      </w:r>
      <w:r w:rsidR="7DF8F017">
        <w:rPr/>
        <w:t>preparation are critical factors in the success of digital transformation projects (</w:t>
      </w:r>
      <w:r w:rsidR="4FC6EED1">
        <w:rPr/>
        <w:t xml:space="preserve">Raoufi et al., 2024). DIT must ensure that suitable </w:t>
      </w:r>
      <w:r w:rsidR="46047B3F">
        <w:rPr/>
        <w:t>employees</w:t>
      </w:r>
      <w:r w:rsidR="4FC6EED1">
        <w:rPr/>
        <w:t xml:space="preserve"> and teams are </w:t>
      </w:r>
      <w:r w:rsidR="6CE304AD">
        <w:rPr/>
        <w:t xml:space="preserve">chosen for each project phase, with duties according to their </w:t>
      </w:r>
      <w:r w:rsidR="6CE304AD">
        <w:rPr/>
        <w:t>expertise</w:t>
      </w:r>
      <w:r w:rsidR="6CE304AD">
        <w:rPr/>
        <w:t xml:space="preserve"> and operational roles. </w:t>
      </w:r>
    </w:p>
    <w:p w:rsidR="0AC068EA" w:rsidP="202D31E1" w:rsidRDefault="0AC068EA" w14:paraId="0947D3ED" w14:textId="16968518">
      <w:pPr>
        <w:pStyle w:val="Normal"/>
      </w:pPr>
      <w:r w:rsidR="0AC068EA">
        <w:rPr/>
        <w:t>The project relies on organised cooperation across management, technical, and supervisory roles.</w:t>
      </w:r>
      <w:r w:rsidR="5E141B6D">
        <w:rPr/>
        <w:t xml:space="preserve"> Work-based learning implies the </w:t>
      </w:r>
      <w:r w:rsidR="75E159F5">
        <w:rPr/>
        <w:t>significance</w:t>
      </w:r>
      <w:r w:rsidR="5E141B6D">
        <w:rPr/>
        <w:t xml:space="preserve"> of employee competency and on the job </w:t>
      </w:r>
      <w:r w:rsidR="5C381C5B">
        <w:rPr/>
        <w:t xml:space="preserve">development in the </w:t>
      </w:r>
      <w:r w:rsidR="6A264D20">
        <w:rPr/>
        <w:t xml:space="preserve">transition from conventional CNC machining to digitally connected manufacturing settings (Fergusson, 2022). The personnel </w:t>
      </w:r>
      <w:r w:rsidR="33FB9313">
        <w:rPr/>
        <w:t>strategy</w:t>
      </w:r>
      <w:r w:rsidR="272843DB">
        <w:rPr/>
        <w:t xml:space="preserve"> below delineates the contribution of each function to the technical, operational, and management require</w:t>
      </w:r>
      <w:r w:rsidR="75912867">
        <w:rPr/>
        <w:t xml:space="preserve">ments of the MELTIO implementation. </w:t>
      </w:r>
    </w:p>
    <w:p w:rsidR="3F4D7810" w:rsidP="202D31E1" w:rsidRDefault="3F4D7810" w14:paraId="68A3A100" w14:textId="5F573354">
      <w:pPr>
        <w:pStyle w:val="Heading2"/>
      </w:pPr>
      <w:bookmarkStart w:name="_Toc589535912" w:id="209667090"/>
      <w:r w:rsidR="3F4D7810">
        <w:rPr/>
        <w:t xml:space="preserve">7.1 </w:t>
      </w:r>
      <w:r w:rsidR="3F4D7810">
        <w:rPr/>
        <w:t>Personnel</w:t>
      </w:r>
      <w:r w:rsidR="3F4D7810">
        <w:rPr/>
        <w:t xml:space="preserve"> Resource</w:t>
      </w:r>
      <w:bookmarkEnd w:id="209667090"/>
      <w:r w:rsidR="3F4D7810">
        <w:rPr/>
        <w:t xml:space="preserve"> </w:t>
      </w:r>
    </w:p>
    <w:p w:rsidR="3F4D7810" w:rsidP="202D31E1" w:rsidRDefault="3F4D7810" w14:paraId="34F8A8D1" w14:textId="3415AB7D">
      <w:pPr>
        <w:pStyle w:val="Normal"/>
      </w:pPr>
      <w:r w:rsidR="3F4D7810">
        <w:rPr/>
        <w:t xml:space="preserve">The table below </w:t>
      </w:r>
      <w:r w:rsidR="3F4D7810">
        <w:rPr/>
        <w:t>identifies</w:t>
      </w:r>
      <w:r w:rsidR="3F4D7810">
        <w:rPr/>
        <w:t xml:space="preserve"> all the key personnel </w:t>
      </w:r>
      <w:r w:rsidR="3F4D7810">
        <w:rPr/>
        <w:t>required</w:t>
      </w:r>
      <w:r w:rsidR="3F4D7810">
        <w:rPr/>
        <w:t xml:space="preserve"> throughout the project and their contributions. Acronym</w:t>
      </w:r>
      <w:r w:rsidR="2B043AB0">
        <w:rPr/>
        <w:t xml:space="preserve">s are used to </w:t>
      </w:r>
      <w:r w:rsidR="2B043AB0">
        <w:rPr/>
        <w:t>maintain</w:t>
      </w:r>
      <w:r w:rsidR="2B043AB0">
        <w:rPr/>
        <w:t xml:space="preserve"> consistency with the responsibility matrix. </w:t>
      </w:r>
    </w:p>
    <w:p w:rsidR="202D31E1" w:rsidP="202D31E1" w:rsidRDefault="202D31E1" w14:paraId="0EBF08DB" w14:textId="1FAE0A6D">
      <w:pPr>
        <w:pStyle w:val="Normal"/>
      </w:pPr>
    </w:p>
    <w:p w:rsidR="29B5884A" w:rsidP="202D31E1" w:rsidRDefault="29B5884A" w14:paraId="0CABBD21" w14:textId="2E67778D">
      <w:pPr>
        <w:pStyle w:val="Normal"/>
        <w:jc w:val="center"/>
      </w:pPr>
      <w:r w:rsidR="29B5884A">
        <w:drawing>
          <wp:inline wp14:editId="137E84EE" wp14:anchorId="1DEC66A5">
            <wp:extent cx="4763165" cy="5753903"/>
            <wp:effectExtent l="0" t="0" r="0" b="0"/>
            <wp:docPr id="2097076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7076834" name="Picture 2097076834"/>
                    <pic:cNvPicPr/>
                  </pic:nvPicPr>
                  <pic:blipFill>
                    <a:blip xmlns:r="http://schemas.openxmlformats.org/officeDocument/2006/relationships" r:embed="rId336994591">
                      <a:extLst>
                        <a:ext uri="{28A0092B-C50C-407E-A947-70E740481C1C}">
                          <a14:useLocalDpi xmlns:a14="http://schemas.microsoft.com/office/drawing/2010/main"/>
                        </a:ext>
                      </a:extLst>
                    </a:blip>
                    <a:stretch>
                      <a:fillRect/>
                    </a:stretch>
                  </pic:blipFill>
                  <pic:spPr>
                    <a:xfrm>
                      <a:off x="0" y="0"/>
                      <a:ext cx="4763165" cy="5753903"/>
                    </a:xfrm>
                    <a:prstGeom prst="rect">
                      <a:avLst/>
                    </a:prstGeom>
                  </pic:spPr>
                </pic:pic>
              </a:graphicData>
            </a:graphic>
          </wp:inline>
        </w:drawing>
      </w:r>
    </w:p>
    <w:p w:rsidR="29B5884A" w:rsidP="202D31E1" w:rsidRDefault="29B5884A" w14:paraId="26A4557B" w14:textId="0A991193">
      <w:pPr>
        <w:pStyle w:val="Normal"/>
        <w:jc w:val="left"/>
      </w:pPr>
      <w:r w:rsidR="29B5884A">
        <w:rPr/>
        <w:t xml:space="preserve">The distribution of responsibilities guarantees that DIT has adequate managerial oversight, technic </w:t>
      </w:r>
      <w:r w:rsidR="29B5884A">
        <w:rPr/>
        <w:t>expertise</w:t>
      </w:r>
      <w:r w:rsidR="29B5884A">
        <w:rPr/>
        <w:t>, and o</w:t>
      </w:r>
      <w:r w:rsidR="23ACE4A9">
        <w:rPr/>
        <w:t xml:space="preserve">perational support throughout the project phases. </w:t>
      </w:r>
    </w:p>
    <w:p w:rsidR="371CE838" w:rsidP="202D31E1" w:rsidRDefault="371CE838" w14:paraId="133CECA2" w14:textId="2B2C5195">
      <w:pPr>
        <w:pStyle w:val="Heading2"/>
      </w:pPr>
      <w:bookmarkStart w:name="_Toc471196519" w:id="377219340"/>
      <w:r w:rsidR="371CE838">
        <w:rPr/>
        <w:t>7.2 Material and Financial Resources</w:t>
      </w:r>
      <w:bookmarkEnd w:id="377219340"/>
      <w:r w:rsidR="371CE838">
        <w:rPr/>
        <w:t xml:space="preserve"> </w:t>
      </w:r>
    </w:p>
    <w:p w:rsidR="63F9218D" w:rsidP="202D31E1" w:rsidRDefault="63F9218D" w14:paraId="51FE2BA8" w14:textId="13E4043F">
      <w:pPr>
        <w:pStyle w:val="Normal"/>
      </w:pPr>
      <w:r w:rsidR="63F9218D">
        <w:rPr/>
        <w:t xml:space="preserve">The project requires a systematic distribution of material and financial resources. Digital transformation </w:t>
      </w:r>
      <w:r w:rsidR="530B7DEE">
        <w:rPr/>
        <w:t xml:space="preserve">initiatives can include </w:t>
      </w:r>
      <w:r w:rsidR="50B40C37">
        <w:rPr/>
        <w:t>unforeseen</w:t>
      </w:r>
      <w:r w:rsidR="530B7DEE">
        <w:rPr/>
        <w:t xml:space="preserve"> logistical or integration expenses; hence, meticulous </w:t>
      </w:r>
      <w:r w:rsidR="2EEE6312">
        <w:rPr/>
        <w:t>preparation</w:t>
      </w:r>
      <w:r w:rsidR="530B7DEE">
        <w:rPr/>
        <w:t xml:space="preserve"> is </w:t>
      </w:r>
      <w:r w:rsidR="5A9A98D5">
        <w:rPr/>
        <w:t>crucial</w:t>
      </w:r>
      <w:r w:rsidR="470CE15C">
        <w:rPr/>
        <w:t xml:space="preserve"> to prevent budget overruns (PMI, 2021). </w:t>
      </w:r>
    </w:p>
    <w:p w:rsidR="68B09018" w:rsidP="202D31E1" w:rsidRDefault="68B09018" w14:paraId="433E5267" w14:textId="3DB152AA">
      <w:pPr>
        <w:pStyle w:val="Normal"/>
      </w:pPr>
      <w:r w:rsidR="68B09018">
        <w:rPr/>
        <w:t xml:space="preserve">The table below delineates the primary resource categories of DIT. </w:t>
      </w:r>
    </w:p>
    <w:p w:rsidR="414E1984" w:rsidP="202D31E1" w:rsidRDefault="414E1984" w14:paraId="4A93E516" w14:textId="76B08959">
      <w:pPr>
        <w:pStyle w:val="Normal"/>
        <w:jc w:val="left"/>
      </w:pPr>
      <w:r w:rsidR="414E1984">
        <w:drawing>
          <wp:inline wp14:editId="6E6648FB" wp14:anchorId="378DCE7C">
            <wp:extent cx="5943600" cy="2238375"/>
            <wp:effectExtent l="0" t="0" r="0" b="0"/>
            <wp:docPr id="581304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1304374" name="Picture 581304374"/>
                    <pic:cNvPicPr/>
                  </pic:nvPicPr>
                  <pic:blipFill>
                    <a:blip xmlns:r="http://schemas.openxmlformats.org/officeDocument/2006/relationships" r:embed="rId193735766">
                      <a:extLst>
                        <a:ext uri="{28A0092B-C50C-407E-A947-70E740481C1C}">
                          <a14:useLocalDpi xmlns:a14="http://schemas.microsoft.com/office/drawing/2010/main"/>
                        </a:ext>
                      </a:extLst>
                    </a:blip>
                    <a:stretch>
                      <a:fillRect/>
                    </a:stretch>
                  </pic:blipFill>
                  <pic:spPr>
                    <a:xfrm>
                      <a:off x="0" y="0"/>
                      <a:ext cx="5943600" cy="2238375"/>
                    </a:xfrm>
                    <a:prstGeom prst="rect">
                      <a:avLst/>
                    </a:prstGeom>
                  </pic:spPr>
                </pic:pic>
              </a:graphicData>
            </a:graphic>
          </wp:inline>
        </w:drawing>
      </w:r>
    </w:p>
    <w:p w:rsidR="5321885D" w:rsidP="202D31E1" w:rsidRDefault="5321885D" w14:paraId="15663109" w14:textId="5461FEE3">
      <w:pPr>
        <w:pStyle w:val="Heading1"/>
        <w:jc w:val="left"/>
        <w:rPr/>
      </w:pPr>
      <w:bookmarkStart w:name="_Toc704251975" w:id="1632902845"/>
      <w:r w:rsidR="5321885D">
        <w:rPr/>
        <w:t>Communication Plan</w:t>
      </w:r>
      <w:bookmarkEnd w:id="1632902845"/>
    </w:p>
    <w:p w:rsidR="5321885D" w:rsidP="202D31E1" w:rsidRDefault="5321885D" w14:paraId="26443914" w14:textId="7CF4A275">
      <w:pPr>
        <w:pStyle w:val="Normal"/>
      </w:pPr>
      <w:r w:rsidR="5321885D">
        <w:rPr/>
        <w:t xml:space="preserve">Communicating effectively is crucial for </w:t>
      </w:r>
      <w:r w:rsidR="5321885D">
        <w:rPr/>
        <w:t>facilitating</w:t>
      </w:r>
      <w:r w:rsidR="5321885D">
        <w:rPr/>
        <w:t xml:space="preserve"> teamwork across departments throughout the installation of the MEL</w:t>
      </w:r>
      <w:r w:rsidR="30CAE8B8">
        <w:rPr/>
        <w:t xml:space="preserve">TIO system. PMBOK </w:t>
      </w:r>
      <w:r w:rsidR="7A6CFC41">
        <w:rPr/>
        <w:t>highlights</w:t>
      </w:r>
      <w:r w:rsidR="30CAE8B8">
        <w:rPr/>
        <w:t xml:space="preserve"> communication as a </w:t>
      </w:r>
      <w:r w:rsidR="5DF69953">
        <w:rPr/>
        <w:t>critical</w:t>
      </w:r>
      <w:r w:rsidR="30CAE8B8">
        <w:rPr/>
        <w:t xml:space="preserve"> success </w:t>
      </w:r>
      <w:r w:rsidR="7B8E68DB">
        <w:rPr/>
        <w:t xml:space="preserve">aspect in project </w:t>
      </w:r>
      <w:r w:rsidR="2C0AD56F">
        <w:rPr/>
        <w:t>management</w:t>
      </w:r>
      <w:r w:rsidR="7B8E68DB">
        <w:rPr/>
        <w:t>, especially in transformation projects with many stakeholders and technical dependencies (PMI, 2021). Well-defined co</w:t>
      </w:r>
      <w:r w:rsidR="0DACFBAF">
        <w:rPr/>
        <w:t xml:space="preserve">mmunication </w:t>
      </w:r>
      <w:r w:rsidR="0BAF6320">
        <w:rPr/>
        <w:t xml:space="preserve">frameworks diminish uncertainty, </w:t>
      </w:r>
      <w:r w:rsidR="0BAF6320">
        <w:rPr/>
        <w:t>facilitate</w:t>
      </w:r>
      <w:r w:rsidR="0BAF6320">
        <w:rPr/>
        <w:t xml:space="preserve"> </w:t>
      </w:r>
      <w:r w:rsidR="0BAF6320">
        <w:rPr/>
        <w:t>timely</w:t>
      </w:r>
      <w:r w:rsidR="0BAF6320">
        <w:rPr/>
        <w:t xml:space="preserve"> decision-making, and guarantee that all part</w:t>
      </w:r>
      <w:r w:rsidR="0FD760E2">
        <w:rPr/>
        <w:t xml:space="preserve">icipants are apprised of needs, hazards, and advancements. </w:t>
      </w:r>
    </w:p>
    <w:p w:rsidR="0FD760E2" w:rsidP="202D31E1" w:rsidRDefault="0FD760E2" w14:paraId="5C1B2A06" w14:textId="1B5C0E19">
      <w:pPr>
        <w:pStyle w:val="Normal"/>
      </w:pPr>
      <w:r w:rsidR="0FD760E2">
        <w:rPr/>
        <w:t xml:space="preserve">DIT’s communication must </w:t>
      </w:r>
      <w:r w:rsidR="5AAC969C">
        <w:rPr/>
        <w:t>facilitate</w:t>
      </w:r>
      <w:r w:rsidR="0FD760E2">
        <w:rPr/>
        <w:t xml:space="preserve"> its transaction from CNC machining to hybrid additive manufacturing by preserving p</w:t>
      </w:r>
      <w:r w:rsidR="34C163C8">
        <w:rPr/>
        <w:t>roject clarity and fostering alignment among personnel, leadership</w:t>
      </w:r>
      <w:r w:rsidR="5260F5AE">
        <w:rPr/>
        <w:t xml:space="preserve">, and external partners across the six-month schedule. Communication s crucial throughout procurement, installation, training, and </w:t>
      </w:r>
      <w:r w:rsidR="6B6E3E63">
        <w:rPr/>
        <w:t xml:space="preserve">first production phases when technical challenges or scheduling limitations may occur. </w:t>
      </w:r>
    </w:p>
    <w:p w:rsidR="6B6E3E63" w:rsidP="202D31E1" w:rsidRDefault="6B6E3E63" w14:paraId="367BA9C7" w14:textId="5B414C04">
      <w:pPr>
        <w:pStyle w:val="Heading2"/>
      </w:pPr>
      <w:bookmarkStart w:name="_Toc1374796595" w:id="204886394"/>
      <w:r w:rsidR="6B6E3E63">
        <w:rPr/>
        <w:t>8.1 Communication Matrix</w:t>
      </w:r>
      <w:bookmarkEnd w:id="204886394"/>
      <w:r w:rsidR="6B6E3E63">
        <w:rPr/>
        <w:t xml:space="preserve"> </w:t>
      </w:r>
    </w:p>
    <w:p w:rsidR="6B6E3E63" w:rsidP="202D31E1" w:rsidRDefault="6B6E3E63" w14:paraId="77ED3502" w14:textId="2780738A">
      <w:pPr>
        <w:pStyle w:val="Normal"/>
      </w:pPr>
      <w:r w:rsidR="6B6E3E63">
        <w:rPr/>
        <w:t xml:space="preserve">This communication structure ensures </w:t>
      </w:r>
      <w:r w:rsidR="461C8AC0">
        <w:rPr/>
        <w:t xml:space="preserve">that each stakeholder receives </w:t>
      </w:r>
      <w:r w:rsidR="461C8AC0">
        <w:rPr/>
        <w:t>timely</w:t>
      </w:r>
      <w:r w:rsidR="461C8AC0">
        <w:rPr/>
        <w:t xml:space="preserve"> and relevant information, enabling DIT to reduce miscommunication risks and </w:t>
      </w:r>
      <w:r w:rsidR="461C8AC0">
        <w:rPr/>
        <w:t>maintain</w:t>
      </w:r>
      <w:r w:rsidR="461C8AC0">
        <w:rPr/>
        <w:t xml:space="preserve"> stability</w:t>
      </w:r>
      <w:r w:rsidR="11FC93F8">
        <w:rPr/>
        <w:t xml:space="preserve"> during the transition to MELTIO.</w:t>
      </w:r>
    </w:p>
    <w:p w:rsidR="29DB418E" w:rsidP="202D31E1" w:rsidRDefault="29DB418E" w14:paraId="15674C11" w14:textId="7DA5D76C">
      <w:pPr>
        <w:pStyle w:val="Normal"/>
      </w:pPr>
      <w:r w:rsidR="29DB418E">
        <w:drawing>
          <wp:inline wp14:editId="5D4B2814" wp14:anchorId="1C0F4312">
            <wp:extent cx="5943600" cy="2295525"/>
            <wp:effectExtent l="0" t="0" r="0" b="0"/>
            <wp:docPr id="2019714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9714115" name="Picture 2019714115"/>
                    <pic:cNvPicPr/>
                  </pic:nvPicPr>
                  <pic:blipFill>
                    <a:blip xmlns:r="http://schemas.openxmlformats.org/officeDocument/2006/relationships" r:embed="rId422141065">
                      <a:extLst>
                        <a:ext uri="{28A0092B-C50C-407E-A947-70E740481C1C}">
                          <a14:useLocalDpi xmlns:a14="http://schemas.microsoft.com/office/drawing/2010/main"/>
                        </a:ext>
                      </a:extLst>
                    </a:blip>
                    <a:stretch>
                      <a:fillRect/>
                    </a:stretch>
                  </pic:blipFill>
                  <pic:spPr>
                    <a:xfrm>
                      <a:off x="0" y="0"/>
                      <a:ext cx="5943600" cy="2295525"/>
                    </a:xfrm>
                    <a:prstGeom prst="rect">
                      <a:avLst/>
                    </a:prstGeom>
                  </pic:spPr>
                </pic:pic>
              </a:graphicData>
            </a:graphic>
          </wp:inline>
        </w:drawing>
      </w:r>
    </w:p>
    <w:p w:rsidR="29DB418E" w:rsidP="202D31E1" w:rsidRDefault="29DB418E" w14:paraId="64AE15DF" w14:textId="63F06879">
      <w:pPr>
        <w:pStyle w:val="Heading1"/>
        <w:rPr/>
      </w:pPr>
      <w:bookmarkStart w:name="_Toc1795146094" w:id="1498146943"/>
      <w:r w:rsidR="29DB418E">
        <w:rPr/>
        <w:t>Stakeholder Matrix</w:t>
      </w:r>
      <w:bookmarkEnd w:id="1498146943"/>
      <w:r w:rsidR="29DB418E">
        <w:rPr/>
        <w:t xml:space="preserve"> </w:t>
      </w:r>
    </w:p>
    <w:p w:rsidR="29DB418E" w:rsidP="202D31E1" w:rsidRDefault="29DB418E" w14:paraId="717269D1" w14:textId="422D6820">
      <w:pPr>
        <w:pStyle w:val="Normal"/>
      </w:pPr>
      <w:r w:rsidR="29DB418E">
        <w:rPr/>
        <w:t xml:space="preserve">The introduction of the MELTIO system affects several internal and external stakeholders, each </w:t>
      </w:r>
      <w:r w:rsidR="3574D69A">
        <w:rPr/>
        <w:t xml:space="preserve">holding distinct levels of interest, influence, and operational </w:t>
      </w:r>
      <w:r w:rsidR="6D718B63">
        <w:rPr/>
        <w:t>involvement</w:t>
      </w:r>
      <w:r w:rsidR="3574D69A">
        <w:rPr/>
        <w:t xml:space="preserve">. Industry 4.0 </w:t>
      </w:r>
      <w:r w:rsidR="22314A15">
        <w:rPr/>
        <w:t xml:space="preserve">shows that </w:t>
      </w:r>
      <w:r w:rsidR="06E7A415">
        <w:rPr/>
        <w:t xml:space="preserve">organisational dedication, well-defined stakeholder roles, and early </w:t>
      </w:r>
      <w:r w:rsidR="7AAC1D69">
        <w:rPr/>
        <w:t xml:space="preserve">engagement are essential for the effective implementation of technology (Sony &amp; Naik, 2019). </w:t>
      </w:r>
    </w:p>
    <w:p w:rsidR="7AAC1D69" w:rsidP="202D31E1" w:rsidRDefault="7AAC1D69" w14:paraId="5D26DAFA" w14:textId="391886BB">
      <w:pPr>
        <w:pStyle w:val="Normal"/>
      </w:pPr>
      <w:r w:rsidR="7AAC1D69">
        <w:rPr/>
        <w:t>DIT</w:t>
      </w:r>
      <w:r w:rsidR="6CAB37CE">
        <w:rPr/>
        <w:t>’s stakeholders</w:t>
      </w:r>
      <w:r w:rsidR="7AAC1D69">
        <w:rPr/>
        <w:t xml:space="preserve"> include </w:t>
      </w:r>
      <w:r w:rsidR="5C0D3EE0">
        <w:rPr/>
        <w:t xml:space="preserve">management, supervisors, operators, technical </w:t>
      </w:r>
      <w:r w:rsidR="45A56743">
        <w:rPr/>
        <w:t xml:space="preserve">specialists, and external MELTIO personnel. </w:t>
      </w:r>
      <w:bookmarkStart w:name="_Int_75fCSICp" w:id="674228721"/>
      <w:r w:rsidR="45A56743">
        <w:rPr/>
        <w:t>Each individual</w:t>
      </w:r>
      <w:bookmarkEnd w:id="674228721"/>
      <w:r w:rsidR="45A56743">
        <w:rPr/>
        <w:t xml:space="preserve"> has a specific responsibility in </w:t>
      </w:r>
      <w:r w:rsidR="45A56743">
        <w:rPr/>
        <w:t>facilitating</w:t>
      </w:r>
      <w:r w:rsidR="45A56743">
        <w:rPr/>
        <w:t xml:space="preserve"> the seamless execution of </w:t>
      </w:r>
      <w:r w:rsidR="5E7B403F">
        <w:rPr/>
        <w:t xml:space="preserve">CNC decommissioning, </w:t>
      </w:r>
      <w:r w:rsidR="6B684303">
        <w:rPr/>
        <w:t>procurement</w:t>
      </w:r>
      <w:r w:rsidR="5E7B403F">
        <w:rPr/>
        <w:t xml:space="preserve">, installation, and training </w:t>
      </w:r>
      <w:r w:rsidR="5FE5A4E1">
        <w:rPr/>
        <w:t>operations run</w:t>
      </w:r>
      <w:r w:rsidR="68E83F0C">
        <w:rPr/>
        <w:t xml:space="preserve"> </w:t>
      </w:r>
      <w:r w:rsidR="454A1139">
        <w:rPr/>
        <w:t>smoothly, preventing</w:t>
      </w:r>
      <w:r w:rsidR="5E7B403F">
        <w:rPr/>
        <w:t xml:space="preserve"> any disruption to c</w:t>
      </w:r>
      <w:r w:rsidR="7153D0B1">
        <w:rPr/>
        <w:t xml:space="preserve">ustomer deliveries. </w:t>
      </w:r>
    </w:p>
    <w:p w:rsidR="6B6E9B42" w:rsidP="202D31E1" w:rsidRDefault="6B6E9B42" w14:paraId="426FD4D0" w14:textId="533F1022">
      <w:pPr>
        <w:pStyle w:val="Heading2"/>
      </w:pPr>
      <w:bookmarkStart w:name="_Toc344413263" w:id="1665338205"/>
      <w:r w:rsidR="6B6E9B42">
        <w:rPr/>
        <w:t>9.1 Stakeholder Matrix</w:t>
      </w:r>
      <w:bookmarkEnd w:id="1665338205"/>
      <w:r w:rsidR="6B6E9B42">
        <w:rPr/>
        <w:t xml:space="preserve"> </w:t>
      </w:r>
    </w:p>
    <w:p w:rsidR="6B6E9B42" w:rsidP="202D31E1" w:rsidRDefault="6B6E9B42" w14:paraId="3A80CA98" w14:textId="5E771B49">
      <w:pPr>
        <w:pStyle w:val="Normal"/>
      </w:pPr>
      <w:r w:rsidR="6B6E9B42">
        <w:rPr/>
        <w:t xml:space="preserve">Ensuring strong engagement across this group minimises resistance, reduces integration risks, and improves readiness for the new </w:t>
      </w:r>
      <w:r w:rsidR="691A4F90">
        <w:rPr/>
        <w:t>additive</w:t>
      </w:r>
      <w:r w:rsidR="6B6E9B42">
        <w:rPr/>
        <w:t xml:space="preserve"> </w:t>
      </w:r>
      <w:r w:rsidR="179109A7">
        <w:rPr/>
        <w:t xml:space="preserve">manufacturing </w:t>
      </w:r>
      <w:r w:rsidR="6B6E9B42">
        <w:rPr/>
        <w:t>work</w:t>
      </w:r>
      <w:r w:rsidR="4E64C9BB">
        <w:rPr/>
        <w:t>flow</w:t>
      </w:r>
      <w:r w:rsidR="6B029B3C">
        <w:rPr/>
        <w:t xml:space="preserve">. </w:t>
      </w:r>
    </w:p>
    <w:p w:rsidR="388F9F92" w:rsidP="202D31E1" w:rsidRDefault="388F9F92" w14:paraId="0E8CED24" w14:textId="590B4216">
      <w:pPr>
        <w:pStyle w:val="Normal"/>
        <w:jc w:val="left"/>
      </w:pPr>
      <w:r w:rsidR="388F9F92">
        <w:drawing>
          <wp:inline wp14:editId="4983CD63" wp14:anchorId="6EC6113B">
            <wp:extent cx="5943600" cy="3400425"/>
            <wp:effectExtent l="0" t="0" r="0" b="0"/>
            <wp:docPr id="407963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7963870" name="Picture 407963870"/>
                    <pic:cNvPicPr/>
                  </pic:nvPicPr>
                  <pic:blipFill>
                    <a:blip xmlns:r="http://schemas.openxmlformats.org/officeDocument/2006/relationships" r:embed="rId1521344244">
                      <a:extLst>
                        <a:ext uri="{28A0092B-C50C-407E-A947-70E740481C1C}">
                          <a14:useLocalDpi xmlns:a14="http://schemas.microsoft.com/office/drawing/2010/main"/>
                        </a:ext>
                      </a:extLst>
                    </a:blip>
                    <a:stretch>
                      <a:fillRect/>
                    </a:stretch>
                  </pic:blipFill>
                  <pic:spPr>
                    <a:xfrm>
                      <a:off x="0" y="0"/>
                      <a:ext cx="5943600" cy="3400425"/>
                    </a:xfrm>
                    <a:prstGeom prst="rect">
                      <a:avLst/>
                    </a:prstGeom>
                  </pic:spPr>
                </pic:pic>
              </a:graphicData>
            </a:graphic>
          </wp:inline>
        </w:drawing>
      </w:r>
    </w:p>
    <w:p w:rsidR="202D31E1" w:rsidP="202D31E1" w:rsidRDefault="202D31E1" w14:paraId="5EF4739C" w14:textId="345CFC65">
      <w:pPr>
        <w:pStyle w:val="Heading1"/>
        <w:numPr>
          <w:ilvl w:val="0"/>
          <w:numId w:val="0"/>
        </w:numPr>
        <w:jc w:val="left"/>
        <w:rPr>
          <w:b w:val="1"/>
          <w:bCs w:val="1"/>
          <w:sz w:val="32"/>
          <w:szCs w:val="32"/>
          <w:u w:val="none"/>
        </w:rPr>
      </w:pPr>
      <w:bookmarkStart w:name="_Toc194456313" w:id="1144085594"/>
      <w:r w:rsidR="202D31E1">
        <w:rPr/>
        <w:t xml:space="preserve">10. </w:t>
      </w:r>
      <w:r w:rsidR="388F9F92">
        <w:rPr/>
        <w:t>Risk Register</w:t>
      </w:r>
      <w:bookmarkEnd w:id="1144085594"/>
    </w:p>
    <w:p w:rsidR="388F9F92" w:rsidP="202D31E1" w:rsidRDefault="388F9F92" w14:paraId="3576C5DD" w14:textId="3F6F7304">
      <w:pPr>
        <w:pStyle w:val="Normal"/>
      </w:pPr>
      <w:r w:rsidR="388F9F92">
        <w:rPr/>
        <w:t xml:space="preserve">Digital transformation projects </w:t>
      </w:r>
      <w:r w:rsidR="388F9F92">
        <w:rPr/>
        <w:t>frequently</w:t>
      </w:r>
      <w:r w:rsidR="388F9F92">
        <w:rPr/>
        <w:t xml:space="preserve"> </w:t>
      </w:r>
      <w:r w:rsidR="388F9F92">
        <w:rPr/>
        <w:t>encounter</w:t>
      </w:r>
      <w:r w:rsidR="388F9F92">
        <w:rPr/>
        <w:t xml:space="preserve"> risks associated with technical execution, timeline constraints, and the development of internal compe</w:t>
      </w:r>
      <w:r w:rsidR="47C80F13">
        <w:rPr/>
        <w:t xml:space="preserve">tencies. Advance Manufacturing </w:t>
      </w:r>
      <w:r w:rsidR="5F32F8D5">
        <w:rPr/>
        <w:t>installations need meticulous calibration, robust training frameworks, and proactive defect monitoring to prevent p</w:t>
      </w:r>
      <w:r w:rsidR="7D44E36C">
        <w:rPr/>
        <w:t xml:space="preserve">roduction instability (Raoufi et al., 2024). </w:t>
      </w:r>
    </w:p>
    <w:p w:rsidR="7D44E36C" w:rsidP="202D31E1" w:rsidRDefault="7D44E36C" w14:paraId="56377796" w14:textId="3708398E">
      <w:pPr>
        <w:pStyle w:val="Normal"/>
      </w:pPr>
      <w:r w:rsidR="7D44E36C">
        <w:rPr/>
        <w:t xml:space="preserve">DIT’s risk register encapsulates the physical and operational challenges of migrating from CNC machining to a </w:t>
      </w:r>
      <w:r w:rsidR="662E21A8">
        <w:rPr/>
        <w:t xml:space="preserve">hybrid additive manufacturing system. </w:t>
      </w:r>
    </w:p>
    <w:p w:rsidR="662E21A8" w:rsidP="202D31E1" w:rsidRDefault="662E21A8" w14:paraId="3AEAD420" w14:textId="18AE5C12">
      <w:pPr>
        <w:pStyle w:val="Heading2"/>
      </w:pPr>
      <w:bookmarkStart w:name="_Toc273892800" w:id="665154280"/>
      <w:r w:rsidR="662E21A8">
        <w:rPr/>
        <w:t>10.1 DIT Project risk Register</w:t>
      </w:r>
      <w:bookmarkEnd w:id="665154280"/>
      <w:r w:rsidR="662E21A8">
        <w:rPr/>
        <w:t xml:space="preserve"> </w:t>
      </w:r>
    </w:p>
    <w:p w:rsidR="35C4D121" w:rsidP="202D31E1" w:rsidRDefault="35C4D121" w14:paraId="7D977600" w14:textId="42E7953F">
      <w:pPr>
        <w:pStyle w:val="Normal"/>
      </w:pPr>
      <w:r w:rsidR="35C4D121">
        <w:rPr/>
        <w:t xml:space="preserve">This risk register ensures that DIT can proactively </w:t>
      </w:r>
      <w:r w:rsidR="35C4D121">
        <w:rPr/>
        <w:t>monitor</w:t>
      </w:r>
      <w:r w:rsidR="35C4D121">
        <w:rPr/>
        <w:t xml:space="preserve"> and respond to operational challenges during the six-moth project. </w:t>
      </w:r>
    </w:p>
    <w:p w:rsidR="24020FFC" w:rsidP="202D31E1" w:rsidRDefault="24020FFC" w14:paraId="58C3D0F6" w14:textId="0508E743">
      <w:pPr>
        <w:pStyle w:val="Normal"/>
        <w:jc w:val="center"/>
      </w:pPr>
      <w:r w:rsidR="24020FFC">
        <w:drawing>
          <wp:inline wp14:editId="2BF0A43C" wp14:anchorId="3C7429D3">
            <wp:extent cx="5943600" cy="4362450"/>
            <wp:effectExtent l="0" t="0" r="0" b="0"/>
            <wp:docPr id="10902032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203248" name="Picture 1090203248"/>
                    <pic:cNvPicPr/>
                  </pic:nvPicPr>
                  <pic:blipFill>
                    <a:blip xmlns:r="http://schemas.openxmlformats.org/officeDocument/2006/relationships" r:embed="rId2006289348">
                      <a:extLst>
                        <a:ext uri="{28A0092B-C50C-407E-A947-70E740481C1C}">
                          <a14:useLocalDpi xmlns:a14="http://schemas.microsoft.com/office/drawing/2010/main"/>
                        </a:ext>
                      </a:extLst>
                    </a:blip>
                    <a:stretch>
                      <a:fillRect/>
                    </a:stretch>
                  </pic:blipFill>
                  <pic:spPr>
                    <a:xfrm>
                      <a:off x="0" y="0"/>
                      <a:ext cx="5943600" cy="4362450"/>
                    </a:xfrm>
                    <a:prstGeom prst="rect">
                      <a:avLst/>
                    </a:prstGeom>
                  </pic:spPr>
                </pic:pic>
              </a:graphicData>
            </a:graphic>
          </wp:inline>
        </w:drawing>
      </w:r>
    </w:p>
    <w:p w:rsidR="202D31E1" w:rsidP="202D31E1" w:rsidRDefault="202D31E1" w14:paraId="34DFDB90" w14:textId="437EB6A1">
      <w:pPr>
        <w:pStyle w:val="Heading1"/>
        <w:numPr>
          <w:ilvl w:val="0"/>
          <w:numId w:val="0"/>
        </w:numPr>
        <w:jc w:val="left"/>
        <w:rPr>
          <w:b w:val="1"/>
          <w:bCs w:val="1"/>
          <w:sz w:val="32"/>
          <w:szCs w:val="32"/>
          <w:u w:val="none"/>
        </w:rPr>
      </w:pPr>
      <w:bookmarkStart w:name="_Toc1807203768" w:id="806379000"/>
      <w:r w:rsidR="202D31E1">
        <w:rPr/>
        <w:t xml:space="preserve">11. </w:t>
      </w:r>
      <w:r w:rsidR="24020FFC">
        <w:rPr/>
        <w:t>Conclusion</w:t>
      </w:r>
      <w:bookmarkEnd w:id="806379000"/>
    </w:p>
    <w:p w:rsidR="32CFA6BB" w:rsidP="202D31E1" w:rsidRDefault="32CFA6BB" w14:paraId="481F98BD" w14:textId="4B2970C5">
      <w:pPr>
        <w:pStyle w:val="Normal"/>
      </w:pPr>
      <w:r w:rsidR="32CFA6BB">
        <w:rPr/>
        <w:t>The introduction of the MELTIO 3D Metal Printing Robot Cell signifies a key progression in DIT’s shift towards Industry 4.0 and digitally facilitated production. Long-standing obstacles including slow cycle times, restricted design flexibility, and high non-conformance rates are immediately addressed by the project by substituting hybrid additive manufacturing capabilities for certain CNC machines. The six-month project plan, underpinned by a documented Work Breakdown Structure, milestones, and an expedited Gantt chart, delineates a clear strategy for implementing operational improvements while minimising disturbance to current production.</w:t>
      </w:r>
    </w:p>
    <w:p w:rsidR="1ABF8B83" w:rsidP="202D31E1" w:rsidRDefault="1ABF8B83" w14:paraId="1D493F8F" w14:textId="4AA07029">
      <w:pPr>
        <w:pStyle w:val="Normal"/>
      </w:pPr>
      <w:r w:rsidR="1ABF8B83">
        <w:rPr/>
        <w:t>The SMART goals provide quantifiable targets that enhance performance responsibility, such as increasing OTTT from 76% to 90% and decreasing defects by 20%. Through the incorporation of real-time monitoring and digital dashboards, DIT strengthens the quantifiable and attainable aspects of its transformation, in accordance with results on the advantages of digital manufacturing analytics (Mittal et al., 2023). Focussing on organisational readiness, including operator retraining, shop floor reconfiguration, and calibration necessities, promotes a realistic and sustainable transition, aligning with findings on the constraints of Industry 4.0 implementation (Ghobakhloo &amp; Fathi, 2020; Letchumanan et al., 2022).</w:t>
      </w:r>
    </w:p>
    <w:p w:rsidR="1CE01ABD" w:rsidP="202D31E1" w:rsidRDefault="1CE01ABD" w14:paraId="4B63151F" w14:textId="4BCD5A19">
      <w:pPr>
        <w:pStyle w:val="Normal"/>
      </w:pPr>
      <w:r w:rsidR="1CE01ABD">
        <w:rPr/>
        <w:t xml:space="preserve">The resource plan guarantees the proper allocation of </w:t>
      </w:r>
      <w:r w:rsidR="16054B34">
        <w:rPr/>
        <w:t>workforce</w:t>
      </w:r>
      <w:r w:rsidR="1CE01ABD">
        <w:rPr/>
        <w:t xml:space="preserve">, infrastructure, and financial assets to support the project. The inclusion of dedicated roles such as the Production Planner for scheduling, reporting, and capacity coordination, enhances operational control and ensures continuity during the transition period. The communication strategy enhances interdepartmental coordination, while the stakeholder analysis underscores the necessity of aligning leadership, supervisors, operators, and suppliers to </w:t>
      </w:r>
      <w:r w:rsidR="1CE01ABD">
        <w:rPr/>
        <w:t>facilitate</w:t>
      </w:r>
      <w:r w:rsidR="1CE01ABD">
        <w:rPr/>
        <w:t xml:space="preserve"> seamless execution.</w:t>
      </w:r>
    </w:p>
    <w:p w:rsidR="58095041" w:rsidP="202D31E1" w:rsidRDefault="58095041" w14:paraId="25550D1F" w14:textId="16EF1F06">
      <w:pPr>
        <w:pStyle w:val="Normal"/>
      </w:pPr>
      <w:r w:rsidR="58095041">
        <w:rPr/>
        <w:t>Risk management is essential for safeguarding the project. Potential challenges, such delayed delivery, installation complications, or initial quality degradation, are alleviated by proactive planning, supplier cooperation, and increased monitoring. This systematic methodology enhances DIT's readiness for technology integration and mitigates risks often associated with digital transformation initiatives (Raoufi et al., 2024).</w:t>
      </w:r>
    </w:p>
    <w:p w:rsidR="58095041" w:rsidP="202D31E1" w:rsidRDefault="58095041" w14:paraId="1C9C9BFA" w14:textId="701FF58E">
      <w:pPr>
        <w:pStyle w:val="Normal"/>
      </w:pPr>
      <w:r w:rsidR="58095041">
        <w:rPr/>
        <w:t xml:space="preserve">The MELTIO implementation is designed to enhance immediate performance metrics while simultaneously developing long-term strategic skills. </w:t>
      </w:r>
      <w:bookmarkStart w:name="_Int_dYNEx7ZW" w:id="1630579703"/>
      <w:r w:rsidR="58095041">
        <w:rPr/>
        <w:t>Through the use of</w:t>
      </w:r>
      <w:bookmarkEnd w:id="1630579703"/>
      <w:r w:rsidR="58095041">
        <w:rPr/>
        <w:t xml:space="preserve"> hybrid additive manufacturing, DIT strengthens its competitive edge in the oil and gas industry, improves product quality via advanced production techniques, and develops internal capabilities for forthcoming Industry 4.0 advancements. Upon successful execution, the project will </w:t>
      </w:r>
      <w:bookmarkStart w:name="_Int_qmOnu9uo" w:id="1294180492"/>
      <w:r w:rsidR="58095041">
        <w:rPr/>
        <w:t>substantially improve</w:t>
      </w:r>
      <w:bookmarkEnd w:id="1294180492"/>
      <w:r w:rsidR="58095041">
        <w:rPr/>
        <w:t xml:space="preserve"> throughput, flexibility, and operational resilience, </w:t>
      </w:r>
      <w:r w:rsidR="58095041">
        <w:rPr/>
        <w:t>establishing</w:t>
      </w:r>
      <w:r w:rsidR="58095041">
        <w:rPr/>
        <w:t xml:space="preserve"> a basis for continuous digital transformation and sustained performance improvements.</w:t>
      </w:r>
    </w:p>
    <w:p w:rsidR="202D31E1" w:rsidP="202D31E1" w:rsidRDefault="202D31E1" w14:paraId="540D415F" w14:textId="63BC8C4E">
      <w:pPr>
        <w:pStyle w:val="Heading1"/>
        <w:numPr>
          <w:ilvl w:val="0"/>
          <w:numId w:val="0"/>
        </w:numPr>
      </w:pPr>
    </w:p>
    <w:p w:rsidR="202D31E1" w:rsidRDefault="202D31E1" w14:paraId="7759B881" w14:textId="776ACD74">
      <w:r>
        <w:br w:type="page"/>
      </w:r>
    </w:p>
    <w:p w:rsidR="202D31E1" w:rsidP="202D31E1" w:rsidRDefault="202D31E1" w14:paraId="4BECD34F" w14:textId="10829399">
      <w:pPr>
        <w:pStyle w:val="Heading1"/>
        <w:numPr>
          <w:ilvl w:val="0"/>
          <w:numId w:val="0"/>
        </w:numPr>
        <w:ind w:left="0"/>
        <w:rPr>
          <w:b w:val="1"/>
          <w:bCs w:val="1"/>
          <w:sz w:val="32"/>
          <w:szCs w:val="32"/>
          <w:u w:val="none"/>
        </w:rPr>
      </w:pPr>
      <w:bookmarkStart w:name="_Toc1950557279" w:id="473835185"/>
      <w:r w:rsidR="202D31E1">
        <w:rPr/>
        <w:t xml:space="preserve">11. </w:t>
      </w:r>
      <w:r w:rsidR="0EE0A90E">
        <w:rPr/>
        <w:t>Reference List</w:t>
      </w:r>
      <w:bookmarkEnd w:id="473835185"/>
    </w:p>
    <w:p w:rsidR="3E4D7824" w:rsidP="202D31E1" w:rsidRDefault="3E4D7824" w14:paraId="7A80FBE3" w14:textId="14687E5A">
      <w:pPr>
        <w:pStyle w:val="ListParagraph"/>
        <w:numPr>
          <w:ilvl w:val="0"/>
          <w:numId w:val="22"/>
        </w:numPr>
        <w:spacing w:before="240" w:beforeAutospacing="off" w:after="240" w:afterAutospacing="off"/>
        <w:rPr>
          <w:b w:val="0"/>
          <w:bCs w:val="0"/>
        </w:rPr>
      </w:pPr>
      <w:r w:rsidRPr="202D31E1" w:rsidR="3E4D7824">
        <w:rPr>
          <w:rFonts w:ascii="Times New Roman" w:hAnsi="Times New Roman" w:eastAsia="Times New Roman" w:cs="Times New Roman"/>
          <w:b w:val="0"/>
          <w:bCs w:val="0"/>
          <w:noProof w:val="0"/>
          <w:sz w:val="24"/>
          <w:szCs w:val="24"/>
          <w:lang w:val="en-GB"/>
        </w:rPr>
        <w:t>Al-</w:t>
      </w:r>
      <w:bookmarkStart w:name="_Int_KvTGiqVZ" w:id="1045397325"/>
      <w:r w:rsidRPr="202D31E1" w:rsidR="3E4D7824">
        <w:rPr>
          <w:rFonts w:ascii="Times New Roman" w:hAnsi="Times New Roman" w:eastAsia="Times New Roman" w:cs="Times New Roman"/>
          <w:b w:val="0"/>
          <w:bCs w:val="0"/>
          <w:noProof w:val="0"/>
          <w:sz w:val="24"/>
          <w:szCs w:val="24"/>
          <w:lang w:val="en-GB"/>
        </w:rPr>
        <w:t>Kasasbeh</w:t>
      </w:r>
      <w:bookmarkEnd w:id="1045397325"/>
      <w:r w:rsidRPr="202D31E1" w:rsidR="3E4D7824">
        <w:rPr>
          <w:rFonts w:ascii="Times New Roman" w:hAnsi="Times New Roman" w:eastAsia="Times New Roman" w:cs="Times New Roman"/>
          <w:b w:val="0"/>
          <w:bCs w:val="0"/>
          <w:noProof w:val="0"/>
          <w:sz w:val="24"/>
          <w:szCs w:val="24"/>
          <w:lang w:val="en-GB"/>
        </w:rPr>
        <w:t>, M., Harb, H. &amp; Haddad, S.</w:t>
      </w:r>
      <w:r w:rsidRPr="202D31E1" w:rsidR="3E4D7824">
        <w:rPr>
          <w:rFonts w:ascii="Times New Roman" w:hAnsi="Times New Roman" w:eastAsia="Times New Roman" w:cs="Times New Roman"/>
          <w:b w:val="0"/>
          <w:bCs w:val="0"/>
          <w:noProof w:val="0"/>
          <w:sz w:val="24"/>
          <w:szCs w:val="24"/>
          <w:lang w:val="en-GB"/>
        </w:rPr>
        <w:t xml:space="preserve"> (2021) ‘A proposed WBS for improving project performance’, </w:t>
      </w:r>
      <w:r w:rsidRPr="202D31E1" w:rsidR="3E4D7824">
        <w:rPr>
          <w:rFonts w:ascii="Times New Roman" w:hAnsi="Times New Roman" w:eastAsia="Times New Roman" w:cs="Times New Roman"/>
          <w:b w:val="0"/>
          <w:bCs w:val="0"/>
          <w:i w:val="1"/>
          <w:iCs w:val="1"/>
          <w:noProof w:val="0"/>
          <w:sz w:val="24"/>
          <w:szCs w:val="24"/>
          <w:lang w:val="en-GB"/>
        </w:rPr>
        <w:t>Heliyon</w:t>
      </w:r>
      <w:r w:rsidRPr="202D31E1" w:rsidR="3E4D7824">
        <w:rPr>
          <w:rFonts w:ascii="Times New Roman" w:hAnsi="Times New Roman" w:eastAsia="Times New Roman" w:cs="Times New Roman"/>
          <w:b w:val="0"/>
          <w:bCs w:val="0"/>
          <w:noProof w:val="0"/>
          <w:sz w:val="24"/>
          <w:szCs w:val="24"/>
          <w:lang w:val="en-GB"/>
        </w:rPr>
        <w:t>, 7(7), pp. 1–12.</w:t>
      </w:r>
      <w:r>
        <w:br/>
      </w:r>
      <w:r w:rsidRPr="202D31E1" w:rsidR="3E4D7824">
        <w:rPr>
          <w:rFonts w:ascii="Times New Roman" w:hAnsi="Times New Roman" w:eastAsia="Times New Roman" w:cs="Times New Roman"/>
          <w:b w:val="0"/>
          <w:bCs w:val="0"/>
          <w:noProof w:val="0"/>
          <w:sz w:val="24"/>
          <w:szCs w:val="24"/>
          <w:lang w:val="en-GB"/>
        </w:rPr>
        <w:t xml:space="preserve"> </w:t>
      </w:r>
      <w:hyperlink r:id="Rf431c3cfbbe0407f">
        <w:r w:rsidRPr="202D31E1" w:rsidR="3E4D7824">
          <w:rPr>
            <w:rStyle w:val="Hyperlink"/>
            <w:rFonts w:ascii="Times New Roman" w:hAnsi="Times New Roman" w:eastAsia="Times New Roman" w:cs="Times New Roman"/>
            <w:b w:val="0"/>
            <w:bCs w:val="0"/>
            <w:noProof w:val="0"/>
            <w:sz w:val="24"/>
            <w:szCs w:val="24"/>
            <w:lang w:val="en-GB"/>
          </w:rPr>
          <w:t>https://doi.org/10.1016/j.heliyon.2021.e07536</w:t>
        </w:r>
      </w:hyperlink>
    </w:p>
    <w:p w:rsidR="3E4D7824" w:rsidP="202D31E1" w:rsidRDefault="3E4D7824" w14:paraId="7F9B02F7" w14:textId="0EB1403D">
      <w:pPr>
        <w:pStyle w:val="ListParagraph"/>
        <w:numPr>
          <w:ilvl w:val="0"/>
          <w:numId w:val="22"/>
        </w:numPr>
        <w:spacing w:before="240" w:beforeAutospacing="off" w:after="240" w:afterAutospacing="off"/>
        <w:rPr>
          <w:b w:val="0"/>
          <w:bCs w:val="0"/>
        </w:rPr>
      </w:pPr>
      <w:r w:rsidRPr="202D31E1" w:rsidR="3E4D7824">
        <w:rPr>
          <w:rFonts w:ascii="Times New Roman" w:hAnsi="Times New Roman" w:eastAsia="Times New Roman" w:cs="Times New Roman"/>
          <w:b w:val="0"/>
          <w:bCs w:val="0"/>
          <w:noProof w:val="0"/>
          <w:sz w:val="24"/>
          <w:szCs w:val="24"/>
          <w:lang w:val="en-GB"/>
        </w:rPr>
        <w:t>Fergusson, L.</w:t>
      </w:r>
      <w:r w:rsidRPr="202D31E1" w:rsidR="3E4D7824">
        <w:rPr>
          <w:rFonts w:ascii="Times New Roman" w:hAnsi="Times New Roman" w:eastAsia="Times New Roman" w:cs="Times New Roman"/>
          <w:b w:val="0"/>
          <w:bCs w:val="0"/>
          <w:noProof w:val="0"/>
          <w:sz w:val="24"/>
          <w:szCs w:val="24"/>
          <w:lang w:val="en-GB"/>
        </w:rPr>
        <w:t xml:space="preserve"> (2022) ‘Learning by … Knowledge and skills acquisition through work-based learning and research’, </w:t>
      </w:r>
      <w:r w:rsidRPr="202D31E1" w:rsidR="3E4D7824">
        <w:rPr>
          <w:rFonts w:ascii="Times New Roman" w:hAnsi="Times New Roman" w:eastAsia="Times New Roman" w:cs="Times New Roman"/>
          <w:b w:val="0"/>
          <w:bCs w:val="0"/>
          <w:i w:val="1"/>
          <w:iCs w:val="1"/>
          <w:noProof w:val="0"/>
          <w:sz w:val="24"/>
          <w:szCs w:val="24"/>
          <w:lang w:val="en-GB"/>
        </w:rPr>
        <w:t>Journal of Work-Applied Management</w:t>
      </w:r>
      <w:r w:rsidRPr="202D31E1" w:rsidR="3E4D7824">
        <w:rPr>
          <w:rFonts w:ascii="Times New Roman" w:hAnsi="Times New Roman" w:eastAsia="Times New Roman" w:cs="Times New Roman"/>
          <w:b w:val="0"/>
          <w:bCs w:val="0"/>
          <w:noProof w:val="0"/>
          <w:sz w:val="24"/>
          <w:szCs w:val="24"/>
          <w:lang w:val="en-GB"/>
        </w:rPr>
        <w:t>, 14(2), pp. 184–199.</w:t>
      </w:r>
      <w:r>
        <w:br/>
      </w:r>
      <w:r w:rsidRPr="202D31E1" w:rsidR="3E4D7824">
        <w:rPr>
          <w:rFonts w:ascii="Times New Roman" w:hAnsi="Times New Roman" w:eastAsia="Times New Roman" w:cs="Times New Roman"/>
          <w:b w:val="0"/>
          <w:bCs w:val="0"/>
          <w:noProof w:val="0"/>
          <w:sz w:val="24"/>
          <w:szCs w:val="24"/>
          <w:lang w:val="en-GB"/>
        </w:rPr>
        <w:t xml:space="preserve"> </w:t>
      </w:r>
      <w:hyperlink r:id="Raacf850d881e49fa">
        <w:r w:rsidRPr="202D31E1" w:rsidR="3E4D7824">
          <w:rPr>
            <w:rStyle w:val="Hyperlink"/>
            <w:rFonts w:ascii="Times New Roman" w:hAnsi="Times New Roman" w:eastAsia="Times New Roman" w:cs="Times New Roman"/>
            <w:b w:val="0"/>
            <w:bCs w:val="0"/>
            <w:noProof w:val="0"/>
            <w:sz w:val="24"/>
            <w:szCs w:val="24"/>
            <w:lang w:val="en-GB"/>
          </w:rPr>
          <w:t>https://doi.org/10.1108/JWAM-12-2021-0065</w:t>
        </w:r>
      </w:hyperlink>
    </w:p>
    <w:p w:rsidR="3E4D7824" w:rsidP="202D31E1" w:rsidRDefault="3E4D7824" w14:paraId="55EC0AA1" w14:textId="5FEDF622">
      <w:pPr>
        <w:pStyle w:val="ListParagraph"/>
        <w:numPr>
          <w:ilvl w:val="0"/>
          <w:numId w:val="22"/>
        </w:numPr>
        <w:spacing w:before="240" w:beforeAutospacing="off" w:after="240" w:afterAutospacing="off"/>
        <w:rPr>
          <w:b w:val="0"/>
          <w:bCs w:val="0"/>
        </w:rPr>
      </w:pPr>
      <w:r w:rsidRPr="202D31E1" w:rsidR="3E4D7824">
        <w:rPr>
          <w:rFonts w:ascii="Times New Roman" w:hAnsi="Times New Roman" w:eastAsia="Times New Roman" w:cs="Times New Roman"/>
          <w:b w:val="0"/>
          <w:bCs w:val="0"/>
          <w:noProof w:val="0"/>
          <w:sz w:val="24"/>
          <w:szCs w:val="24"/>
          <w:lang w:val="en-GB"/>
        </w:rPr>
        <w:t>Ghobakhloo, M. &amp; Fathi, M.</w:t>
      </w:r>
      <w:r w:rsidRPr="202D31E1" w:rsidR="3E4D7824">
        <w:rPr>
          <w:rFonts w:ascii="Times New Roman" w:hAnsi="Times New Roman" w:eastAsia="Times New Roman" w:cs="Times New Roman"/>
          <w:b w:val="0"/>
          <w:bCs w:val="0"/>
          <w:noProof w:val="0"/>
          <w:sz w:val="24"/>
          <w:szCs w:val="24"/>
          <w:lang w:val="en-GB"/>
        </w:rPr>
        <w:t xml:space="preserve"> (2020) ‘Corporate survival in Industry 4.0 era: the enabling role of lean-digitized manufacturing’, </w:t>
      </w:r>
      <w:r w:rsidRPr="202D31E1" w:rsidR="3E4D7824">
        <w:rPr>
          <w:rFonts w:ascii="Times New Roman" w:hAnsi="Times New Roman" w:eastAsia="Times New Roman" w:cs="Times New Roman"/>
          <w:b w:val="0"/>
          <w:bCs w:val="0"/>
          <w:i w:val="1"/>
          <w:iCs w:val="1"/>
          <w:noProof w:val="0"/>
          <w:sz w:val="24"/>
          <w:szCs w:val="24"/>
          <w:lang w:val="en-GB"/>
        </w:rPr>
        <w:t>Journal of Manufacturing Technology Management</w:t>
      </w:r>
      <w:r w:rsidRPr="202D31E1" w:rsidR="3E4D7824">
        <w:rPr>
          <w:rFonts w:ascii="Times New Roman" w:hAnsi="Times New Roman" w:eastAsia="Times New Roman" w:cs="Times New Roman"/>
          <w:b w:val="0"/>
          <w:bCs w:val="0"/>
          <w:noProof w:val="0"/>
          <w:sz w:val="24"/>
          <w:szCs w:val="24"/>
          <w:lang w:val="en-GB"/>
        </w:rPr>
        <w:t>, 31(1), pp. 1–30.</w:t>
      </w:r>
      <w:r>
        <w:br/>
      </w:r>
      <w:r w:rsidRPr="202D31E1" w:rsidR="3E4D7824">
        <w:rPr>
          <w:rFonts w:ascii="Times New Roman" w:hAnsi="Times New Roman" w:eastAsia="Times New Roman" w:cs="Times New Roman"/>
          <w:b w:val="0"/>
          <w:bCs w:val="0"/>
          <w:noProof w:val="0"/>
          <w:sz w:val="24"/>
          <w:szCs w:val="24"/>
          <w:lang w:val="en-GB"/>
        </w:rPr>
        <w:t xml:space="preserve"> </w:t>
      </w:r>
      <w:hyperlink r:id="Rb876ed0da55148d4">
        <w:r w:rsidRPr="202D31E1" w:rsidR="3E4D7824">
          <w:rPr>
            <w:rStyle w:val="Hyperlink"/>
            <w:rFonts w:ascii="Times New Roman" w:hAnsi="Times New Roman" w:eastAsia="Times New Roman" w:cs="Times New Roman"/>
            <w:b w:val="0"/>
            <w:bCs w:val="0"/>
            <w:noProof w:val="0"/>
            <w:sz w:val="24"/>
            <w:szCs w:val="24"/>
            <w:lang w:val="en-GB"/>
          </w:rPr>
          <w:t>https://doi.org/10.1108/JMTM-11-2018-0417</w:t>
        </w:r>
      </w:hyperlink>
    </w:p>
    <w:p w:rsidR="3E4D7824" w:rsidP="202D31E1" w:rsidRDefault="3E4D7824" w14:paraId="4B3F3C80" w14:textId="05E833FA">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Letchumanan, V., Amran, M., Ooi, J. &amp; Leong, C.</w:t>
      </w:r>
      <w:r w:rsidRPr="202D31E1" w:rsidR="3E4D7824">
        <w:rPr>
          <w:rFonts w:ascii="Times New Roman" w:hAnsi="Times New Roman" w:eastAsia="Times New Roman" w:cs="Times New Roman"/>
          <w:b w:val="0"/>
          <w:bCs w:val="0"/>
          <w:noProof w:val="0"/>
          <w:sz w:val="24"/>
          <w:szCs w:val="24"/>
          <w:lang w:val="en-GB"/>
        </w:rPr>
        <w:t xml:space="preserve"> (2022) ‘The influence of Green Lean Six Sigma on sustainability performance in digital manufacturing’, </w:t>
      </w:r>
      <w:r w:rsidRPr="202D31E1" w:rsidR="3E4D7824">
        <w:rPr>
          <w:rFonts w:ascii="Times New Roman" w:hAnsi="Times New Roman" w:eastAsia="Times New Roman" w:cs="Times New Roman"/>
          <w:b w:val="0"/>
          <w:bCs w:val="0"/>
          <w:i w:val="1"/>
          <w:iCs w:val="1"/>
          <w:noProof w:val="0"/>
          <w:sz w:val="24"/>
          <w:szCs w:val="24"/>
          <w:lang w:val="en-GB"/>
        </w:rPr>
        <w:t>Sustainability</w:t>
      </w:r>
      <w:r w:rsidRPr="202D31E1" w:rsidR="3E4D7824">
        <w:rPr>
          <w:rFonts w:ascii="Times New Roman" w:hAnsi="Times New Roman" w:eastAsia="Times New Roman" w:cs="Times New Roman"/>
          <w:b w:val="0"/>
          <w:bCs w:val="0"/>
          <w:noProof w:val="0"/>
          <w:sz w:val="24"/>
          <w:szCs w:val="24"/>
          <w:lang w:val="en-GB"/>
        </w:rPr>
        <w:t>, 14(3450), pp. 1–18.</w:t>
      </w:r>
    </w:p>
    <w:p w:rsidR="3E4D7824" w:rsidP="202D31E1" w:rsidRDefault="3E4D7824" w14:paraId="2572D77F" w14:textId="25AB6C26">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Mittal, S., Khan, M., Romero, D. &amp; Wuest, T.</w:t>
      </w:r>
      <w:r w:rsidRPr="202D31E1" w:rsidR="3E4D7824">
        <w:rPr>
          <w:rFonts w:ascii="Times New Roman" w:hAnsi="Times New Roman" w:eastAsia="Times New Roman" w:cs="Times New Roman"/>
          <w:b w:val="0"/>
          <w:bCs w:val="0"/>
          <w:noProof w:val="0"/>
          <w:sz w:val="24"/>
          <w:szCs w:val="24"/>
          <w:lang w:val="en-GB"/>
        </w:rPr>
        <w:t xml:space="preserve"> (2023) ‘A review of smart manufacturing: maturity, enabling technologies and implementation challenges’, </w:t>
      </w:r>
      <w:r w:rsidRPr="202D31E1" w:rsidR="3E4D7824">
        <w:rPr>
          <w:rFonts w:ascii="Times New Roman" w:hAnsi="Times New Roman" w:eastAsia="Times New Roman" w:cs="Times New Roman"/>
          <w:b w:val="0"/>
          <w:bCs w:val="0"/>
          <w:i w:val="1"/>
          <w:iCs w:val="1"/>
          <w:noProof w:val="0"/>
          <w:sz w:val="24"/>
          <w:szCs w:val="24"/>
          <w:lang w:val="en-GB"/>
        </w:rPr>
        <w:t>Procedia Manufacturing</w:t>
      </w:r>
      <w:r w:rsidRPr="202D31E1" w:rsidR="3E4D7824">
        <w:rPr>
          <w:rFonts w:ascii="Times New Roman" w:hAnsi="Times New Roman" w:eastAsia="Times New Roman" w:cs="Times New Roman"/>
          <w:b w:val="0"/>
          <w:bCs w:val="0"/>
          <w:noProof w:val="0"/>
          <w:sz w:val="24"/>
          <w:szCs w:val="24"/>
          <w:lang w:val="en-GB"/>
        </w:rPr>
        <w:t>, 59, pp. 55–72.</w:t>
      </w:r>
    </w:p>
    <w:p w:rsidR="3E4D7824" w:rsidP="202D31E1" w:rsidRDefault="3E4D7824" w14:paraId="7708554D" w14:textId="34D13E90">
      <w:pPr>
        <w:pStyle w:val="ListParagraph"/>
        <w:numPr>
          <w:ilvl w:val="0"/>
          <w:numId w:val="22"/>
        </w:numPr>
        <w:spacing w:before="240" w:beforeAutospacing="off" w:after="240" w:afterAutospacing="off"/>
        <w:rPr>
          <w:b w:val="0"/>
          <w:bCs w:val="0"/>
        </w:rPr>
      </w:pPr>
      <w:r w:rsidRPr="202D31E1" w:rsidR="3E4D7824">
        <w:rPr>
          <w:rFonts w:ascii="Times New Roman" w:hAnsi="Times New Roman" w:eastAsia="Times New Roman" w:cs="Times New Roman"/>
          <w:b w:val="0"/>
          <w:bCs w:val="0"/>
          <w:noProof w:val="0"/>
          <w:sz w:val="24"/>
          <w:szCs w:val="24"/>
          <w:lang w:val="en-GB"/>
        </w:rPr>
        <w:t>Pan, Y. &amp; Zhang, L.</w:t>
      </w:r>
      <w:r w:rsidRPr="202D31E1" w:rsidR="3E4D7824">
        <w:rPr>
          <w:rFonts w:ascii="Times New Roman" w:hAnsi="Times New Roman" w:eastAsia="Times New Roman" w:cs="Times New Roman"/>
          <w:b w:val="0"/>
          <w:bCs w:val="0"/>
          <w:noProof w:val="0"/>
          <w:sz w:val="24"/>
          <w:szCs w:val="24"/>
          <w:lang w:val="en-GB"/>
        </w:rPr>
        <w:t xml:space="preserve"> (2021) ‘Digital-twin-enabled smart industrial systems: conceptual framework, applications and challenges’, </w:t>
      </w:r>
      <w:r w:rsidRPr="202D31E1" w:rsidR="3E4D7824">
        <w:rPr>
          <w:rFonts w:ascii="Times New Roman" w:hAnsi="Times New Roman" w:eastAsia="Times New Roman" w:cs="Times New Roman"/>
          <w:b w:val="0"/>
          <w:bCs w:val="0"/>
          <w:i w:val="1"/>
          <w:iCs w:val="1"/>
          <w:noProof w:val="0"/>
          <w:sz w:val="24"/>
          <w:szCs w:val="24"/>
          <w:lang w:val="en-GB"/>
        </w:rPr>
        <w:t>Advanced Engineering Informatics</w:t>
      </w:r>
      <w:r w:rsidRPr="202D31E1" w:rsidR="3E4D7824">
        <w:rPr>
          <w:rFonts w:ascii="Times New Roman" w:hAnsi="Times New Roman" w:eastAsia="Times New Roman" w:cs="Times New Roman"/>
          <w:b w:val="0"/>
          <w:bCs w:val="0"/>
          <w:noProof w:val="0"/>
          <w:sz w:val="24"/>
          <w:szCs w:val="24"/>
          <w:lang w:val="en-GB"/>
        </w:rPr>
        <w:t>, 48, pp. 1–13.</w:t>
      </w:r>
      <w:r>
        <w:br/>
      </w:r>
      <w:r w:rsidRPr="202D31E1" w:rsidR="3E4D7824">
        <w:rPr>
          <w:rFonts w:ascii="Times New Roman" w:hAnsi="Times New Roman" w:eastAsia="Times New Roman" w:cs="Times New Roman"/>
          <w:b w:val="0"/>
          <w:bCs w:val="0"/>
          <w:noProof w:val="0"/>
          <w:sz w:val="24"/>
          <w:szCs w:val="24"/>
          <w:lang w:val="en-GB"/>
        </w:rPr>
        <w:t xml:space="preserve"> </w:t>
      </w:r>
      <w:hyperlink r:id="Rcfd7bd04b7584ba5">
        <w:r w:rsidRPr="202D31E1" w:rsidR="3E4D7824">
          <w:rPr>
            <w:rStyle w:val="Hyperlink"/>
            <w:rFonts w:ascii="Times New Roman" w:hAnsi="Times New Roman" w:eastAsia="Times New Roman" w:cs="Times New Roman"/>
            <w:b w:val="0"/>
            <w:bCs w:val="0"/>
            <w:noProof w:val="0"/>
            <w:sz w:val="24"/>
            <w:szCs w:val="24"/>
            <w:lang w:val="en-GB"/>
          </w:rPr>
          <w:t>https://doi.org/10.1016/j.aei.2021.101299</w:t>
        </w:r>
      </w:hyperlink>
    </w:p>
    <w:p w:rsidR="3E4D7824" w:rsidP="202D31E1" w:rsidRDefault="3E4D7824" w14:paraId="186A0045" w14:textId="2C22BA3F">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 xml:space="preserve">PMI – Project Management Institute (2021) </w:t>
      </w:r>
      <w:r w:rsidRPr="202D31E1" w:rsidR="3E4D7824">
        <w:rPr>
          <w:rFonts w:ascii="Times New Roman" w:hAnsi="Times New Roman" w:eastAsia="Times New Roman" w:cs="Times New Roman"/>
          <w:b w:val="0"/>
          <w:bCs w:val="0"/>
          <w:i w:val="1"/>
          <w:iCs w:val="1"/>
          <w:noProof w:val="0"/>
          <w:sz w:val="24"/>
          <w:szCs w:val="24"/>
          <w:lang w:val="en-GB"/>
        </w:rPr>
        <w:t>A Guide to the Project Management Body of Knowledge (PMBOK® Guide) – Seventh Edition</w:t>
      </w:r>
      <w:r w:rsidRPr="202D31E1" w:rsidR="3E4D7824">
        <w:rPr>
          <w:rFonts w:ascii="Times New Roman" w:hAnsi="Times New Roman" w:eastAsia="Times New Roman" w:cs="Times New Roman"/>
          <w:b w:val="0"/>
          <w:bCs w:val="0"/>
          <w:noProof w:val="0"/>
          <w:sz w:val="24"/>
          <w:szCs w:val="24"/>
          <w:lang w:val="en-GB"/>
        </w:rPr>
        <w:t>. Newtown Square, PA: PMI.</w:t>
      </w:r>
    </w:p>
    <w:p w:rsidR="3E4D7824" w:rsidP="202D31E1" w:rsidRDefault="3E4D7824" w14:paraId="7A049F37" w14:textId="2B19C3B6">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 xml:space="preserve">Pop, A.B., </w:t>
      </w:r>
      <w:bookmarkStart w:name="_Int_UBz1YOSI" w:id="1942586510"/>
      <w:r w:rsidRPr="202D31E1" w:rsidR="3E4D7824">
        <w:rPr>
          <w:rFonts w:ascii="Times New Roman" w:hAnsi="Times New Roman" w:eastAsia="Times New Roman" w:cs="Times New Roman"/>
          <w:b w:val="0"/>
          <w:bCs w:val="0"/>
          <w:noProof w:val="0"/>
          <w:sz w:val="24"/>
          <w:szCs w:val="24"/>
          <w:lang w:val="en-GB"/>
        </w:rPr>
        <w:t>Tîtu</w:t>
      </w:r>
      <w:bookmarkEnd w:id="1942586510"/>
      <w:r w:rsidRPr="202D31E1" w:rsidR="3E4D7824">
        <w:rPr>
          <w:rFonts w:ascii="Times New Roman" w:hAnsi="Times New Roman" w:eastAsia="Times New Roman" w:cs="Times New Roman"/>
          <w:b w:val="0"/>
          <w:bCs w:val="0"/>
          <w:noProof w:val="0"/>
          <w:sz w:val="24"/>
          <w:szCs w:val="24"/>
          <w:lang w:val="en-GB"/>
        </w:rPr>
        <w:t xml:space="preserve">, A.M. &amp; </w:t>
      </w:r>
      <w:r w:rsidRPr="202D31E1" w:rsidR="3E4D7824">
        <w:rPr>
          <w:rFonts w:ascii="Times New Roman" w:hAnsi="Times New Roman" w:eastAsia="Times New Roman" w:cs="Times New Roman"/>
          <w:b w:val="0"/>
          <w:bCs w:val="0"/>
          <w:noProof w:val="0"/>
          <w:sz w:val="24"/>
          <w:szCs w:val="24"/>
          <w:lang w:val="en-GB"/>
        </w:rPr>
        <w:t>Drenta</w:t>
      </w:r>
      <w:r w:rsidRPr="202D31E1" w:rsidR="3E4D7824">
        <w:rPr>
          <w:rFonts w:ascii="Times New Roman" w:hAnsi="Times New Roman" w:eastAsia="Times New Roman" w:cs="Times New Roman"/>
          <w:b w:val="0"/>
          <w:bCs w:val="0"/>
          <w:noProof w:val="0"/>
          <w:sz w:val="24"/>
          <w:szCs w:val="24"/>
          <w:lang w:val="en-GB"/>
        </w:rPr>
        <w:t xml:space="preserve">, R.F. (2024) ‘Trends, challenges and opportunities of digital manufacturing in the age of Industry 4.0’, </w:t>
      </w:r>
      <w:r w:rsidRPr="202D31E1" w:rsidR="3E4D7824">
        <w:rPr>
          <w:rFonts w:ascii="Times New Roman" w:hAnsi="Times New Roman" w:eastAsia="Times New Roman" w:cs="Times New Roman"/>
          <w:b w:val="0"/>
          <w:bCs w:val="0"/>
          <w:i w:val="1"/>
          <w:iCs w:val="1"/>
          <w:noProof w:val="0"/>
          <w:sz w:val="24"/>
          <w:szCs w:val="24"/>
          <w:lang w:val="en-GB"/>
        </w:rPr>
        <w:t>International Journal of Mechatronics and Applied Mechanics</w:t>
      </w:r>
      <w:r w:rsidRPr="202D31E1" w:rsidR="3E4D7824">
        <w:rPr>
          <w:rFonts w:ascii="Times New Roman" w:hAnsi="Times New Roman" w:eastAsia="Times New Roman" w:cs="Times New Roman"/>
          <w:b w:val="0"/>
          <w:bCs w:val="0"/>
          <w:noProof w:val="0"/>
          <w:sz w:val="24"/>
          <w:szCs w:val="24"/>
          <w:lang w:val="en-GB"/>
        </w:rPr>
        <w:t>, 16, pp. 50–57.</w:t>
      </w:r>
    </w:p>
    <w:p w:rsidR="3E4D7824" w:rsidP="202D31E1" w:rsidRDefault="3E4D7824" w14:paraId="37889528" w14:textId="07EA6387">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Raoufi, K. et al.</w:t>
      </w:r>
      <w:r w:rsidRPr="202D31E1" w:rsidR="3E4D7824">
        <w:rPr>
          <w:rFonts w:ascii="Times New Roman" w:hAnsi="Times New Roman" w:eastAsia="Times New Roman" w:cs="Times New Roman"/>
          <w:b w:val="0"/>
          <w:bCs w:val="0"/>
          <w:noProof w:val="0"/>
          <w:sz w:val="24"/>
          <w:szCs w:val="24"/>
          <w:lang w:val="en-GB"/>
        </w:rPr>
        <w:t xml:space="preserve"> (2024) ‘Current state and emerging trends in advanced manufacturing: smart systems’, </w:t>
      </w:r>
      <w:r w:rsidRPr="202D31E1" w:rsidR="3E4D7824">
        <w:rPr>
          <w:rFonts w:ascii="Times New Roman" w:hAnsi="Times New Roman" w:eastAsia="Times New Roman" w:cs="Times New Roman"/>
          <w:b w:val="0"/>
          <w:bCs w:val="0"/>
          <w:i w:val="1"/>
          <w:iCs w:val="1"/>
          <w:noProof w:val="0"/>
          <w:sz w:val="24"/>
          <w:szCs w:val="24"/>
          <w:lang w:val="en-GB"/>
        </w:rPr>
        <w:t>The International Journal of Advanced Manufacturing Technology</w:t>
      </w:r>
      <w:r w:rsidRPr="202D31E1" w:rsidR="3E4D7824">
        <w:rPr>
          <w:rFonts w:ascii="Times New Roman" w:hAnsi="Times New Roman" w:eastAsia="Times New Roman" w:cs="Times New Roman"/>
          <w:b w:val="0"/>
          <w:bCs w:val="0"/>
          <w:noProof w:val="0"/>
          <w:sz w:val="24"/>
          <w:szCs w:val="24"/>
          <w:lang w:val="en-GB"/>
        </w:rPr>
        <w:t>, 134(7), pp. 3031–3050.</w:t>
      </w:r>
    </w:p>
    <w:p w:rsidR="3E4D7824" w:rsidP="202D31E1" w:rsidRDefault="3E4D7824" w14:paraId="67C66AB4" w14:textId="39F817A4">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Reiff, M. &amp; Schlegel, A.</w:t>
      </w:r>
      <w:r w:rsidRPr="202D31E1" w:rsidR="3E4D7824">
        <w:rPr>
          <w:rFonts w:ascii="Times New Roman" w:hAnsi="Times New Roman" w:eastAsia="Times New Roman" w:cs="Times New Roman"/>
          <w:b w:val="0"/>
          <w:bCs w:val="0"/>
          <w:noProof w:val="0"/>
          <w:sz w:val="24"/>
          <w:szCs w:val="24"/>
          <w:lang w:val="en-GB"/>
        </w:rPr>
        <w:t xml:space="preserve"> (2022) ‘Hybrid project management in digital transformation: integrating agility with structure’, </w:t>
      </w:r>
      <w:r w:rsidRPr="202D31E1" w:rsidR="3E4D7824">
        <w:rPr>
          <w:rFonts w:ascii="Times New Roman" w:hAnsi="Times New Roman" w:eastAsia="Times New Roman" w:cs="Times New Roman"/>
          <w:b w:val="0"/>
          <w:bCs w:val="0"/>
          <w:i w:val="1"/>
          <w:iCs w:val="1"/>
          <w:noProof w:val="0"/>
          <w:sz w:val="24"/>
          <w:szCs w:val="24"/>
          <w:lang w:val="en-GB"/>
        </w:rPr>
        <w:t>International Journal of Project Management</w:t>
      </w:r>
      <w:r w:rsidRPr="202D31E1" w:rsidR="3E4D7824">
        <w:rPr>
          <w:rFonts w:ascii="Times New Roman" w:hAnsi="Times New Roman" w:eastAsia="Times New Roman" w:cs="Times New Roman"/>
          <w:b w:val="0"/>
          <w:bCs w:val="0"/>
          <w:noProof w:val="0"/>
          <w:sz w:val="24"/>
          <w:szCs w:val="24"/>
          <w:lang w:val="en-GB"/>
        </w:rPr>
        <w:t>, 40(6), pp. 572–584.</w:t>
      </w:r>
    </w:p>
    <w:p w:rsidR="3E4D7824" w:rsidP="202D31E1" w:rsidRDefault="3E4D7824" w14:paraId="63919DFE" w14:textId="0368B3EC">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Santos, M.D.C.B. &amp; de Almeida, M.F.L.</w:t>
      </w:r>
      <w:r w:rsidRPr="202D31E1" w:rsidR="3E4D7824">
        <w:rPr>
          <w:rFonts w:ascii="Times New Roman" w:hAnsi="Times New Roman" w:eastAsia="Times New Roman" w:cs="Times New Roman"/>
          <w:b w:val="0"/>
          <w:bCs w:val="0"/>
          <w:noProof w:val="0"/>
          <w:sz w:val="24"/>
          <w:szCs w:val="24"/>
          <w:lang w:val="en-GB"/>
        </w:rPr>
        <w:t xml:space="preserve"> (2022) ‘Self-assessment model based on ISO 56002:2019 for evaluating innovation management systems’, </w:t>
      </w:r>
      <w:r w:rsidRPr="202D31E1" w:rsidR="3E4D7824">
        <w:rPr>
          <w:rFonts w:ascii="Times New Roman" w:hAnsi="Times New Roman" w:eastAsia="Times New Roman" w:cs="Times New Roman"/>
          <w:b w:val="0"/>
          <w:bCs w:val="0"/>
          <w:i w:val="1"/>
          <w:iCs w:val="1"/>
          <w:noProof w:val="0"/>
          <w:sz w:val="24"/>
          <w:szCs w:val="24"/>
          <w:lang w:val="en-GB"/>
        </w:rPr>
        <w:t>2022 IEEE ICE/ITMC Conference Proceedings</w:t>
      </w:r>
      <w:r w:rsidRPr="202D31E1" w:rsidR="3E4D7824">
        <w:rPr>
          <w:rFonts w:ascii="Times New Roman" w:hAnsi="Times New Roman" w:eastAsia="Times New Roman" w:cs="Times New Roman"/>
          <w:b w:val="0"/>
          <w:bCs w:val="0"/>
          <w:noProof w:val="0"/>
          <w:sz w:val="24"/>
          <w:szCs w:val="24"/>
          <w:lang w:val="en-GB"/>
        </w:rPr>
        <w:t>, pp. 1–9.</w:t>
      </w:r>
    </w:p>
    <w:p w:rsidR="3E4D7824" w:rsidP="202D31E1" w:rsidRDefault="3E4D7824" w14:paraId="706B496F" w14:textId="206A8F58">
      <w:pPr>
        <w:pStyle w:val="ListParagraph"/>
        <w:numPr>
          <w:ilvl w:val="0"/>
          <w:numId w:val="22"/>
        </w:numPr>
        <w:spacing w:before="240" w:beforeAutospacing="off" w:after="240" w:afterAutospacing="off"/>
        <w:rPr>
          <w:b w:val="0"/>
          <w:bCs w:val="0"/>
        </w:rPr>
      </w:pPr>
      <w:r w:rsidRPr="202D31E1" w:rsidR="3E4D7824">
        <w:rPr>
          <w:rFonts w:ascii="Times New Roman" w:hAnsi="Times New Roman" w:eastAsia="Times New Roman" w:cs="Times New Roman"/>
          <w:b w:val="0"/>
          <w:bCs w:val="0"/>
          <w:noProof w:val="0"/>
          <w:sz w:val="24"/>
          <w:szCs w:val="24"/>
          <w:lang w:val="en-GB"/>
        </w:rPr>
        <w:t>Sony, M. &amp; Naik, S.</w:t>
      </w:r>
      <w:r w:rsidRPr="202D31E1" w:rsidR="3E4D7824">
        <w:rPr>
          <w:rFonts w:ascii="Times New Roman" w:hAnsi="Times New Roman" w:eastAsia="Times New Roman" w:cs="Times New Roman"/>
          <w:b w:val="0"/>
          <w:bCs w:val="0"/>
          <w:noProof w:val="0"/>
          <w:sz w:val="24"/>
          <w:szCs w:val="24"/>
          <w:lang w:val="en-GB"/>
        </w:rPr>
        <w:t xml:space="preserve"> (2019) ‘Critical factors for successful implementation of Industry 4.0: a review and future research direction’, </w:t>
      </w:r>
      <w:r w:rsidRPr="202D31E1" w:rsidR="3E4D7824">
        <w:rPr>
          <w:rFonts w:ascii="Times New Roman" w:hAnsi="Times New Roman" w:eastAsia="Times New Roman" w:cs="Times New Roman"/>
          <w:b w:val="0"/>
          <w:bCs w:val="0"/>
          <w:i w:val="1"/>
          <w:iCs w:val="1"/>
          <w:noProof w:val="0"/>
          <w:sz w:val="24"/>
          <w:szCs w:val="24"/>
          <w:lang w:val="en-GB"/>
        </w:rPr>
        <w:t>Production Planning &amp; Control</w:t>
      </w:r>
      <w:r w:rsidRPr="202D31E1" w:rsidR="3E4D7824">
        <w:rPr>
          <w:rFonts w:ascii="Times New Roman" w:hAnsi="Times New Roman" w:eastAsia="Times New Roman" w:cs="Times New Roman"/>
          <w:b w:val="0"/>
          <w:bCs w:val="0"/>
          <w:noProof w:val="0"/>
          <w:sz w:val="24"/>
          <w:szCs w:val="24"/>
          <w:lang w:val="en-GB"/>
        </w:rPr>
        <w:t>, 31(10), pp. 799–815.</w:t>
      </w:r>
      <w:r>
        <w:br/>
      </w:r>
      <w:r w:rsidRPr="202D31E1" w:rsidR="3E4D7824">
        <w:rPr>
          <w:rFonts w:ascii="Times New Roman" w:hAnsi="Times New Roman" w:eastAsia="Times New Roman" w:cs="Times New Roman"/>
          <w:b w:val="0"/>
          <w:bCs w:val="0"/>
          <w:noProof w:val="0"/>
          <w:sz w:val="24"/>
          <w:szCs w:val="24"/>
          <w:lang w:val="en-GB"/>
        </w:rPr>
        <w:t xml:space="preserve"> </w:t>
      </w:r>
      <w:hyperlink r:id="Rd945d790abf74798">
        <w:r w:rsidRPr="202D31E1" w:rsidR="3E4D7824">
          <w:rPr>
            <w:rStyle w:val="Hyperlink"/>
            <w:rFonts w:ascii="Times New Roman" w:hAnsi="Times New Roman" w:eastAsia="Times New Roman" w:cs="Times New Roman"/>
            <w:b w:val="0"/>
            <w:bCs w:val="0"/>
            <w:noProof w:val="0"/>
            <w:sz w:val="24"/>
            <w:szCs w:val="24"/>
            <w:lang w:val="en-GB"/>
          </w:rPr>
          <w:t>https://doi.org/10.1080/09537287.2019.1691278</w:t>
        </w:r>
      </w:hyperlink>
    </w:p>
    <w:p w:rsidR="3E4D7824" w:rsidP="202D31E1" w:rsidRDefault="3E4D7824" w14:paraId="07DDDCD1" w14:textId="0C39E0D5">
      <w:pPr>
        <w:pStyle w:val="ListParagraph"/>
        <w:numPr>
          <w:ilvl w:val="0"/>
          <w:numId w:val="22"/>
        </w:numPr>
        <w:spacing w:before="240" w:beforeAutospacing="off" w:after="240" w:afterAutospacing="off"/>
        <w:rPr>
          <w:rFonts w:ascii="Times New Roman" w:hAnsi="Times New Roman" w:eastAsia="Times New Roman" w:cs="Times New Roman"/>
          <w:b w:val="0"/>
          <w:bCs w:val="0"/>
          <w:noProof w:val="0"/>
          <w:sz w:val="24"/>
          <w:szCs w:val="24"/>
          <w:lang w:val="en-GB"/>
        </w:rPr>
      </w:pPr>
      <w:r w:rsidRPr="202D31E1" w:rsidR="3E4D7824">
        <w:rPr>
          <w:rFonts w:ascii="Times New Roman" w:hAnsi="Times New Roman" w:eastAsia="Times New Roman" w:cs="Times New Roman"/>
          <w:b w:val="0"/>
          <w:bCs w:val="0"/>
          <w:noProof w:val="0"/>
          <w:sz w:val="24"/>
          <w:szCs w:val="24"/>
          <w:lang w:val="en-GB"/>
        </w:rPr>
        <w:t>Yadav, G. et al.</w:t>
      </w:r>
      <w:r w:rsidRPr="202D31E1" w:rsidR="3E4D7824">
        <w:rPr>
          <w:rFonts w:ascii="Times New Roman" w:hAnsi="Times New Roman" w:eastAsia="Times New Roman" w:cs="Times New Roman"/>
          <w:b w:val="0"/>
          <w:bCs w:val="0"/>
          <w:noProof w:val="0"/>
          <w:sz w:val="24"/>
          <w:szCs w:val="24"/>
          <w:lang w:val="en-GB"/>
        </w:rPr>
        <w:t xml:space="preserve"> (2021) ‘The role of Quality 4.0 technologies in Lean Six Sigma: a systematic review’, </w:t>
      </w:r>
      <w:r w:rsidRPr="202D31E1" w:rsidR="3E4D7824">
        <w:rPr>
          <w:rFonts w:ascii="Times New Roman" w:hAnsi="Times New Roman" w:eastAsia="Times New Roman" w:cs="Times New Roman"/>
          <w:b w:val="0"/>
          <w:bCs w:val="0"/>
          <w:i w:val="1"/>
          <w:iCs w:val="1"/>
          <w:noProof w:val="0"/>
          <w:sz w:val="24"/>
          <w:szCs w:val="24"/>
          <w:lang w:val="en-GB"/>
        </w:rPr>
        <w:t>International Journal of Production Research</w:t>
      </w:r>
      <w:r w:rsidRPr="202D31E1" w:rsidR="3E4D7824">
        <w:rPr>
          <w:rFonts w:ascii="Times New Roman" w:hAnsi="Times New Roman" w:eastAsia="Times New Roman" w:cs="Times New Roman"/>
          <w:b w:val="0"/>
          <w:bCs w:val="0"/>
          <w:noProof w:val="0"/>
          <w:sz w:val="24"/>
          <w:szCs w:val="24"/>
          <w:lang w:val="en-GB"/>
        </w:rPr>
        <w:t>, 59(16), pp. 4876–4897.</w:t>
      </w:r>
    </w:p>
    <w:p w:rsidR="202D31E1" w:rsidP="202D31E1" w:rsidRDefault="202D31E1" w14:paraId="46E65BCF" w14:textId="4A1D1F41">
      <w:pPr>
        <w:pStyle w:val="Heading1"/>
        <w:numPr>
          <w:ilvl w:val="0"/>
          <w:numId w:val="0"/>
        </w:numPr>
        <w:ind w:left="0"/>
      </w:pPr>
    </w:p>
    <w:p w:rsidR="202D31E1" w:rsidRDefault="202D31E1" w14:paraId="2A495B4E" w14:textId="58C0D719">
      <w:r>
        <w:br w:type="page"/>
      </w:r>
    </w:p>
    <w:p w:rsidR="6F1FC9B8" w:rsidP="202D31E1" w:rsidRDefault="6F1FC9B8" w14:paraId="1F278533" w14:textId="2C900804">
      <w:pPr>
        <w:pStyle w:val="Heading1"/>
        <w:numPr>
          <w:ilvl w:val="0"/>
          <w:numId w:val="0"/>
        </w:numPr>
        <w:ind w:left="0"/>
      </w:pPr>
      <w:bookmarkStart w:name="_Toc1229525826" w:id="2058310495"/>
      <w:r w:rsidR="6F1FC9B8">
        <w:rPr/>
        <w:t>12. Appendix</w:t>
      </w:r>
      <w:bookmarkEnd w:id="2058310495"/>
      <w:r w:rsidR="6F1FC9B8">
        <w:rPr/>
        <w:t xml:space="preserve"> </w:t>
      </w:r>
    </w:p>
    <w:p w:rsidR="34E85684" w:rsidP="202D31E1" w:rsidRDefault="34E85684" w14:paraId="593F3EFD" w14:textId="5DA9B469">
      <w:pPr>
        <w:pStyle w:val="Heading2"/>
      </w:pPr>
      <w:bookmarkStart w:name="_Toc1037395484" w:id="520353201"/>
      <w:r w:rsidR="34E85684">
        <w:rPr/>
        <w:t>12.1 Appendix A – Project Assumption Log</w:t>
      </w:r>
      <w:bookmarkEnd w:id="520353201"/>
    </w:p>
    <w:tbl>
      <w:tblPr>
        <w:tblStyle w:val="TableNormal"/>
        <w:bidiVisual w:val="0"/>
        <w:tblW w:w="0" w:type="auto"/>
        <w:tblLook w:val="06A0" w:firstRow="1" w:lastRow="0" w:firstColumn="1" w:lastColumn="0" w:noHBand="1" w:noVBand="1"/>
      </w:tblPr>
      <w:tblGrid>
        <w:gridCol w:w="1231"/>
        <w:gridCol w:w="3911"/>
        <w:gridCol w:w="3387"/>
      </w:tblGrid>
      <w:tr w:rsidR="202D31E1" w:rsidTr="202D31E1" w14:paraId="5EFB6FD9">
        <w:trPr>
          <w:trHeight w:val="630"/>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D3AF934" w14:textId="4EFBE889">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2"/>
                <w:szCs w:val="22"/>
                <w:u w:val="none"/>
              </w:rPr>
              <w:t>ID</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CDD8620" w14:textId="572D8B87">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2"/>
                <w:szCs w:val="22"/>
                <w:u w:val="none"/>
              </w:rPr>
              <w:t>Assumption</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CF89C6D" w14:textId="4B3ED513">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2"/>
                <w:szCs w:val="22"/>
                <w:u w:val="none"/>
              </w:rPr>
              <w:t>Reasoning / Justification</w:t>
            </w:r>
          </w:p>
        </w:tc>
      </w:tr>
      <w:tr w:rsidR="202D31E1" w:rsidTr="202D31E1" w14:paraId="0A3B9491">
        <w:trPr>
          <w:trHeight w:val="630"/>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5A6966F" w14:textId="65F0A207">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A1</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2499957" w14:textId="295BE464">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Supplier delivers MELTIO equipment within agreed lead time.</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E4FCE99" w14:textId="317DCEA9">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Delivery delays would affect installation sequencing.</w:t>
            </w:r>
          </w:p>
        </w:tc>
      </w:tr>
      <w:tr w:rsidR="202D31E1" w:rsidTr="202D31E1" w14:paraId="40757329">
        <w:trPr>
          <w:trHeight w:val="945"/>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DAE31F0" w14:textId="3E9700A2">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A2</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444AC37" w14:textId="4ABEB6E4">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Existing electrical and floor infrastructure can support MELTIO with minor adjustments.</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45535A9" w14:textId="4EDDCB3C">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No structural changes are in scope.</w:t>
            </w:r>
          </w:p>
        </w:tc>
      </w:tr>
      <w:tr w:rsidR="202D31E1" w:rsidTr="202D31E1" w14:paraId="35CDA3FF">
        <w:trPr>
          <w:trHeight w:val="945"/>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CA7609E" w14:textId="7BFA0C78">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A3</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F3CAB82" w14:textId="65FAD2E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Operators and supervisors are available for scheduled training sessions.</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8829228" w14:textId="7816659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Training is required before live production.</w:t>
            </w:r>
          </w:p>
        </w:tc>
      </w:tr>
      <w:tr w:rsidR="202D31E1" w:rsidTr="202D31E1" w14:paraId="1D175CD2">
        <w:trPr>
          <w:trHeight w:val="630"/>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4CD1BB7" w14:textId="5F2ABDDD">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A4</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15D6126" w14:textId="3F1265F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CNC machine decommissioning will not disrupt active customer orders.</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3E87898" w14:textId="7203806D">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OTTT performance must be maintained during transition.</w:t>
            </w:r>
          </w:p>
        </w:tc>
      </w:tr>
      <w:tr w:rsidR="202D31E1" w:rsidTr="202D31E1" w14:paraId="196BA664">
        <w:trPr>
          <w:trHeight w:val="630"/>
        </w:trPr>
        <w:tc>
          <w:tcPr>
            <w:tcW w:w="123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F9E1E52" w14:textId="784CEE9B">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A5</w:t>
            </w:r>
          </w:p>
        </w:tc>
        <w:tc>
          <w:tcPr>
            <w:tcW w:w="391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CFC5924" w14:textId="2ED5A32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Digital monitoring tools integrate successfully with existing systems.</w:t>
            </w:r>
          </w:p>
        </w:tc>
        <w:tc>
          <w:tcPr>
            <w:tcW w:w="3387"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97FBD63" w14:textId="7B471467">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2"/>
                <w:szCs w:val="22"/>
                <w:u w:val="none"/>
              </w:rPr>
              <w:t>Reporting targets depend on accurate data capture.</w:t>
            </w:r>
          </w:p>
        </w:tc>
      </w:tr>
    </w:tbl>
    <w:p w:rsidR="202D31E1" w:rsidP="202D31E1" w:rsidRDefault="202D31E1" w14:paraId="71F53BAD" w14:textId="5A12480D">
      <w:pPr>
        <w:pStyle w:val="Normal"/>
      </w:pPr>
    </w:p>
    <w:p w:rsidR="5B2C3B6B" w:rsidP="202D31E1" w:rsidRDefault="5B2C3B6B" w14:paraId="7DA86001" w14:textId="6EB4EC08">
      <w:pPr>
        <w:pStyle w:val="Heading2"/>
      </w:pPr>
      <w:bookmarkStart w:name="_Toc1306947806" w:id="280834181"/>
      <w:r w:rsidR="5B2C3B6B">
        <w:rPr/>
        <w:t>12.2 Appendix</w:t>
      </w:r>
      <w:r w:rsidR="5B2C3B6B">
        <w:rPr/>
        <w:t xml:space="preserve"> B - </w:t>
      </w:r>
      <w:r w:rsidR="15B21B1B">
        <w:rPr/>
        <w:t>Training Needs Summary</w:t>
      </w:r>
      <w:bookmarkEnd w:id="280834181"/>
      <w:r w:rsidR="15B21B1B">
        <w:rPr/>
        <w:t xml:space="preserve"> </w:t>
      </w:r>
    </w:p>
    <w:tbl>
      <w:tblPr>
        <w:tblStyle w:val="TableNormal"/>
        <w:bidiVisual w:val="0"/>
        <w:tblW w:w="0" w:type="auto"/>
        <w:tblLook w:val="06A0" w:firstRow="1" w:lastRow="0" w:firstColumn="1" w:lastColumn="0" w:noHBand="1" w:noVBand="1"/>
      </w:tblPr>
      <w:tblGrid>
        <w:gridCol w:w="1966"/>
        <w:gridCol w:w="3020"/>
        <w:gridCol w:w="2896"/>
        <w:gridCol w:w="2083"/>
      </w:tblGrid>
      <w:tr w:rsidR="202D31E1" w:rsidTr="202D31E1" w14:paraId="760D3B6C">
        <w:trPr>
          <w:trHeight w:val="315"/>
        </w:trPr>
        <w:tc>
          <w:tcPr>
            <w:tcW w:w="1966" w:type="dxa"/>
            <w:tcBorders>
              <w:top w:val="single" w:sz="4"/>
              <w:left w:val="single" w:sz="4"/>
              <w:bottom w:val="single" w:sz="4"/>
              <w:right w:val="single" w:sz="4"/>
            </w:tcBorders>
            <w:tcMar>
              <w:top w:w="15" w:type="dxa"/>
              <w:left w:w="15" w:type="dxa"/>
              <w:right w:w="15" w:type="dxa"/>
            </w:tcMar>
            <w:vAlign w:val="bottom"/>
          </w:tcPr>
          <w:p w:rsidR="202D31E1" w:rsidP="202D31E1" w:rsidRDefault="202D31E1" w14:paraId="6C29A1E7" w14:textId="06948963">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Role</w:t>
            </w:r>
          </w:p>
        </w:tc>
        <w:tc>
          <w:tcPr>
            <w:tcW w:w="3020" w:type="dxa"/>
            <w:tcBorders>
              <w:top w:val="single" w:sz="4"/>
              <w:left w:val="single" w:sz="4"/>
              <w:bottom w:val="single" w:sz="4"/>
              <w:right w:val="single" w:sz="4"/>
            </w:tcBorders>
            <w:tcMar>
              <w:top w:w="15" w:type="dxa"/>
              <w:left w:w="15" w:type="dxa"/>
              <w:right w:w="15" w:type="dxa"/>
            </w:tcMar>
            <w:vAlign w:val="bottom"/>
          </w:tcPr>
          <w:p w:rsidR="202D31E1" w:rsidP="202D31E1" w:rsidRDefault="202D31E1" w14:paraId="54614671" w14:textId="4E2700B6">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Training Required</w:t>
            </w:r>
          </w:p>
        </w:tc>
        <w:tc>
          <w:tcPr>
            <w:tcW w:w="2896" w:type="dxa"/>
            <w:tcBorders>
              <w:top w:val="single" w:sz="4"/>
              <w:left w:val="single" w:sz="4"/>
              <w:bottom w:val="single" w:sz="4"/>
              <w:right w:val="single" w:sz="4"/>
            </w:tcBorders>
            <w:tcMar>
              <w:top w:w="15" w:type="dxa"/>
              <w:left w:w="15" w:type="dxa"/>
              <w:right w:w="15" w:type="dxa"/>
            </w:tcMar>
            <w:vAlign w:val="bottom"/>
          </w:tcPr>
          <w:p w:rsidR="202D31E1" w:rsidP="202D31E1" w:rsidRDefault="202D31E1" w14:paraId="11ABFB8F" w14:textId="711E772F">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Purpose of Training</w:t>
            </w:r>
          </w:p>
        </w:tc>
        <w:tc>
          <w:tcPr>
            <w:tcW w:w="2083" w:type="dxa"/>
            <w:tcBorders>
              <w:top w:val="single" w:sz="4"/>
              <w:left w:val="single" w:sz="4"/>
              <w:bottom w:val="single" w:sz="4"/>
              <w:right w:val="single" w:sz="4"/>
            </w:tcBorders>
            <w:tcMar>
              <w:top w:w="15" w:type="dxa"/>
              <w:left w:w="15" w:type="dxa"/>
              <w:right w:w="15" w:type="dxa"/>
            </w:tcMar>
            <w:vAlign w:val="bottom"/>
          </w:tcPr>
          <w:p w:rsidR="202D31E1" w:rsidP="202D31E1" w:rsidRDefault="202D31E1" w14:paraId="0D822448" w14:textId="17BE781A">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Provider</w:t>
            </w:r>
          </w:p>
        </w:tc>
      </w:tr>
      <w:tr w:rsidR="202D31E1" w:rsidTr="202D31E1" w14:paraId="3113EC89">
        <w:trPr>
          <w:trHeight w:val="795"/>
        </w:trPr>
        <w:tc>
          <w:tcPr>
            <w:tcW w:w="196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F17CEE8" w14:textId="09A51578">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Operators</w:t>
            </w:r>
          </w:p>
        </w:tc>
        <w:tc>
          <w:tcPr>
            <w:tcW w:w="302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051B74F" w14:textId="2FB9FB0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MELTIO operation &amp; safety</w:t>
            </w:r>
          </w:p>
        </w:tc>
        <w:tc>
          <w:tcPr>
            <w:tcW w:w="289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EBE05E1" w14:textId="2FD95CA8">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Enable day-to-day use of AM system.</w:t>
            </w:r>
          </w:p>
        </w:tc>
        <w:tc>
          <w:tcPr>
            <w:tcW w:w="208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796F2F6" w14:textId="5BD068DA">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MELTIO Technicians</w:t>
            </w:r>
          </w:p>
        </w:tc>
      </w:tr>
      <w:tr w:rsidR="202D31E1" w:rsidTr="202D31E1" w14:paraId="54534126">
        <w:trPr>
          <w:trHeight w:val="795"/>
        </w:trPr>
        <w:tc>
          <w:tcPr>
            <w:tcW w:w="196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9CDCAAD" w14:textId="3EE8B9B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Supervisors</w:t>
            </w:r>
          </w:p>
        </w:tc>
        <w:tc>
          <w:tcPr>
            <w:tcW w:w="302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FDD52EE" w14:textId="5BC23589">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System monitoring &amp; reporting</w:t>
            </w:r>
          </w:p>
        </w:tc>
        <w:tc>
          <w:tcPr>
            <w:tcW w:w="289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42D4BF8" w14:textId="3879068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Oversee workflow, dashboards, and quality responses.</w:t>
            </w:r>
          </w:p>
        </w:tc>
        <w:tc>
          <w:tcPr>
            <w:tcW w:w="208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F2128F2" w14:textId="6CC7543C">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MELTIO / Internal</w:t>
            </w:r>
          </w:p>
        </w:tc>
      </w:tr>
      <w:tr w:rsidR="202D31E1" w:rsidTr="202D31E1" w14:paraId="325CBCAE">
        <w:trPr>
          <w:trHeight w:val="795"/>
        </w:trPr>
        <w:tc>
          <w:tcPr>
            <w:tcW w:w="196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E46962D" w14:textId="579EC9F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Technical Specialist</w:t>
            </w:r>
          </w:p>
        </w:tc>
        <w:tc>
          <w:tcPr>
            <w:tcW w:w="302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BB15DC6" w14:textId="2EB4FBEE">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Calibration &amp; troubleshooting</w:t>
            </w:r>
          </w:p>
        </w:tc>
        <w:tc>
          <w:tcPr>
            <w:tcW w:w="289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909BC7C" w14:textId="1A90DA0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Ensure machine accuracy and minimise downtime.</w:t>
            </w:r>
          </w:p>
        </w:tc>
        <w:tc>
          <w:tcPr>
            <w:tcW w:w="208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DC7AC9C" w14:textId="774F8BE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MELTIO</w:t>
            </w:r>
          </w:p>
        </w:tc>
      </w:tr>
      <w:tr w:rsidR="202D31E1" w:rsidTr="202D31E1" w14:paraId="6D2D6F16">
        <w:trPr>
          <w:trHeight w:val="795"/>
        </w:trPr>
        <w:tc>
          <w:tcPr>
            <w:tcW w:w="196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8A1BD43" w14:textId="0E384DB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Production Planner</w:t>
            </w:r>
          </w:p>
        </w:tc>
        <w:tc>
          <w:tcPr>
            <w:tcW w:w="302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3DBFC72" w14:textId="32BEA45C">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reporting workflows</w:t>
            </w:r>
          </w:p>
        </w:tc>
        <w:tc>
          <w:tcPr>
            <w:tcW w:w="289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C60F9F7" w14:textId="5E9C4FCA">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Maintain reporting accuracy and scheduling.</w:t>
            </w:r>
          </w:p>
        </w:tc>
        <w:tc>
          <w:tcPr>
            <w:tcW w:w="208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5E9FF70" w14:textId="6E2B8D5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Internal</w:t>
            </w:r>
          </w:p>
        </w:tc>
      </w:tr>
    </w:tbl>
    <w:p w:rsidR="202D31E1" w:rsidP="202D31E1" w:rsidRDefault="202D31E1" w14:paraId="6A1E6F06" w14:textId="68275C4A">
      <w:pPr>
        <w:pStyle w:val="Normal"/>
      </w:pPr>
    </w:p>
    <w:p w:rsidR="15DA00AC" w:rsidP="202D31E1" w:rsidRDefault="15DA00AC" w14:paraId="7D389893" w14:textId="0E3E1ECF">
      <w:pPr>
        <w:pStyle w:val="Heading2"/>
      </w:pPr>
      <w:bookmarkStart w:name="_Toc257276580" w:id="1463463825"/>
      <w:r w:rsidR="15DA00AC">
        <w:rPr/>
        <w:t>12.3 Appendix C – Risk probability &amp; Impact Matrix</w:t>
      </w:r>
      <w:bookmarkEnd w:id="1463463825"/>
      <w:r w:rsidR="15DA00AC">
        <w:rPr/>
        <w:t xml:space="preserve"> </w:t>
      </w:r>
    </w:p>
    <w:p w:rsidR="421D57FA" w:rsidP="202D31E1" w:rsidRDefault="421D57FA" w14:paraId="0F8E3420" w14:textId="69A79EAF">
      <w:pPr>
        <w:spacing w:before="0" w:beforeAutospacing="off" w:after="160" w:afterAutospacing="off" w:line="276" w:lineRule="auto"/>
      </w:pPr>
      <w:r w:rsidRPr="202D31E1" w:rsidR="421D57FA">
        <w:rPr>
          <w:rFonts w:ascii="Times New Roman" w:hAnsi="Times New Roman" w:eastAsia="Times New Roman" w:cs="Times New Roman"/>
          <w:noProof w:val="0"/>
          <w:sz w:val="24"/>
          <w:szCs w:val="24"/>
          <w:lang w:val="en-GB"/>
        </w:rPr>
        <w:t>Probability Levels:</w:t>
      </w:r>
    </w:p>
    <w:p w:rsidR="421D57FA" w:rsidP="202D31E1" w:rsidRDefault="421D57FA" w14:paraId="19D246ED" w14:textId="5B8D831E">
      <w:pPr>
        <w:pStyle w:val="ListParagraph"/>
        <w:numPr>
          <w:ilvl w:val="0"/>
          <w:numId w:val="23"/>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Low (L)</w:t>
      </w:r>
    </w:p>
    <w:p w:rsidR="421D57FA" w:rsidP="202D31E1" w:rsidRDefault="421D57FA" w14:paraId="1E38A805" w14:textId="3290250E">
      <w:pPr>
        <w:pStyle w:val="ListParagraph"/>
        <w:numPr>
          <w:ilvl w:val="0"/>
          <w:numId w:val="23"/>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Medium (M)</w:t>
      </w:r>
    </w:p>
    <w:p w:rsidR="421D57FA" w:rsidP="202D31E1" w:rsidRDefault="421D57FA" w14:paraId="7238A034" w14:textId="2259EE21">
      <w:pPr>
        <w:pStyle w:val="ListParagraph"/>
        <w:numPr>
          <w:ilvl w:val="0"/>
          <w:numId w:val="23"/>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High (H)</w:t>
      </w:r>
    </w:p>
    <w:p w:rsidR="202D31E1" w:rsidP="202D31E1" w:rsidRDefault="202D31E1" w14:paraId="4FB36612" w14:textId="552CEF5F">
      <w:pPr>
        <w:pStyle w:val="ListParagraph"/>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p>
    <w:p w:rsidR="421D57FA" w:rsidP="202D31E1" w:rsidRDefault="421D57FA" w14:paraId="276A9A57" w14:textId="25272E26">
      <w:pPr>
        <w:spacing w:before="0" w:beforeAutospacing="off" w:after="160" w:afterAutospacing="off" w:line="276" w:lineRule="auto"/>
      </w:pPr>
      <w:r w:rsidRPr="202D31E1" w:rsidR="421D57FA">
        <w:rPr>
          <w:rFonts w:ascii="Times New Roman" w:hAnsi="Times New Roman" w:eastAsia="Times New Roman" w:cs="Times New Roman"/>
          <w:noProof w:val="0"/>
          <w:sz w:val="24"/>
          <w:szCs w:val="24"/>
          <w:lang w:val="en-GB"/>
        </w:rPr>
        <w:t>Impact Levels:</w:t>
      </w:r>
    </w:p>
    <w:p w:rsidR="421D57FA" w:rsidP="202D31E1" w:rsidRDefault="421D57FA" w14:paraId="66023321" w14:textId="4B52D4AE">
      <w:pPr>
        <w:pStyle w:val="ListParagraph"/>
        <w:numPr>
          <w:ilvl w:val="0"/>
          <w:numId w:val="24"/>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Low (L)</w:t>
      </w:r>
    </w:p>
    <w:p w:rsidR="421D57FA" w:rsidP="202D31E1" w:rsidRDefault="421D57FA" w14:paraId="490B88C3" w14:textId="3B6CFE47">
      <w:pPr>
        <w:pStyle w:val="ListParagraph"/>
        <w:numPr>
          <w:ilvl w:val="0"/>
          <w:numId w:val="24"/>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Medium (M)</w:t>
      </w:r>
    </w:p>
    <w:p w:rsidR="421D57FA" w:rsidP="202D31E1" w:rsidRDefault="421D57FA" w14:paraId="332643A9" w14:textId="2AAA28A4">
      <w:pPr>
        <w:pStyle w:val="ListParagraph"/>
        <w:numPr>
          <w:ilvl w:val="0"/>
          <w:numId w:val="24"/>
        </w:numPr>
        <w:spacing w:before="0" w:beforeAutospacing="off" w:after="0" w:afterAutospacing="off" w:line="276" w:lineRule="auto"/>
        <w:ind w:left="720" w:right="0" w:hanging="360"/>
        <w:rPr>
          <w:rFonts w:ascii="Times New Roman" w:hAnsi="Times New Roman" w:eastAsia="Times New Roman" w:cs="Times New Roman"/>
          <w:noProof w:val="0"/>
          <w:sz w:val="24"/>
          <w:szCs w:val="24"/>
          <w:lang w:val="en-GB"/>
        </w:rPr>
      </w:pPr>
      <w:r w:rsidRPr="202D31E1" w:rsidR="421D57FA">
        <w:rPr>
          <w:rFonts w:ascii="Times New Roman" w:hAnsi="Times New Roman" w:eastAsia="Times New Roman" w:cs="Times New Roman"/>
          <w:noProof w:val="0"/>
          <w:sz w:val="24"/>
          <w:szCs w:val="24"/>
          <w:lang w:val="en-GB"/>
        </w:rPr>
        <w:t>High (H)</w:t>
      </w:r>
    </w:p>
    <w:tbl>
      <w:tblPr>
        <w:tblStyle w:val="TableNormal"/>
        <w:bidiVisual w:val="0"/>
        <w:tblW w:w="0" w:type="auto"/>
        <w:tblLook w:val="06A0" w:firstRow="1" w:lastRow="0" w:firstColumn="1" w:lastColumn="0" w:noHBand="1" w:noVBand="1"/>
      </w:tblPr>
      <w:tblGrid>
        <w:gridCol w:w="2253"/>
        <w:gridCol w:w="1478"/>
        <w:gridCol w:w="1221"/>
        <w:gridCol w:w="1392"/>
        <w:gridCol w:w="2616"/>
      </w:tblGrid>
      <w:tr w:rsidR="202D31E1" w:rsidTr="202D31E1" w14:paraId="3D74FD6F">
        <w:trPr>
          <w:trHeight w:val="630"/>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CA22A80" w14:textId="6FA8DAD2">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Risk</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4F203B8" w14:textId="505944B7">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Probability</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04308CB" w14:textId="4F0D605E">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Impact</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BEC73DA" w14:textId="4EFB4139">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Risk Rating</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CB73ABB" w14:textId="1798C147">
            <w:pPr>
              <w:spacing w:before="0" w:beforeAutospacing="off" w:after="0" w:afterAutospacing="off"/>
              <w:jc w:val="center"/>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Comment</w:t>
            </w:r>
          </w:p>
        </w:tc>
      </w:tr>
      <w:tr w:rsidR="202D31E1" w:rsidTr="202D31E1" w14:paraId="5D2007EE">
        <w:trPr>
          <w:trHeight w:val="315"/>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0328A6B" w14:textId="5B5DAB75">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Delivery delays</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98E69CE" w14:textId="3685B5EE">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C456AA6" w14:textId="5DADF196">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B920AF8" w14:textId="2E448BA3">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2C4CE83" w14:textId="3C18EDE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Could affect timeline.</w:t>
            </w:r>
          </w:p>
        </w:tc>
      </w:tr>
      <w:tr w:rsidR="202D31E1" w:rsidTr="202D31E1" w14:paraId="0667DFCD">
        <w:trPr>
          <w:trHeight w:val="630"/>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48B3D2E" w14:textId="5A84634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Installation issues</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68E9315" w14:textId="5F572F99">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FF05065" w14:textId="3145483C">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4815E42" w14:textId="319B1E3A">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89A03C3" w14:textId="036768A9">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Requires close supplier involvement.</w:t>
            </w:r>
          </w:p>
        </w:tc>
      </w:tr>
      <w:tr w:rsidR="202D31E1" w:rsidTr="202D31E1" w14:paraId="21EB25F6">
        <w:trPr>
          <w:trHeight w:val="315"/>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B3101BB" w14:textId="4996BFAB">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Operator skill gaps</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151B379" w14:textId="2299C8D4">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ECA5B27" w14:textId="3F999185">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4313208" w14:textId="20F59EA4">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E62086B" w14:textId="3404411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Training is critical.</w:t>
            </w:r>
          </w:p>
        </w:tc>
      </w:tr>
      <w:tr w:rsidR="202D31E1" w:rsidTr="202D31E1" w14:paraId="671E5581">
        <w:trPr>
          <w:trHeight w:val="630"/>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F64D007" w14:textId="243A1DD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Shopfloor not ready on time</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EFC10DB" w14:textId="529F3A6D">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L</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7E1022E" w14:textId="5A2C2B13">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7D4D7B8" w14:textId="264335AC">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Medium</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F3613B2" w14:textId="5D86AD4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Can be reduced by early inspections.</w:t>
            </w:r>
          </w:p>
        </w:tc>
      </w:tr>
      <w:tr w:rsidR="202D31E1" w:rsidTr="202D31E1" w14:paraId="76BD9060">
        <w:trPr>
          <w:trHeight w:val="630"/>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6EA5BB4" w14:textId="7D4920F0">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Data integration issues</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A499095" w14:textId="638E3DE7">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C92B898" w14:textId="57365D1B">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69FB2D7" w14:textId="45F64EC1">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Medium</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6C7F99F" w14:textId="3C2EB03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IT support must be aligned.</w:t>
            </w:r>
          </w:p>
        </w:tc>
      </w:tr>
      <w:tr w:rsidR="202D31E1" w:rsidTr="202D31E1" w14:paraId="3E3E0B5F">
        <w:trPr>
          <w:trHeight w:val="630"/>
        </w:trPr>
        <w:tc>
          <w:tcPr>
            <w:tcW w:w="2253"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5B141B5" w14:textId="4224960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Initial quality issues</w:t>
            </w:r>
          </w:p>
        </w:tc>
        <w:tc>
          <w:tcPr>
            <w:tcW w:w="1478"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4DBE28D" w14:textId="4F5779CF">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221"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32D9391" w14:textId="6D520120">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w:t>
            </w:r>
          </w:p>
        </w:tc>
        <w:tc>
          <w:tcPr>
            <w:tcW w:w="1392"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EB9F536" w14:textId="0FDD3127">
            <w:pPr>
              <w:spacing w:before="0" w:beforeAutospacing="off" w:after="0" w:afterAutospacing="off"/>
              <w:jc w:val="center"/>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Medium</w:t>
            </w:r>
          </w:p>
        </w:tc>
        <w:tc>
          <w:tcPr>
            <w:tcW w:w="2616"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8D48FD3" w14:textId="29F9422E">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Mitigated by increased NCR monitoring.</w:t>
            </w:r>
          </w:p>
        </w:tc>
      </w:tr>
    </w:tbl>
    <w:p w:rsidR="202D31E1" w:rsidP="202D31E1" w:rsidRDefault="202D31E1" w14:paraId="6FD931E9" w14:textId="3BF9AB1A">
      <w:pPr>
        <w:pStyle w:val="Normal"/>
      </w:pPr>
    </w:p>
    <w:p w:rsidR="0A4FDC3F" w:rsidP="202D31E1" w:rsidRDefault="0A4FDC3F" w14:paraId="65335515" w14:textId="36D125FD">
      <w:pPr>
        <w:pStyle w:val="Heading2"/>
      </w:pPr>
      <w:bookmarkStart w:name="_Toc1595807503" w:id="1100356755"/>
      <w:r w:rsidR="0A4FDC3F">
        <w:rPr/>
        <w:t>12.4 Appendix D – Shopfloor Blueprint</w:t>
      </w:r>
      <w:bookmarkEnd w:id="1100356755"/>
    </w:p>
    <w:p w:rsidR="541A4605" w:rsidP="202D31E1" w:rsidRDefault="541A4605" w14:paraId="42E4E279" w14:textId="3DE4BAEE">
      <w:pPr>
        <w:pStyle w:val="Normal"/>
      </w:pPr>
      <w:r w:rsidR="541A4605">
        <w:drawing>
          <wp:inline wp14:editId="7538DD70" wp14:anchorId="4BC49A53">
            <wp:extent cx="5944115" cy="3353091"/>
            <wp:effectExtent l="0" t="0" r="0" b="0"/>
            <wp:docPr id="1189164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9164342" name="Picture 1189164342"/>
                    <pic:cNvPicPr/>
                  </pic:nvPicPr>
                  <pic:blipFill>
                    <a:blip xmlns:r="http://schemas.openxmlformats.org/officeDocument/2006/relationships" r:embed="rId1485804740">
                      <a:extLst>
                        <a:ext uri="{28A0092B-C50C-407E-A947-70E740481C1C}">
                          <a14:useLocalDpi xmlns:a14="http://schemas.microsoft.com/office/drawing/2010/main"/>
                        </a:ext>
                      </a:extLst>
                    </a:blip>
                    <a:stretch>
                      <a:fillRect/>
                    </a:stretch>
                  </pic:blipFill>
                  <pic:spPr>
                    <a:xfrm>
                      <a:off x="0" y="0"/>
                      <a:ext cx="5944115" cy="3353091"/>
                    </a:xfrm>
                    <a:prstGeom prst="rect">
                      <a:avLst/>
                    </a:prstGeom>
                  </pic:spPr>
                </pic:pic>
              </a:graphicData>
            </a:graphic>
          </wp:inline>
        </w:drawing>
      </w:r>
      <w:r w:rsidR="541A4605">
        <w:drawing>
          <wp:inline wp14:editId="2972BB50" wp14:anchorId="57E8061A">
            <wp:extent cx="5944115" cy="3340898"/>
            <wp:effectExtent l="0" t="0" r="0" b="0"/>
            <wp:docPr id="340606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606924" name="Picture 340606924"/>
                    <pic:cNvPicPr/>
                  </pic:nvPicPr>
                  <pic:blipFill>
                    <a:blip xmlns:r="http://schemas.openxmlformats.org/officeDocument/2006/relationships" r:embed="rId224964398">
                      <a:extLst>
                        <a:ext uri="{28A0092B-C50C-407E-A947-70E740481C1C}">
                          <a14:useLocalDpi xmlns:a14="http://schemas.microsoft.com/office/drawing/2010/main"/>
                        </a:ext>
                      </a:extLst>
                    </a:blip>
                    <a:stretch>
                      <a:fillRect/>
                    </a:stretch>
                  </pic:blipFill>
                  <pic:spPr>
                    <a:xfrm>
                      <a:off x="0" y="0"/>
                      <a:ext cx="5944115" cy="3340898"/>
                    </a:xfrm>
                    <a:prstGeom prst="rect">
                      <a:avLst/>
                    </a:prstGeom>
                  </pic:spPr>
                </pic:pic>
              </a:graphicData>
            </a:graphic>
          </wp:inline>
        </w:drawing>
      </w:r>
    </w:p>
    <w:p w:rsidR="6F1FC9B8" w:rsidP="202D31E1" w:rsidRDefault="6F1FC9B8" w14:paraId="2C66022C" w14:textId="25D40EDF">
      <w:pPr>
        <w:pStyle w:val="Heading2"/>
      </w:pPr>
      <w:bookmarkStart w:name="_Toc117988147" w:id="704252895"/>
      <w:r w:rsidR="6F1FC9B8">
        <w:rPr/>
        <w:t>12.</w:t>
      </w:r>
      <w:r w:rsidR="68553BD7">
        <w:rPr/>
        <w:t>5</w:t>
      </w:r>
      <w:r w:rsidR="6F1FC9B8">
        <w:rPr/>
        <w:t xml:space="preserve"> Glossary</w:t>
      </w:r>
      <w:bookmarkEnd w:id="704252895"/>
      <w:r w:rsidR="6F1FC9B8">
        <w:rPr/>
        <w:t xml:space="preserve"> </w:t>
      </w:r>
    </w:p>
    <w:tbl>
      <w:tblPr>
        <w:tblStyle w:val="TableNormal"/>
        <w:bidiVisual w:val="0"/>
        <w:tblW w:w="0" w:type="auto"/>
        <w:tblLook w:val="06A0" w:firstRow="1" w:lastRow="0" w:firstColumn="1" w:lastColumn="0" w:noHBand="1" w:noVBand="1"/>
      </w:tblPr>
      <w:tblGrid>
        <w:gridCol w:w="2410"/>
        <w:gridCol w:w="6845"/>
      </w:tblGrid>
      <w:tr w:rsidR="202D31E1" w:rsidTr="202D31E1" w14:paraId="07C7E38B">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9E8CD31" w14:textId="2CC21512">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Term</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4F40CC9" w14:textId="293B7C2E">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Definition (Simplified)</w:t>
            </w:r>
          </w:p>
        </w:tc>
      </w:tr>
      <w:tr w:rsidR="202D31E1" w:rsidTr="202D31E1" w14:paraId="59166812">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D2917C5" w14:textId="47F4AA51">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CNC – Computer Numerical Control</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1E6F80E" w14:textId="3A902B89">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computer-controlled machine used to shape metal accurately.</w:t>
            </w:r>
          </w:p>
        </w:tc>
      </w:tr>
      <w:tr w:rsidR="202D31E1" w:rsidTr="202D31E1" w14:paraId="797A174F">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29EB718" w14:textId="40819011">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OTTT – On Time To Target</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485408C" w14:textId="3A19F114">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Measures how often production work is finished on schedule.</w:t>
            </w:r>
          </w:p>
        </w:tc>
      </w:tr>
      <w:tr w:rsidR="202D31E1" w:rsidTr="202D31E1" w14:paraId="070D8D4F">
        <w:trPr>
          <w:trHeight w:val="76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5A29A68" w14:textId="6469453D">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MELTIO 3D Metal Printing Robot Cell</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5CB4BB8" w14:textId="0C165B57">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robotic system that prints metal parts layer by layer, reducing manufacturing steps.</w:t>
            </w:r>
          </w:p>
        </w:tc>
      </w:tr>
      <w:tr w:rsidR="202D31E1" w:rsidTr="202D31E1" w14:paraId="0ED38BE2">
        <w:trPr>
          <w:trHeight w:val="94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A816FD2" w14:textId="320602AE">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Additive Manufacturing (AM)</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0B6B6CC" w14:textId="7923964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Making parts by adding material layer-by-layer (3D printing).</w:t>
            </w:r>
          </w:p>
        </w:tc>
      </w:tr>
      <w:tr w:rsidR="202D31E1" w:rsidTr="202D31E1" w14:paraId="0100AF12">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0DD43FB" w14:textId="2248541F">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Hybrid Additive Manufacturing</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91FB017" w14:textId="2749AD5A">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machine that can both 3D-print metal and machine metal in one setup.</w:t>
            </w:r>
          </w:p>
        </w:tc>
      </w:tr>
      <w:tr w:rsidR="202D31E1" w:rsidTr="202D31E1" w14:paraId="12E9B33B">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D78E54C" w14:textId="06C07E38">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Digital Monitoring / Digital Dashboard</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D845C2C" w14:textId="3B41F4DD">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Real-time data display showing machine performance, speed, and defects.</w:t>
            </w:r>
          </w:p>
        </w:tc>
      </w:tr>
      <w:tr w:rsidR="202D31E1" w:rsidTr="202D31E1" w14:paraId="0A440834">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A6D6107" w14:textId="3A479A7E">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Industry 4.0</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F0B0551" w14:textId="74E96E4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Modern smart manufacturing using automation, sensors, and data.</w:t>
            </w:r>
          </w:p>
        </w:tc>
      </w:tr>
      <w:tr w:rsidR="202D31E1" w:rsidTr="202D31E1" w14:paraId="7C658CC9">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8F3B235" w14:textId="1ADC5DF1">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Non-Conformance (NCR)</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A0F8EA5" w14:textId="23D0CD31">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defect or quality issue where a part does not meet the required standard.</w:t>
            </w:r>
          </w:p>
        </w:tc>
      </w:tr>
      <w:tr w:rsidR="202D31E1" w:rsidTr="202D31E1" w14:paraId="5F8FF553">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0DE0965" w14:textId="0C5BB7AF">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Cycle Time</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9C0FB2E" w14:textId="4B62A5D0">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total time needed to complete one part or operation.</w:t>
            </w:r>
          </w:p>
        </w:tc>
      </w:tr>
      <w:tr w:rsidR="202D31E1" w:rsidTr="202D31E1" w14:paraId="50E499E6">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314CBAC" w14:textId="3E5ACF39">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Shopfloor Layout</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9710326" w14:textId="7A5DAE3B">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arrangement of machines and work areas in the factory.</w:t>
            </w:r>
          </w:p>
        </w:tc>
      </w:tr>
      <w:tr w:rsidR="202D31E1" w:rsidTr="202D31E1" w14:paraId="1EFC4623">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77797449" w14:textId="56F0A53B">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Downtime</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425C6A8A" w14:textId="3562A8F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When a machine is not running due to maintenance, breakdowns, or setup.</w:t>
            </w:r>
          </w:p>
        </w:tc>
      </w:tr>
      <w:tr w:rsidR="202D31E1" w:rsidTr="202D31E1" w14:paraId="41B93F1F">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792AEFC" w14:textId="0350F09B">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Calibration</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BF0F9CE" w14:textId="4CE00F93">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Adjusting a machine so it works accurately.</w:t>
            </w:r>
          </w:p>
        </w:tc>
      </w:tr>
      <w:tr w:rsidR="202D31E1" w:rsidTr="202D31E1" w14:paraId="4FD6D821">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0B455276" w14:textId="113F83A4">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Gantt Chart</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3F4DFE3" w14:textId="37A72F3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timeline chart showing when each project task will take place.</w:t>
            </w:r>
          </w:p>
        </w:tc>
      </w:tr>
      <w:tr w:rsidR="202D31E1" w:rsidTr="202D31E1" w14:paraId="727674F8">
        <w:trPr>
          <w:trHeight w:val="630"/>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9DC25B4" w14:textId="0C832AD5">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Lean Manufacturing</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BAF91A6" w14:textId="3B6A6108">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method to reduce waste and improve efficiency.</w:t>
            </w:r>
          </w:p>
        </w:tc>
      </w:tr>
      <w:tr w:rsidR="202D31E1" w:rsidTr="202D31E1" w14:paraId="643143B3">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1D04D69F" w14:textId="2C395AB5">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Mazak 200 MY</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3D0FBA8E" w14:textId="4D088026">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CNC lathe that can perform both turning and milling operations.</w:t>
            </w:r>
          </w:p>
        </w:tc>
      </w:tr>
      <w:tr w:rsidR="202D31E1" w:rsidTr="202D31E1" w14:paraId="07B0AD24">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295A26A0" w14:textId="4943D4F3">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XYZ RLX Auto</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565F4140" w14:textId="596D8C6F">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CNC lathe with a Y-axis for turning and light milling.</w:t>
            </w:r>
          </w:p>
        </w:tc>
      </w:tr>
      <w:tr w:rsidR="202D31E1" w:rsidTr="202D31E1" w14:paraId="5AFFBE73">
        <w:trPr>
          <w:trHeight w:val="315"/>
        </w:trPr>
        <w:tc>
          <w:tcPr>
            <w:tcW w:w="2410"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DE2BC79" w14:textId="455CE6C1">
            <w:pPr>
              <w:spacing w:before="0" w:beforeAutospacing="off" w:after="0" w:afterAutospacing="off"/>
            </w:pPr>
            <w:r w:rsidRPr="202D31E1" w:rsidR="202D31E1">
              <w:rPr>
                <w:rFonts w:ascii="Times New Roman" w:hAnsi="Times New Roman" w:eastAsia="Times New Roman" w:cs="Times New Roman"/>
                <w:b w:val="1"/>
                <w:bCs w:val="1"/>
                <w:i w:val="0"/>
                <w:iCs w:val="0"/>
                <w:strike w:val="0"/>
                <w:dstrike w:val="0"/>
                <w:color w:val="000000" w:themeColor="text1" w:themeTint="FF" w:themeShade="FF"/>
                <w:sz w:val="24"/>
                <w:szCs w:val="24"/>
                <w:u w:val="none"/>
              </w:rPr>
              <w:t>XYZ RLX 425</w:t>
            </w:r>
          </w:p>
        </w:tc>
        <w:tc>
          <w:tcPr>
            <w:tcW w:w="6845" w:type="dxa"/>
            <w:tcBorders>
              <w:top w:val="single" w:sz="4"/>
              <w:left w:val="single" w:sz="4"/>
              <w:bottom w:val="single" w:sz="4"/>
              <w:right w:val="single" w:sz="4"/>
            </w:tcBorders>
            <w:tcMar>
              <w:top w:w="15" w:type="dxa"/>
              <w:left w:w="15" w:type="dxa"/>
              <w:right w:w="15" w:type="dxa"/>
            </w:tcMar>
            <w:vAlign w:val="center"/>
          </w:tcPr>
          <w:p w:rsidR="202D31E1" w:rsidP="202D31E1" w:rsidRDefault="202D31E1" w14:paraId="6A2B995A" w14:textId="6B6802B2">
            <w:pPr>
              <w:spacing w:before="0" w:beforeAutospacing="off" w:after="0" w:afterAutospacing="off"/>
            </w:pPr>
            <w:r w:rsidRPr="202D31E1" w:rsidR="202D31E1">
              <w:rPr>
                <w:rFonts w:ascii="Times New Roman" w:hAnsi="Times New Roman" w:eastAsia="Times New Roman" w:cs="Times New Roman"/>
                <w:b w:val="0"/>
                <w:bCs w:val="0"/>
                <w:i w:val="0"/>
                <w:iCs w:val="0"/>
                <w:strike w:val="0"/>
                <w:dstrike w:val="0"/>
                <w:color w:val="000000" w:themeColor="text1" w:themeTint="FF" w:themeShade="FF"/>
                <w:sz w:val="24"/>
                <w:szCs w:val="24"/>
                <w:u w:val="none"/>
              </w:rPr>
              <w:t>A larger CNC lathe with Y-axis milling capability.</w:t>
            </w:r>
          </w:p>
        </w:tc>
      </w:tr>
    </w:tbl>
    <w:p w:rsidR="202D31E1" w:rsidP="202D31E1" w:rsidRDefault="202D31E1" w14:paraId="7DE07254" w14:textId="11BC5BA5">
      <w:pPr>
        <w:pStyle w:val="Normal"/>
      </w:pPr>
    </w:p>
    <w:sectPr>
      <w:pgSz w:w="12240" w:h="15840" w:orient="portrait"/>
      <w:pgMar w:top="1440" w:right="1440" w:bottom="1440" w:left="1440" w:header="720" w:footer="720" w:gutter="0"/>
      <w:cols w:space="720"/>
      <w:docGrid w:linePitch="360"/>
      <w:headerReference w:type="default" r:id="Rf809e33b006746c4"/>
      <w:footerReference w:type="default" r:id="R55daf4bdb03b49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655D4EF" w:rsidTr="1655D4EF" w14:paraId="51671982">
      <w:trPr>
        <w:trHeight w:val="300"/>
      </w:trPr>
      <w:tc>
        <w:tcPr>
          <w:tcW w:w="3120" w:type="dxa"/>
          <w:tcMar/>
        </w:tcPr>
        <w:p w:rsidR="1655D4EF" w:rsidP="1655D4EF" w:rsidRDefault="1655D4EF" w14:paraId="72DE9556" w14:textId="1307A362">
          <w:pPr>
            <w:pStyle w:val="Header"/>
            <w:bidi w:val="0"/>
            <w:ind w:left="-115"/>
            <w:jc w:val="left"/>
          </w:pPr>
        </w:p>
      </w:tc>
      <w:tc>
        <w:tcPr>
          <w:tcW w:w="3120" w:type="dxa"/>
          <w:tcMar/>
        </w:tcPr>
        <w:p w:rsidR="1655D4EF" w:rsidP="1655D4EF" w:rsidRDefault="1655D4EF" w14:paraId="078173BA" w14:textId="30CFE0FF">
          <w:pPr>
            <w:pStyle w:val="Header"/>
            <w:bidi w:val="0"/>
            <w:jc w:val="center"/>
          </w:pPr>
        </w:p>
      </w:tc>
      <w:tc>
        <w:tcPr>
          <w:tcW w:w="3120" w:type="dxa"/>
          <w:tcMar/>
        </w:tcPr>
        <w:p w:rsidR="1655D4EF" w:rsidP="1655D4EF" w:rsidRDefault="1655D4EF" w14:paraId="1282C530" w14:textId="4BF771F4">
          <w:pPr>
            <w:pStyle w:val="Header"/>
            <w:bidi w:val="0"/>
            <w:ind w:right="-115"/>
            <w:jc w:val="right"/>
          </w:pPr>
          <w:r>
            <w:fldChar w:fldCharType="begin"/>
          </w:r>
          <w:r>
            <w:instrText xml:space="preserve">PAGE</w:instrText>
          </w:r>
          <w:r>
            <w:fldChar w:fldCharType="separate"/>
          </w:r>
          <w:r>
            <w:fldChar w:fldCharType="end"/>
          </w:r>
        </w:p>
      </w:tc>
    </w:tr>
  </w:tbl>
  <w:p w:rsidR="1655D4EF" w:rsidP="1655D4EF" w:rsidRDefault="1655D4EF" w14:paraId="594E6E83" w14:textId="7FD255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655D4EF" w:rsidTr="1655D4EF" w14:paraId="43AB0D29">
      <w:trPr>
        <w:trHeight w:val="300"/>
      </w:trPr>
      <w:tc>
        <w:tcPr>
          <w:tcW w:w="3120" w:type="dxa"/>
          <w:tcMar/>
        </w:tcPr>
        <w:p w:rsidR="1655D4EF" w:rsidP="1655D4EF" w:rsidRDefault="1655D4EF" w14:paraId="7537ED45" w14:textId="05ED9C67">
          <w:pPr>
            <w:pStyle w:val="Header"/>
            <w:bidi w:val="0"/>
            <w:ind w:left="-115"/>
            <w:jc w:val="left"/>
          </w:pPr>
        </w:p>
      </w:tc>
      <w:tc>
        <w:tcPr>
          <w:tcW w:w="3120" w:type="dxa"/>
          <w:tcMar/>
        </w:tcPr>
        <w:p w:rsidR="1655D4EF" w:rsidP="1655D4EF" w:rsidRDefault="1655D4EF" w14:paraId="27BAEC3D" w14:textId="375EF55A">
          <w:pPr>
            <w:pStyle w:val="Header"/>
            <w:bidi w:val="0"/>
            <w:jc w:val="center"/>
          </w:pPr>
        </w:p>
      </w:tc>
      <w:tc>
        <w:tcPr>
          <w:tcW w:w="3120" w:type="dxa"/>
          <w:tcMar/>
        </w:tcPr>
        <w:p w:rsidR="1655D4EF" w:rsidP="1655D4EF" w:rsidRDefault="1655D4EF" w14:paraId="7F7D89BC" w14:textId="30E6C1B4">
          <w:pPr>
            <w:pStyle w:val="Header"/>
            <w:bidi w:val="0"/>
            <w:ind w:right="-115"/>
            <w:jc w:val="right"/>
          </w:pPr>
        </w:p>
      </w:tc>
    </w:tr>
  </w:tbl>
  <w:p w:rsidR="1655D4EF" w:rsidP="1655D4EF" w:rsidRDefault="1655D4EF" w14:paraId="2ADE580D" w14:textId="18C4785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Z7Dm/EHPKkYB/t" int2:id="A1nI9toN">
      <int2:state int2:type="spell" int2:value="Rejected"/>
    </int2:textHash>
    <int2:bookmark int2:bookmarkName="_Int_5AuxQwge" int2:invalidationBookmarkName="" int2:hashCode="swyFe70cQ/NeuA" int2:id="EipfbipX">
      <int2:state int2:type="style" int2:value="Rejected"/>
    </int2:bookmark>
    <int2:bookmark int2:bookmarkName="_Int_qmOnu9uo" int2:invalidationBookmarkName="" int2:hashCode="+hIqgj88h3j8tZ" int2:id="v01YAe6s">
      <int2:state int2:type="style" int2:value="Rejected"/>
    </int2:bookmark>
    <int2:bookmark int2:bookmarkName="_Int_dYNEx7ZW" int2:invalidationBookmarkName="" int2:hashCode="pgLsGgC71ET5UO" int2:id="iYFT4mbi">
      <int2:state int2:type="style" int2:value="Rejected"/>
    </int2:bookmark>
    <int2:bookmark int2:bookmarkName="_Int_75fCSICp" int2:invalidationBookmarkName="" int2:hashCode="p+qB0mWKQSVJOU" int2:id="9WTdCEPi">
      <int2:state int2:type="style" int2:value="Rejected"/>
    </int2:bookmark>
    <int2:bookmark int2:bookmarkName="_Int_k1caBuSu" int2:invalidationBookmarkName="" int2:hashCode="e0dMsLOcF3PXGS" int2:id="rRhfTYYx">
      <int2:state int2:type="style" int2:value="Rejected"/>
    </int2:bookmark>
    <int2:bookmark int2:bookmarkName="_Int_N2kiJybS" int2:invalidationBookmarkName="" int2:hashCode="55Nn9j2iQVYB0B" int2:id="xSWzOvtB">
      <int2:state int2:type="style" int2:value="Rejected"/>
    </int2:bookmark>
    <int2:bookmark int2:bookmarkName="_Int_UBz1YOSI" int2:invalidationBookmarkName="" int2:hashCode="4R68PJIJLppx75" int2:id="VyTgKStW">
      <int2:state int2:type="spell" int2:value="Rejected"/>
    </int2:bookmark>
    <int2:bookmark int2:bookmarkName="_Int_KvTGiqVZ" int2:invalidationBookmarkName="" int2:hashCode="qiPZ68T0iLxylU" int2:id="6amnuhQD">
      <int2:state int2:type="spell" int2:value="Rejected"/>
    </int2:bookmark>
    <int2:bookmark int2:bookmarkName="_Int_fnfTCwOR" int2:invalidationBookmarkName="" int2:hashCode="+hIqgj88h3j8tZ" int2:id="GXogTxAv">
      <int2:state int2:type="style" int2:value="Rejected"/>
    </int2:bookmark>
    <int2:bookmark int2:bookmarkName="_Int_bmrOYibg" int2:invalidationBookmarkName="" int2:hashCode="55Nn9j2iQVYB0B" int2:id="RtqgohfT">
      <int2:state int2:type="styl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4">
    <w:nsid w:val="63003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7e8d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cf5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89361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61b3f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c1825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df157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df6884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nsid w:val="494e93a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67740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f8e73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ed3f9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3ad41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045607c"/>
    <w:multiLevelType xmlns:w="http://schemas.openxmlformats.org/wordprocessingml/2006/main" w:val="hybridMultilevel"/>
    <w:lvl xmlns:w="http://schemas.openxmlformats.org/wordprocessingml/2006/main" w:ilvl="0">
      <w:start w:val="1"/>
      <w:numFmt w:val="decimal"/>
      <w:pStyle w:val="Heading1"/>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87a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e0f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41e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98a4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36b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5">
    <w:nsid w:val="1b9c5c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989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5e8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d1b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244e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636D7"/>
    <w:rsid w:val="002500F3"/>
    <w:rsid w:val="008D75E4"/>
    <w:rsid w:val="00B0DD14"/>
    <w:rsid w:val="00BBC102"/>
    <w:rsid w:val="00BE4365"/>
    <w:rsid w:val="01235E24"/>
    <w:rsid w:val="0141A819"/>
    <w:rsid w:val="0145AF78"/>
    <w:rsid w:val="01B45550"/>
    <w:rsid w:val="0218098F"/>
    <w:rsid w:val="021A434A"/>
    <w:rsid w:val="0231CD4D"/>
    <w:rsid w:val="025BC75C"/>
    <w:rsid w:val="028A1E7D"/>
    <w:rsid w:val="02AD72F1"/>
    <w:rsid w:val="02BEEBBA"/>
    <w:rsid w:val="02D12619"/>
    <w:rsid w:val="037AAEB2"/>
    <w:rsid w:val="03807E1D"/>
    <w:rsid w:val="03B1C3E0"/>
    <w:rsid w:val="04258967"/>
    <w:rsid w:val="04898EDA"/>
    <w:rsid w:val="048D3729"/>
    <w:rsid w:val="04B28900"/>
    <w:rsid w:val="05FE33CB"/>
    <w:rsid w:val="06025A7B"/>
    <w:rsid w:val="062A462C"/>
    <w:rsid w:val="06624DE5"/>
    <w:rsid w:val="0696FE77"/>
    <w:rsid w:val="069CF851"/>
    <w:rsid w:val="06CC09D2"/>
    <w:rsid w:val="06E7A415"/>
    <w:rsid w:val="06F9AEDC"/>
    <w:rsid w:val="07268E87"/>
    <w:rsid w:val="0741B9E5"/>
    <w:rsid w:val="075EC780"/>
    <w:rsid w:val="07992AF5"/>
    <w:rsid w:val="07D04EAD"/>
    <w:rsid w:val="081A4FAA"/>
    <w:rsid w:val="081CC7B2"/>
    <w:rsid w:val="0837684A"/>
    <w:rsid w:val="092AE50C"/>
    <w:rsid w:val="092F8CD4"/>
    <w:rsid w:val="0944E0D9"/>
    <w:rsid w:val="097CB61C"/>
    <w:rsid w:val="0998C926"/>
    <w:rsid w:val="0A0089D7"/>
    <w:rsid w:val="0A3203A7"/>
    <w:rsid w:val="0A35FE89"/>
    <w:rsid w:val="0A4FDC3F"/>
    <w:rsid w:val="0AC068EA"/>
    <w:rsid w:val="0B1BF77E"/>
    <w:rsid w:val="0B45B87F"/>
    <w:rsid w:val="0B5CD41D"/>
    <w:rsid w:val="0B777873"/>
    <w:rsid w:val="0B787A21"/>
    <w:rsid w:val="0B7A5860"/>
    <w:rsid w:val="0BAF6320"/>
    <w:rsid w:val="0BCA57B2"/>
    <w:rsid w:val="0BF8F546"/>
    <w:rsid w:val="0C4BFF01"/>
    <w:rsid w:val="0C8F0FDA"/>
    <w:rsid w:val="0C93767B"/>
    <w:rsid w:val="0D0ACECC"/>
    <w:rsid w:val="0D1CF8BE"/>
    <w:rsid w:val="0D3979DD"/>
    <w:rsid w:val="0D474679"/>
    <w:rsid w:val="0D53ED8F"/>
    <w:rsid w:val="0D575058"/>
    <w:rsid w:val="0DACFBAF"/>
    <w:rsid w:val="0DCCF088"/>
    <w:rsid w:val="0DE12048"/>
    <w:rsid w:val="0E21D637"/>
    <w:rsid w:val="0E521C60"/>
    <w:rsid w:val="0EA57F96"/>
    <w:rsid w:val="0EE0A90E"/>
    <w:rsid w:val="0EF61326"/>
    <w:rsid w:val="0F0631CC"/>
    <w:rsid w:val="0F17AE3E"/>
    <w:rsid w:val="0F6C5CDA"/>
    <w:rsid w:val="0FD760E2"/>
    <w:rsid w:val="0FF48620"/>
    <w:rsid w:val="0FF591C3"/>
    <w:rsid w:val="1009D1D9"/>
    <w:rsid w:val="10256BC2"/>
    <w:rsid w:val="1034DC31"/>
    <w:rsid w:val="10694118"/>
    <w:rsid w:val="10984B88"/>
    <w:rsid w:val="10D224E1"/>
    <w:rsid w:val="10E9B4FB"/>
    <w:rsid w:val="110CC7E2"/>
    <w:rsid w:val="112B28B6"/>
    <w:rsid w:val="11813EF6"/>
    <w:rsid w:val="11CC46D4"/>
    <w:rsid w:val="11E377FA"/>
    <w:rsid w:val="11FC93F8"/>
    <w:rsid w:val="12351FF9"/>
    <w:rsid w:val="12617972"/>
    <w:rsid w:val="12E9192B"/>
    <w:rsid w:val="1372E903"/>
    <w:rsid w:val="13D21A71"/>
    <w:rsid w:val="13ED3242"/>
    <w:rsid w:val="142DF122"/>
    <w:rsid w:val="14412BBF"/>
    <w:rsid w:val="146A08F8"/>
    <w:rsid w:val="1482B99B"/>
    <w:rsid w:val="14BB2BD0"/>
    <w:rsid w:val="14C7C71E"/>
    <w:rsid w:val="156326CF"/>
    <w:rsid w:val="15701006"/>
    <w:rsid w:val="15B21B1B"/>
    <w:rsid w:val="15DA00AC"/>
    <w:rsid w:val="15F67833"/>
    <w:rsid w:val="16054B34"/>
    <w:rsid w:val="1646E01E"/>
    <w:rsid w:val="1655D4EF"/>
    <w:rsid w:val="166F7968"/>
    <w:rsid w:val="16CA3EC8"/>
    <w:rsid w:val="16F4D291"/>
    <w:rsid w:val="17143E87"/>
    <w:rsid w:val="17220138"/>
    <w:rsid w:val="174DCF52"/>
    <w:rsid w:val="1751D5B3"/>
    <w:rsid w:val="175AB032"/>
    <w:rsid w:val="178C867B"/>
    <w:rsid w:val="179109A7"/>
    <w:rsid w:val="17A7291D"/>
    <w:rsid w:val="17B247DE"/>
    <w:rsid w:val="184A9220"/>
    <w:rsid w:val="18510A3C"/>
    <w:rsid w:val="18720CBB"/>
    <w:rsid w:val="18A14DD5"/>
    <w:rsid w:val="18BB5DBA"/>
    <w:rsid w:val="18EA863E"/>
    <w:rsid w:val="19723751"/>
    <w:rsid w:val="199D4B28"/>
    <w:rsid w:val="19AD0B89"/>
    <w:rsid w:val="19C07174"/>
    <w:rsid w:val="19CA6054"/>
    <w:rsid w:val="1ABF8B83"/>
    <w:rsid w:val="1ADBC5C6"/>
    <w:rsid w:val="1B020DDD"/>
    <w:rsid w:val="1B3414E3"/>
    <w:rsid w:val="1C06CAA0"/>
    <w:rsid w:val="1C2CAD45"/>
    <w:rsid w:val="1C3B3416"/>
    <w:rsid w:val="1C7FC551"/>
    <w:rsid w:val="1C9D30FB"/>
    <w:rsid w:val="1CBAAD9C"/>
    <w:rsid w:val="1CDB3D6C"/>
    <w:rsid w:val="1CE01ABD"/>
    <w:rsid w:val="1D291722"/>
    <w:rsid w:val="1D5D7D8B"/>
    <w:rsid w:val="1DC5D7EB"/>
    <w:rsid w:val="1DCA8D25"/>
    <w:rsid w:val="1E04F0BE"/>
    <w:rsid w:val="1E2ACEDF"/>
    <w:rsid w:val="1E37AEBF"/>
    <w:rsid w:val="1E741E6F"/>
    <w:rsid w:val="1EB636E9"/>
    <w:rsid w:val="1EB73B1E"/>
    <w:rsid w:val="1EC237EB"/>
    <w:rsid w:val="1F1F834F"/>
    <w:rsid w:val="1F59BCC3"/>
    <w:rsid w:val="1F911952"/>
    <w:rsid w:val="1F92D65D"/>
    <w:rsid w:val="202D31E1"/>
    <w:rsid w:val="207428F4"/>
    <w:rsid w:val="20C3425B"/>
    <w:rsid w:val="20F43449"/>
    <w:rsid w:val="21002AC4"/>
    <w:rsid w:val="2152E543"/>
    <w:rsid w:val="218570FD"/>
    <w:rsid w:val="21888C2D"/>
    <w:rsid w:val="2196A12B"/>
    <w:rsid w:val="21EFDCD4"/>
    <w:rsid w:val="21FDDAED"/>
    <w:rsid w:val="22314A15"/>
    <w:rsid w:val="22568644"/>
    <w:rsid w:val="227F2011"/>
    <w:rsid w:val="229E678E"/>
    <w:rsid w:val="22DE7B73"/>
    <w:rsid w:val="22FD2448"/>
    <w:rsid w:val="23310544"/>
    <w:rsid w:val="2334A780"/>
    <w:rsid w:val="2339AFBB"/>
    <w:rsid w:val="23926A3E"/>
    <w:rsid w:val="239AAF6C"/>
    <w:rsid w:val="23ACE4A9"/>
    <w:rsid w:val="23B15F0A"/>
    <w:rsid w:val="23B785B3"/>
    <w:rsid w:val="23D63DD7"/>
    <w:rsid w:val="24020FFC"/>
    <w:rsid w:val="24197D18"/>
    <w:rsid w:val="242B7DD9"/>
    <w:rsid w:val="24433D9E"/>
    <w:rsid w:val="244CD186"/>
    <w:rsid w:val="2489BE89"/>
    <w:rsid w:val="24AD3234"/>
    <w:rsid w:val="24BCCEAD"/>
    <w:rsid w:val="2503CBC7"/>
    <w:rsid w:val="254BE854"/>
    <w:rsid w:val="256B8C38"/>
    <w:rsid w:val="25B0CE11"/>
    <w:rsid w:val="25C8C95E"/>
    <w:rsid w:val="25D2965A"/>
    <w:rsid w:val="25D3EE8D"/>
    <w:rsid w:val="2658EECF"/>
    <w:rsid w:val="265C5858"/>
    <w:rsid w:val="268C5A44"/>
    <w:rsid w:val="268F9626"/>
    <w:rsid w:val="26D58460"/>
    <w:rsid w:val="26DC75B3"/>
    <w:rsid w:val="26E1C149"/>
    <w:rsid w:val="2713456A"/>
    <w:rsid w:val="272843DB"/>
    <w:rsid w:val="278F88A6"/>
    <w:rsid w:val="27F6C094"/>
    <w:rsid w:val="28092465"/>
    <w:rsid w:val="2820FBB1"/>
    <w:rsid w:val="283E5633"/>
    <w:rsid w:val="285B8403"/>
    <w:rsid w:val="28AED7BD"/>
    <w:rsid w:val="28B2C112"/>
    <w:rsid w:val="28CB178B"/>
    <w:rsid w:val="28EA1BFD"/>
    <w:rsid w:val="28F6D0A0"/>
    <w:rsid w:val="28F7999C"/>
    <w:rsid w:val="2915DB1C"/>
    <w:rsid w:val="2956B919"/>
    <w:rsid w:val="29B5884A"/>
    <w:rsid w:val="29D1EE04"/>
    <w:rsid w:val="29DB418E"/>
    <w:rsid w:val="2A249E92"/>
    <w:rsid w:val="2A93F148"/>
    <w:rsid w:val="2AA4E325"/>
    <w:rsid w:val="2ABFBDAC"/>
    <w:rsid w:val="2AE208F5"/>
    <w:rsid w:val="2B043AB0"/>
    <w:rsid w:val="2B0B4D63"/>
    <w:rsid w:val="2B4F136D"/>
    <w:rsid w:val="2B8CF150"/>
    <w:rsid w:val="2C0AD56F"/>
    <w:rsid w:val="2C47D5B5"/>
    <w:rsid w:val="2CADD195"/>
    <w:rsid w:val="2CB7325C"/>
    <w:rsid w:val="2CF020C5"/>
    <w:rsid w:val="2D2E5038"/>
    <w:rsid w:val="2D8D7A30"/>
    <w:rsid w:val="2DF96744"/>
    <w:rsid w:val="2E7E2BF2"/>
    <w:rsid w:val="2EA9808E"/>
    <w:rsid w:val="2EB6A456"/>
    <w:rsid w:val="2EEE6312"/>
    <w:rsid w:val="2F5E6A75"/>
    <w:rsid w:val="2F8FE8AD"/>
    <w:rsid w:val="2F9773C4"/>
    <w:rsid w:val="2FDD1989"/>
    <w:rsid w:val="2FF86662"/>
    <w:rsid w:val="2FFAA0D6"/>
    <w:rsid w:val="300CE397"/>
    <w:rsid w:val="30835354"/>
    <w:rsid w:val="30867A96"/>
    <w:rsid w:val="308FE05A"/>
    <w:rsid w:val="30CAE8B8"/>
    <w:rsid w:val="3102A5E1"/>
    <w:rsid w:val="31212262"/>
    <w:rsid w:val="3128C7ED"/>
    <w:rsid w:val="3137BECA"/>
    <w:rsid w:val="316EAB34"/>
    <w:rsid w:val="31B63FB1"/>
    <w:rsid w:val="321B4366"/>
    <w:rsid w:val="3231BB5B"/>
    <w:rsid w:val="3241B6D7"/>
    <w:rsid w:val="329C8106"/>
    <w:rsid w:val="32CFA6BB"/>
    <w:rsid w:val="32E61537"/>
    <w:rsid w:val="33133F87"/>
    <w:rsid w:val="33C5EBF5"/>
    <w:rsid w:val="33DED7D5"/>
    <w:rsid w:val="33FB9313"/>
    <w:rsid w:val="3407158F"/>
    <w:rsid w:val="3408E835"/>
    <w:rsid w:val="344892DC"/>
    <w:rsid w:val="34BD55DE"/>
    <w:rsid w:val="34C163C8"/>
    <w:rsid w:val="34C7FDFB"/>
    <w:rsid w:val="34CAA799"/>
    <w:rsid w:val="34E85684"/>
    <w:rsid w:val="355E501E"/>
    <w:rsid w:val="3574D69A"/>
    <w:rsid w:val="359C1749"/>
    <w:rsid w:val="35B04933"/>
    <w:rsid w:val="35C4D121"/>
    <w:rsid w:val="35D9985B"/>
    <w:rsid w:val="35DA0E7D"/>
    <w:rsid w:val="3635C0C3"/>
    <w:rsid w:val="3651E6C8"/>
    <w:rsid w:val="3719F719"/>
    <w:rsid w:val="371CE838"/>
    <w:rsid w:val="37355B68"/>
    <w:rsid w:val="377C3762"/>
    <w:rsid w:val="379D31CF"/>
    <w:rsid w:val="37CC8CD5"/>
    <w:rsid w:val="388F9F92"/>
    <w:rsid w:val="38B3368E"/>
    <w:rsid w:val="3912CDCF"/>
    <w:rsid w:val="3931FEBB"/>
    <w:rsid w:val="3988D417"/>
    <w:rsid w:val="39C4B3B2"/>
    <w:rsid w:val="39D636D7"/>
    <w:rsid w:val="39D86741"/>
    <w:rsid w:val="39EE28C9"/>
    <w:rsid w:val="39EF5E5F"/>
    <w:rsid w:val="39F1DBB8"/>
    <w:rsid w:val="39F48D4F"/>
    <w:rsid w:val="3A29AAF5"/>
    <w:rsid w:val="3A5536D1"/>
    <w:rsid w:val="3A69B69B"/>
    <w:rsid w:val="3A8EDAE5"/>
    <w:rsid w:val="3AC99C47"/>
    <w:rsid w:val="3B0DD882"/>
    <w:rsid w:val="3BAD0717"/>
    <w:rsid w:val="3BB37AEA"/>
    <w:rsid w:val="3BB88CFD"/>
    <w:rsid w:val="3BD85345"/>
    <w:rsid w:val="3C1DAB4A"/>
    <w:rsid w:val="3C2CF540"/>
    <w:rsid w:val="3C4AF992"/>
    <w:rsid w:val="3CA120BC"/>
    <w:rsid w:val="3CC12F7E"/>
    <w:rsid w:val="3D556944"/>
    <w:rsid w:val="3DA82179"/>
    <w:rsid w:val="3DC8475A"/>
    <w:rsid w:val="3E17BA1B"/>
    <w:rsid w:val="3E4D7824"/>
    <w:rsid w:val="3E5A45BA"/>
    <w:rsid w:val="3E5C4D60"/>
    <w:rsid w:val="3E83EF5A"/>
    <w:rsid w:val="3E8C065E"/>
    <w:rsid w:val="3F0723E2"/>
    <w:rsid w:val="3F37689A"/>
    <w:rsid w:val="3F4D7810"/>
    <w:rsid w:val="3F77CE02"/>
    <w:rsid w:val="3FFD43D5"/>
    <w:rsid w:val="402984B0"/>
    <w:rsid w:val="40637074"/>
    <w:rsid w:val="407FEB7E"/>
    <w:rsid w:val="40AD3384"/>
    <w:rsid w:val="40AD565D"/>
    <w:rsid w:val="40CFC682"/>
    <w:rsid w:val="40D8B6BC"/>
    <w:rsid w:val="414E1984"/>
    <w:rsid w:val="415E8CD0"/>
    <w:rsid w:val="4160A227"/>
    <w:rsid w:val="41735CA4"/>
    <w:rsid w:val="41B445DD"/>
    <w:rsid w:val="41DD89AD"/>
    <w:rsid w:val="421D57FA"/>
    <w:rsid w:val="422F940D"/>
    <w:rsid w:val="42353AAE"/>
    <w:rsid w:val="423DF539"/>
    <w:rsid w:val="42853A51"/>
    <w:rsid w:val="42B89984"/>
    <w:rsid w:val="42C47609"/>
    <w:rsid w:val="42D43648"/>
    <w:rsid w:val="42FE7428"/>
    <w:rsid w:val="435E3285"/>
    <w:rsid w:val="436EF8BE"/>
    <w:rsid w:val="4396EB4F"/>
    <w:rsid w:val="4463844B"/>
    <w:rsid w:val="447B683E"/>
    <w:rsid w:val="44A2B2FC"/>
    <w:rsid w:val="44C6DEAE"/>
    <w:rsid w:val="44E8B1A4"/>
    <w:rsid w:val="454A1139"/>
    <w:rsid w:val="4568E94F"/>
    <w:rsid w:val="45A56743"/>
    <w:rsid w:val="45D2FFAA"/>
    <w:rsid w:val="46047B3F"/>
    <w:rsid w:val="461C8AC0"/>
    <w:rsid w:val="461E5DBA"/>
    <w:rsid w:val="46252861"/>
    <w:rsid w:val="464FE111"/>
    <w:rsid w:val="466CC093"/>
    <w:rsid w:val="46733F07"/>
    <w:rsid w:val="46A21675"/>
    <w:rsid w:val="46E79787"/>
    <w:rsid w:val="46EC1660"/>
    <w:rsid w:val="470CE15C"/>
    <w:rsid w:val="471EB9B4"/>
    <w:rsid w:val="4783E483"/>
    <w:rsid w:val="4787F397"/>
    <w:rsid w:val="47ACD45A"/>
    <w:rsid w:val="47C80F13"/>
    <w:rsid w:val="4827B7C0"/>
    <w:rsid w:val="482980F8"/>
    <w:rsid w:val="483AC233"/>
    <w:rsid w:val="4874A62C"/>
    <w:rsid w:val="48BDED44"/>
    <w:rsid w:val="48D562E0"/>
    <w:rsid w:val="4915C104"/>
    <w:rsid w:val="492D43F0"/>
    <w:rsid w:val="49305F3F"/>
    <w:rsid w:val="49974F28"/>
    <w:rsid w:val="4A08D018"/>
    <w:rsid w:val="4A4705A9"/>
    <w:rsid w:val="4A6D1864"/>
    <w:rsid w:val="4A857CC2"/>
    <w:rsid w:val="4AA4BD88"/>
    <w:rsid w:val="4AD423E5"/>
    <w:rsid w:val="4B17365F"/>
    <w:rsid w:val="4B41DFBF"/>
    <w:rsid w:val="4B874F1B"/>
    <w:rsid w:val="4B942A7A"/>
    <w:rsid w:val="4BAC1024"/>
    <w:rsid w:val="4BD352AF"/>
    <w:rsid w:val="4C05D4E2"/>
    <w:rsid w:val="4C707ECF"/>
    <w:rsid w:val="4C91A240"/>
    <w:rsid w:val="4CC58B7A"/>
    <w:rsid w:val="4CDDD2AA"/>
    <w:rsid w:val="4CE1AE97"/>
    <w:rsid w:val="4CFF007D"/>
    <w:rsid w:val="4D0173DF"/>
    <w:rsid w:val="4D01CC2B"/>
    <w:rsid w:val="4D07B439"/>
    <w:rsid w:val="4D2986A9"/>
    <w:rsid w:val="4D2C8240"/>
    <w:rsid w:val="4D4DC1E3"/>
    <w:rsid w:val="4D551BFE"/>
    <w:rsid w:val="4E01AFCE"/>
    <w:rsid w:val="4E0FF51D"/>
    <w:rsid w:val="4E59EB4C"/>
    <w:rsid w:val="4E64C9BB"/>
    <w:rsid w:val="4E884525"/>
    <w:rsid w:val="4E91F76A"/>
    <w:rsid w:val="4F607DDB"/>
    <w:rsid w:val="4F6FF0BA"/>
    <w:rsid w:val="4F9D2A84"/>
    <w:rsid w:val="4FA201B3"/>
    <w:rsid w:val="4FC6EED1"/>
    <w:rsid w:val="4FCB8FE1"/>
    <w:rsid w:val="4FF03DCF"/>
    <w:rsid w:val="50401AD5"/>
    <w:rsid w:val="504E7716"/>
    <w:rsid w:val="50B40C37"/>
    <w:rsid w:val="50C93276"/>
    <w:rsid w:val="516304A3"/>
    <w:rsid w:val="516EF7E8"/>
    <w:rsid w:val="518DA1F7"/>
    <w:rsid w:val="51D8DA64"/>
    <w:rsid w:val="51DFDD2B"/>
    <w:rsid w:val="51F79CCD"/>
    <w:rsid w:val="5252060A"/>
    <w:rsid w:val="52585C06"/>
    <w:rsid w:val="525EC103"/>
    <w:rsid w:val="5260F5AE"/>
    <w:rsid w:val="5299C587"/>
    <w:rsid w:val="52CC39E2"/>
    <w:rsid w:val="52D9D27B"/>
    <w:rsid w:val="530B7DEE"/>
    <w:rsid w:val="5321885D"/>
    <w:rsid w:val="5321E65D"/>
    <w:rsid w:val="535AE40E"/>
    <w:rsid w:val="53B30085"/>
    <w:rsid w:val="53B46CC5"/>
    <w:rsid w:val="541A4605"/>
    <w:rsid w:val="544813A1"/>
    <w:rsid w:val="549F2D6F"/>
    <w:rsid w:val="54AAC315"/>
    <w:rsid w:val="54E389D4"/>
    <w:rsid w:val="55148084"/>
    <w:rsid w:val="5556F5E9"/>
    <w:rsid w:val="555B3FBB"/>
    <w:rsid w:val="555E419B"/>
    <w:rsid w:val="556C6F69"/>
    <w:rsid w:val="55A050DB"/>
    <w:rsid w:val="55EF0D1C"/>
    <w:rsid w:val="56414F3A"/>
    <w:rsid w:val="5680B69D"/>
    <w:rsid w:val="568F861F"/>
    <w:rsid w:val="56ABDA18"/>
    <w:rsid w:val="56D16B69"/>
    <w:rsid w:val="571AE790"/>
    <w:rsid w:val="572FBD80"/>
    <w:rsid w:val="57767B85"/>
    <w:rsid w:val="5785DA8E"/>
    <w:rsid w:val="58095041"/>
    <w:rsid w:val="59148E59"/>
    <w:rsid w:val="59342149"/>
    <w:rsid w:val="598C0E37"/>
    <w:rsid w:val="598D1515"/>
    <w:rsid w:val="59A9AA04"/>
    <w:rsid w:val="59AE5D8E"/>
    <w:rsid w:val="59ED54C8"/>
    <w:rsid w:val="5A28CD68"/>
    <w:rsid w:val="5A45F744"/>
    <w:rsid w:val="5A52ABC5"/>
    <w:rsid w:val="5A9A98D5"/>
    <w:rsid w:val="5AAC969C"/>
    <w:rsid w:val="5AD9A80D"/>
    <w:rsid w:val="5AE7AE17"/>
    <w:rsid w:val="5AE7AE17"/>
    <w:rsid w:val="5B1748ED"/>
    <w:rsid w:val="5B1C1D17"/>
    <w:rsid w:val="5B2C3B6B"/>
    <w:rsid w:val="5B2E5206"/>
    <w:rsid w:val="5B445F9F"/>
    <w:rsid w:val="5B55E6D4"/>
    <w:rsid w:val="5B71BB34"/>
    <w:rsid w:val="5B7B176E"/>
    <w:rsid w:val="5B8ABD0A"/>
    <w:rsid w:val="5BE4F944"/>
    <w:rsid w:val="5BF5DA25"/>
    <w:rsid w:val="5C0D3EE0"/>
    <w:rsid w:val="5C381C5B"/>
    <w:rsid w:val="5C5446CF"/>
    <w:rsid w:val="5C84CA36"/>
    <w:rsid w:val="5C9596D7"/>
    <w:rsid w:val="5CF7F3C2"/>
    <w:rsid w:val="5D1EEE37"/>
    <w:rsid w:val="5D64FF0E"/>
    <w:rsid w:val="5D6DEA98"/>
    <w:rsid w:val="5D6E1F93"/>
    <w:rsid w:val="5D823852"/>
    <w:rsid w:val="5DF1B923"/>
    <w:rsid w:val="5DF69953"/>
    <w:rsid w:val="5E015659"/>
    <w:rsid w:val="5E141B6D"/>
    <w:rsid w:val="5E7B403F"/>
    <w:rsid w:val="5EAD17B8"/>
    <w:rsid w:val="5F32F8D5"/>
    <w:rsid w:val="5F383226"/>
    <w:rsid w:val="5F3C2BF6"/>
    <w:rsid w:val="5FA9BB8E"/>
    <w:rsid w:val="5FE5A4E1"/>
    <w:rsid w:val="606AD92B"/>
    <w:rsid w:val="6078507D"/>
    <w:rsid w:val="60942075"/>
    <w:rsid w:val="6098F5BB"/>
    <w:rsid w:val="60DF62CF"/>
    <w:rsid w:val="60E9A387"/>
    <w:rsid w:val="614552ED"/>
    <w:rsid w:val="61B53AC2"/>
    <w:rsid w:val="62406625"/>
    <w:rsid w:val="62569F70"/>
    <w:rsid w:val="628A53EA"/>
    <w:rsid w:val="62FFA80B"/>
    <w:rsid w:val="631E20D0"/>
    <w:rsid w:val="63891F52"/>
    <w:rsid w:val="63DCAA7B"/>
    <w:rsid w:val="63F9218D"/>
    <w:rsid w:val="641BABF0"/>
    <w:rsid w:val="64413033"/>
    <w:rsid w:val="647FC018"/>
    <w:rsid w:val="649A773F"/>
    <w:rsid w:val="649C2B1B"/>
    <w:rsid w:val="653B4F63"/>
    <w:rsid w:val="653EA8C7"/>
    <w:rsid w:val="6563BBA7"/>
    <w:rsid w:val="656EB9B9"/>
    <w:rsid w:val="6572056D"/>
    <w:rsid w:val="65A5BF08"/>
    <w:rsid w:val="662CB521"/>
    <w:rsid w:val="662E21A8"/>
    <w:rsid w:val="665CB0C2"/>
    <w:rsid w:val="666BB15F"/>
    <w:rsid w:val="668A974E"/>
    <w:rsid w:val="67152055"/>
    <w:rsid w:val="67194342"/>
    <w:rsid w:val="67373258"/>
    <w:rsid w:val="677B235C"/>
    <w:rsid w:val="679CB1D2"/>
    <w:rsid w:val="67E19208"/>
    <w:rsid w:val="67E83231"/>
    <w:rsid w:val="67E9F802"/>
    <w:rsid w:val="681825B3"/>
    <w:rsid w:val="6821765F"/>
    <w:rsid w:val="68553BD7"/>
    <w:rsid w:val="68A7C29B"/>
    <w:rsid w:val="68B09018"/>
    <w:rsid w:val="68E83F0C"/>
    <w:rsid w:val="691A4F90"/>
    <w:rsid w:val="6948963D"/>
    <w:rsid w:val="694CE128"/>
    <w:rsid w:val="695AAE08"/>
    <w:rsid w:val="6A264D20"/>
    <w:rsid w:val="6A9D97BD"/>
    <w:rsid w:val="6AD7FCE2"/>
    <w:rsid w:val="6AE3F50C"/>
    <w:rsid w:val="6B029B3C"/>
    <w:rsid w:val="6B29BC65"/>
    <w:rsid w:val="6B684303"/>
    <w:rsid w:val="6B6E3E63"/>
    <w:rsid w:val="6B6E9B42"/>
    <w:rsid w:val="6B92FCB9"/>
    <w:rsid w:val="6CAB37CE"/>
    <w:rsid w:val="6CAD8FC5"/>
    <w:rsid w:val="6CE304AD"/>
    <w:rsid w:val="6CEAD60C"/>
    <w:rsid w:val="6D018E4F"/>
    <w:rsid w:val="6D6338CD"/>
    <w:rsid w:val="6D718B63"/>
    <w:rsid w:val="6D8349C5"/>
    <w:rsid w:val="6D959909"/>
    <w:rsid w:val="6DACD0E9"/>
    <w:rsid w:val="6DB4EC74"/>
    <w:rsid w:val="6DB9554B"/>
    <w:rsid w:val="6DC2AC65"/>
    <w:rsid w:val="6DCAB71A"/>
    <w:rsid w:val="6E46090A"/>
    <w:rsid w:val="6E851DA2"/>
    <w:rsid w:val="6ED9DE78"/>
    <w:rsid w:val="6EF4491C"/>
    <w:rsid w:val="6F1FC9B8"/>
    <w:rsid w:val="6F55C92B"/>
    <w:rsid w:val="6F8EAA6A"/>
    <w:rsid w:val="7019FCE0"/>
    <w:rsid w:val="7026F46F"/>
    <w:rsid w:val="704A1B69"/>
    <w:rsid w:val="704DCD0A"/>
    <w:rsid w:val="70654AB1"/>
    <w:rsid w:val="706C53A9"/>
    <w:rsid w:val="70839021"/>
    <w:rsid w:val="70A9B211"/>
    <w:rsid w:val="71253B68"/>
    <w:rsid w:val="714F2BB0"/>
    <w:rsid w:val="7153D0B1"/>
    <w:rsid w:val="71623B44"/>
    <w:rsid w:val="71DFC96F"/>
    <w:rsid w:val="71E7930D"/>
    <w:rsid w:val="722A616A"/>
    <w:rsid w:val="72583BDA"/>
    <w:rsid w:val="731D29A0"/>
    <w:rsid w:val="733121BE"/>
    <w:rsid w:val="7396E91D"/>
    <w:rsid w:val="73C2CC82"/>
    <w:rsid w:val="73D13955"/>
    <w:rsid w:val="73DE70DD"/>
    <w:rsid w:val="7404C451"/>
    <w:rsid w:val="74057015"/>
    <w:rsid w:val="742D1251"/>
    <w:rsid w:val="742D5614"/>
    <w:rsid w:val="744CA88F"/>
    <w:rsid w:val="74757CC5"/>
    <w:rsid w:val="749B8741"/>
    <w:rsid w:val="74C3DD15"/>
    <w:rsid w:val="74D39065"/>
    <w:rsid w:val="74F6ED03"/>
    <w:rsid w:val="75912867"/>
    <w:rsid w:val="75C16C22"/>
    <w:rsid w:val="75E159F5"/>
    <w:rsid w:val="7602C527"/>
    <w:rsid w:val="760308C1"/>
    <w:rsid w:val="76063C1B"/>
    <w:rsid w:val="761331D6"/>
    <w:rsid w:val="762832C0"/>
    <w:rsid w:val="762E774B"/>
    <w:rsid w:val="7652EF79"/>
    <w:rsid w:val="769BB6DB"/>
    <w:rsid w:val="76B51A95"/>
    <w:rsid w:val="76CBAA68"/>
    <w:rsid w:val="76CD53E8"/>
    <w:rsid w:val="76F570F4"/>
    <w:rsid w:val="76FF9A85"/>
    <w:rsid w:val="772DF49D"/>
    <w:rsid w:val="776369F8"/>
    <w:rsid w:val="77E274A1"/>
    <w:rsid w:val="77EFF149"/>
    <w:rsid w:val="78845243"/>
    <w:rsid w:val="78E33E74"/>
    <w:rsid w:val="78E5482C"/>
    <w:rsid w:val="78E88D75"/>
    <w:rsid w:val="79213E79"/>
    <w:rsid w:val="7A1B4FCE"/>
    <w:rsid w:val="7A24945A"/>
    <w:rsid w:val="7A4D8459"/>
    <w:rsid w:val="7A6CFC41"/>
    <w:rsid w:val="7A8745EC"/>
    <w:rsid w:val="7A9FD256"/>
    <w:rsid w:val="7AAC1D69"/>
    <w:rsid w:val="7ADA3F2D"/>
    <w:rsid w:val="7AFB575E"/>
    <w:rsid w:val="7AFDD450"/>
    <w:rsid w:val="7B1843FA"/>
    <w:rsid w:val="7B1DAF60"/>
    <w:rsid w:val="7B2921AE"/>
    <w:rsid w:val="7B6D629A"/>
    <w:rsid w:val="7B757E20"/>
    <w:rsid w:val="7B8E68DB"/>
    <w:rsid w:val="7B9E3AE9"/>
    <w:rsid w:val="7BAC0D47"/>
    <w:rsid w:val="7BAFB7A8"/>
    <w:rsid w:val="7BC87C83"/>
    <w:rsid w:val="7C927402"/>
    <w:rsid w:val="7CBDAEB4"/>
    <w:rsid w:val="7CD20886"/>
    <w:rsid w:val="7D15AEDC"/>
    <w:rsid w:val="7D44E36C"/>
    <w:rsid w:val="7D64DA6B"/>
    <w:rsid w:val="7DB5AE22"/>
    <w:rsid w:val="7DE836A0"/>
    <w:rsid w:val="7DF8F017"/>
    <w:rsid w:val="7DFC44BD"/>
    <w:rsid w:val="7E0E90D7"/>
    <w:rsid w:val="7E47EBB9"/>
    <w:rsid w:val="7E49C590"/>
    <w:rsid w:val="7EA873B0"/>
    <w:rsid w:val="7EC01943"/>
    <w:rsid w:val="7F12016A"/>
    <w:rsid w:val="7F367D80"/>
    <w:rsid w:val="7F5071DD"/>
    <w:rsid w:val="7F537C9C"/>
    <w:rsid w:val="7F87F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636D7"/>
  <w15:chartTrackingRefBased/>
  <w15:docId w15:val="{84E31D5F-917E-4B4C-BB5C-E9F28F8EEB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02D31E1"/>
    <w:rPr>
      <w:rFonts w:ascii="Times New Roman" w:hAnsi="Times New Roman" w:eastAsia="Times New Roman" w:cs="Times New Roman"/>
      <w:noProof w:val="0"/>
      <w:u w:val="none"/>
      <w:lang w:val="en-GB"/>
    </w:rPr>
    <w:pPr>
      <w:ind w:left="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02D31E1"/>
    <w:pPr>
      <w:spacing/>
      <w:ind w:left="720"/>
      <w:contextualSpacing/>
    </w:pPr>
  </w:style>
  <w:style w:type="paragraph" w:styleId="Heading1">
    <w:uiPriority w:val="9"/>
    <w:name w:val="heading 1"/>
    <w:basedOn w:val="ListParagraph"/>
    <w:next w:val="Normal"/>
    <w:qFormat/>
    <w:rsid w:val="202D31E1"/>
    <w:rPr>
      <w:rFonts w:ascii="Times New Roman" w:hAnsi="Times New Roman" w:eastAsia="Times New Roman" w:cs="Times New Roman" w:asciiTheme="minorAscii" w:hAnsiTheme="minorAscii" w:eastAsiaTheme="minorEastAsia" w:cstheme="minorBidi"/>
      <w:b w:val="1"/>
      <w:bCs w:val="1"/>
      <w:noProof w:val="0"/>
      <w:sz w:val="32"/>
      <w:szCs w:val="32"/>
      <w:u w:val="none"/>
      <w:lang w:val="en-GB"/>
    </w:rPr>
    <w:pPr>
      <w:numPr>
        <w:ilvl w:val="0"/>
        <w:numId w:val="21"/>
      </w:numPr>
      <w:spacing w:line="360" w:lineRule="auto"/>
      <w:ind w:hanging="360"/>
      <w:jc w:val="both"/>
    </w:pPr>
  </w:style>
  <w:style w:type="paragraph" w:styleId="Heading2">
    <w:uiPriority w:val="9"/>
    <w:name w:val="heading 2"/>
    <w:basedOn w:val="Normal"/>
    <w:next w:val="Normal"/>
    <w:unhideWhenUsed/>
    <w:qFormat/>
    <w:rsid w:val="202D31E1"/>
    <w:rPr>
      <w:b w:val="1"/>
      <w:bCs w:val="1"/>
    </w:rPr>
  </w:style>
  <w:style w:type="paragraph" w:styleId="TOC1">
    <w:uiPriority w:val="39"/>
    <w:name w:val="toc 1"/>
    <w:basedOn w:val="Normal"/>
    <w:next w:val="Normal"/>
    <w:unhideWhenUsed/>
    <w:rsid w:val="202D31E1"/>
    <w:pPr>
      <w:spacing w:after="100"/>
    </w:pPr>
  </w:style>
  <w:style w:type="character" w:styleId="Hyperlink">
    <w:uiPriority w:val="99"/>
    <w:name w:val="Hyperlink"/>
    <w:basedOn w:val="DefaultParagraphFont"/>
    <w:unhideWhenUsed/>
    <w:rsid w:val="1655D4EF"/>
    <w:rPr>
      <w:color w:val="467886"/>
      <w:u w:val="single"/>
    </w:rPr>
  </w:style>
  <w:style w:type="paragraph" w:styleId="TOC2">
    <w:uiPriority w:val="39"/>
    <w:name w:val="toc 2"/>
    <w:basedOn w:val="Normal"/>
    <w:next w:val="Normal"/>
    <w:unhideWhenUsed/>
    <w:rsid w:val="202D31E1"/>
    <w:pPr>
      <w:spacing w:after="100"/>
      <w:ind w:left="220"/>
    </w:pPr>
  </w:style>
  <w:style w:type="paragraph" w:styleId="Header">
    <w:uiPriority w:val="99"/>
    <w:name w:val="header"/>
    <w:basedOn w:val="Normal"/>
    <w:unhideWhenUsed/>
    <w:rsid w:val="202D31E1"/>
    <w:pPr>
      <w:tabs>
        <w:tab w:val="center" w:leader="none" w:pos="4680"/>
        <w:tab w:val="right" w:leader="none" w:pos="9360"/>
      </w:tabs>
      <w:spacing w:after="0"/>
    </w:pPr>
  </w:style>
  <w:style w:type="paragraph" w:styleId="Footer">
    <w:uiPriority w:val="99"/>
    <w:name w:val="footer"/>
    <w:basedOn w:val="Normal"/>
    <w:unhideWhenUsed/>
    <w:rsid w:val="202D31E1"/>
    <w:pPr>
      <w:tabs>
        <w:tab w:val="center" w:leader="none" w:pos="4680"/>
        <w:tab w:val="right" w:leader="none" w:pos="9360"/>
      </w:tabs>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8a27d88de7c4105" /><Relationship Type="http://schemas.openxmlformats.org/officeDocument/2006/relationships/image" Target="/media/image2.png" Id="rId452713732" /><Relationship Type="http://schemas.openxmlformats.org/officeDocument/2006/relationships/header" Target="header.xml" Id="Rf809e33b006746c4" /><Relationship Type="http://schemas.openxmlformats.org/officeDocument/2006/relationships/footer" Target="footer.xml" Id="R55daf4bdb03b49ae" /><Relationship Type="http://schemas.microsoft.com/office/2020/10/relationships/intelligence" Target="intelligence2.xml" Id="Re7787f747cbb4186" /><Relationship Type="http://schemas.openxmlformats.org/officeDocument/2006/relationships/image" Target="/media/image4.png" Id="rId480212381" /><Relationship Type="http://schemas.openxmlformats.org/officeDocument/2006/relationships/image" Target="/media/image5.png" Id="rId2070754574" /><Relationship Type="http://schemas.openxmlformats.org/officeDocument/2006/relationships/image" Target="/media/image6.png" Id="rId1532660541" /><Relationship Type="http://schemas.openxmlformats.org/officeDocument/2006/relationships/image" Target="/media/image7.png" Id="rId336994591" /><Relationship Type="http://schemas.openxmlformats.org/officeDocument/2006/relationships/image" Target="/media/image8.png" Id="rId193735766" /><Relationship Type="http://schemas.openxmlformats.org/officeDocument/2006/relationships/image" Target="/media/image9.png" Id="rId422141065" /><Relationship Type="http://schemas.openxmlformats.org/officeDocument/2006/relationships/image" Target="/media/imagea.png" Id="rId1521344244" /><Relationship Type="http://schemas.openxmlformats.org/officeDocument/2006/relationships/image" Target="/media/imageb.png" Id="rId2006289348" /><Relationship Type="http://schemas.openxmlformats.org/officeDocument/2006/relationships/hyperlink" Target="https://doi.org/10.1016/j.heliyon.2021.e07536" TargetMode="External" Id="Rf431c3cfbbe0407f" /><Relationship Type="http://schemas.openxmlformats.org/officeDocument/2006/relationships/hyperlink" Target="https://doi.org/10.1108/JWAM-12-2021-0065" TargetMode="External" Id="Raacf850d881e49fa" /><Relationship Type="http://schemas.openxmlformats.org/officeDocument/2006/relationships/hyperlink" Target="https://doi.org/10.1108/JMTM-11-2018-0417" TargetMode="External" Id="Rb876ed0da55148d4" /><Relationship Type="http://schemas.openxmlformats.org/officeDocument/2006/relationships/hyperlink" Target="https://doi.org/10.1016/j.aei.2021.101299" TargetMode="External" Id="Rcfd7bd04b7584ba5" /><Relationship Type="http://schemas.openxmlformats.org/officeDocument/2006/relationships/hyperlink" Target="https://doi.org/10.1080/09537287.2019.1691278" TargetMode="External" Id="Rd945d790abf74798" /><Relationship Type="http://schemas.openxmlformats.org/officeDocument/2006/relationships/image" Target="/media/imagec.png" Id="rId1485804740" /><Relationship Type="http://schemas.openxmlformats.org/officeDocument/2006/relationships/image" Target="/media/imaged.png" Id="rId2249643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2025-11-24T13:30:36.2638164Z</dcterms:created>
  <dcterms:modified xsi:type="dcterms:W3CDTF">2025-11-28T13:05:37.3428380Z</dcterms:modified>
  <dc:creator>Dana Pellegrini Babcinschii (2317100)</dc:creator>
  <lastModifiedBy>Dana Pellegrini Babcinschii (2317100)</lastModifiedBy>
</coreProperties>
</file>