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A052D" w14:textId="77777777" w:rsidR="00FB17A6" w:rsidRDefault="00FB17A6" w:rsidP="00FB17A6">
      <w:pPr>
        <w:pStyle w:val="Title"/>
      </w:pPr>
    </w:p>
    <w:p w14:paraId="2738D95E" w14:textId="77777777" w:rsidR="00FB17A6" w:rsidRDefault="00FB17A6" w:rsidP="00FB17A6">
      <w:pPr>
        <w:pStyle w:val="Title"/>
      </w:pPr>
    </w:p>
    <w:p w14:paraId="1CD180A8" w14:textId="77777777" w:rsidR="00FB17A6" w:rsidRDefault="00FB17A6" w:rsidP="00FB17A6">
      <w:pPr>
        <w:pStyle w:val="Title"/>
      </w:pPr>
    </w:p>
    <w:p w14:paraId="2F4505BC" w14:textId="55CD6440" w:rsidR="00FB17A6" w:rsidRDefault="00FB17A6" w:rsidP="00FB17A6">
      <w:pPr>
        <w:pStyle w:val="Title"/>
      </w:pPr>
      <w:r w:rsidRPr="003379DB">
        <w:t>International Meetings Management for the Hotel Industry</w:t>
      </w:r>
      <w:r>
        <w:t xml:space="preserve"> – REPORT </w:t>
      </w:r>
    </w:p>
    <w:p w14:paraId="05F9C4B5" w14:textId="72C1B01A" w:rsidR="00FB17A6" w:rsidRPr="00BB0442" w:rsidRDefault="00FB17A6" w:rsidP="00FB17A6">
      <w:pPr>
        <w:jc w:val="center"/>
        <w:rPr>
          <w:sz w:val="36"/>
          <w:szCs w:val="36"/>
        </w:rPr>
      </w:pPr>
      <w:r w:rsidRPr="00BB0442">
        <w:rPr>
          <w:sz w:val="36"/>
          <w:szCs w:val="36"/>
        </w:rPr>
        <w:t>Student Name:</w:t>
      </w:r>
      <w:r w:rsidR="007C7EE4" w:rsidRPr="00BB0442">
        <w:rPr>
          <w:sz w:val="36"/>
          <w:szCs w:val="36"/>
        </w:rPr>
        <w:t xml:space="preserve"> Raducu </w:t>
      </w:r>
      <w:r w:rsidR="00BB0442" w:rsidRPr="00BB0442">
        <w:rPr>
          <w:sz w:val="36"/>
          <w:szCs w:val="36"/>
        </w:rPr>
        <w:t>–</w:t>
      </w:r>
      <w:r w:rsidR="007C7EE4" w:rsidRPr="00BB0442">
        <w:rPr>
          <w:sz w:val="36"/>
          <w:szCs w:val="36"/>
        </w:rPr>
        <w:t xml:space="preserve"> </w:t>
      </w:r>
      <w:r w:rsidR="00BB0442" w:rsidRPr="00BB0442">
        <w:rPr>
          <w:sz w:val="36"/>
          <w:szCs w:val="36"/>
        </w:rPr>
        <w:t>Viorel Ciolpan</w:t>
      </w:r>
    </w:p>
    <w:p w14:paraId="59FC0B33" w14:textId="1B023162" w:rsidR="00FB17A6" w:rsidRDefault="00FB17A6" w:rsidP="00FB17A6">
      <w:pPr>
        <w:jc w:val="center"/>
        <w:rPr>
          <w:sz w:val="36"/>
          <w:szCs w:val="36"/>
        </w:rPr>
      </w:pPr>
      <w:r w:rsidRPr="00BB0442">
        <w:rPr>
          <w:sz w:val="36"/>
          <w:szCs w:val="36"/>
        </w:rPr>
        <w:t xml:space="preserve">Student ID: </w:t>
      </w:r>
      <w:r w:rsidR="00BB0442" w:rsidRPr="00BB0442">
        <w:rPr>
          <w:sz w:val="36"/>
          <w:szCs w:val="36"/>
        </w:rPr>
        <w:t>2221478</w:t>
      </w:r>
    </w:p>
    <w:p w14:paraId="59286AD2" w14:textId="099892FC" w:rsidR="00BB0442" w:rsidRPr="00BB0442" w:rsidRDefault="00BB0442" w:rsidP="00FB17A6">
      <w:pPr>
        <w:jc w:val="center"/>
        <w:rPr>
          <w:sz w:val="36"/>
          <w:szCs w:val="36"/>
        </w:rPr>
      </w:pPr>
      <w:r>
        <w:rPr>
          <w:sz w:val="36"/>
          <w:szCs w:val="36"/>
        </w:rPr>
        <w:t xml:space="preserve">Lecturer Name: </w:t>
      </w:r>
      <w:r w:rsidR="004F6534">
        <w:rPr>
          <w:sz w:val="36"/>
          <w:szCs w:val="36"/>
        </w:rPr>
        <w:t>Kathryn Flynn</w:t>
      </w:r>
    </w:p>
    <w:p w14:paraId="4373DA58" w14:textId="77777777" w:rsidR="007C3BCF" w:rsidRDefault="00FB17A6" w:rsidP="0082726B">
      <w:r>
        <w:br w:type="page"/>
      </w:r>
    </w:p>
    <w:p w14:paraId="73FF0FF5" w14:textId="77777777" w:rsidR="007C3BCF" w:rsidRDefault="007C3BCF" w:rsidP="0082726B"/>
    <w:p w14:paraId="6C00AEE6" w14:textId="77777777" w:rsidR="007C3BCF" w:rsidRDefault="007C3BCF" w:rsidP="0082726B"/>
    <w:p w14:paraId="25EB5EFB" w14:textId="77777777" w:rsidR="007C3BCF" w:rsidRDefault="007C3BCF" w:rsidP="0082726B"/>
    <w:p w14:paraId="467D4049" w14:textId="7142ACC8" w:rsidR="0082726B" w:rsidRDefault="0082726B" w:rsidP="0082726B">
      <w:r>
        <w:t xml:space="preserve">I acknowledge the use of Grammarly (https://www.grammarly.com/) on </w:t>
      </w:r>
      <w:r w:rsidR="002D30D0">
        <w:t>26. Februar</w:t>
      </w:r>
      <w:r w:rsidR="007C3BCF">
        <w:t xml:space="preserve">y 2025 </w:t>
      </w:r>
      <w:r>
        <w:t xml:space="preserve">to check my work using the prompt(s): </w:t>
      </w:r>
    </w:p>
    <w:p w14:paraId="4E180B55" w14:textId="77777777" w:rsidR="0082726B" w:rsidRDefault="0082726B" w:rsidP="0082726B">
      <w:pPr>
        <w:pStyle w:val="ListParagraph"/>
        <w:numPr>
          <w:ilvl w:val="0"/>
          <w:numId w:val="11"/>
        </w:numPr>
        <w:spacing w:before="0" w:after="160"/>
      </w:pPr>
      <w:r>
        <w:t xml:space="preserve">Please check the following text for readability, grammar and syntax. </w:t>
      </w:r>
    </w:p>
    <w:p w14:paraId="0B779B6A" w14:textId="77777777" w:rsidR="0082726B" w:rsidRDefault="0082726B" w:rsidP="0082726B">
      <w:pPr>
        <w:pStyle w:val="ListParagraph"/>
        <w:ind w:left="786"/>
      </w:pPr>
    </w:p>
    <w:p w14:paraId="0691FBB1" w14:textId="77777777" w:rsidR="0082726B" w:rsidRDefault="0082726B" w:rsidP="0082726B">
      <w:pPr>
        <w:pStyle w:val="ListParagraph"/>
        <w:ind w:left="786"/>
      </w:pPr>
      <w:r>
        <w:t>I confirm that I have not presented any AI generated text as my own work. I confirm I have copies of my drafts, notes, and other resources I used before, and after the use of AI tools which I may be asked to provide in evidence.</w:t>
      </w:r>
    </w:p>
    <w:p w14:paraId="29716209" w14:textId="77777777" w:rsidR="0082726B" w:rsidRDefault="0082726B" w:rsidP="0082726B"/>
    <w:p w14:paraId="7DCAB79A" w14:textId="57D550C8" w:rsidR="0082726B" w:rsidRDefault="0082726B" w:rsidP="0082726B">
      <w:r>
        <w:t xml:space="preserve">I acknowledge the use of Google Scholar on </w:t>
      </w:r>
      <w:r w:rsidR="007C3BCF">
        <w:t xml:space="preserve">26. February 2025 </w:t>
      </w:r>
      <w:r>
        <w:t>to check my work using the prompt(s):</w:t>
      </w:r>
    </w:p>
    <w:p w14:paraId="64F281F5" w14:textId="77777777" w:rsidR="0082726B" w:rsidRDefault="0082726B" w:rsidP="0082726B">
      <w:pPr>
        <w:pStyle w:val="ListParagraph"/>
        <w:numPr>
          <w:ilvl w:val="0"/>
          <w:numId w:val="10"/>
        </w:numPr>
        <w:spacing w:before="0" w:after="160"/>
      </w:pPr>
      <w:r>
        <w:t>Please check the following text for readability, grammar and syntax.</w:t>
      </w:r>
    </w:p>
    <w:p w14:paraId="46708D50" w14:textId="77777777" w:rsidR="0082726B" w:rsidRDefault="0082726B" w:rsidP="0082726B">
      <w:pPr>
        <w:pStyle w:val="ListParagraph"/>
        <w:ind w:left="420"/>
      </w:pPr>
    </w:p>
    <w:p w14:paraId="66EA12D2" w14:textId="360710F4" w:rsidR="0082726B" w:rsidRDefault="0082726B" w:rsidP="0082726B">
      <w:pPr>
        <w:pStyle w:val="ListParagraph"/>
        <w:ind w:left="420"/>
      </w:pPr>
      <w:r>
        <w:t xml:space="preserve"> I confirm that I have not presented any AI generated text as my own work. I confirm I have copies of my drafts, notes, and other resources I used before, and after the use of AI tools which I may be asked to provide in evidence.</w:t>
      </w:r>
      <w:r w:rsidR="007C3BCF">
        <w:t xml:space="preserve">     </w:t>
      </w:r>
    </w:p>
    <w:p w14:paraId="60F9F715" w14:textId="77777777" w:rsidR="007C3BCF" w:rsidRDefault="007C3BCF" w:rsidP="0082726B">
      <w:pPr>
        <w:pStyle w:val="ListParagraph"/>
        <w:ind w:left="420"/>
      </w:pPr>
    </w:p>
    <w:p w14:paraId="4B407E6B" w14:textId="77777777" w:rsidR="007C3BCF" w:rsidRDefault="007C3BCF" w:rsidP="0082726B">
      <w:pPr>
        <w:pStyle w:val="ListParagraph"/>
        <w:ind w:left="420"/>
      </w:pPr>
    </w:p>
    <w:p w14:paraId="71263372" w14:textId="77777777" w:rsidR="007C3BCF" w:rsidRDefault="007C3BCF" w:rsidP="0082726B">
      <w:pPr>
        <w:pStyle w:val="ListParagraph"/>
        <w:ind w:left="420"/>
      </w:pPr>
    </w:p>
    <w:p w14:paraId="7FE71868" w14:textId="77777777" w:rsidR="007C3BCF" w:rsidRDefault="007C3BCF" w:rsidP="0082726B">
      <w:pPr>
        <w:pStyle w:val="ListParagraph"/>
        <w:ind w:left="420"/>
      </w:pPr>
    </w:p>
    <w:p w14:paraId="22867D9C" w14:textId="77777777" w:rsidR="007C3BCF" w:rsidRDefault="007C3BCF" w:rsidP="0082726B">
      <w:pPr>
        <w:pStyle w:val="ListParagraph"/>
        <w:ind w:left="420"/>
      </w:pPr>
    </w:p>
    <w:p w14:paraId="7F765964" w14:textId="77777777" w:rsidR="007C3BCF" w:rsidRDefault="007C3BCF" w:rsidP="0082726B">
      <w:pPr>
        <w:pStyle w:val="ListParagraph"/>
        <w:ind w:left="420"/>
      </w:pPr>
    </w:p>
    <w:p w14:paraId="73C81D6F" w14:textId="77777777" w:rsidR="007C3BCF" w:rsidRDefault="007C3BCF" w:rsidP="0082726B">
      <w:pPr>
        <w:pStyle w:val="ListParagraph"/>
        <w:ind w:left="420"/>
      </w:pPr>
    </w:p>
    <w:p w14:paraId="1FE0D52D" w14:textId="77777777" w:rsidR="007C3BCF" w:rsidRDefault="007C3BCF" w:rsidP="0082726B">
      <w:pPr>
        <w:pStyle w:val="ListParagraph"/>
        <w:ind w:left="420"/>
      </w:pPr>
    </w:p>
    <w:p w14:paraId="46ECB63E" w14:textId="77777777" w:rsidR="007C3BCF" w:rsidRDefault="007C3BCF" w:rsidP="0082726B">
      <w:pPr>
        <w:pStyle w:val="ListParagraph"/>
        <w:ind w:left="420"/>
      </w:pPr>
    </w:p>
    <w:p w14:paraId="77D09A4A" w14:textId="77777777" w:rsidR="007C3BCF" w:rsidRDefault="007C3BCF" w:rsidP="0082726B">
      <w:pPr>
        <w:pStyle w:val="ListParagraph"/>
        <w:ind w:left="420"/>
      </w:pPr>
    </w:p>
    <w:p w14:paraId="00D51853" w14:textId="77777777" w:rsidR="007C3BCF" w:rsidRDefault="007C3BCF" w:rsidP="0082726B">
      <w:pPr>
        <w:pStyle w:val="ListParagraph"/>
        <w:ind w:left="420"/>
      </w:pPr>
    </w:p>
    <w:p w14:paraId="0F137197" w14:textId="77777777" w:rsidR="007C3BCF" w:rsidRDefault="007C3BCF" w:rsidP="0082726B">
      <w:pPr>
        <w:pStyle w:val="ListParagraph"/>
        <w:ind w:left="420"/>
      </w:pPr>
    </w:p>
    <w:p w14:paraId="34B1C025" w14:textId="77777777" w:rsidR="007C3BCF" w:rsidRDefault="007C3BCF" w:rsidP="0082726B">
      <w:pPr>
        <w:pStyle w:val="ListParagraph"/>
        <w:ind w:left="420"/>
      </w:pPr>
    </w:p>
    <w:p w14:paraId="0214BADF" w14:textId="77777777" w:rsidR="007C3BCF" w:rsidRDefault="007C3BCF" w:rsidP="0082726B">
      <w:pPr>
        <w:pStyle w:val="ListParagraph"/>
        <w:ind w:left="420"/>
      </w:pPr>
    </w:p>
    <w:p w14:paraId="0A3FADD4" w14:textId="77777777" w:rsidR="007C3BCF" w:rsidRDefault="007C3BCF" w:rsidP="0082726B">
      <w:pPr>
        <w:pStyle w:val="ListParagraph"/>
        <w:ind w:left="420"/>
      </w:pPr>
    </w:p>
    <w:p w14:paraId="3550A623" w14:textId="77777777" w:rsidR="007C3BCF" w:rsidRDefault="007C3BCF" w:rsidP="0082726B">
      <w:pPr>
        <w:pStyle w:val="ListParagraph"/>
        <w:ind w:left="420"/>
      </w:pPr>
    </w:p>
    <w:p w14:paraId="5F817A23" w14:textId="77777777" w:rsidR="007C3BCF" w:rsidRDefault="007C3BCF" w:rsidP="0082726B">
      <w:pPr>
        <w:pStyle w:val="ListParagraph"/>
        <w:ind w:left="420"/>
      </w:pPr>
    </w:p>
    <w:p w14:paraId="3DDC6EC5" w14:textId="77777777" w:rsidR="007C3BCF" w:rsidRDefault="007C3BCF" w:rsidP="0082726B">
      <w:pPr>
        <w:pStyle w:val="ListParagraph"/>
        <w:ind w:left="420"/>
      </w:pPr>
    </w:p>
    <w:p w14:paraId="09D3ED46" w14:textId="3CE0FD8C" w:rsidR="00FB17A6" w:rsidRDefault="00FB17A6">
      <w:pPr>
        <w:spacing w:before="0" w:after="160" w:line="259" w:lineRule="auto"/>
        <w:jc w:val="left"/>
      </w:pPr>
    </w:p>
    <w:sdt>
      <w:sdtPr>
        <w:rPr>
          <w:rFonts w:ascii="Times New Roman" w:eastAsiaTheme="minorHAnsi" w:hAnsi="Times New Roman" w:cstheme="minorBidi"/>
          <w:color w:val="auto"/>
          <w:sz w:val="24"/>
          <w:szCs w:val="22"/>
          <w:lang w:eastAsia="en-US"/>
          <w14:ligatures w14:val="standardContextual"/>
        </w:rPr>
        <w:id w:val="920682320"/>
        <w:docPartObj>
          <w:docPartGallery w:val="Table of Contents"/>
          <w:docPartUnique/>
        </w:docPartObj>
      </w:sdtPr>
      <w:sdtEndPr>
        <w:rPr>
          <w:b/>
          <w:bCs/>
        </w:rPr>
      </w:sdtEndPr>
      <w:sdtContent>
        <w:p w14:paraId="03858A0E" w14:textId="2535C918" w:rsidR="005C0B5F" w:rsidRPr="005C0B5F" w:rsidRDefault="005C0B5F">
          <w:pPr>
            <w:pStyle w:val="TOCHeading"/>
            <w:rPr>
              <w:rFonts w:ascii="Times New Roman" w:hAnsi="Times New Roman" w:cs="Times New Roman"/>
              <w:b/>
              <w:bCs/>
              <w:color w:val="auto"/>
            </w:rPr>
          </w:pPr>
          <w:r w:rsidRPr="005C0B5F">
            <w:rPr>
              <w:rFonts w:ascii="Times New Roman" w:hAnsi="Times New Roman" w:cs="Times New Roman"/>
              <w:b/>
              <w:bCs/>
              <w:color w:val="auto"/>
            </w:rPr>
            <w:t>Table of Contents</w:t>
          </w:r>
        </w:p>
        <w:p w14:paraId="2829CEE3" w14:textId="5EAB46D1" w:rsidR="005C0B5F" w:rsidRDefault="005C0B5F">
          <w:pPr>
            <w:pStyle w:val="TOC1"/>
            <w:tabs>
              <w:tab w:val="right" w:leader="dot" w:pos="9016"/>
            </w:tabs>
            <w:rPr>
              <w:noProof/>
            </w:rPr>
          </w:pPr>
          <w:r>
            <w:fldChar w:fldCharType="begin"/>
          </w:r>
          <w:r>
            <w:instrText xml:space="preserve"> TOC \o "1-3" \h \z \u </w:instrText>
          </w:r>
          <w:r>
            <w:fldChar w:fldCharType="separate"/>
          </w:r>
          <w:hyperlink w:anchor="_Toc188282125" w:history="1">
            <w:r w:rsidRPr="007349EB">
              <w:rPr>
                <w:rStyle w:val="Hyperlink"/>
                <w:noProof/>
              </w:rPr>
              <w:t>Introduction</w:t>
            </w:r>
            <w:r>
              <w:rPr>
                <w:noProof/>
                <w:webHidden/>
              </w:rPr>
              <w:tab/>
            </w:r>
            <w:r>
              <w:rPr>
                <w:noProof/>
                <w:webHidden/>
              </w:rPr>
              <w:fldChar w:fldCharType="begin"/>
            </w:r>
            <w:r>
              <w:rPr>
                <w:noProof/>
                <w:webHidden/>
              </w:rPr>
              <w:instrText xml:space="preserve"> PAGEREF _Toc188282125 \h </w:instrText>
            </w:r>
            <w:r>
              <w:rPr>
                <w:noProof/>
                <w:webHidden/>
              </w:rPr>
            </w:r>
            <w:r>
              <w:rPr>
                <w:noProof/>
                <w:webHidden/>
              </w:rPr>
              <w:fldChar w:fldCharType="separate"/>
            </w:r>
            <w:r>
              <w:rPr>
                <w:noProof/>
                <w:webHidden/>
              </w:rPr>
              <w:t>3</w:t>
            </w:r>
            <w:r>
              <w:rPr>
                <w:noProof/>
                <w:webHidden/>
              </w:rPr>
              <w:fldChar w:fldCharType="end"/>
            </w:r>
          </w:hyperlink>
        </w:p>
        <w:p w14:paraId="66F28FF6" w14:textId="6D418E4E" w:rsidR="005C0B5F" w:rsidRDefault="005C0B5F">
          <w:pPr>
            <w:pStyle w:val="TOC1"/>
            <w:tabs>
              <w:tab w:val="right" w:leader="dot" w:pos="9016"/>
            </w:tabs>
            <w:rPr>
              <w:noProof/>
            </w:rPr>
          </w:pPr>
          <w:hyperlink w:anchor="_Toc188282126" w:history="1">
            <w:r w:rsidRPr="007349EB">
              <w:rPr>
                <w:rStyle w:val="Hyperlink"/>
                <w:noProof/>
              </w:rPr>
              <w:t>The Event Cycle</w:t>
            </w:r>
            <w:r>
              <w:rPr>
                <w:noProof/>
                <w:webHidden/>
              </w:rPr>
              <w:tab/>
            </w:r>
            <w:r>
              <w:rPr>
                <w:noProof/>
                <w:webHidden/>
              </w:rPr>
              <w:fldChar w:fldCharType="begin"/>
            </w:r>
            <w:r>
              <w:rPr>
                <w:noProof/>
                <w:webHidden/>
              </w:rPr>
              <w:instrText xml:space="preserve"> PAGEREF _Toc188282126 \h </w:instrText>
            </w:r>
            <w:r>
              <w:rPr>
                <w:noProof/>
                <w:webHidden/>
              </w:rPr>
            </w:r>
            <w:r>
              <w:rPr>
                <w:noProof/>
                <w:webHidden/>
              </w:rPr>
              <w:fldChar w:fldCharType="separate"/>
            </w:r>
            <w:r>
              <w:rPr>
                <w:noProof/>
                <w:webHidden/>
              </w:rPr>
              <w:t>4</w:t>
            </w:r>
            <w:r>
              <w:rPr>
                <w:noProof/>
                <w:webHidden/>
              </w:rPr>
              <w:fldChar w:fldCharType="end"/>
            </w:r>
          </w:hyperlink>
        </w:p>
        <w:p w14:paraId="0289C4BC" w14:textId="4877F892" w:rsidR="005C0B5F" w:rsidRDefault="005C0B5F">
          <w:pPr>
            <w:pStyle w:val="TOC1"/>
            <w:tabs>
              <w:tab w:val="right" w:leader="dot" w:pos="9016"/>
            </w:tabs>
            <w:rPr>
              <w:noProof/>
            </w:rPr>
          </w:pPr>
          <w:hyperlink w:anchor="_Toc188282127" w:history="1">
            <w:r w:rsidRPr="007349EB">
              <w:rPr>
                <w:rStyle w:val="Hyperlink"/>
                <w:noProof/>
              </w:rPr>
              <w:t>The Event Concept</w:t>
            </w:r>
            <w:r>
              <w:rPr>
                <w:noProof/>
                <w:webHidden/>
              </w:rPr>
              <w:tab/>
            </w:r>
            <w:r>
              <w:rPr>
                <w:noProof/>
                <w:webHidden/>
              </w:rPr>
              <w:fldChar w:fldCharType="begin"/>
            </w:r>
            <w:r>
              <w:rPr>
                <w:noProof/>
                <w:webHidden/>
              </w:rPr>
              <w:instrText xml:space="preserve"> PAGEREF _Toc188282127 \h </w:instrText>
            </w:r>
            <w:r>
              <w:rPr>
                <w:noProof/>
                <w:webHidden/>
              </w:rPr>
            </w:r>
            <w:r>
              <w:rPr>
                <w:noProof/>
                <w:webHidden/>
              </w:rPr>
              <w:fldChar w:fldCharType="separate"/>
            </w:r>
            <w:r>
              <w:rPr>
                <w:noProof/>
                <w:webHidden/>
              </w:rPr>
              <w:t>5</w:t>
            </w:r>
            <w:r>
              <w:rPr>
                <w:noProof/>
                <w:webHidden/>
              </w:rPr>
              <w:fldChar w:fldCharType="end"/>
            </w:r>
          </w:hyperlink>
        </w:p>
        <w:p w14:paraId="7A4D1724" w14:textId="56613590" w:rsidR="005C0B5F" w:rsidRDefault="005C0B5F">
          <w:pPr>
            <w:pStyle w:val="TOC1"/>
            <w:tabs>
              <w:tab w:val="right" w:leader="dot" w:pos="9016"/>
            </w:tabs>
            <w:rPr>
              <w:noProof/>
            </w:rPr>
          </w:pPr>
          <w:hyperlink w:anchor="_Toc188282128" w:history="1">
            <w:r w:rsidRPr="007349EB">
              <w:rPr>
                <w:rStyle w:val="Hyperlink"/>
                <w:noProof/>
              </w:rPr>
              <w:t>Aims &amp; Objectives</w:t>
            </w:r>
            <w:r>
              <w:rPr>
                <w:noProof/>
                <w:webHidden/>
              </w:rPr>
              <w:tab/>
            </w:r>
            <w:r>
              <w:rPr>
                <w:noProof/>
                <w:webHidden/>
              </w:rPr>
              <w:fldChar w:fldCharType="begin"/>
            </w:r>
            <w:r>
              <w:rPr>
                <w:noProof/>
                <w:webHidden/>
              </w:rPr>
              <w:instrText xml:space="preserve"> PAGEREF _Toc188282128 \h </w:instrText>
            </w:r>
            <w:r>
              <w:rPr>
                <w:noProof/>
                <w:webHidden/>
              </w:rPr>
            </w:r>
            <w:r>
              <w:rPr>
                <w:noProof/>
                <w:webHidden/>
              </w:rPr>
              <w:fldChar w:fldCharType="separate"/>
            </w:r>
            <w:r>
              <w:rPr>
                <w:noProof/>
                <w:webHidden/>
              </w:rPr>
              <w:t>6</w:t>
            </w:r>
            <w:r>
              <w:rPr>
                <w:noProof/>
                <w:webHidden/>
              </w:rPr>
              <w:fldChar w:fldCharType="end"/>
            </w:r>
          </w:hyperlink>
        </w:p>
        <w:p w14:paraId="7A7DBEC8" w14:textId="0685659D" w:rsidR="005C0B5F" w:rsidRDefault="005C0B5F">
          <w:pPr>
            <w:pStyle w:val="TOC1"/>
            <w:tabs>
              <w:tab w:val="right" w:leader="dot" w:pos="9016"/>
            </w:tabs>
            <w:rPr>
              <w:noProof/>
            </w:rPr>
          </w:pPr>
          <w:hyperlink w:anchor="_Toc188282129" w:history="1">
            <w:r w:rsidRPr="007349EB">
              <w:rPr>
                <w:rStyle w:val="Hyperlink"/>
                <w:noProof/>
              </w:rPr>
              <w:t>Event Management</w:t>
            </w:r>
            <w:r>
              <w:rPr>
                <w:noProof/>
                <w:webHidden/>
              </w:rPr>
              <w:tab/>
            </w:r>
            <w:r>
              <w:rPr>
                <w:noProof/>
                <w:webHidden/>
              </w:rPr>
              <w:fldChar w:fldCharType="begin"/>
            </w:r>
            <w:r>
              <w:rPr>
                <w:noProof/>
                <w:webHidden/>
              </w:rPr>
              <w:instrText xml:space="preserve"> PAGEREF _Toc188282129 \h </w:instrText>
            </w:r>
            <w:r>
              <w:rPr>
                <w:noProof/>
                <w:webHidden/>
              </w:rPr>
            </w:r>
            <w:r>
              <w:rPr>
                <w:noProof/>
                <w:webHidden/>
              </w:rPr>
              <w:fldChar w:fldCharType="separate"/>
            </w:r>
            <w:r>
              <w:rPr>
                <w:noProof/>
                <w:webHidden/>
              </w:rPr>
              <w:t>7</w:t>
            </w:r>
            <w:r>
              <w:rPr>
                <w:noProof/>
                <w:webHidden/>
              </w:rPr>
              <w:fldChar w:fldCharType="end"/>
            </w:r>
          </w:hyperlink>
        </w:p>
        <w:p w14:paraId="450CF56B" w14:textId="68EBF13A" w:rsidR="005C0B5F" w:rsidRDefault="005C0B5F">
          <w:pPr>
            <w:pStyle w:val="TOC1"/>
            <w:tabs>
              <w:tab w:val="right" w:leader="dot" w:pos="9016"/>
            </w:tabs>
            <w:rPr>
              <w:noProof/>
            </w:rPr>
          </w:pPr>
          <w:hyperlink w:anchor="_Toc188282130" w:history="1">
            <w:r w:rsidRPr="007349EB">
              <w:rPr>
                <w:rStyle w:val="Hyperlink"/>
                <w:noProof/>
              </w:rPr>
              <w:t>Event Budget</w:t>
            </w:r>
            <w:r>
              <w:rPr>
                <w:noProof/>
                <w:webHidden/>
              </w:rPr>
              <w:tab/>
            </w:r>
            <w:r>
              <w:rPr>
                <w:noProof/>
                <w:webHidden/>
              </w:rPr>
              <w:fldChar w:fldCharType="begin"/>
            </w:r>
            <w:r>
              <w:rPr>
                <w:noProof/>
                <w:webHidden/>
              </w:rPr>
              <w:instrText xml:space="preserve"> PAGEREF _Toc188282130 \h </w:instrText>
            </w:r>
            <w:r>
              <w:rPr>
                <w:noProof/>
                <w:webHidden/>
              </w:rPr>
            </w:r>
            <w:r>
              <w:rPr>
                <w:noProof/>
                <w:webHidden/>
              </w:rPr>
              <w:fldChar w:fldCharType="separate"/>
            </w:r>
            <w:r>
              <w:rPr>
                <w:noProof/>
                <w:webHidden/>
              </w:rPr>
              <w:t>8</w:t>
            </w:r>
            <w:r>
              <w:rPr>
                <w:noProof/>
                <w:webHidden/>
              </w:rPr>
              <w:fldChar w:fldCharType="end"/>
            </w:r>
          </w:hyperlink>
        </w:p>
        <w:p w14:paraId="1D2FDFF7" w14:textId="1236D447" w:rsidR="005C0B5F" w:rsidRDefault="005C0B5F">
          <w:pPr>
            <w:pStyle w:val="TOC1"/>
            <w:tabs>
              <w:tab w:val="right" w:leader="dot" w:pos="9016"/>
            </w:tabs>
            <w:rPr>
              <w:noProof/>
            </w:rPr>
          </w:pPr>
          <w:hyperlink w:anchor="_Toc188282131" w:history="1">
            <w:r w:rsidRPr="007349EB">
              <w:rPr>
                <w:rStyle w:val="Hyperlink"/>
                <w:noProof/>
              </w:rPr>
              <w:t>Industry Trends / Issues / Impacts</w:t>
            </w:r>
            <w:r>
              <w:rPr>
                <w:noProof/>
                <w:webHidden/>
              </w:rPr>
              <w:tab/>
            </w:r>
            <w:r>
              <w:rPr>
                <w:noProof/>
                <w:webHidden/>
              </w:rPr>
              <w:fldChar w:fldCharType="begin"/>
            </w:r>
            <w:r>
              <w:rPr>
                <w:noProof/>
                <w:webHidden/>
              </w:rPr>
              <w:instrText xml:space="preserve"> PAGEREF _Toc188282131 \h </w:instrText>
            </w:r>
            <w:r>
              <w:rPr>
                <w:noProof/>
                <w:webHidden/>
              </w:rPr>
            </w:r>
            <w:r>
              <w:rPr>
                <w:noProof/>
                <w:webHidden/>
              </w:rPr>
              <w:fldChar w:fldCharType="separate"/>
            </w:r>
            <w:r>
              <w:rPr>
                <w:noProof/>
                <w:webHidden/>
              </w:rPr>
              <w:t>9</w:t>
            </w:r>
            <w:r>
              <w:rPr>
                <w:noProof/>
                <w:webHidden/>
              </w:rPr>
              <w:fldChar w:fldCharType="end"/>
            </w:r>
          </w:hyperlink>
        </w:p>
        <w:p w14:paraId="50AFD541" w14:textId="343AB048" w:rsidR="005C0B5F" w:rsidRDefault="005C0B5F">
          <w:pPr>
            <w:pStyle w:val="TOC1"/>
            <w:tabs>
              <w:tab w:val="right" w:leader="dot" w:pos="9016"/>
            </w:tabs>
            <w:rPr>
              <w:noProof/>
            </w:rPr>
          </w:pPr>
          <w:hyperlink w:anchor="_Toc188282132" w:history="1">
            <w:r w:rsidRPr="007349EB">
              <w:rPr>
                <w:rStyle w:val="Hyperlink"/>
                <w:noProof/>
              </w:rPr>
              <w:t>Situational and Cultural Considerations</w:t>
            </w:r>
            <w:r>
              <w:rPr>
                <w:noProof/>
                <w:webHidden/>
              </w:rPr>
              <w:tab/>
            </w:r>
            <w:r>
              <w:rPr>
                <w:noProof/>
                <w:webHidden/>
              </w:rPr>
              <w:fldChar w:fldCharType="begin"/>
            </w:r>
            <w:r>
              <w:rPr>
                <w:noProof/>
                <w:webHidden/>
              </w:rPr>
              <w:instrText xml:space="preserve"> PAGEREF _Toc188282132 \h </w:instrText>
            </w:r>
            <w:r>
              <w:rPr>
                <w:noProof/>
                <w:webHidden/>
              </w:rPr>
            </w:r>
            <w:r>
              <w:rPr>
                <w:noProof/>
                <w:webHidden/>
              </w:rPr>
              <w:fldChar w:fldCharType="separate"/>
            </w:r>
            <w:r>
              <w:rPr>
                <w:noProof/>
                <w:webHidden/>
              </w:rPr>
              <w:t>10</w:t>
            </w:r>
            <w:r>
              <w:rPr>
                <w:noProof/>
                <w:webHidden/>
              </w:rPr>
              <w:fldChar w:fldCharType="end"/>
            </w:r>
          </w:hyperlink>
        </w:p>
        <w:p w14:paraId="0495063E" w14:textId="52963C22" w:rsidR="005C0B5F" w:rsidRDefault="005C0B5F">
          <w:pPr>
            <w:pStyle w:val="TOC1"/>
            <w:tabs>
              <w:tab w:val="right" w:leader="dot" w:pos="9016"/>
            </w:tabs>
            <w:rPr>
              <w:noProof/>
            </w:rPr>
          </w:pPr>
          <w:hyperlink w:anchor="_Toc188282133" w:history="1">
            <w:r w:rsidRPr="007349EB">
              <w:rPr>
                <w:rStyle w:val="Hyperlink"/>
                <w:noProof/>
              </w:rPr>
              <w:t>Conclusion</w:t>
            </w:r>
            <w:r>
              <w:rPr>
                <w:noProof/>
                <w:webHidden/>
              </w:rPr>
              <w:tab/>
            </w:r>
            <w:r>
              <w:rPr>
                <w:noProof/>
                <w:webHidden/>
              </w:rPr>
              <w:fldChar w:fldCharType="begin"/>
            </w:r>
            <w:r>
              <w:rPr>
                <w:noProof/>
                <w:webHidden/>
              </w:rPr>
              <w:instrText xml:space="preserve"> PAGEREF _Toc188282133 \h </w:instrText>
            </w:r>
            <w:r>
              <w:rPr>
                <w:noProof/>
                <w:webHidden/>
              </w:rPr>
            </w:r>
            <w:r>
              <w:rPr>
                <w:noProof/>
                <w:webHidden/>
              </w:rPr>
              <w:fldChar w:fldCharType="separate"/>
            </w:r>
            <w:r>
              <w:rPr>
                <w:noProof/>
                <w:webHidden/>
              </w:rPr>
              <w:t>12</w:t>
            </w:r>
            <w:r>
              <w:rPr>
                <w:noProof/>
                <w:webHidden/>
              </w:rPr>
              <w:fldChar w:fldCharType="end"/>
            </w:r>
          </w:hyperlink>
        </w:p>
        <w:p w14:paraId="641D3404" w14:textId="2D62D688" w:rsidR="005C0B5F" w:rsidRDefault="005C0B5F">
          <w:pPr>
            <w:pStyle w:val="TOC1"/>
            <w:tabs>
              <w:tab w:val="right" w:leader="dot" w:pos="9016"/>
            </w:tabs>
            <w:rPr>
              <w:noProof/>
            </w:rPr>
          </w:pPr>
          <w:hyperlink w:anchor="_Toc188282134" w:history="1">
            <w:r w:rsidRPr="007349EB">
              <w:rPr>
                <w:rStyle w:val="Hyperlink"/>
                <w:noProof/>
              </w:rPr>
              <w:t>References</w:t>
            </w:r>
            <w:r>
              <w:rPr>
                <w:noProof/>
                <w:webHidden/>
              </w:rPr>
              <w:tab/>
            </w:r>
            <w:r>
              <w:rPr>
                <w:noProof/>
                <w:webHidden/>
              </w:rPr>
              <w:fldChar w:fldCharType="begin"/>
            </w:r>
            <w:r>
              <w:rPr>
                <w:noProof/>
                <w:webHidden/>
              </w:rPr>
              <w:instrText xml:space="preserve"> PAGEREF _Toc188282134 \h </w:instrText>
            </w:r>
            <w:r>
              <w:rPr>
                <w:noProof/>
                <w:webHidden/>
              </w:rPr>
            </w:r>
            <w:r>
              <w:rPr>
                <w:noProof/>
                <w:webHidden/>
              </w:rPr>
              <w:fldChar w:fldCharType="separate"/>
            </w:r>
            <w:r>
              <w:rPr>
                <w:noProof/>
                <w:webHidden/>
              </w:rPr>
              <w:t>13</w:t>
            </w:r>
            <w:r>
              <w:rPr>
                <w:noProof/>
                <w:webHidden/>
              </w:rPr>
              <w:fldChar w:fldCharType="end"/>
            </w:r>
          </w:hyperlink>
        </w:p>
        <w:p w14:paraId="350DF23C" w14:textId="43CCDC8C" w:rsidR="005C0B5F" w:rsidRDefault="005C0B5F">
          <w:r>
            <w:rPr>
              <w:b/>
              <w:bCs/>
            </w:rPr>
            <w:fldChar w:fldCharType="end"/>
          </w:r>
        </w:p>
      </w:sdtContent>
    </w:sdt>
    <w:p w14:paraId="20F80416" w14:textId="77777777" w:rsidR="005C0B5F" w:rsidRDefault="005C0B5F" w:rsidP="005C0B5F">
      <w:pPr>
        <w:rPr>
          <w:rFonts w:eastAsiaTheme="majorEastAsia" w:cstheme="majorBidi"/>
          <w:kern w:val="2"/>
          <w:sz w:val="36"/>
          <w:szCs w:val="32"/>
        </w:rPr>
      </w:pPr>
      <w:r>
        <w:br w:type="page"/>
      </w:r>
    </w:p>
    <w:p w14:paraId="16C17953" w14:textId="606BC1D5" w:rsidR="00485916" w:rsidRDefault="00485916" w:rsidP="00485916">
      <w:pPr>
        <w:pStyle w:val="Heading1"/>
      </w:pPr>
      <w:bookmarkStart w:id="0" w:name="_Toc188282125"/>
      <w:r>
        <w:lastRenderedPageBreak/>
        <w:t>Introduction</w:t>
      </w:r>
      <w:bookmarkEnd w:id="0"/>
      <w:r>
        <w:t xml:space="preserve">  </w:t>
      </w:r>
    </w:p>
    <w:p w14:paraId="1758334E" w14:textId="77777777" w:rsidR="00485916" w:rsidRDefault="00485916" w:rsidP="00485916">
      <w:r>
        <w:t xml:space="preserve">The event in question is a one-day summit and networking gala geared towards EDI in the Tourism sector. As envisioned for 20th March 2025 in Manchester, this event seeks to engage critical tourism stakeholders comprising professionals, advocates, and policymakers to address the emerging demand for increased and improved access to tourism. It will highlight potential success factors and issues regarding Diversity, Inclusive and Equality when applied to the tourism sector. </w:t>
      </w:r>
    </w:p>
    <w:p w14:paraId="2DB4FC1F" w14:textId="77777777" w:rsidR="00485916" w:rsidRDefault="00485916" w:rsidP="00485916">
      <w:r>
        <w:t>This event was selected as the demand for EDI in tourism is rising, and customers and business stakeholders are looking for destinations and experiences that are inclusive. The goal of the event is to offer practical recommendations, demonstrate interesting technologies, and bring together different actors in the sector to make a change. Moreover, there will be workshops, and technological and cultural stations during the event and whereas the first one will also include passive demonstrations, the rest of them will involve active discussion.</w:t>
      </w:r>
    </w:p>
    <w:p w14:paraId="1339015D" w14:textId="77777777" w:rsidR="00485916" w:rsidRDefault="00485916" w:rsidP="00485916">
      <w:r>
        <w:t xml:space="preserve">Manchester was selected because of the demographics, tourist attraction and ease of access, which are good characteristics for such a meeting. Moreover, the central location and good technological networks existing in the city help to add that it is appropriate for being a host venue.   </w:t>
      </w:r>
    </w:p>
    <w:p w14:paraId="0CF606EF" w14:textId="77777777" w:rsidR="00485916" w:rsidRDefault="00485916" w:rsidP="00485916">
      <w:pPr>
        <w:spacing w:before="0" w:after="160" w:line="259" w:lineRule="auto"/>
        <w:jc w:val="left"/>
      </w:pPr>
      <w:r>
        <w:br w:type="page"/>
      </w:r>
    </w:p>
    <w:p w14:paraId="196C36AF" w14:textId="6F105A4F" w:rsidR="00C90C75" w:rsidRDefault="00485916" w:rsidP="00C90C75">
      <w:pPr>
        <w:pStyle w:val="Heading1"/>
      </w:pPr>
      <w:bookmarkStart w:id="1" w:name="_Toc188282126"/>
      <w:r>
        <w:lastRenderedPageBreak/>
        <w:t xml:space="preserve">The </w:t>
      </w:r>
      <w:r w:rsidR="00C90C75">
        <w:t>Event Cycle</w:t>
      </w:r>
      <w:bookmarkEnd w:id="1"/>
      <w:r w:rsidR="00C90C75">
        <w:t xml:space="preserve"> </w:t>
      </w:r>
    </w:p>
    <w:p w14:paraId="0D44D2D6" w14:textId="6705682C" w:rsidR="00C90C75" w:rsidRDefault="00F54088" w:rsidP="00C90C75">
      <w:r>
        <w:t>The event</w:t>
      </w:r>
      <w:r w:rsidR="00C90C75">
        <w:t xml:space="preserve"> cycle can, therefore, be described as the different processes that have to do with the planning of an event, the actual event and the likely assessments on completion of the event. It includes such major phases as conception, planning, execution and assessment. The cycle is simply a way of streamlining the process so that there is structure to planning effective and engaging events. Effective management of event cycles is determining that the event objectives are met, operating within the budget, and satisfying the stakeholders</w:t>
      </w:r>
      <w:r w:rsidR="0092258C">
        <w:t xml:space="preserve"> (</w:t>
      </w:r>
      <w:r w:rsidR="00CC0BC6" w:rsidRPr="00CC0BC6">
        <w:t>Getz</w:t>
      </w:r>
      <w:r w:rsidR="00CC0BC6">
        <w:t xml:space="preserve"> </w:t>
      </w:r>
      <w:r w:rsidR="00CC0BC6" w:rsidRPr="00CC0BC6">
        <w:t>and Page,</w:t>
      </w:r>
      <w:r w:rsidR="00CC0BC6">
        <w:t xml:space="preserve"> </w:t>
      </w:r>
      <w:r w:rsidR="00CC0BC6" w:rsidRPr="00CC0BC6">
        <w:t>2019</w:t>
      </w:r>
      <w:r w:rsidR="00CC0BC6">
        <w:t>).</w:t>
      </w:r>
      <w:r w:rsidR="0092258C">
        <w:t xml:space="preserve"> </w:t>
      </w:r>
    </w:p>
    <w:p w14:paraId="0A9DA702" w14:textId="58F57A8D" w:rsidR="00C90C75" w:rsidRDefault="00C90C75" w:rsidP="00C90C75">
      <w:r>
        <w:t>For this Equality, Diversity, and Inclusion (EDI) Tourism Summit, the Event Cycle can be applied as follows:</w:t>
      </w:r>
      <w:r w:rsidR="00F54088">
        <w:t xml:space="preserve"> </w:t>
      </w:r>
    </w:p>
    <w:p w14:paraId="2E5CAD06" w14:textId="47528A83" w:rsidR="00C90C75" w:rsidRDefault="00C90C75" w:rsidP="00C90C75">
      <w:pPr>
        <w:pStyle w:val="ListParagraph"/>
        <w:numPr>
          <w:ilvl w:val="0"/>
          <w:numId w:val="1"/>
        </w:numPr>
      </w:pPr>
      <w:r>
        <w:t>Conceptuali</w:t>
      </w:r>
      <w:r w:rsidR="00F54088">
        <w:t>s</w:t>
      </w:r>
      <w:r>
        <w:t xml:space="preserve">ation: This phase includes getting an understanding of what the event is and is not supposed to achieve. For this summit, the prime agenda is to create awareness </w:t>
      </w:r>
      <w:r w:rsidR="00F54088">
        <w:t>of</w:t>
      </w:r>
      <w:r>
        <w:t xml:space="preserve"> the best practices to improve EDI within the tourism sector through dialogue, knowledge sharing and networking. The event's objectives are clear: to support best practice improvements, awareness raising and the sharing of </w:t>
      </w:r>
      <w:r w:rsidR="00F54088">
        <w:t>EDI-focused</w:t>
      </w:r>
      <w:r>
        <w:t xml:space="preserve"> solutions</w:t>
      </w:r>
      <w:r w:rsidR="000969DE">
        <w:t xml:space="preserve"> (</w:t>
      </w:r>
      <w:r w:rsidR="000969DE" w:rsidRPr="000969DE">
        <w:t>Bouncken</w:t>
      </w:r>
      <w:r w:rsidR="000969DE">
        <w:t xml:space="preserve"> et al, 2023). </w:t>
      </w:r>
    </w:p>
    <w:p w14:paraId="5C1AE83E" w14:textId="29CB60A7" w:rsidR="00C90C75" w:rsidRDefault="00C90C75" w:rsidP="00C90C75">
      <w:pPr>
        <w:pStyle w:val="ListParagraph"/>
        <w:numPr>
          <w:ilvl w:val="0"/>
          <w:numId w:val="1"/>
        </w:numPr>
      </w:pPr>
      <w:r>
        <w:t xml:space="preserve">Planning: In this stage decisions concerning the place to conduct the event, the facility, participants, time, and cost involved are made. The event will take place in Manchester which has been chosen for its accessibility and relatively healthy tourism sector </w:t>
      </w:r>
      <w:r w:rsidR="00F54088">
        <w:t>on</w:t>
      </w:r>
      <w:r>
        <w:t xml:space="preserve"> 20th March 2025. The other areas are also involved in planning; these are sponsors, exhibitors, speakers, </w:t>
      </w:r>
      <w:r w:rsidR="00F54088">
        <w:t>programs</w:t>
      </w:r>
      <w:r>
        <w:t>, workshops, and even the technology needed.</w:t>
      </w:r>
      <w:r w:rsidR="00F54088">
        <w:t xml:space="preserve"> </w:t>
      </w:r>
    </w:p>
    <w:p w14:paraId="33FEF4B5" w14:textId="2DBD1805" w:rsidR="007E4387" w:rsidRDefault="00C90C75" w:rsidP="00C90C75">
      <w:pPr>
        <w:pStyle w:val="ListParagraph"/>
        <w:numPr>
          <w:ilvl w:val="0"/>
          <w:numId w:val="1"/>
        </w:numPr>
      </w:pPr>
      <w:r>
        <w:t>Implementation: This is the implementation process that is a process of coordinating the pre-scheduled tactics This is the operation stage where all planned strategies are active. As for the Execution phase of an event, it addresses activities that are performed on the same day of the event including registration, set-up, speakers and exhibitors’ coordination as well as management of the schedule. The process is simply aimed at providing the opportunity to perform the event and guarantee the proper management of the process</w:t>
      </w:r>
      <w:r w:rsidR="007E4387">
        <w:t xml:space="preserve"> (</w:t>
      </w:r>
      <w:r w:rsidR="007E4387" w:rsidRPr="007E4387">
        <w:t>Var</w:t>
      </w:r>
      <w:r w:rsidR="007E4387">
        <w:t xml:space="preserve"> </w:t>
      </w:r>
      <w:r w:rsidR="007E4387" w:rsidRPr="007E4387">
        <w:t>and Gunn, 2020</w:t>
      </w:r>
      <w:r w:rsidR="007E4387">
        <w:t>).</w:t>
      </w:r>
    </w:p>
    <w:p w14:paraId="74CAA930" w14:textId="19D24DCA" w:rsidR="00C90C75" w:rsidRDefault="00C90C75" w:rsidP="007E4387">
      <w:r>
        <w:t xml:space="preserve">Applying the Event Cycle, the EDI Tourism Summit will be effectively planned, which will result in its high relevance and efficacy.  </w:t>
      </w:r>
    </w:p>
    <w:p w14:paraId="54993CA6" w14:textId="290B0271" w:rsidR="00F54088" w:rsidRDefault="00F54088">
      <w:pPr>
        <w:spacing w:before="0" w:after="160" w:line="259" w:lineRule="auto"/>
        <w:jc w:val="left"/>
      </w:pPr>
      <w:r>
        <w:br w:type="page"/>
      </w:r>
    </w:p>
    <w:p w14:paraId="4C724E43" w14:textId="77777777" w:rsidR="00485916" w:rsidRDefault="00485916" w:rsidP="00485916">
      <w:pPr>
        <w:pStyle w:val="Heading1"/>
      </w:pPr>
      <w:bookmarkStart w:id="2" w:name="_Toc188282127"/>
      <w:r>
        <w:lastRenderedPageBreak/>
        <w:t>The Event Concept</w:t>
      </w:r>
      <w:bookmarkEnd w:id="2"/>
      <w:r>
        <w:t xml:space="preserve"> </w:t>
      </w:r>
    </w:p>
    <w:p w14:paraId="5741441F" w14:textId="1C775544" w:rsidR="009B26E7" w:rsidRDefault="009B26E7" w:rsidP="009B26E7">
      <w:r>
        <w:t xml:space="preserve">This shows that on the Day of the event- EDI Tourism Summit, participants which will include the delegates and guests will be taken through an elaborate program that will entice </w:t>
      </w:r>
      <w:r w:rsidR="004D7932">
        <w:t>discussions and</w:t>
      </w:r>
      <w:r>
        <w:t xml:space="preserve"> learning and create networking opportunities. The event will kick off with a registration and welcome coffee at 9:00 AM, this provides an opportunity for the attendees to freely fellowship before the commencement of the opening session. At 9:30 AM, there will be opening remarks that will create the rationale of the day by establishing an understanding of EDI within the tourism sector and more so establish primary issues and prospects</w:t>
      </w:r>
      <w:r w:rsidR="00C14FFE">
        <w:t xml:space="preserve"> (</w:t>
      </w:r>
      <w:r w:rsidR="00456C8D" w:rsidRPr="00C14FFE">
        <w:t>Siri, Leone</w:t>
      </w:r>
      <w:r w:rsidR="00C14FFE" w:rsidRPr="00C14FFE">
        <w:t xml:space="preserve">, </w:t>
      </w:r>
      <w:r w:rsidR="00C14FFE">
        <w:t>a</w:t>
      </w:r>
      <w:r w:rsidR="00C14FFE" w:rsidRPr="00C14FFE">
        <w:t>nd Bencivenga, 2022</w:t>
      </w:r>
      <w:r w:rsidR="00C14FFE">
        <w:t>).</w:t>
      </w:r>
    </w:p>
    <w:p w14:paraId="7830CD2C" w14:textId="3B50D983" w:rsidR="009B26E7" w:rsidRDefault="009B26E7" w:rsidP="009B26E7">
      <w:r>
        <w:t>Following the keynote, from 10 AM to 11 AM, there will be a lineup of panel discussions where the topics presented will be the EDI in tourism both local and international, such as the accessible tourism, media and marketing representation along with the sustainable tourism practices. Speaking panels will comprise various professionals from the tourism, hospitality and EDI domains who will share their ideas and recommendations. The interactive workshops will follow at noon, enabling delegates to participate more in solving the exercises and debating how they could instal EDI strategies in their organisations</w:t>
      </w:r>
      <w:r w:rsidR="00A35B30">
        <w:t xml:space="preserve"> (</w:t>
      </w:r>
      <w:r w:rsidR="00A35B30" w:rsidRPr="00A35B30">
        <w:t>Fresnoza</w:t>
      </w:r>
      <w:r w:rsidR="00A35B30">
        <w:t xml:space="preserve">, </w:t>
      </w:r>
      <w:r w:rsidR="00A35B30" w:rsidRPr="00A35B30">
        <w:t>Balcombe, and Choo,</w:t>
      </w:r>
      <w:r w:rsidR="00A35B30">
        <w:t xml:space="preserve"> </w:t>
      </w:r>
      <w:r w:rsidR="00A35B30" w:rsidRPr="00A35B30">
        <w:t>2024</w:t>
      </w:r>
      <w:r w:rsidR="00A35B30">
        <w:t>).</w:t>
      </w:r>
    </w:p>
    <w:p w14:paraId="63F3FC06" w14:textId="20922669" w:rsidR="009B26E7" w:rsidRDefault="009B26E7" w:rsidP="009B26E7">
      <w:r>
        <w:t xml:space="preserve">A networking lunch will be served at 1:00 PM, thus providing attendees the chance to interact with their peers and other potential partners and sponsors. After lunch, from 2 PM, delegates will be afforded the chance to walk around the technology fair where companies exhibit their technologies that are enhancing the tourism sector and making it friendly for all. This will be succeeded by a Cultural display of travel experiences and sites for people with Disabilities. </w:t>
      </w:r>
    </w:p>
    <w:p w14:paraId="26696E36" w14:textId="5FF2F8EA" w:rsidR="00C90C75" w:rsidRDefault="009B26E7" w:rsidP="009B26E7">
      <w:r>
        <w:t>The event will conclude with a gala dinner and networking event at 3 PM That’s why the last session is scheduled for 4 PM enabling participants to momentarily escape the actual discussions, get acquainted with fellow attendees, and create new contacts. The overall tone of the day will remain business-like while being engaging to encourage discussions and come up with solutions to some of the problems affecting the tourism sector</w:t>
      </w:r>
      <w:r w:rsidR="00E47C78">
        <w:t xml:space="preserve"> (</w:t>
      </w:r>
      <w:r w:rsidR="00E47C78" w:rsidRPr="00E47C78">
        <w:t>Hajarrahmah, McGehee, and Soulard, 2024</w:t>
      </w:r>
      <w:r w:rsidR="00E47C78">
        <w:t>).</w:t>
      </w:r>
    </w:p>
    <w:p w14:paraId="2720AF2F" w14:textId="2BED5D2A" w:rsidR="009B26E7" w:rsidRDefault="009B26E7">
      <w:pPr>
        <w:spacing w:before="0" w:after="160" w:line="259" w:lineRule="auto"/>
        <w:jc w:val="left"/>
      </w:pPr>
      <w:r>
        <w:br w:type="page"/>
      </w:r>
    </w:p>
    <w:p w14:paraId="4C1BEBD9" w14:textId="6941766F" w:rsidR="009B26E7" w:rsidRDefault="007D0434" w:rsidP="007D0434">
      <w:pPr>
        <w:pStyle w:val="Heading1"/>
      </w:pPr>
      <w:bookmarkStart w:id="3" w:name="_Toc188282128"/>
      <w:r>
        <w:lastRenderedPageBreak/>
        <w:t>Aims &amp; Objectives</w:t>
      </w:r>
      <w:bookmarkEnd w:id="3"/>
      <w:r>
        <w:t xml:space="preserve"> </w:t>
      </w:r>
    </w:p>
    <w:p w14:paraId="68039140" w14:textId="1950DACB" w:rsidR="007B178E" w:rsidRDefault="007B178E" w:rsidP="007B178E">
      <w:r>
        <w:t>The overarching purpose of the EDI Tourism Summit is to ensure incentives of Equality, Diversity, and Inclusion (EDI) in the tourism business by bringing together industry personnel, enthusiasts, and policymakers, to share experiences, knowledge, and workable approaches to making tourism accessible to all</w:t>
      </w:r>
      <w:r w:rsidR="00456700">
        <w:t xml:space="preserve"> (</w:t>
      </w:r>
      <w:r w:rsidR="00456700" w:rsidRPr="00456700">
        <w:t>Gooberman-Hill</w:t>
      </w:r>
      <w:r w:rsidR="00456700">
        <w:t xml:space="preserve"> </w:t>
      </w:r>
      <w:r w:rsidR="00456700" w:rsidRPr="00456700">
        <w:t xml:space="preserve">and Thomson, </w:t>
      </w:r>
      <w:r w:rsidR="00456700">
        <w:t>2</w:t>
      </w:r>
      <w:r w:rsidR="00456700" w:rsidRPr="00456700">
        <w:t>024</w:t>
      </w:r>
      <w:r w:rsidR="00456700">
        <w:t>).</w:t>
      </w:r>
    </w:p>
    <w:p w14:paraId="6BE82C79" w14:textId="28D37FA3" w:rsidR="007B178E" w:rsidRDefault="007B178E" w:rsidP="007B178E">
      <w:r>
        <w:t>SMART Objectives</w:t>
      </w:r>
    </w:p>
    <w:p w14:paraId="08439318" w14:textId="268F32B4" w:rsidR="007B178E" w:rsidRPr="007B178E" w:rsidRDefault="007B178E" w:rsidP="007B178E">
      <w:pPr>
        <w:rPr>
          <w:b/>
          <w:bCs/>
        </w:rPr>
      </w:pPr>
      <w:r w:rsidRPr="007B178E">
        <w:rPr>
          <w:b/>
          <w:bCs/>
        </w:rPr>
        <w:t>Objective 1: It is easier to eliminate ignorance</w:t>
      </w:r>
      <w:r>
        <w:rPr>
          <w:b/>
          <w:bCs/>
        </w:rPr>
        <w:t xml:space="preserve"> </w:t>
      </w:r>
    </w:p>
    <w:p w14:paraId="236EB0B9" w14:textId="77777777" w:rsidR="007B178E" w:rsidRDefault="007B178E" w:rsidP="007B178E">
      <w:r>
        <w:t>The knowledge gain level is an important variable, which will be measured by post-event surveys where 80% of attendees will acknowledge having gained more knowledge on the EDI issues in tourism. This objective will be achieved through the organisation of a set of lively panel discussions and practical workshops that will include industry professionals with emphasis on recommendations and recommendations concerning inclusive tourism practices and representation as well as tourism devotion mechanisms.</w:t>
      </w:r>
    </w:p>
    <w:p w14:paraId="574582BD" w14:textId="77777777" w:rsidR="007B178E" w:rsidRPr="007B178E" w:rsidRDefault="007B178E" w:rsidP="007B178E">
      <w:pPr>
        <w:rPr>
          <w:b/>
          <w:bCs/>
        </w:rPr>
      </w:pPr>
      <w:r w:rsidRPr="007B178E">
        <w:rPr>
          <w:b/>
          <w:bCs/>
        </w:rPr>
        <w:t>Objective 2: Promote Collaboration</w:t>
      </w:r>
    </w:p>
    <w:p w14:paraId="20B574E3" w14:textId="12A0FD31" w:rsidR="007B178E" w:rsidRDefault="007B178E" w:rsidP="007B178E">
      <w:r>
        <w:t>Ten or more successful connections between tourism industry participants, disability advocates, and non-profit organisations will be established by the close of the event based on audience surveys and subsequent messages. It will be fruitful to note that other events including the gala dinner and exhibit displays will afford the chance to the delegate and other stakeholders to interact, share experiences, and perhaps seek partnerships to advance the round Tab working on inclusion within the tourism sector</w:t>
      </w:r>
      <w:r w:rsidR="00274D04">
        <w:t xml:space="preserve"> (</w:t>
      </w:r>
      <w:r w:rsidR="00274D04" w:rsidRPr="00274D04">
        <w:t>Nyanjom, Boxall,</w:t>
      </w:r>
      <w:r w:rsidR="00274D04">
        <w:t xml:space="preserve"> </w:t>
      </w:r>
      <w:r w:rsidR="00274D04" w:rsidRPr="00274D04">
        <w:t>and Slaven, 2018</w:t>
      </w:r>
      <w:r w:rsidR="00274D04">
        <w:t>).</w:t>
      </w:r>
    </w:p>
    <w:p w14:paraId="1F3DF262" w14:textId="5B0C0D02" w:rsidR="007B178E" w:rsidRPr="007B178E" w:rsidRDefault="007B178E" w:rsidP="007B178E">
      <w:pPr>
        <w:rPr>
          <w:b/>
          <w:bCs/>
        </w:rPr>
      </w:pPr>
      <w:r w:rsidRPr="007B178E">
        <w:rPr>
          <w:b/>
          <w:bCs/>
        </w:rPr>
        <w:t>Objective 3: Exhibit Technology Advances</w:t>
      </w:r>
      <w:r>
        <w:rPr>
          <w:b/>
          <w:bCs/>
        </w:rPr>
        <w:t xml:space="preserve"> </w:t>
      </w:r>
    </w:p>
    <w:p w14:paraId="2688631C" w14:textId="2B45F8B0" w:rsidR="007B178E" w:rsidRDefault="007B178E" w:rsidP="007B178E">
      <w:r>
        <w:t>At least 5 new technological solutions for organising EDI-focused events in tourism will be presented through the exhibit and demo presentations, with the primary goal of offering the delegates tangible gadgets to enhance access and inclusion in tourism. They will include everything from assistive travel to marketing platforms for the disabled and are practical and actionable to work on back in organisations.</w:t>
      </w:r>
    </w:p>
    <w:p w14:paraId="5BB9E0A1" w14:textId="18730EFB" w:rsidR="007D0434" w:rsidRDefault="007B178E" w:rsidP="007B178E">
      <w:r>
        <w:t xml:space="preserve">Such objectives guarantee that the event will aim at producing tangible results that advance the enhancement and change of EDI in tourism in the long run.  </w:t>
      </w:r>
    </w:p>
    <w:p w14:paraId="0B6362C6" w14:textId="77777777" w:rsidR="007B178E" w:rsidRPr="007D0434" w:rsidRDefault="007B178E" w:rsidP="007B178E"/>
    <w:p w14:paraId="6E76E4CD" w14:textId="633D2204" w:rsidR="002A03EB" w:rsidRDefault="002A03EB" w:rsidP="002A03EB">
      <w:pPr>
        <w:pStyle w:val="Heading1"/>
      </w:pPr>
      <w:bookmarkStart w:id="4" w:name="_Toc188282129"/>
      <w:r>
        <w:lastRenderedPageBreak/>
        <w:t>Event Management</w:t>
      </w:r>
      <w:bookmarkEnd w:id="4"/>
      <w:r>
        <w:t xml:space="preserve"> </w:t>
      </w:r>
    </w:p>
    <w:p w14:paraId="0659A96A" w14:textId="4B10B12D" w:rsidR="007B61A5" w:rsidRDefault="007B61A5" w:rsidP="007B61A5">
      <w:r>
        <w:t xml:space="preserve">The successful delivery of the EDI Tourism Summit involves several operations, planning, and marketing activities that require operational, technical, and social skills as well as resources in </w:t>
      </w:r>
      <w:r w:rsidR="00216FB3">
        <w:t xml:space="preserve">the </w:t>
      </w:r>
      <w:r>
        <w:t xml:space="preserve">form of tools and </w:t>
      </w:r>
      <w:r w:rsidR="00216FB3">
        <w:t>equipment</w:t>
      </w:r>
      <w:r>
        <w:t xml:space="preserve">.  </w:t>
      </w:r>
    </w:p>
    <w:p w14:paraId="38C4ED7F" w14:textId="77777777" w:rsidR="007B61A5" w:rsidRPr="007B61A5" w:rsidRDefault="007B61A5" w:rsidP="007B61A5">
      <w:pPr>
        <w:rPr>
          <w:b/>
          <w:bCs/>
        </w:rPr>
      </w:pPr>
      <w:r w:rsidRPr="007B61A5">
        <w:rPr>
          <w:b/>
          <w:bCs/>
        </w:rPr>
        <w:t>Operational Skills and Resources:</w:t>
      </w:r>
    </w:p>
    <w:p w14:paraId="7A4B3469" w14:textId="49FB14CF" w:rsidR="007B61A5" w:rsidRDefault="007B61A5" w:rsidP="007B61A5">
      <w:r>
        <w:t xml:space="preserve">For the general planning of the activities, the team should possess skills in </w:t>
      </w:r>
      <w:r w:rsidR="00216FB3">
        <w:t xml:space="preserve">the </w:t>
      </w:r>
      <w:r>
        <w:t>procurement of venues, organi</w:t>
      </w:r>
      <w:r w:rsidR="00B80D03">
        <w:t>s</w:t>
      </w:r>
      <w:r>
        <w:t xml:space="preserve">ation of the various events, setup, coordination of </w:t>
      </w:r>
      <w:r w:rsidR="00216FB3">
        <w:t>audio-visual</w:t>
      </w:r>
      <w:r>
        <w:t xml:space="preserve"> equipment and the overall coordination of feeding systems. Secondly, consumable items like event staff, security man, </w:t>
      </w:r>
      <w:r w:rsidR="00216FB3">
        <w:t xml:space="preserve">and </w:t>
      </w:r>
      <w:r>
        <w:t xml:space="preserve">technical support among others will be needed </w:t>
      </w:r>
      <w:r w:rsidR="00216FB3">
        <w:t>to</w:t>
      </w:r>
      <w:r>
        <w:t xml:space="preserve"> facilitate operations on that day. Depending on the type of event, special needs will also be featured and include things like </w:t>
      </w:r>
      <w:r w:rsidR="00216FB3">
        <w:t>wheelchairs</w:t>
      </w:r>
      <w:r>
        <w:t>, sign language interpreters and devices for hearing and visually impaired people</w:t>
      </w:r>
      <w:r w:rsidR="00FE476F">
        <w:t xml:space="preserve"> (</w:t>
      </w:r>
      <w:r w:rsidR="00FE476F" w:rsidRPr="00FE476F">
        <w:t>Adeyinka-Ojo, 2018</w:t>
      </w:r>
      <w:r w:rsidR="00FE476F">
        <w:t>).</w:t>
      </w:r>
      <w:r>
        <w:t xml:space="preserve"> </w:t>
      </w:r>
    </w:p>
    <w:p w14:paraId="32269E1A" w14:textId="1379CF48" w:rsidR="007B61A5" w:rsidRPr="007B61A5" w:rsidRDefault="007B61A5" w:rsidP="007B61A5">
      <w:pPr>
        <w:rPr>
          <w:b/>
          <w:bCs/>
        </w:rPr>
      </w:pPr>
      <w:r w:rsidRPr="007B61A5">
        <w:rPr>
          <w:b/>
          <w:bCs/>
        </w:rPr>
        <w:t>Planning Skills and Resources:</w:t>
      </w:r>
      <w:r w:rsidR="00216FB3">
        <w:rPr>
          <w:b/>
          <w:bCs/>
        </w:rPr>
        <w:t xml:space="preserve"> </w:t>
      </w:r>
    </w:p>
    <w:p w14:paraId="2DB39EE8" w14:textId="40F8C227" w:rsidR="007B61A5" w:rsidRDefault="007B61A5" w:rsidP="007B61A5">
      <w:r>
        <w:t xml:space="preserve">Indeed, the planning of the event will require the knowledge of financial control, time management and interaction with the clients. It must further possess skills in sponsorship procurement, vendor relationships and partnership development. </w:t>
      </w:r>
      <w:r w:rsidR="00216FB3">
        <w:t>The organi</w:t>
      </w:r>
      <w:r w:rsidR="00B80D03">
        <w:t>s</w:t>
      </w:r>
      <w:r w:rsidR="00216FB3">
        <w:t>ation</w:t>
      </w:r>
      <w:r>
        <w:t xml:space="preserve"> will also involve arranging for speakers, panellists and exhibitors as well as materials such as programs, badges, </w:t>
      </w:r>
      <w:r w:rsidR="00216FB3">
        <w:t>and welcome</w:t>
      </w:r>
      <w:r>
        <w:t xml:space="preserve"> kits amongst others ahead of the event.</w:t>
      </w:r>
    </w:p>
    <w:p w14:paraId="5EE3E925" w14:textId="77777777" w:rsidR="007B61A5" w:rsidRPr="007B61A5" w:rsidRDefault="007B61A5" w:rsidP="007B61A5">
      <w:pPr>
        <w:rPr>
          <w:b/>
          <w:bCs/>
        </w:rPr>
      </w:pPr>
      <w:r w:rsidRPr="007B61A5">
        <w:rPr>
          <w:b/>
          <w:bCs/>
        </w:rPr>
        <w:t>Marketing Skills and Resources:</w:t>
      </w:r>
    </w:p>
    <w:p w14:paraId="6874197D" w14:textId="5A2F804C" w:rsidR="007B61A5" w:rsidRDefault="007B61A5" w:rsidP="007B61A5">
      <w:r>
        <w:t>For targeting an appropriate audience, the event will need several experiences in digital marketing like reporting on social networking sites, email marketing, etc. A speciali</w:t>
      </w:r>
      <w:r w:rsidR="00B80D03">
        <w:t>s</w:t>
      </w:r>
      <w:r>
        <w:t>ed marketing division will create items such as flyers and booklets for an event, a press release, articles for a website, or a blog. Relationships with business and event stars, as well as cooperation with industry associations</w:t>
      </w:r>
      <w:r w:rsidR="00216FB3">
        <w:t>,</w:t>
      </w:r>
      <w:r>
        <w:t xml:space="preserve"> will also enhance event publicity and boost ticket sales</w:t>
      </w:r>
      <w:r w:rsidR="007900C2">
        <w:t xml:space="preserve"> (</w:t>
      </w:r>
      <w:r w:rsidR="007900C2" w:rsidRPr="007900C2">
        <w:t>Sadq, Othman, and Khorsheed, 201</w:t>
      </w:r>
      <w:r w:rsidR="007900C2">
        <w:t>9).</w:t>
      </w:r>
    </w:p>
    <w:p w14:paraId="744D5071" w14:textId="084C80A5" w:rsidR="002A03EB" w:rsidRDefault="007B61A5" w:rsidP="007B61A5">
      <w:r>
        <w:t xml:space="preserve">They are all crucial when it comes to making the event both influential and functional </w:t>
      </w:r>
      <w:r w:rsidR="00216FB3">
        <w:t>for</w:t>
      </w:r>
      <w:r>
        <w:t xml:space="preserve"> all the attendees and seamless.  </w:t>
      </w:r>
      <w:r w:rsidR="007870AE">
        <w:t xml:space="preserve"> </w:t>
      </w:r>
    </w:p>
    <w:p w14:paraId="05E6C2DD" w14:textId="5A1E5525" w:rsidR="001E6742" w:rsidRDefault="001E6742">
      <w:pPr>
        <w:spacing w:before="0" w:after="160" w:line="259" w:lineRule="auto"/>
        <w:jc w:val="left"/>
      </w:pPr>
      <w:r>
        <w:br w:type="page"/>
      </w:r>
    </w:p>
    <w:p w14:paraId="58B55E2E" w14:textId="55AA6778" w:rsidR="007870AE" w:rsidRDefault="005D6976" w:rsidP="005D6976">
      <w:pPr>
        <w:pStyle w:val="Heading1"/>
      </w:pPr>
      <w:bookmarkStart w:id="5" w:name="_Toc188282130"/>
      <w:r>
        <w:lastRenderedPageBreak/>
        <w:t>Event Budget</w:t>
      </w:r>
      <w:bookmarkEnd w:id="5"/>
      <w:r>
        <w:t xml:space="preserve"> </w:t>
      </w:r>
    </w:p>
    <w:p w14:paraId="0C8B8498" w14:textId="5D5E24E0" w:rsidR="00B80D03" w:rsidRDefault="00B80D03" w:rsidP="00B80D03">
      <w:r>
        <w:t xml:space="preserve">Concerning the spending of the event budget of the EDI Tourism Summit, the idea has been well developed to capture income and cost control. The analysis of the income and the costs is significant to maintain the financial non-usable loss lessness and qualitative experience at the same time. </w:t>
      </w:r>
    </w:p>
    <w:p w14:paraId="5F6A816D" w14:textId="53C733D2" w:rsidR="00B80D03" w:rsidRPr="00B80D03" w:rsidRDefault="00B80D03" w:rsidP="00B80D03">
      <w:pPr>
        <w:rPr>
          <w:b/>
          <w:bCs/>
        </w:rPr>
      </w:pPr>
      <w:r w:rsidRPr="00B80D03">
        <w:rPr>
          <w:b/>
          <w:bCs/>
        </w:rPr>
        <w:t>Income Generation</w:t>
      </w:r>
      <w:r>
        <w:rPr>
          <w:b/>
          <w:bCs/>
        </w:rPr>
        <w:t xml:space="preserve"> </w:t>
      </w:r>
    </w:p>
    <w:p w14:paraId="13F41402" w14:textId="77777777" w:rsidR="00B80D03" w:rsidRDefault="00B80D03" w:rsidP="00B80D03">
      <w:r>
        <w:t>The main sources of income will include:</w:t>
      </w:r>
    </w:p>
    <w:p w14:paraId="26F8C7C5" w14:textId="002DC2E8" w:rsidR="00B80D03" w:rsidRDefault="00B80D03" w:rsidP="00B80D03">
      <w:pPr>
        <w:pStyle w:val="ListParagraph"/>
        <w:numPr>
          <w:ilvl w:val="0"/>
          <w:numId w:val="2"/>
        </w:numPr>
      </w:pPr>
      <w:r>
        <w:t xml:space="preserve">Ticket Sales: Ticket sales will be the main source of income for financing the project. There will be regular and backstage passes the backstage passes will cost more than the regular ones because </w:t>
      </w:r>
      <w:r w:rsidR="00434C9A">
        <w:t xml:space="preserve">of </w:t>
      </w:r>
      <w:r>
        <w:t xml:space="preserve">extras like better positioning in the hall or sections like reading special speeches or participation in performances. </w:t>
      </w:r>
    </w:p>
    <w:p w14:paraId="31149E45" w14:textId="29D346F9" w:rsidR="00B80D03" w:rsidRDefault="00B80D03" w:rsidP="00B80D03">
      <w:pPr>
        <w:pStyle w:val="ListParagraph"/>
        <w:numPr>
          <w:ilvl w:val="0"/>
          <w:numId w:val="2"/>
        </w:numPr>
      </w:pPr>
      <w:r>
        <w:t xml:space="preserve">Sponsorships: All the various brands and organisations that support EDI causes or have a leaning in the tourism sector will be contacted and encouraged to sponsor the event. Sponsorship offerings will entail event identification, stand space, and identification </w:t>
      </w:r>
      <w:r w:rsidR="00434C9A">
        <w:t>of</w:t>
      </w:r>
      <w:r>
        <w:t xml:space="preserve"> all materials used for promotion.</w:t>
      </w:r>
    </w:p>
    <w:p w14:paraId="7F087E66" w14:textId="77777777" w:rsidR="00B80D03" w:rsidRDefault="00B80D03" w:rsidP="00B80D03">
      <w:pPr>
        <w:pStyle w:val="ListParagraph"/>
        <w:numPr>
          <w:ilvl w:val="0"/>
          <w:numId w:val="2"/>
        </w:numPr>
      </w:pPr>
      <w:r>
        <w:t>Exhibitor Fees: Tourism enterprises interested in presenting their EDI-specific technologies and other innovations will recover their costs of participation via systematically arranged booths. These fees will also include their booths, technology, and exhibitor needs to have.</w:t>
      </w:r>
    </w:p>
    <w:p w14:paraId="03E61E3F" w14:textId="40B9F1CC" w:rsidR="00B80D03" w:rsidRPr="00B80D03" w:rsidRDefault="00B80D03" w:rsidP="00B80D03">
      <w:pPr>
        <w:rPr>
          <w:b/>
          <w:bCs/>
        </w:rPr>
      </w:pPr>
      <w:r w:rsidRPr="00B80D03">
        <w:rPr>
          <w:b/>
          <w:bCs/>
        </w:rPr>
        <w:t>Expenditure Breakdown</w:t>
      </w:r>
    </w:p>
    <w:p w14:paraId="11FDDBB3" w14:textId="0908E165" w:rsidR="00B80D03" w:rsidRDefault="00B80D03" w:rsidP="00B80D03">
      <w:r>
        <w:t>The major expenditure items include:</w:t>
      </w:r>
    </w:p>
    <w:p w14:paraId="52E22A55" w14:textId="27EE75D6" w:rsidR="00B80D03" w:rsidRDefault="00B80D03" w:rsidP="00B80D03">
      <w:pPr>
        <w:pStyle w:val="ListParagraph"/>
        <w:numPr>
          <w:ilvl w:val="0"/>
          <w:numId w:val="3"/>
        </w:numPr>
      </w:pPr>
      <w:r>
        <w:t xml:space="preserve">Venue Hire: Transportation and accommodation expenses related to the use of a major convention centre will be the Manchester Central Convention Complex, including the expenses </w:t>
      </w:r>
      <w:r w:rsidR="00434C9A">
        <w:t>for</w:t>
      </w:r>
      <w:r>
        <w:t xml:space="preserve"> rental of conference rooms, exhibitions, and other facilities.</w:t>
      </w:r>
    </w:p>
    <w:p w14:paraId="497EE395" w14:textId="77777777" w:rsidR="00B80D03" w:rsidRDefault="00B80D03" w:rsidP="00B80D03">
      <w:pPr>
        <w:pStyle w:val="ListParagraph"/>
        <w:numPr>
          <w:ilvl w:val="0"/>
          <w:numId w:val="3"/>
        </w:numPr>
      </w:pPr>
      <w:r>
        <w:t>Staffing and Security: This entails the cost of paying people to work during the event, including security, and technical team.</w:t>
      </w:r>
    </w:p>
    <w:p w14:paraId="23EDA9C4" w14:textId="77777777" w:rsidR="00B80D03" w:rsidRDefault="00B80D03" w:rsidP="00B80D03">
      <w:pPr>
        <w:pStyle w:val="ListParagraph"/>
        <w:numPr>
          <w:ilvl w:val="0"/>
          <w:numId w:val="3"/>
        </w:numPr>
      </w:pPr>
      <w:r>
        <w:t>Catering: Event catering, such as food and beverage, lunch and teas is among the largest expenses for the event.</w:t>
      </w:r>
    </w:p>
    <w:p w14:paraId="6F96877C" w14:textId="31053CF7" w:rsidR="00B80D03" w:rsidRDefault="00B80D03" w:rsidP="00B80D03">
      <w:pPr>
        <w:pStyle w:val="ListParagraph"/>
        <w:numPr>
          <w:ilvl w:val="0"/>
          <w:numId w:val="3"/>
        </w:numPr>
      </w:pPr>
      <w:r>
        <w:t>Technology: Hire microphones, projectors, and other display systems for the training workshops and other presentation forays account for a great expense.</w:t>
      </w:r>
    </w:p>
    <w:p w14:paraId="7CD8A497" w14:textId="77777777" w:rsidR="00B80D03" w:rsidRDefault="00B80D03" w:rsidP="00B80D03">
      <w:pPr>
        <w:pStyle w:val="ListParagraph"/>
        <w:numPr>
          <w:ilvl w:val="0"/>
          <w:numId w:val="3"/>
        </w:numPr>
      </w:pPr>
      <w:r>
        <w:lastRenderedPageBreak/>
        <w:t>Marketing: This contains expenses for media and material for advertising and other promotional activities to create traffic in the sale of tickets.</w:t>
      </w:r>
    </w:p>
    <w:p w14:paraId="1E2F4180" w14:textId="77777777" w:rsidR="00B80D03" w:rsidRDefault="00B80D03" w:rsidP="00B80D03">
      <w:r>
        <w:t>Funding Sources:</w:t>
      </w:r>
    </w:p>
    <w:p w14:paraId="73E42710" w14:textId="0FDFA535" w:rsidR="005D6976" w:rsidRDefault="00B80D03" w:rsidP="00232F47">
      <w:r>
        <w:t xml:space="preserve">Other sources of funding can be </w:t>
      </w:r>
      <w:r w:rsidR="00434C9A">
        <w:t>tourist</w:t>
      </w:r>
      <w:r>
        <w:t xml:space="preserve"> </w:t>
      </w:r>
      <w:r w:rsidR="00434C9A">
        <w:t>board</w:t>
      </w:r>
      <w:r>
        <w:t xml:space="preserve"> grants or partners with relevant </w:t>
      </w:r>
      <w:r w:rsidR="00434C9A">
        <w:t>funding organisations</w:t>
      </w:r>
      <w:r>
        <w:t xml:space="preserve"> as well. These sources will help to keep the cost of the event to a </w:t>
      </w:r>
      <w:r w:rsidR="00434C9A">
        <w:t>bare</w:t>
      </w:r>
      <w:r>
        <w:t xml:space="preserve"> minimum while at the same time </w:t>
      </w:r>
      <w:r w:rsidR="00434C9A">
        <w:t>making</w:t>
      </w:r>
      <w:r>
        <w:t xml:space="preserve"> provisions for a probable reinvestment on the next occasion.  </w:t>
      </w:r>
      <w:r w:rsidR="00434C9A">
        <w:t xml:space="preserve"> </w:t>
      </w:r>
      <w:r w:rsidR="00232F47">
        <w:t xml:space="preserve"> </w:t>
      </w:r>
    </w:p>
    <w:p w14:paraId="2E870E55" w14:textId="77777777" w:rsidR="00232F47" w:rsidRDefault="00232F47" w:rsidP="00232F47"/>
    <w:p w14:paraId="4BD0380B" w14:textId="31608B60" w:rsidR="00283FAB" w:rsidRDefault="00283FAB" w:rsidP="00283FAB">
      <w:pPr>
        <w:pStyle w:val="Heading1"/>
      </w:pPr>
      <w:bookmarkStart w:id="6" w:name="_Toc188282131"/>
      <w:r w:rsidRPr="00283FAB">
        <w:t>Industry Trends / Issues / Impacts</w:t>
      </w:r>
      <w:bookmarkEnd w:id="6"/>
      <w:r>
        <w:t xml:space="preserve"> </w:t>
      </w:r>
    </w:p>
    <w:p w14:paraId="4D95439B" w14:textId="3D83D379" w:rsidR="006300EE" w:rsidRDefault="006300EE" w:rsidP="006300EE">
      <w:r>
        <w:t xml:space="preserve">The meetings and events industry is rather dynamic, with many factors such as </w:t>
      </w:r>
      <w:r w:rsidR="00076E62">
        <w:t>changes</w:t>
      </w:r>
      <w:r>
        <w:t xml:space="preserve"> </w:t>
      </w:r>
      <w:r w:rsidR="00076E62">
        <w:t>in</w:t>
      </w:r>
      <w:r>
        <w:t xml:space="preserve"> trends, </w:t>
      </w:r>
      <w:r w:rsidR="00076E62">
        <w:t xml:space="preserve">the </w:t>
      </w:r>
      <w:r>
        <w:t xml:space="preserve">development of new issues, and impacts of external factors that determine the tendencies and profile of meetings and events. The EDI Tourism Summit is influenced by </w:t>
      </w:r>
      <w:r w:rsidR="00076E62">
        <w:t xml:space="preserve">a </w:t>
      </w:r>
      <w:r>
        <w:t>few main trends and problems which are actual for this sphere in general and show where the industry is going</w:t>
      </w:r>
      <w:r w:rsidR="00E144D0">
        <w:t xml:space="preserve"> (</w:t>
      </w:r>
      <w:r w:rsidR="00E144D0" w:rsidRPr="00E144D0">
        <w:t>Dimanche</w:t>
      </w:r>
      <w:r w:rsidR="00E144D0">
        <w:t xml:space="preserve"> </w:t>
      </w:r>
      <w:r w:rsidR="00E144D0" w:rsidRPr="00E144D0">
        <w:t>and Andrades, 2024</w:t>
      </w:r>
      <w:r w:rsidR="00E144D0">
        <w:t>).</w:t>
      </w:r>
    </w:p>
    <w:p w14:paraId="724F6120" w14:textId="297CC512" w:rsidR="006300EE" w:rsidRPr="006300EE" w:rsidRDefault="006300EE" w:rsidP="006300EE">
      <w:pPr>
        <w:rPr>
          <w:b/>
          <w:bCs/>
        </w:rPr>
      </w:pPr>
      <w:r w:rsidRPr="006300EE">
        <w:rPr>
          <w:b/>
          <w:bCs/>
        </w:rPr>
        <w:t>Industry Trends:</w:t>
      </w:r>
      <w:r w:rsidR="00076E62">
        <w:rPr>
          <w:b/>
          <w:bCs/>
        </w:rPr>
        <w:t xml:space="preserve"> </w:t>
      </w:r>
    </w:p>
    <w:p w14:paraId="4A5A30F1" w14:textId="2F178CAA" w:rsidR="006300EE" w:rsidRDefault="006300EE" w:rsidP="006300EE">
      <w:pPr>
        <w:pStyle w:val="ListParagraph"/>
        <w:numPr>
          <w:ilvl w:val="0"/>
          <w:numId w:val="5"/>
        </w:numPr>
      </w:pPr>
      <w:r>
        <w:t xml:space="preserve">Increased Focus on Sustainability: There is probably no meeting industry professional who has not heard of sustainability as a trend, which is primarily associated with environmental issues. </w:t>
      </w:r>
      <w:r w:rsidR="001E645E">
        <w:t>Climate</w:t>
      </w:r>
      <w:r>
        <w:t xml:space="preserve"> change has shifted the expectations of stakeholders in events to embrace such factors as environmental conservation through minimi</w:t>
      </w:r>
      <w:r w:rsidR="00C15D55">
        <w:t>s</w:t>
      </w:r>
      <w:r>
        <w:t xml:space="preserve">ing </w:t>
      </w:r>
      <w:r w:rsidR="001E645E">
        <w:t>waste</w:t>
      </w:r>
      <w:r>
        <w:t>, incorporating renewable energy and choosing environmentally friendly event venues. All the Summit practices will reflect sustainability – no printed brochures, less use of plastics, and encouragement of environmentally friendly transport.</w:t>
      </w:r>
      <w:r w:rsidR="00DD05E3">
        <w:t xml:space="preserve"> </w:t>
      </w:r>
      <w:r w:rsidR="004262C3">
        <w:t xml:space="preserve"> </w:t>
      </w:r>
    </w:p>
    <w:p w14:paraId="35D14C70" w14:textId="05D15CCF" w:rsidR="006300EE" w:rsidRDefault="006300EE" w:rsidP="006300EE">
      <w:pPr>
        <w:pStyle w:val="ListParagraph"/>
        <w:numPr>
          <w:ilvl w:val="0"/>
          <w:numId w:val="5"/>
        </w:numPr>
      </w:pPr>
      <w:r>
        <w:t xml:space="preserve">Hybrid and Virtual Events: Live events have been influenced by </w:t>
      </w:r>
      <w:r w:rsidR="001E645E">
        <w:t>COVID-19</w:t>
      </w:r>
      <w:r>
        <w:t xml:space="preserve"> to adopt a hybrid model of events that are physical and digital. This format makes events to be able to be participated by </w:t>
      </w:r>
      <w:r w:rsidR="001E645E">
        <w:t xml:space="preserve">the </w:t>
      </w:r>
      <w:r>
        <w:t>world over thus increasing the chances of those who for one or another reason otherwise wouldn’t be able to attend. The EDI Tourism Summit will have a hybrid approach where many people who cannot afford to travel will have the opportunity to attend virtually</w:t>
      </w:r>
      <w:r w:rsidR="00BB629D">
        <w:t xml:space="preserve"> (</w:t>
      </w:r>
      <w:r w:rsidR="00BB629D" w:rsidRPr="00BB629D">
        <w:t>Chodor, 2020</w:t>
      </w:r>
      <w:r w:rsidR="00BB629D">
        <w:t>)</w:t>
      </w:r>
      <w:r w:rsidR="00BB629D" w:rsidRPr="00BB629D">
        <w:t>.</w:t>
      </w:r>
    </w:p>
    <w:p w14:paraId="79E74370" w14:textId="086D4F94" w:rsidR="006300EE" w:rsidRDefault="006300EE" w:rsidP="006300EE">
      <w:pPr>
        <w:pStyle w:val="ListParagraph"/>
        <w:numPr>
          <w:ilvl w:val="0"/>
          <w:numId w:val="5"/>
        </w:numPr>
      </w:pPr>
      <w:r>
        <w:t xml:space="preserve">Technological Integration: There is a growth in using more complex event technologies, including AI, augmented and virtual reality technologies, and apps. These technologies improve attendees’ experience and offer better experiences to the attendees. AI algorithms </w:t>
      </w:r>
      <w:r>
        <w:lastRenderedPageBreak/>
        <w:t xml:space="preserve">for a business meeting, an opportunity for participants to experience a virtual 3D tour of accessible tourism in the area, and </w:t>
      </w:r>
      <w:r w:rsidR="001E645E">
        <w:t xml:space="preserve">an </w:t>
      </w:r>
      <w:r>
        <w:t>application with up-to-date information on the event will be integrated into the event.</w:t>
      </w:r>
      <w:r w:rsidR="00DF5628">
        <w:t xml:space="preserve"> </w:t>
      </w:r>
    </w:p>
    <w:p w14:paraId="3813133A" w14:textId="36DB3658" w:rsidR="006300EE" w:rsidRPr="006300EE" w:rsidRDefault="006300EE" w:rsidP="006300EE">
      <w:pPr>
        <w:rPr>
          <w:b/>
          <w:bCs/>
        </w:rPr>
      </w:pPr>
      <w:r w:rsidRPr="006300EE">
        <w:rPr>
          <w:b/>
          <w:bCs/>
        </w:rPr>
        <w:t>Industry Issues:</w:t>
      </w:r>
      <w:r>
        <w:rPr>
          <w:b/>
          <w:bCs/>
        </w:rPr>
        <w:t xml:space="preserve"> </w:t>
      </w:r>
    </w:p>
    <w:p w14:paraId="6E09C31B" w14:textId="19117892" w:rsidR="006300EE" w:rsidRDefault="006300EE" w:rsidP="006300EE">
      <w:pPr>
        <w:pStyle w:val="ListParagraph"/>
        <w:numPr>
          <w:ilvl w:val="0"/>
          <w:numId w:val="4"/>
        </w:numPr>
      </w:pPr>
      <w:r>
        <w:t xml:space="preserve">Accessibility and Inclusion: Therefore, as the tourism and events industry is evolving towards inclusiveness, accessibility </w:t>
      </w:r>
      <w:r w:rsidR="001E645E">
        <w:t>remains</w:t>
      </w:r>
      <w:r>
        <w:t xml:space="preserve"> a major issue. The EDI Tourism Summit is a response to this issue to guarantee that both </w:t>
      </w:r>
      <w:r w:rsidR="001E645E">
        <w:t xml:space="preserve">the </w:t>
      </w:r>
      <w:r>
        <w:t>content and environment of the event and interactions contained therein are fully inclusive for people living with disabilities.</w:t>
      </w:r>
    </w:p>
    <w:p w14:paraId="1C426411" w14:textId="41B6C381" w:rsidR="00CA6748" w:rsidRDefault="006300EE" w:rsidP="006300EE">
      <w:pPr>
        <w:pStyle w:val="ListParagraph"/>
        <w:numPr>
          <w:ilvl w:val="0"/>
          <w:numId w:val="4"/>
        </w:numPr>
      </w:pPr>
      <w:r>
        <w:t xml:space="preserve">Post-Pandemic Recovery: Due to the pandemic, there is clear evidence that the format and expectations of events have changed. Most events today have measures for health and safety, and the general awareness of germs or bacteria in shared places has been brought to the front line. </w:t>
      </w:r>
    </w:p>
    <w:p w14:paraId="3E4B3146" w14:textId="7DC56F80" w:rsidR="006300EE" w:rsidRDefault="00AE1874" w:rsidP="00AE1874">
      <w:pPr>
        <w:pStyle w:val="Heading1"/>
      </w:pPr>
      <w:bookmarkStart w:id="7" w:name="_Toc188282132"/>
      <w:r w:rsidRPr="00AE1874">
        <w:t>Situational and Cultural Considerations</w:t>
      </w:r>
      <w:bookmarkEnd w:id="7"/>
      <w:r>
        <w:t xml:space="preserve"> </w:t>
      </w:r>
    </w:p>
    <w:p w14:paraId="6F9A0371" w14:textId="119D2715" w:rsidR="00644A73" w:rsidRDefault="00076E62" w:rsidP="00644A73">
      <w:r w:rsidRPr="00076E62">
        <w:t>When organi</w:t>
      </w:r>
      <w:r w:rsidR="00C15D55">
        <w:t>s</w:t>
      </w:r>
      <w:r w:rsidRPr="00076E62">
        <w:t xml:space="preserve">ing the </w:t>
      </w:r>
      <w:r w:rsidRPr="00076E62">
        <w:rPr>
          <w:b/>
          <w:bCs/>
        </w:rPr>
        <w:t>EDI Tourism Summit</w:t>
      </w:r>
      <w:r w:rsidRPr="00076E62">
        <w:t xml:space="preserve">, several </w:t>
      </w:r>
      <w:r w:rsidRPr="00076E62">
        <w:rPr>
          <w:b/>
          <w:bCs/>
        </w:rPr>
        <w:t>situational and cultural considerations</w:t>
      </w:r>
      <w:r w:rsidRPr="00076E62">
        <w:t xml:space="preserve"> must be taken into account to ensure the event is both successful and respectful to the diverse stakeholders involved.</w:t>
      </w:r>
      <w:r>
        <w:t xml:space="preserve"> </w:t>
      </w:r>
      <w:r w:rsidR="00644A73">
        <w:t>These are important as they determine if the event is accepted and or has effects on those who are or are not in attendance.</w:t>
      </w:r>
      <w:r>
        <w:t xml:space="preserve"> </w:t>
      </w:r>
    </w:p>
    <w:p w14:paraId="7831D652" w14:textId="77777777" w:rsidR="00644A73" w:rsidRPr="00EF1CCB" w:rsidRDefault="00644A73" w:rsidP="00644A73">
      <w:pPr>
        <w:rPr>
          <w:b/>
          <w:bCs/>
        </w:rPr>
      </w:pPr>
      <w:r w:rsidRPr="00EF1CCB">
        <w:rPr>
          <w:b/>
          <w:bCs/>
        </w:rPr>
        <w:t>Situational Considerations:</w:t>
      </w:r>
    </w:p>
    <w:p w14:paraId="052448E3" w14:textId="1BC76CF4" w:rsidR="00644A73" w:rsidRDefault="00644A73" w:rsidP="00EF1CCB">
      <w:pPr>
        <w:pStyle w:val="ListParagraph"/>
        <w:numPr>
          <w:ilvl w:val="0"/>
          <w:numId w:val="8"/>
        </w:numPr>
      </w:pPr>
      <w:r w:rsidRPr="00EF1CCB">
        <w:t>Post-Pandemic Environment:</w:t>
      </w:r>
      <w:r w:rsidR="00EF1CCB">
        <w:t xml:space="preserve"> </w:t>
      </w:r>
      <w:r>
        <w:t xml:space="preserve">Since the COVID-19 effects are still being felt to this day, health, and safety concerns will need to remain a focus. This counts for consistently </w:t>
      </w:r>
      <w:r w:rsidR="001E645E">
        <w:t>assessing</w:t>
      </w:r>
      <w:r>
        <w:t xml:space="preserve"> the event to cover both online and physical format depending on the comfort of individuals and the physically able persons.</w:t>
      </w:r>
    </w:p>
    <w:p w14:paraId="1728849F" w14:textId="3E6523E7" w:rsidR="00644A73" w:rsidRDefault="00644A73" w:rsidP="00C15D55">
      <w:pPr>
        <w:pStyle w:val="ListParagraph"/>
        <w:numPr>
          <w:ilvl w:val="0"/>
          <w:numId w:val="8"/>
        </w:numPr>
      </w:pPr>
      <w:r w:rsidRPr="00EF1CCB">
        <w:t>Economic Climate</w:t>
      </w:r>
      <w:r w:rsidRPr="00EF1CCB">
        <w:rPr>
          <w:b/>
          <w:bCs/>
        </w:rPr>
        <w:t>:</w:t>
      </w:r>
      <w:r w:rsidR="00EF1CCB">
        <w:t xml:space="preserve"> </w:t>
      </w:r>
      <w:r>
        <w:t>Various economic indicators such as inflation, or limitations on a company’s or organi</w:t>
      </w:r>
      <w:r w:rsidR="00C15D55">
        <w:t>s</w:t>
      </w:r>
      <w:r>
        <w:t>ation’s budget may influence the attendees themselves, or the sponsorship offerings. This requires basic budgeting and selecting values that will capture both participants’ and sponsors’ attention.</w:t>
      </w:r>
      <w:r w:rsidR="00C15D55">
        <w:t xml:space="preserve"> </w:t>
      </w:r>
    </w:p>
    <w:p w14:paraId="087482F5" w14:textId="77777777" w:rsidR="00644A73" w:rsidRPr="00EF1CCB" w:rsidRDefault="00644A73" w:rsidP="00644A73">
      <w:pPr>
        <w:rPr>
          <w:b/>
          <w:bCs/>
        </w:rPr>
      </w:pPr>
      <w:r w:rsidRPr="00EF1CCB">
        <w:rPr>
          <w:b/>
          <w:bCs/>
        </w:rPr>
        <w:t>Cultural Considerations:</w:t>
      </w:r>
    </w:p>
    <w:p w14:paraId="7A1CF381" w14:textId="7EE37B14" w:rsidR="00644A73" w:rsidRDefault="00644A73" w:rsidP="00EF1CCB">
      <w:pPr>
        <w:pStyle w:val="ListParagraph"/>
        <w:numPr>
          <w:ilvl w:val="0"/>
          <w:numId w:val="7"/>
        </w:numPr>
      </w:pPr>
      <w:r>
        <w:t>Diverse Audience:</w:t>
      </w:r>
      <w:r w:rsidR="00EF1CCB">
        <w:t xml:space="preserve"> </w:t>
      </w:r>
      <w:r>
        <w:t xml:space="preserve">Due to participation that will be subscribed under the Universal Call, distinguished participants shall comprise tourism experts, disability activists, and enthusiasts. They also should take into consideration cultural differences, origination, and </w:t>
      </w:r>
      <w:r>
        <w:lastRenderedPageBreak/>
        <w:t>traditions that participants have. This requires that the participant feels that they are valued and making their own choices and this involves using culturally appropriate resources.</w:t>
      </w:r>
    </w:p>
    <w:p w14:paraId="4DD91D94" w14:textId="0C13EB44" w:rsidR="00644A73" w:rsidRDefault="00644A73" w:rsidP="00644A73">
      <w:r>
        <w:t>SWOT Analysis:</w:t>
      </w:r>
    </w:p>
    <w:p w14:paraId="1D50A3B7" w14:textId="77777777" w:rsidR="00644A73" w:rsidRDefault="00644A73" w:rsidP="00644A73">
      <w:pPr>
        <w:pStyle w:val="ListParagraph"/>
        <w:numPr>
          <w:ilvl w:val="0"/>
          <w:numId w:val="6"/>
        </w:numPr>
      </w:pPr>
      <w:r>
        <w:t>Strengths: The focalised themes of the event are a good reflection of the contemporary trends impacting the sphere and the societal requirements.</w:t>
      </w:r>
    </w:p>
    <w:p w14:paraId="39A55B01" w14:textId="4AA54D6B" w:rsidR="00644A73" w:rsidRDefault="00644A73" w:rsidP="00644A73">
      <w:pPr>
        <w:pStyle w:val="ListParagraph"/>
        <w:numPr>
          <w:ilvl w:val="0"/>
          <w:numId w:val="6"/>
        </w:numPr>
      </w:pPr>
      <w:r>
        <w:t>Weaknesses: One must admit, that the issues of dividing between online and face-to-face sessions may cause organi</w:t>
      </w:r>
      <w:r w:rsidR="00C15D55">
        <w:t>s</w:t>
      </w:r>
      <w:r>
        <w:t>ational difficulties.</w:t>
      </w:r>
    </w:p>
    <w:p w14:paraId="17A0FFB2" w14:textId="77777777" w:rsidR="00644A73" w:rsidRDefault="00644A73" w:rsidP="00644A73">
      <w:pPr>
        <w:pStyle w:val="ListParagraph"/>
        <w:numPr>
          <w:ilvl w:val="0"/>
          <w:numId w:val="6"/>
        </w:numPr>
      </w:pPr>
      <w:r>
        <w:t>Opportunities: The amount of opportunity for engagement and partnership around issues of tourism accessibility continues to grow due to the need for tourists who are in wheelchairs and other mobility impairments.</w:t>
      </w:r>
    </w:p>
    <w:p w14:paraId="167E0A56" w14:textId="77777777" w:rsidR="00644A73" w:rsidRDefault="00644A73" w:rsidP="00644A73">
      <w:pPr>
        <w:pStyle w:val="ListParagraph"/>
        <w:numPr>
          <w:ilvl w:val="0"/>
          <w:numId w:val="6"/>
        </w:numPr>
      </w:pPr>
      <w:r>
        <w:t>Threats: Due to the higher volatility of the world’s economy and possible interruptions in travel, they could affect attendance and sponsorship.</w:t>
      </w:r>
    </w:p>
    <w:p w14:paraId="120AF7E6" w14:textId="06333C08" w:rsidR="00AE1874" w:rsidRPr="00AE1874" w:rsidRDefault="00644A73" w:rsidP="00644A73">
      <w:r>
        <w:t>These situational and cultural factors, therefore, if well</w:t>
      </w:r>
      <w:r w:rsidR="001E645E">
        <w:t>-</w:t>
      </w:r>
      <w:r>
        <w:t xml:space="preserve">orchestrated can complement the success of the summit </w:t>
      </w:r>
      <w:r w:rsidR="001E645E">
        <w:t>to</w:t>
      </w:r>
      <w:r>
        <w:t xml:space="preserve"> closely align </w:t>
      </w:r>
      <w:r w:rsidR="001E645E">
        <w:t>with</w:t>
      </w:r>
      <w:r>
        <w:t xml:space="preserve"> the industry needs and </w:t>
      </w:r>
      <w:r w:rsidR="001E645E">
        <w:t>stakeholders'</w:t>
      </w:r>
      <w:r>
        <w:t xml:space="preserve"> expectations as well as the new trends globally.  </w:t>
      </w:r>
    </w:p>
    <w:p w14:paraId="5F9597B0" w14:textId="5EE186D4" w:rsidR="00DF5628" w:rsidRDefault="00DF5628">
      <w:pPr>
        <w:spacing w:before="0" w:after="160" w:line="259" w:lineRule="auto"/>
        <w:jc w:val="left"/>
      </w:pPr>
      <w:r>
        <w:br w:type="page"/>
      </w:r>
    </w:p>
    <w:p w14:paraId="0CFE5D58" w14:textId="64F0EC04" w:rsidR="00B80D03" w:rsidRDefault="00DF5628" w:rsidP="00DF5628">
      <w:pPr>
        <w:pStyle w:val="Heading1"/>
      </w:pPr>
      <w:bookmarkStart w:id="8" w:name="_Toc188282133"/>
      <w:r>
        <w:lastRenderedPageBreak/>
        <w:t>Conclusion</w:t>
      </w:r>
      <w:bookmarkEnd w:id="8"/>
    </w:p>
    <w:p w14:paraId="26A7E5EA" w14:textId="77326771" w:rsidR="00DF5628" w:rsidRDefault="00801FE5" w:rsidP="00DF5628">
      <w:r>
        <w:t xml:space="preserve">In conclusion, this report explains </w:t>
      </w:r>
      <w:r w:rsidRPr="00801FE5">
        <w:t>EDI Tourism Summit provides a platform to enhance critical big ideas of Equality, Diversity, and Inclusion in the tourism industry. Minimal operational, market and cultural factors are addressed to make the event have great impact in as much as it will encourage change in a positive way and at the same time elicit people’s participation.</w:t>
      </w:r>
      <w:r>
        <w:t xml:space="preserve"> </w:t>
      </w:r>
    </w:p>
    <w:p w14:paraId="07F230B2" w14:textId="7142E2CB" w:rsidR="00801FE5" w:rsidRDefault="00801FE5">
      <w:pPr>
        <w:spacing w:before="0" w:after="160" w:line="259" w:lineRule="auto"/>
        <w:jc w:val="left"/>
      </w:pPr>
      <w:r>
        <w:br w:type="page"/>
      </w:r>
    </w:p>
    <w:p w14:paraId="2E03868D" w14:textId="0E46CBCF" w:rsidR="00801FE5" w:rsidRDefault="00801FE5" w:rsidP="00801FE5">
      <w:pPr>
        <w:pStyle w:val="Heading1"/>
      </w:pPr>
      <w:bookmarkStart w:id="9" w:name="_Toc188282134"/>
      <w:r>
        <w:lastRenderedPageBreak/>
        <w:t>References</w:t>
      </w:r>
      <w:bookmarkEnd w:id="9"/>
      <w:r>
        <w:t xml:space="preserve"> </w:t>
      </w:r>
    </w:p>
    <w:p w14:paraId="2E8BEA9F" w14:textId="77777777" w:rsidR="005C0B5F" w:rsidRDefault="005C0B5F" w:rsidP="005C0B5F">
      <w:r w:rsidRPr="00FE476F">
        <w:t xml:space="preserve">Adeyinka-Ojo, S., </w:t>
      </w:r>
      <w:r>
        <w:t>(</w:t>
      </w:r>
      <w:r w:rsidRPr="00FE476F">
        <w:t>2018</w:t>
      </w:r>
      <w:r>
        <w:t>)</w:t>
      </w:r>
      <w:r w:rsidRPr="00FE476F">
        <w:t>. A strategic framework for analysing employability skills deficits in rural hospitality and tourism destinations. </w:t>
      </w:r>
      <w:r w:rsidRPr="005C0B5F">
        <w:rPr>
          <w:i/>
          <w:iCs/>
        </w:rPr>
        <w:t>Tourism Management Perspectives</w:t>
      </w:r>
      <w:r w:rsidRPr="00FE476F">
        <w:t>, </w:t>
      </w:r>
      <w:r w:rsidRPr="005C0B5F">
        <w:rPr>
          <w:i/>
          <w:iCs/>
        </w:rPr>
        <w:t>27</w:t>
      </w:r>
      <w:r w:rsidRPr="00FE476F">
        <w:t>, pp.</w:t>
      </w:r>
      <w:r>
        <w:t>1</w:t>
      </w:r>
      <w:r w:rsidRPr="00FE476F">
        <w:t>-</w:t>
      </w:r>
      <w:r>
        <w:t>1</w:t>
      </w:r>
      <w:r w:rsidRPr="00FE476F">
        <w:t>4.</w:t>
      </w:r>
      <w:r>
        <w:t xml:space="preserve"> </w:t>
      </w:r>
    </w:p>
    <w:p w14:paraId="48B4AC62" w14:textId="77777777" w:rsidR="005C0B5F" w:rsidRDefault="005C0B5F" w:rsidP="005C0B5F">
      <w:r w:rsidRPr="005C0B5F">
        <w:rPr>
          <w:lang w:val="de-DE"/>
        </w:rPr>
        <w:t xml:space="preserve">Bouncken, R.B., Aslam, M.M., Gantert, T.M. and Kallmuenzer, A., (2023). </w:t>
      </w:r>
      <w:r w:rsidRPr="000969DE">
        <w:t>New work design for knowledge creation and sustainability: An empirical study of coworking-spaces. </w:t>
      </w:r>
      <w:r w:rsidRPr="005C0B5F">
        <w:rPr>
          <w:i/>
          <w:iCs/>
        </w:rPr>
        <w:t>Journal of Business Research</w:t>
      </w:r>
      <w:r w:rsidRPr="000969DE">
        <w:t>, </w:t>
      </w:r>
      <w:r w:rsidRPr="005C0B5F">
        <w:rPr>
          <w:i/>
          <w:iCs/>
        </w:rPr>
        <w:t>154</w:t>
      </w:r>
      <w:r w:rsidRPr="000969DE">
        <w:t>, p.</w:t>
      </w:r>
      <w:r>
        <w:t>1-12</w:t>
      </w:r>
      <w:r w:rsidRPr="000969DE">
        <w:t>.</w:t>
      </w:r>
      <w:r>
        <w:t xml:space="preserve"> </w:t>
      </w:r>
    </w:p>
    <w:p w14:paraId="5645F52E" w14:textId="77777777" w:rsidR="005C0B5F" w:rsidRPr="005D6976" w:rsidRDefault="005C0B5F" w:rsidP="005C0B5F">
      <w:r w:rsidRPr="005C0B5F">
        <w:t xml:space="preserve">Chodor, B., </w:t>
      </w:r>
      <w:r>
        <w:t>(</w:t>
      </w:r>
      <w:r w:rsidRPr="005C0B5F">
        <w:t>2020</w:t>
      </w:r>
      <w:r>
        <w:t>)</w:t>
      </w:r>
      <w:r w:rsidRPr="005C0B5F">
        <w:t>. </w:t>
      </w:r>
      <w:r w:rsidRPr="005C0B5F">
        <w:rPr>
          <w:i/>
          <w:iCs/>
        </w:rPr>
        <w:t>Transitioning to virtual and hybrid events: How to create, adapt, and market an engaging online experience</w:t>
      </w:r>
      <w:r w:rsidRPr="005C0B5F">
        <w:t>. John Wiley &amp; Sons.</w:t>
      </w:r>
    </w:p>
    <w:p w14:paraId="54DBCDC9" w14:textId="77777777" w:rsidR="005C0B5F" w:rsidRDefault="005C0B5F" w:rsidP="005C0B5F">
      <w:r w:rsidRPr="00E144D0">
        <w:t xml:space="preserve">Dimanche, F. and Andrades, L., </w:t>
      </w:r>
      <w:r>
        <w:t>(</w:t>
      </w:r>
      <w:r w:rsidRPr="00E144D0">
        <w:t>2024</w:t>
      </w:r>
      <w:r>
        <w:t>)</w:t>
      </w:r>
      <w:r w:rsidRPr="00E144D0">
        <w:t>. Tourism Trends: Current Challenges for Tourism Destinations Management. In </w:t>
      </w:r>
      <w:r w:rsidRPr="005C0B5F">
        <w:rPr>
          <w:i/>
          <w:iCs/>
        </w:rPr>
        <w:t>The Spanish Model for Smart Tourism Destination Management: A Methodological Approach</w:t>
      </w:r>
      <w:r w:rsidRPr="00E144D0">
        <w:t> (pp. 3-21). Cham: Springer International Publishing.</w:t>
      </w:r>
    </w:p>
    <w:p w14:paraId="0F727D53" w14:textId="77777777" w:rsidR="005C0B5F" w:rsidRDefault="005C0B5F" w:rsidP="005C0B5F">
      <w:r w:rsidRPr="00A35B30">
        <w:t xml:space="preserve">Fresnoza, E.P., Balcombe, D. and Choo, L., </w:t>
      </w:r>
      <w:r>
        <w:t>(</w:t>
      </w:r>
      <w:r w:rsidRPr="00A35B30">
        <w:t>2024</w:t>
      </w:r>
      <w:r>
        <w:t>)</w:t>
      </w:r>
      <w:r w:rsidRPr="00A35B30">
        <w:t>. Social justice in tourism recovery: examining equity, diversity, and inclusion in Canadian tourism restart policies. </w:t>
      </w:r>
      <w:r w:rsidRPr="005C0B5F">
        <w:rPr>
          <w:i/>
          <w:iCs/>
        </w:rPr>
        <w:t>Tourism Critiques: Practice and Theory</w:t>
      </w:r>
      <w:r w:rsidRPr="00A35B30">
        <w:t>.</w:t>
      </w:r>
      <w:r>
        <w:t xml:space="preserve"> </w:t>
      </w:r>
    </w:p>
    <w:p w14:paraId="363EA2CF" w14:textId="77777777" w:rsidR="005C0B5F" w:rsidRDefault="005C0B5F" w:rsidP="005C0B5F">
      <w:r w:rsidRPr="00CC0BC6">
        <w:t xml:space="preserve">Getz, D. and Page, S.J., </w:t>
      </w:r>
      <w:r>
        <w:t>(</w:t>
      </w:r>
      <w:r w:rsidRPr="00CC0BC6">
        <w:t>2019</w:t>
      </w:r>
      <w:r>
        <w:t>)</w:t>
      </w:r>
      <w:r w:rsidRPr="00CC0BC6">
        <w:t>. </w:t>
      </w:r>
      <w:r w:rsidRPr="005C0B5F">
        <w:rPr>
          <w:i/>
          <w:iCs/>
        </w:rPr>
        <w:t>Event studies: Theory, research and policy for planned events</w:t>
      </w:r>
      <w:r w:rsidRPr="00CC0BC6">
        <w:t>. Routledge.</w:t>
      </w:r>
      <w:r>
        <w:t xml:space="preserve"> </w:t>
      </w:r>
    </w:p>
    <w:p w14:paraId="1BF8A7E2" w14:textId="77777777" w:rsidR="005C0B5F" w:rsidRDefault="005C0B5F" w:rsidP="005C0B5F">
      <w:r w:rsidRPr="00456700">
        <w:t xml:space="preserve">Gooberman-Hill, R. and Thomson, A., </w:t>
      </w:r>
      <w:r>
        <w:t>(</w:t>
      </w:r>
      <w:r w:rsidRPr="00456700">
        <w:t>2024</w:t>
      </w:r>
      <w:r>
        <w:t>)</w:t>
      </w:r>
      <w:r w:rsidRPr="00456700">
        <w:t>. Nurturing Equality, Diversity and Inclusion. </w:t>
      </w:r>
      <w:r w:rsidRPr="005C0B5F">
        <w:rPr>
          <w:i/>
          <w:iCs/>
        </w:rPr>
        <w:t>Nurturing Equality, Diversity and Inclusion</w:t>
      </w:r>
      <w:r w:rsidRPr="00456700">
        <w:t>.</w:t>
      </w:r>
      <w:r>
        <w:t xml:space="preserve"> </w:t>
      </w:r>
    </w:p>
    <w:p w14:paraId="2D4D43EC" w14:textId="77777777" w:rsidR="005C0B5F" w:rsidRDefault="005C0B5F" w:rsidP="005C0B5F">
      <w:r w:rsidRPr="00032418">
        <w:t xml:space="preserve">Hajarrahmah, D., McGehee, N.G. and Soulard, J., </w:t>
      </w:r>
      <w:r>
        <w:t>(</w:t>
      </w:r>
      <w:r w:rsidRPr="00032418">
        <w:t>2024</w:t>
      </w:r>
      <w:r>
        <w:t>)</w:t>
      </w:r>
      <w:r w:rsidRPr="00032418">
        <w:t>. The road to success: Tourism social entrepreneurs' quest for regenerative tourism. </w:t>
      </w:r>
      <w:r w:rsidRPr="005C0B5F">
        <w:rPr>
          <w:i/>
          <w:iCs/>
        </w:rPr>
        <w:t>Annals of Tourism Research</w:t>
      </w:r>
      <w:r w:rsidRPr="00032418">
        <w:t>, </w:t>
      </w:r>
      <w:r w:rsidRPr="005C0B5F">
        <w:rPr>
          <w:i/>
          <w:iCs/>
        </w:rPr>
        <w:t>108</w:t>
      </w:r>
      <w:r w:rsidRPr="00032418">
        <w:t>, p.1</w:t>
      </w:r>
      <w:r>
        <w:t>-12</w:t>
      </w:r>
      <w:r w:rsidRPr="00032418">
        <w:t>.</w:t>
      </w:r>
      <w:r>
        <w:t xml:space="preserve"> </w:t>
      </w:r>
    </w:p>
    <w:p w14:paraId="08337EC4" w14:textId="77777777" w:rsidR="005C0B5F" w:rsidRDefault="005C0B5F" w:rsidP="005C0B5F">
      <w:r w:rsidRPr="00274D04">
        <w:t xml:space="preserve">Nyanjom, J., Boxall, K. and Slaven, J., </w:t>
      </w:r>
      <w:r>
        <w:t>(</w:t>
      </w:r>
      <w:r w:rsidRPr="00274D04">
        <w:t>2018</w:t>
      </w:r>
      <w:r>
        <w:t>)</w:t>
      </w:r>
      <w:r w:rsidRPr="00274D04">
        <w:t>. Towards inclusive tourism? Stakeholder collaboration in the development of accessible tourism. </w:t>
      </w:r>
      <w:r w:rsidRPr="005C0B5F">
        <w:rPr>
          <w:i/>
          <w:iCs/>
        </w:rPr>
        <w:t>Tourism Geographies</w:t>
      </w:r>
      <w:r w:rsidRPr="00274D04">
        <w:t>, </w:t>
      </w:r>
      <w:r w:rsidRPr="005C0B5F">
        <w:rPr>
          <w:i/>
          <w:iCs/>
        </w:rPr>
        <w:t>20</w:t>
      </w:r>
      <w:r w:rsidRPr="00274D04">
        <w:t>(4), pp.</w:t>
      </w:r>
      <w:r>
        <w:t>1</w:t>
      </w:r>
      <w:r w:rsidRPr="00274D04">
        <w:t>-</w:t>
      </w:r>
      <w:r>
        <w:t>1</w:t>
      </w:r>
      <w:r w:rsidRPr="00274D04">
        <w:t>7.</w:t>
      </w:r>
      <w:r>
        <w:t xml:space="preserve"> </w:t>
      </w:r>
    </w:p>
    <w:p w14:paraId="3A92EA5D" w14:textId="77777777" w:rsidR="005C0B5F" w:rsidRDefault="005C0B5F" w:rsidP="005C0B5F">
      <w:r w:rsidRPr="007900C2">
        <w:t xml:space="preserve">Sadq, Z.M., Othman, B. and Khorsheed, R.K., </w:t>
      </w:r>
      <w:r>
        <w:t>(</w:t>
      </w:r>
      <w:r w:rsidRPr="007900C2">
        <w:t>2019. The impact of tourism marketing in enhancing competitive capabilities. </w:t>
      </w:r>
      <w:r w:rsidRPr="005C0B5F">
        <w:rPr>
          <w:i/>
          <w:iCs/>
        </w:rPr>
        <w:t>African Journal of Hospitality, Tourism and Leisure</w:t>
      </w:r>
      <w:r w:rsidRPr="007900C2">
        <w:t>, </w:t>
      </w:r>
      <w:r w:rsidRPr="005C0B5F">
        <w:rPr>
          <w:i/>
          <w:iCs/>
        </w:rPr>
        <w:t>8</w:t>
      </w:r>
      <w:r w:rsidRPr="007900C2">
        <w:t>(5), pp.1-11.</w:t>
      </w:r>
    </w:p>
    <w:p w14:paraId="3135BE5D" w14:textId="77777777" w:rsidR="005C0B5F" w:rsidRDefault="005C0B5F" w:rsidP="005C0B5F">
      <w:r w:rsidRPr="00C14FFE">
        <w:t xml:space="preserve">Siri, A., Leone, C. and Bencivenga, R., </w:t>
      </w:r>
      <w:r>
        <w:t>(</w:t>
      </w:r>
      <w:r w:rsidRPr="00C14FFE">
        <w:t>2022</w:t>
      </w:r>
      <w:r>
        <w:t>)</w:t>
      </w:r>
      <w:r w:rsidRPr="00C14FFE">
        <w:t>. Equality, diversity, and inclusion strategies adopted in a European University Alliance to facilitate the higher education-to-work transition. </w:t>
      </w:r>
      <w:r w:rsidRPr="005C0B5F">
        <w:rPr>
          <w:i/>
          <w:iCs/>
        </w:rPr>
        <w:t>Societies</w:t>
      </w:r>
      <w:r w:rsidRPr="00C14FFE">
        <w:t>, </w:t>
      </w:r>
      <w:r w:rsidRPr="005C0B5F">
        <w:rPr>
          <w:i/>
          <w:iCs/>
        </w:rPr>
        <w:t>12</w:t>
      </w:r>
      <w:r w:rsidRPr="00C14FFE">
        <w:t>(5), p.1</w:t>
      </w:r>
      <w:r>
        <w:t>-1</w:t>
      </w:r>
      <w:r w:rsidRPr="00C14FFE">
        <w:t>0.</w:t>
      </w:r>
      <w:r>
        <w:t xml:space="preserve">  </w:t>
      </w:r>
    </w:p>
    <w:p w14:paraId="75D4C1AF" w14:textId="7E1756D9" w:rsidR="005C0B5F" w:rsidRDefault="005C0B5F" w:rsidP="005C0B5F">
      <w:r w:rsidRPr="007E4387">
        <w:t xml:space="preserve">Var, T. and Gunn, C., </w:t>
      </w:r>
      <w:r>
        <w:t>(</w:t>
      </w:r>
      <w:r w:rsidRPr="007E4387">
        <w:t>2020</w:t>
      </w:r>
      <w:r>
        <w:t>)</w:t>
      </w:r>
      <w:r w:rsidRPr="007E4387">
        <w:t>. </w:t>
      </w:r>
      <w:r w:rsidRPr="005C0B5F">
        <w:rPr>
          <w:i/>
          <w:iCs/>
        </w:rPr>
        <w:t>Tourism planning: Basics, concepts, cases</w:t>
      </w:r>
      <w:r w:rsidRPr="007E4387">
        <w:t>. Routledge.</w:t>
      </w:r>
      <w:r>
        <w:t xml:space="preserve">   </w:t>
      </w:r>
    </w:p>
    <w:sectPr w:rsidR="005C0B5F" w:rsidSect="007C471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9A021" w14:textId="77777777" w:rsidR="008422C9" w:rsidRDefault="008422C9" w:rsidP="00FB17A6">
      <w:pPr>
        <w:spacing w:before="0" w:after="0" w:line="240" w:lineRule="auto"/>
      </w:pPr>
      <w:r>
        <w:separator/>
      </w:r>
    </w:p>
  </w:endnote>
  <w:endnote w:type="continuationSeparator" w:id="0">
    <w:p w14:paraId="21E3EF8A" w14:textId="77777777" w:rsidR="008422C9" w:rsidRDefault="008422C9" w:rsidP="00FB17A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F6E94" w14:textId="77777777" w:rsidR="00596A4F" w:rsidRDefault="00596A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7226682"/>
      <w:docPartObj>
        <w:docPartGallery w:val="Page Numbers (Bottom of Page)"/>
        <w:docPartUnique/>
      </w:docPartObj>
    </w:sdtPr>
    <w:sdtEndPr/>
    <w:sdtContent>
      <w:p w14:paraId="53C201CF" w14:textId="636E5A47" w:rsidR="005D6976" w:rsidRDefault="005D6976">
        <w:pPr>
          <w:pStyle w:val="Footer"/>
          <w:jc w:val="right"/>
        </w:pPr>
        <w:r>
          <w:fldChar w:fldCharType="begin"/>
        </w:r>
        <w:r>
          <w:instrText>PAGE   \* MERGEFORMAT</w:instrText>
        </w:r>
        <w:r>
          <w:fldChar w:fldCharType="separate"/>
        </w:r>
        <w:r w:rsidR="00596A4F">
          <w:rPr>
            <w:noProof/>
          </w:rPr>
          <w:t>1</w:t>
        </w:r>
        <w:r>
          <w:fldChar w:fldCharType="end"/>
        </w:r>
      </w:p>
    </w:sdtContent>
  </w:sdt>
  <w:p w14:paraId="0FD73310" w14:textId="77777777" w:rsidR="005D6976" w:rsidRDefault="005D69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7A5B7" w14:textId="77777777" w:rsidR="00596A4F" w:rsidRDefault="00596A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5802C" w14:textId="77777777" w:rsidR="008422C9" w:rsidRDefault="008422C9" w:rsidP="00FB17A6">
      <w:pPr>
        <w:spacing w:before="0" w:after="0" w:line="240" w:lineRule="auto"/>
      </w:pPr>
      <w:r>
        <w:separator/>
      </w:r>
    </w:p>
  </w:footnote>
  <w:footnote w:type="continuationSeparator" w:id="0">
    <w:p w14:paraId="388EAF8F" w14:textId="77777777" w:rsidR="008422C9" w:rsidRDefault="008422C9" w:rsidP="00FB17A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BF219" w14:textId="77777777" w:rsidR="00596A4F" w:rsidRDefault="00596A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07A0" w14:textId="5B262A33" w:rsidR="00FB17A6" w:rsidRPr="00FB17A6" w:rsidRDefault="00FB17A6" w:rsidP="00FB17A6">
    <w:pPr>
      <w:pStyle w:val="Header"/>
    </w:pPr>
    <w:r w:rsidRPr="003379DB">
      <w:rPr>
        <w:noProof/>
        <w:lang w:val="en-US"/>
      </w:rPr>
      <w:drawing>
        <wp:inline distT="0" distB="0" distL="0" distR="0" wp14:anchorId="622DD63E" wp14:editId="1381020F">
          <wp:extent cx="1234440" cy="572583"/>
          <wp:effectExtent l="0" t="0" r="0" b="0"/>
          <wp:docPr id="895045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045299" name=""/>
                  <pic:cNvPicPr/>
                </pic:nvPicPr>
                <pic:blipFill>
                  <a:blip r:embed="rId1"/>
                  <a:stretch>
                    <a:fillRect/>
                  </a:stretch>
                </pic:blipFill>
                <pic:spPr>
                  <a:xfrm>
                    <a:off x="0" y="0"/>
                    <a:ext cx="1251243" cy="58037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461D6" w14:textId="77777777" w:rsidR="00596A4F" w:rsidRDefault="00596A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70E8"/>
    <w:multiLevelType w:val="hybridMultilevel"/>
    <w:tmpl w:val="7AC0BB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E9B1446"/>
    <w:multiLevelType w:val="hybridMultilevel"/>
    <w:tmpl w:val="0B9800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CA2CC1"/>
    <w:multiLevelType w:val="hybridMultilevel"/>
    <w:tmpl w:val="249860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0D0618"/>
    <w:multiLevelType w:val="hybridMultilevel"/>
    <w:tmpl w:val="E26AB6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2B77ED"/>
    <w:multiLevelType w:val="hybridMultilevel"/>
    <w:tmpl w:val="3A949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9C6490C"/>
    <w:multiLevelType w:val="hybridMultilevel"/>
    <w:tmpl w:val="0DB095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7F3658"/>
    <w:multiLevelType w:val="hybridMultilevel"/>
    <w:tmpl w:val="0EEA6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D476E25"/>
    <w:multiLevelType w:val="hybridMultilevel"/>
    <w:tmpl w:val="C61A67FC"/>
    <w:lvl w:ilvl="0" w:tplc="BA42162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52D57E1A"/>
    <w:multiLevelType w:val="hybridMultilevel"/>
    <w:tmpl w:val="1C2E8E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84F3FC1"/>
    <w:multiLevelType w:val="hybridMultilevel"/>
    <w:tmpl w:val="F362BE7C"/>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9C5B58"/>
    <w:multiLevelType w:val="hybridMultilevel"/>
    <w:tmpl w:val="17520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07398512">
    <w:abstractNumId w:val="3"/>
  </w:num>
  <w:num w:numId="2" w16cid:durableId="2081057552">
    <w:abstractNumId w:val="2"/>
  </w:num>
  <w:num w:numId="3" w16cid:durableId="374503825">
    <w:abstractNumId w:val="6"/>
  </w:num>
  <w:num w:numId="4" w16cid:durableId="1408532264">
    <w:abstractNumId w:val="8"/>
  </w:num>
  <w:num w:numId="5" w16cid:durableId="1840846054">
    <w:abstractNumId w:val="4"/>
  </w:num>
  <w:num w:numId="6" w16cid:durableId="170074974">
    <w:abstractNumId w:val="10"/>
  </w:num>
  <w:num w:numId="7" w16cid:durableId="248583309">
    <w:abstractNumId w:val="1"/>
  </w:num>
  <w:num w:numId="8" w16cid:durableId="756050047">
    <w:abstractNumId w:val="5"/>
  </w:num>
  <w:num w:numId="9" w16cid:durableId="418336779">
    <w:abstractNumId w:val="0"/>
  </w:num>
  <w:num w:numId="10" w16cid:durableId="1562599469">
    <w:abstractNumId w:val="7"/>
  </w:num>
  <w:num w:numId="11" w16cid:durableId="15869156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7A6"/>
    <w:rsid w:val="00003F5D"/>
    <w:rsid w:val="00011A89"/>
    <w:rsid w:val="00032418"/>
    <w:rsid w:val="00037AB3"/>
    <w:rsid w:val="0004575A"/>
    <w:rsid w:val="00047E16"/>
    <w:rsid w:val="00053946"/>
    <w:rsid w:val="00076E62"/>
    <w:rsid w:val="000817F4"/>
    <w:rsid w:val="00085FF8"/>
    <w:rsid w:val="00095666"/>
    <w:rsid w:val="000969DE"/>
    <w:rsid w:val="000A4AAF"/>
    <w:rsid w:val="000B002E"/>
    <w:rsid w:val="000C2CB1"/>
    <w:rsid w:val="000E390C"/>
    <w:rsid w:val="000E3AEF"/>
    <w:rsid w:val="000F2F0C"/>
    <w:rsid w:val="00122D07"/>
    <w:rsid w:val="00134371"/>
    <w:rsid w:val="001356C5"/>
    <w:rsid w:val="00143A7D"/>
    <w:rsid w:val="001541EF"/>
    <w:rsid w:val="00160F43"/>
    <w:rsid w:val="00163E61"/>
    <w:rsid w:val="001703D2"/>
    <w:rsid w:val="00194346"/>
    <w:rsid w:val="001B1A94"/>
    <w:rsid w:val="001B353F"/>
    <w:rsid w:val="001C220A"/>
    <w:rsid w:val="001E645E"/>
    <w:rsid w:val="001E6742"/>
    <w:rsid w:val="001E7AC3"/>
    <w:rsid w:val="001F54EA"/>
    <w:rsid w:val="001F72B3"/>
    <w:rsid w:val="00216FB3"/>
    <w:rsid w:val="00222B5C"/>
    <w:rsid w:val="00232F47"/>
    <w:rsid w:val="00237ACE"/>
    <w:rsid w:val="00243F7B"/>
    <w:rsid w:val="00244635"/>
    <w:rsid w:val="00250603"/>
    <w:rsid w:val="00274D04"/>
    <w:rsid w:val="00274D58"/>
    <w:rsid w:val="00283FAB"/>
    <w:rsid w:val="002A03EB"/>
    <w:rsid w:val="002A0F8C"/>
    <w:rsid w:val="002A116A"/>
    <w:rsid w:val="002B5D30"/>
    <w:rsid w:val="002C7B93"/>
    <w:rsid w:val="002D24A7"/>
    <w:rsid w:val="002D30D0"/>
    <w:rsid w:val="002E490A"/>
    <w:rsid w:val="002F0FB0"/>
    <w:rsid w:val="003028C6"/>
    <w:rsid w:val="0030726C"/>
    <w:rsid w:val="00322A26"/>
    <w:rsid w:val="00326638"/>
    <w:rsid w:val="00330EA1"/>
    <w:rsid w:val="00335023"/>
    <w:rsid w:val="003378C9"/>
    <w:rsid w:val="0036265E"/>
    <w:rsid w:val="003E14A3"/>
    <w:rsid w:val="003E42C0"/>
    <w:rsid w:val="003F306F"/>
    <w:rsid w:val="004168EC"/>
    <w:rsid w:val="0041696C"/>
    <w:rsid w:val="00423B1F"/>
    <w:rsid w:val="004262C3"/>
    <w:rsid w:val="0043167F"/>
    <w:rsid w:val="00434C9A"/>
    <w:rsid w:val="00442845"/>
    <w:rsid w:val="00444CDA"/>
    <w:rsid w:val="0045395E"/>
    <w:rsid w:val="00456700"/>
    <w:rsid w:val="00456C8D"/>
    <w:rsid w:val="00457BAE"/>
    <w:rsid w:val="00460507"/>
    <w:rsid w:val="004668EE"/>
    <w:rsid w:val="004764B0"/>
    <w:rsid w:val="00485916"/>
    <w:rsid w:val="004861DA"/>
    <w:rsid w:val="004B1D7D"/>
    <w:rsid w:val="004D7932"/>
    <w:rsid w:val="004F0DC9"/>
    <w:rsid w:val="004F6534"/>
    <w:rsid w:val="005012EC"/>
    <w:rsid w:val="00502B5E"/>
    <w:rsid w:val="00513C1A"/>
    <w:rsid w:val="005145E2"/>
    <w:rsid w:val="0055610D"/>
    <w:rsid w:val="00556AA9"/>
    <w:rsid w:val="0056076C"/>
    <w:rsid w:val="00566416"/>
    <w:rsid w:val="00595D7F"/>
    <w:rsid w:val="00596A4F"/>
    <w:rsid w:val="005B3530"/>
    <w:rsid w:val="005B4CAD"/>
    <w:rsid w:val="005C0B5F"/>
    <w:rsid w:val="005C637D"/>
    <w:rsid w:val="005C6A7A"/>
    <w:rsid w:val="005D0CC4"/>
    <w:rsid w:val="005D24CA"/>
    <w:rsid w:val="005D6976"/>
    <w:rsid w:val="005E1EBC"/>
    <w:rsid w:val="005E22A2"/>
    <w:rsid w:val="005E656A"/>
    <w:rsid w:val="005E6F1D"/>
    <w:rsid w:val="00600FFB"/>
    <w:rsid w:val="00601EF2"/>
    <w:rsid w:val="0061516D"/>
    <w:rsid w:val="006300EE"/>
    <w:rsid w:val="0064307B"/>
    <w:rsid w:val="00644A73"/>
    <w:rsid w:val="00644F0E"/>
    <w:rsid w:val="00666E15"/>
    <w:rsid w:val="00671568"/>
    <w:rsid w:val="00672316"/>
    <w:rsid w:val="006732CA"/>
    <w:rsid w:val="00673EEB"/>
    <w:rsid w:val="00687396"/>
    <w:rsid w:val="00697208"/>
    <w:rsid w:val="00697D36"/>
    <w:rsid w:val="006A1861"/>
    <w:rsid w:val="006D4480"/>
    <w:rsid w:val="006D79F6"/>
    <w:rsid w:val="00707C7B"/>
    <w:rsid w:val="0071541C"/>
    <w:rsid w:val="00727842"/>
    <w:rsid w:val="00755834"/>
    <w:rsid w:val="007640EF"/>
    <w:rsid w:val="0076724B"/>
    <w:rsid w:val="007677C3"/>
    <w:rsid w:val="00770C6E"/>
    <w:rsid w:val="00781576"/>
    <w:rsid w:val="007870AE"/>
    <w:rsid w:val="007900C2"/>
    <w:rsid w:val="007A007C"/>
    <w:rsid w:val="007A0514"/>
    <w:rsid w:val="007B178E"/>
    <w:rsid w:val="007B2D31"/>
    <w:rsid w:val="007B61A5"/>
    <w:rsid w:val="007B61CF"/>
    <w:rsid w:val="007C3BCF"/>
    <w:rsid w:val="007C471D"/>
    <w:rsid w:val="007C7EE4"/>
    <w:rsid w:val="007D0434"/>
    <w:rsid w:val="007D5EB0"/>
    <w:rsid w:val="007D7C4B"/>
    <w:rsid w:val="007E06BB"/>
    <w:rsid w:val="007E20D1"/>
    <w:rsid w:val="007E4387"/>
    <w:rsid w:val="007F3080"/>
    <w:rsid w:val="007F323E"/>
    <w:rsid w:val="00801FE5"/>
    <w:rsid w:val="008025E5"/>
    <w:rsid w:val="0082726B"/>
    <w:rsid w:val="008422C9"/>
    <w:rsid w:val="00876DDC"/>
    <w:rsid w:val="00880BA4"/>
    <w:rsid w:val="00886C9E"/>
    <w:rsid w:val="008A7795"/>
    <w:rsid w:val="008C26FB"/>
    <w:rsid w:val="008F51F7"/>
    <w:rsid w:val="008F5339"/>
    <w:rsid w:val="0092258C"/>
    <w:rsid w:val="00931DE0"/>
    <w:rsid w:val="00932D0A"/>
    <w:rsid w:val="00935C98"/>
    <w:rsid w:val="00936B13"/>
    <w:rsid w:val="00941A54"/>
    <w:rsid w:val="00944710"/>
    <w:rsid w:val="00956B46"/>
    <w:rsid w:val="00957AEA"/>
    <w:rsid w:val="00962A22"/>
    <w:rsid w:val="009823B6"/>
    <w:rsid w:val="00993080"/>
    <w:rsid w:val="009A3205"/>
    <w:rsid w:val="009B26E7"/>
    <w:rsid w:val="009D5C47"/>
    <w:rsid w:val="00A0053B"/>
    <w:rsid w:val="00A26F65"/>
    <w:rsid w:val="00A321F9"/>
    <w:rsid w:val="00A35B30"/>
    <w:rsid w:val="00A56BE0"/>
    <w:rsid w:val="00AA1940"/>
    <w:rsid w:val="00AC1AA9"/>
    <w:rsid w:val="00AE1874"/>
    <w:rsid w:val="00AF025C"/>
    <w:rsid w:val="00AF2486"/>
    <w:rsid w:val="00B02349"/>
    <w:rsid w:val="00B05AA8"/>
    <w:rsid w:val="00B47254"/>
    <w:rsid w:val="00B52A0B"/>
    <w:rsid w:val="00B80AAD"/>
    <w:rsid w:val="00B80D03"/>
    <w:rsid w:val="00B8454E"/>
    <w:rsid w:val="00B85C89"/>
    <w:rsid w:val="00B92233"/>
    <w:rsid w:val="00BA02D4"/>
    <w:rsid w:val="00BB0442"/>
    <w:rsid w:val="00BB629D"/>
    <w:rsid w:val="00BC0F2E"/>
    <w:rsid w:val="00BC4B7C"/>
    <w:rsid w:val="00BD37F8"/>
    <w:rsid w:val="00BE14E8"/>
    <w:rsid w:val="00BE5AEA"/>
    <w:rsid w:val="00BF03F8"/>
    <w:rsid w:val="00BF42C5"/>
    <w:rsid w:val="00C000DB"/>
    <w:rsid w:val="00C0373A"/>
    <w:rsid w:val="00C11B84"/>
    <w:rsid w:val="00C14FFE"/>
    <w:rsid w:val="00C15D55"/>
    <w:rsid w:val="00C25484"/>
    <w:rsid w:val="00C27C01"/>
    <w:rsid w:val="00C34D2F"/>
    <w:rsid w:val="00C73652"/>
    <w:rsid w:val="00C73C40"/>
    <w:rsid w:val="00C82F82"/>
    <w:rsid w:val="00C90C75"/>
    <w:rsid w:val="00C91157"/>
    <w:rsid w:val="00CA6748"/>
    <w:rsid w:val="00CC0BC6"/>
    <w:rsid w:val="00CC7E8E"/>
    <w:rsid w:val="00CE1D53"/>
    <w:rsid w:val="00CE7F58"/>
    <w:rsid w:val="00CF63A2"/>
    <w:rsid w:val="00D532A4"/>
    <w:rsid w:val="00D5398E"/>
    <w:rsid w:val="00D64A12"/>
    <w:rsid w:val="00D65663"/>
    <w:rsid w:val="00D66DDB"/>
    <w:rsid w:val="00D74C45"/>
    <w:rsid w:val="00D87975"/>
    <w:rsid w:val="00D9715C"/>
    <w:rsid w:val="00DB5119"/>
    <w:rsid w:val="00DC6E63"/>
    <w:rsid w:val="00DC753E"/>
    <w:rsid w:val="00DD05D0"/>
    <w:rsid w:val="00DD05E3"/>
    <w:rsid w:val="00DE5A08"/>
    <w:rsid w:val="00DF0324"/>
    <w:rsid w:val="00DF47BB"/>
    <w:rsid w:val="00DF5628"/>
    <w:rsid w:val="00E144D0"/>
    <w:rsid w:val="00E46047"/>
    <w:rsid w:val="00E47C78"/>
    <w:rsid w:val="00E53057"/>
    <w:rsid w:val="00E564DB"/>
    <w:rsid w:val="00E67892"/>
    <w:rsid w:val="00E81CEF"/>
    <w:rsid w:val="00E966D8"/>
    <w:rsid w:val="00EC53CA"/>
    <w:rsid w:val="00EC79E2"/>
    <w:rsid w:val="00ED1172"/>
    <w:rsid w:val="00EF10C6"/>
    <w:rsid w:val="00EF1CCB"/>
    <w:rsid w:val="00F14761"/>
    <w:rsid w:val="00F23D2B"/>
    <w:rsid w:val="00F54088"/>
    <w:rsid w:val="00F67562"/>
    <w:rsid w:val="00F73409"/>
    <w:rsid w:val="00F877DF"/>
    <w:rsid w:val="00FA77CE"/>
    <w:rsid w:val="00FB17A6"/>
    <w:rsid w:val="00FB506E"/>
    <w:rsid w:val="00FC3045"/>
    <w:rsid w:val="00FE0ED6"/>
    <w:rsid w:val="00FE476F"/>
    <w:rsid w:val="00FF5A0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A4E400"/>
  <w15:chartTrackingRefBased/>
  <w15:docId w15:val="{552D1BAF-467A-4087-9294-DA42516F4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7A6"/>
    <w:pPr>
      <w:spacing w:before="120" w:after="120" w:line="360" w:lineRule="auto"/>
      <w:jc w:val="both"/>
    </w:pPr>
    <w:rPr>
      <w:rFonts w:ascii="Times New Roman" w:hAnsi="Times New Roman"/>
      <w:kern w:val="0"/>
      <w:sz w:val="24"/>
    </w:rPr>
  </w:style>
  <w:style w:type="paragraph" w:styleId="Heading1">
    <w:name w:val="heading 1"/>
    <w:basedOn w:val="Normal"/>
    <w:next w:val="Normal"/>
    <w:link w:val="Heading1Char"/>
    <w:autoRedefine/>
    <w:uiPriority w:val="9"/>
    <w:qFormat/>
    <w:rsid w:val="007A007C"/>
    <w:pPr>
      <w:keepNext/>
      <w:keepLines/>
      <w:outlineLvl w:val="0"/>
    </w:pPr>
    <w:rPr>
      <w:rFonts w:eastAsiaTheme="majorEastAsia" w:cstheme="majorBidi"/>
      <w:b/>
      <w:kern w:val="2"/>
      <w:sz w:val="36"/>
      <w:szCs w:val="32"/>
    </w:rPr>
  </w:style>
  <w:style w:type="paragraph" w:styleId="Heading2">
    <w:name w:val="heading 2"/>
    <w:basedOn w:val="Normal"/>
    <w:next w:val="Normal"/>
    <w:link w:val="Heading2Char"/>
    <w:autoRedefine/>
    <w:uiPriority w:val="9"/>
    <w:unhideWhenUsed/>
    <w:qFormat/>
    <w:rsid w:val="007A007C"/>
    <w:pPr>
      <w:keepNext/>
      <w:keepLines/>
      <w:spacing w:before="240" w:after="240"/>
      <w:outlineLvl w:val="1"/>
    </w:pPr>
    <w:rPr>
      <w:rFonts w:eastAsiaTheme="majorEastAsia" w:cstheme="majorBidi"/>
      <w:b/>
      <w:kern w:val="2"/>
      <w:sz w:val="32"/>
      <w:szCs w:val="26"/>
    </w:rPr>
  </w:style>
  <w:style w:type="paragraph" w:styleId="Heading3">
    <w:name w:val="heading 3"/>
    <w:basedOn w:val="Normal"/>
    <w:next w:val="Normal"/>
    <w:link w:val="Heading3Char"/>
    <w:autoRedefine/>
    <w:uiPriority w:val="9"/>
    <w:unhideWhenUsed/>
    <w:qFormat/>
    <w:rsid w:val="001F54EA"/>
    <w:pPr>
      <w:keepNext/>
      <w:keepLines/>
      <w:spacing w:before="40" w:after="0"/>
      <w:outlineLvl w:val="2"/>
    </w:pPr>
    <w:rPr>
      <w:rFonts w:eastAsiaTheme="majorEastAsia" w:cstheme="majorBidi"/>
      <w:b/>
      <w:kern w:val="2"/>
      <w:sz w:val="28"/>
      <w:szCs w:val="24"/>
    </w:rPr>
  </w:style>
  <w:style w:type="paragraph" w:styleId="Heading4">
    <w:name w:val="heading 4"/>
    <w:basedOn w:val="Normal"/>
    <w:next w:val="Normal"/>
    <w:link w:val="Heading4Char"/>
    <w:uiPriority w:val="9"/>
    <w:semiHidden/>
    <w:unhideWhenUsed/>
    <w:qFormat/>
    <w:rsid w:val="00FB17A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B17A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B17A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B17A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B17A6"/>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B17A6"/>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07C"/>
    <w:rPr>
      <w:rFonts w:ascii="Times New Roman" w:eastAsiaTheme="majorEastAsia" w:hAnsi="Times New Roman" w:cstheme="majorBidi"/>
      <w:b/>
      <w:sz w:val="36"/>
      <w:szCs w:val="32"/>
    </w:rPr>
  </w:style>
  <w:style w:type="character" w:customStyle="1" w:styleId="Heading2Char">
    <w:name w:val="Heading 2 Char"/>
    <w:basedOn w:val="DefaultParagraphFont"/>
    <w:link w:val="Heading2"/>
    <w:uiPriority w:val="9"/>
    <w:rsid w:val="007A007C"/>
    <w:rPr>
      <w:rFonts w:ascii="Times New Roman" w:eastAsiaTheme="majorEastAsia" w:hAnsi="Times New Roman" w:cstheme="majorBidi"/>
      <w:b/>
      <w:sz w:val="32"/>
      <w:szCs w:val="26"/>
    </w:rPr>
  </w:style>
  <w:style w:type="paragraph" w:styleId="Title">
    <w:name w:val="Title"/>
    <w:basedOn w:val="Normal"/>
    <w:next w:val="Normal"/>
    <w:link w:val="TitleChar"/>
    <w:autoRedefine/>
    <w:uiPriority w:val="10"/>
    <w:qFormat/>
    <w:rsid w:val="001356C5"/>
    <w:pPr>
      <w:spacing w:before="240" w:after="32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356C5"/>
    <w:rPr>
      <w:rFonts w:ascii="Times New Roman" w:eastAsiaTheme="majorEastAsia" w:hAnsi="Times New Roman" w:cstheme="majorBidi"/>
      <w:b/>
      <w:spacing w:val="-10"/>
      <w:kern w:val="28"/>
      <w:sz w:val="56"/>
      <w:szCs w:val="56"/>
    </w:rPr>
  </w:style>
  <w:style w:type="character" w:customStyle="1" w:styleId="Heading3Char">
    <w:name w:val="Heading 3 Char"/>
    <w:basedOn w:val="DefaultParagraphFont"/>
    <w:link w:val="Heading3"/>
    <w:uiPriority w:val="9"/>
    <w:rsid w:val="001F54EA"/>
    <w:rPr>
      <w:rFonts w:ascii="Times New Roman" w:eastAsiaTheme="majorEastAsia" w:hAnsi="Times New Roman" w:cstheme="majorBidi"/>
      <w:b/>
      <w:sz w:val="28"/>
      <w:szCs w:val="24"/>
    </w:rPr>
  </w:style>
  <w:style w:type="character" w:customStyle="1" w:styleId="Heading4Char">
    <w:name w:val="Heading 4 Char"/>
    <w:basedOn w:val="DefaultParagraphFont"/>
    <w:link w:val="Heading4"/>
    <w:uiPriority w:val="9"/>
    <w:semiHidden/>
    <w:rsid w:val="00FB17A6"/>
    <w:rPr>
      <w:rFonts w:eastAsiaTheme="majorEastAsia" w:cstheme="majorBidi"/>
      <w:i/>
      <w:iCs/>
      <w:color w:val="2F5496" w:themeColor="accent1" w:themeShade="BF"/>
      <w:kern w:val="0"/>
      <w:sz w:val="24"/>
    </w:rPr>
  </w:style>
  <w:style w:type="character" w:customStyle="1" w:styleId="Heading5Char">
    <w:name w:val="Heading 5 Char"/>
    <w:basedOn w:val="DefaultParagraphFont"/>
    <w:link w:val="Heading5"/>
    <w:uiPriority w:val="9"/>
    <w:semiHidden/>
    <w:rsid w:val="00FB17A6"/>
    <w:rPr>
      <w:rFonts w:eastAsiaTheme="majorEastAsia" w:cstheme="majorBidi"/>
      <w:color w:val="2F5496" w:themeColor="accent1" w:themeShade="BF"/>
      <w:kern w:val="0"/>
      <w:sz w:val="24"/>
    </w:rPr>
  </w:style>
  <w:style w:type="character" w:customStyle="1" w:styleId="Heading6Char">
    <w:name w:val="Heading 6 Char"/>
    <w:basedOn w:val="DefaultParagraphFont"/>
    <w:link w:val="Heading6"/>
    <w:uiPriority w:val="9"/>
    <w:semiHidden/>
    <w:rsid w:val="00FB17A6"/>
    <w:rPr>
      <w:rFonts w:eastAsiaTheme="majorEastAsia" w:cstheme="majorBidi"/>
      <w:i/>
      <w:iCs/>
      <w:color w:val="595959" w:themeColor="text1" w:themeTint="A6"/>
      <w:kern w:val="0"/>
      <w:sz w:val="24"/>
    </w:rPr>
  </w:style>
  <w:style w:type="character" w:customStyle="1" w:styleId="Heading7Char">
    <w:name w:val="Heading 7 Char"/>
    <w:basedOn w:val="DefaultParagraphFont"/>
    <w:link w:val="Heading7"/>
    <w:uiPriority w:val="9"/>
    <w:semiHidden/>
    <w:rsid w:val="00FB17A6"/>
    <w:rPr>
      <w:rFonts w:eastAsiaTheme="majorEastAsia" w:cstheme="majorBidi"/>
      <w:color w:val="595959" w:themeColor="text1" w:themeTint="A6"/>
      <w:kern w:val="0"/>
      <w:sz w:val="24"/>
    </w:rPr>
  </w:style>
  <w:style w:type="character" w:customStyle="1" w:styleId="Heading8Char">
    <w:name w:val="Heading 8 Char"/>
    <w:basedOn w:val="DefaultParagraphFont"/>
    <w:link w:val="Heading8"/>
    <w:uiPriority w:val="9"/>
    <w:semiHidden/>
    <w:rsid w:val="00FB17A6"/>
    <w:rPr>
      <w:rFonts w:eastAsiaTheme="majorEastAsia" w:cstheme="majorBidi"/>
      <w:i/>
      <w:iCs/>
      <w:color w:val="272727" w:themeColor="text1" w:themeTint="D8"/>
      <w:kern w:val="0"/>
      <w:sz w:val="24"/>
    </w:rPr>
  </w:style>
  <w:style w:type="character" w:customStyle="1" w:styleId="Heading9Char">
    <w:name w:val="Heading 9 Char"/>
    <w:basedOn w:val="DefaultParagraphFont"/>
    <w:link w:val="Heading9"/>
    <w:uiPriority w:val="9"/>
    <w:semiHidden/>
    <w:rsid w:val="00FB17A6"/>
    <w:rPr>
      <w:rFonts w:eastAsiaTheme="majorEastAsia" w:cstheme="majorBidi"/>
      <w:color w:val="272727" w:themeColor="text1" w:themeTint="D8"/>
      <w:kern w:val="0"/>
      <w:sz w:val="24"/>
    </w:rPr>
  </w:style>
  <w:style w:type="paragraph" w:styleId="Subtitle">
    <w:name w:val="Subtitle"/>
    <w:basedOn w:val="Normal"/>
    <w:next w:val="Normal"/>
    <w:link w:val="SubtitleChar"/>
    <w:uiPriority w:val="11"/>
    <w:qFormat/>
    <w:rsid w:val="00FB17A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7A6"/>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FB17A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B17A6"/>
    <w:rPr>
      <w:rFonts w:ascii="Times New Roman" w:hAnsi="Times New Roman"/>
      <w:i/>
      <w:iCs/>
      <w:color w:val="404040" w:themeColor="text1" w:themeTint="BF"/>
      <w:kern w:val="0"/>
      <w:sz w:val="24"/>
    </w:rPr>
  </w:style>
  <w:style w:type="paragraph" w:styleId="ListParagraph">
    <w:name w:val="List Paragraph"/>
    <w:basedOn w:val="Normal"/>
    <w:uiPriority w:val="34"/>
    <w:qFormat/>
    <w:rsid w:val="00FB17A6"/>
    <w:pPr>
      <w:ind w:left="720"/>
      <w:contextualSpacing/>
    </w:pPr>
  </w:style>
  <w:style w:type="character" w:styleId="IntenseEmphasis">
    <w:name w:val="Intense Emphasis"/>
    <w:basedOn w:val="DefaultParagraphFont"/>
    <w:uiPriority w:val="21"/>
    <w:qFormat/>
    <w:rsid w:val="00FB17A6"/>
    <w:rPr>
      <w:i/>
      <w:iCs/>
      <w:color w:val="2F5496" w:themeColor="accent1" w:themeShade="BF"/>
    </w:rPr>
  </w:style>
  <w:style w:type="paragraph" w:styleId="IntenseQuote">
    <w:name w:val="Intense Quote"/>
    <w:basedOn w:val="Normal"/>
    <w:next w:val="Normal"/>
    <w:link w:val="IntenseQuoteChar"/>
    <w:uiPriority w:val="30"/>
    <w:qFormat/>
    <w:rsid w:val="00FB17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17A6"/>
    <w:rPr>
      <w:rFonts w:ascii="Times New Roman" w:hAnsi="Times New Roman"/>
      <w:i/>
      <w:iCs/>
      <w:color w:val="2F5496" w:themeColor="accent1" w:themeShade="BF"/>
      <w:kern w:val="0"/>
      <w:sz w:val="24"/>
    </w:rPr>
  </w:style>
  <w:style w:type="character" w:styleId="IntenseReference">
    <w:name w:val="Intense Reference"/>
    <w:basedOn w:val="DefaultParagraphFont"/>
    <w:uiPriority w:val="32"/>
    <w:qFormat/>
    <w:rsid w:val="00FB17A6"/>
    <w:rPr>
      <w:b/>
      <w:bCs/>
      <w:smallCaps/>
      <w:color w:val="2F5496" w:themeColor="accent1" w:themeShade="BF"/>
      <w:spacing w:val="5"/>
    </w:rPr>
  </w:style>
  <w:style w:type="paragraph" w:styleId="Header">
    <w:name w:val="header"/>
    <w:basedOn w:val="Normal"/>
    <w:link w:val="HeaderChar"/>
    <w:uiPriority w:val="99"/>
    <w:unhideWhenUsed/>
    <w:rsid w:val="00FB17A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B17A6"/>
    <w:rPr>
      <w:rFonts w:ascii="Times New Roman" w:hAnsi="Times New Roman"/>
      <w:kern w:val="0"/>
      <w:sz w:val="24"/>
    </w:rPr>
  </w:style>
  <w:style w:type="paragraph" w:styleId="Footer">
    <w:name w:val="footer"/>
    <w:basedOn w:val="Normal"/>
    <w:link w:val="FooterChar"/>
    <w:uiPriority w:val="99"/>
    <w:unhideWhenUsed/>
    <w:rsid w:val="00FB17A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B17A6"/>
    <w:rPr>
      <w:rFonts w:ascii="Times New Roman" w:hAnsi="Times New Roman"/>
      <w:kern w:val="0"/>
      <w:sz w:val="24"/>
    </w:rPr>
  </w:style>
  <w:style w:type="paragraph" w:styleId="TOCHeading">
    <w:name w:val="TOC Heading"/>
    <w:basedOn w:val="Heading1"/>
    <w:next w:val="Normal"/>
    <w:uiPriority w:val="39"/>
    <w:unhideWhenUsed/>
    <w:qFormat/>
    <w:rsid w:val="005C0B5F"/>
    <w:pPr>
      <w:spacing w:before="240" w:after="0" w:line="259" w:lineRule="auto"/>
      <w:jc w:val="left"/>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5C0B5F"/>
    <w:pPr>
      <w:spacing w:after="100"/>
    </w:pPr>
  </w:style>
  <w:style w:type="character" w:styleId="Hyperlink">
    <w:name w:val="Hyperlink"/>
    <w:basedOn w:val="DefaultParagraphFont"/>
    <w:uiPriority w:val="99"/>
    <w:unhideWhenUsed/>
    <w:rsid w:val="005C0B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6349B-D8EF-4B9B-9F96-58465DED3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3157</Words>
  <Characters>18675</Characters>
  <Application>Microsoft Office Word</Application>
  <DocSecurity>0</DocSecurity>
  <Lines>155</Lines>
  <Paragraphs>43</Paragraphs>
  <ScaleCrop>false</ScaleCrop>
  <Company/>
  <LinksUpToDate>false</LinksUpToDate>
  <CharactersWithSpaces>21789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Raducu Ciolpan</cp:lastModifiedBy>
  <cp:revision>10</cp:revision>
  <dcterms:created xsi:type="dcterms:W3CDTF">2025-01-29T09:54:00Z</dcterms:created>
  <dcterms:modified xsi:type="dcterms:W3CDTF">2025-02-26T09:09:00Z</dcterms:modified>
</cp:coreProperties>
</file>