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031B8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96FA1">
              <w:rPr>
                <w:b/>
                <w:color w:val="auto"/>
                <w:sz w:val="32"/>
              </w:rPr>
              <w:t>Oakleigh Simcock-Jones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A4DDE4" w:rsidR="005A1BA3" w:rsidRPr="001C5A1B" w:rsidRDefault="001C5A1B" w:rsidP="00340E9A">
            <w:pPr>
              <w:overflowPunct/>
              <w:autoSpaceDE/>
              <w:autoSpaceDN/>
              <w:adjustRightInd/>
              <w:ind w:right="237"/>
              <w:textAlignment w:val="auto"/>
              <w:rPr>
                <w:b/>
                <w:color w:val="auto"/>
                <w:sz w:val="32"/>
              </w:rPr>
            </w:pPr>
            <w:hyperlink r:id="rId12" w:history="1">
              <w:r w:rsidRPr="001C5A1B">
                <w:rPr>
                  <w:rStyle w:val="Hyperlink"/>
                  <w:b/>
                  <w:color w:val="auto"/>
                  <w:sz w:val="32"/>
                  <w:u w:val="none"/>
                </w:rPr>
                <w:t>2319844</w:t>
              </w:r>
            </w:hyperlink>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3">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4">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00D0E98" w14:textId="4E9AA99D" w:rsidR="0022735C" w:rsidRDefault="008356C9" w:rsidP="0022735C">
      <w:pPr>
        <w:ind w:right="237" w:firstLine="720"/>
        <w:jc w:val="both"/>
        <w:rPr>
          <w:sz w:val="24"/>
          <w:szCs w:val="24"/>
        </w:rPr>
      </w:pPr>
      <w:r>
        <w:rPr>
          <w:sz w:val="24"/>
          <w:szCs w:val="24"/>
        </w:rPr>
        <w:t>Ach</w:t>
      </w:r>
      <w:r w:rsidR="00380DCC">
        <w:rPr>
          <w:sz w:val="24"/>
          <w:szCs w:val="24"/>
        </w:rPr>
        <w:t xml:space="preserve">ieving </w:t>
      </w:r>
      <w:r w:rsidR="0022735C">
        <w:rPr>
          <w:sz w:val="24"/>
          <w:szCs w:val="24"/>
        </w:rPr>
        <w:t>I</w:t>
      </w:r>
      <w:r w:rsidR="00380DCC">
        <w:rPr>
          <w:sz w:val="24"/>
          <w:szCs w:val="24"/>
        </w:rPr>
        <w:t xml:space="preserve">ndependent </w:t>
      </w:r>
      <w:r w:rsidR="0022735C">
        <w:rPr>
          <w:sz w:val="24"/>
          <w:szCs w:val="24"/>
        </w:rPr>
        <w:t>P</w:t>
      </w:r>
      <w:r w:rsidR="00380DCC">
        <w:rPr>
          <w:sz w:val="24"/>
          <w:szCs w:val="24"/>
        </w:rPr>
        <w:t xml:space="preserve">atrol </w:t>
      </w:r>
      <w:r w:rsidR="0022735C">
        <w:rPr>
          <w:sz w:val="24"/>
          <w:szCs w:val="24"/>
        </w:rPr>
        <w:t>S</w:t>
      </w:r>
      <w:r w:rsidR="00380DCC">
        <w:rPr>
          <w:sz w:val="24"/>
          <w:szCs w:val="24"/>
        </w:rPr>
        <w:t xml:space="preserve">tatus </w:t>
      </w:r>
      <w:r w:rsidR="0022735C">
        <w:rPr>
          <w:sz w:val="24"/>
          <w:szCs w:val="24"/>
        </w:rPr>
        <w:t xml:space="preserve">(IPS) </w:t>
      </w:r>
      <w:r w:rsidR="00380DCC">
        <w:rPr>
          <w:sz w:val="24"/>
          <w:szCs w:val="24"/>
        </w:rPr>
        <w:t xml:space="preserve">within South Wales Police marks a significant professional </w:t>
      </w:r>
      <w:r w:rsidR="00301E16">
        <w:rPr>
          <w:sz w:val="24"/>
          <w:szCs w:val="24"/>
        </w:rPr>
        <w:t>milestone</w:t>
      </w:r>
      <w:r w:rsidR="0022735C">
        <w:rPr>
          <w:sz w:val="24"/>
          <w:szCs w:val="24"/>
        </w:rPr>
        <w:t>, symbolising an officer’s ability to operate autonomously and manage complex situations with confidence</w:t>
      </w:r>
      <w:r w:rsidR="00301E16">
        <w:rPr>
          <w:sz w:val="24"/>
          <w:szCs w:val="24"/>
        </w:rPr>
        <w:t xml:space="preserve">. </w:t>
      </w:r>
      <w:r w:rsidR="00367F5D">
        <w:rPr>
          <w:sz w:val="24"/>
          <w:szCs w:val="24"/>
        </w:rPr>
        <w:t xml:space="preserve">However, </w:t>
      </w:r>
      <w:r w:rsidR="0022735C">
        <w:rPr>
          <w:sz w:val="24"/>
          <w:szCs w:val="24"/>
        </w:rPr>
        <w:t>beyond operational competency, IPS also brings the challenge of navigating the broader organisational culture, which can significantly influence an officer’s wellbeing and resilience (Vickers et al., 2022). Organisational culture, defined as the shared values, beliefs, and practices that shape workplace behaviour (Schein, 2010), plays a crucial role in policing, where discipline, hierarchy, and emotional resilience are often emphasised (Miller &amp; Kline, 2008).</w:t>
      </w:r>
    </w:p>
    <w:p w14:paraId="7E98A49E" w14:textId="7E76AF06" w:rsidR="0022735C" w:rsidRDefault="0022735C" w:rsidP="0022735C">
      <w:pPr>
        <w:ind w:right="237" w:firstLine="720"/>
        <w:jc w:val="both"/>
        <w:rPr>
          <w:sz w:val="24"/>
          <w:szCs w:val="24"/>
        </w:rPr>
      </w:pPr>
      <w:r>
        <w:rPr>
          <w:sz w:val="24"/>
          <w:szCs w:val="24"/>
        </w:rPr>
        <w:t xml:space="preserve">This essay reflects on the impact of South Wales Police’s organisational culture on my wellbeing and resilience following IPS. It critically examines how cultural expectations influence mental health, the risks of conforming to dominant norms, and the challenges posed by organisational change. Finally, it explores strategies for maintaining resilience, including boundary-setting, peer support, mental health services, and continuous professional development. By balancing professional expectations with personal values, officers can navigate the complexities of policing while preserving their wellbeing and ethical integrity. </w:t>
      </w:r>
    </w:p>
    <w:p w14:paraId="6041340D" w14:textId="77777777" w:rsidR="00CA4633" w:rsidRDefault="00CA4633" w:rsidP="00340E9A">
      <w:pPr>
        <w:ind w:right="237"/>
        <w:jc w:val="both"/>
        <w:rPr>
          <w:sz w:val="24"/>
          <w:szCs w:val="24"/>
        </w:rPr>
      </w:pPr>
    </w:p>
    <w:p w14:paraId="4866CAB8" w14:textId="77777777" w:rsidR="006A477E" w:rsidRDefault="0022735C" w:rsidP="00340E9A">
      <w:pPr>
        <w:ind w:right="237"/>
        <w:jc w:val="both"/>
        <w:rPr>
          <w:sz w:val="24"/>
          <w:szCs w:val="24"/>
        </w:rPr>
      </w:pPr>
      <w:r>
        <w:rPr>
          <w:sz w:val="24"/>
          <w:szCs w:val="24"/>
        </w:rPr>
        <w:tab/>
      </w:r>
      <w:r w:rsidR="006A477E">
        <w:rPr>
          <w:sz w:val="24"/>
          <w:szCs w:val="24"/>
        </w:rPr>
        <w:t>Organisational culture shapes the work environment, expectations, and behaviours within policing, directly influencing officer wellbeing and resilience (Schein, 2010). In South Wales Police, the culture reflects both the broader UK policing framework and local operational demands, which can support or challenge an officer’s mental health and job satisfaction (Vickers et al., 2022). While strong leadership, camaraderie, and shared purpose foster resilience, aspects such as hierarchical structures, performance pressures, and emotional suppression can be detrimental over time (Miller &amp; Kline, 2008).</w:t>
      </w:r>
    </w:p>
    <w:p w14:paraId="1B4D33DB" w14:textId="410F53C1" w:rsidR="0022735C" w:rsidRDefault="006A477E" w:rsidP="00340E9A">
      <w:pPr>
        <w:ind w:right="237"/>
        <w:jc w:val="both"/>
        <w:rPr>
          <w:sz w:val="24"/>
          <w:szCs w:val="24"/>
        </w:rPr>
      </w:pPr>
      <w:r>
        <w:rPr>
          <w:sz w:val="24"/>
          <w:szCs w:val="24"/>
        </w:rPr>
        <w:tab/>
        <w:t xml:space="preserve">A defining feature of policing culture is the emphasis on discipline, accountability, and toughness. Officers frequently encounter traumatic events, high-risk decision-making, and public scrutiny, all of which contribute to psychological strain (Papazoglou &amp; Andersen, 2014). The expectation of resilience in adversity can discourage emotional expression, leading to internalised stress, anxiety and burnout (Skogstad et al., 2013). Within South Wales Police, there remains an </w:t>
      </w:r>
      <w:r>
        <w:rPr>
          <w:sz w:val="24"/>
          <w:szCs w:val="24"/>
        </w:rPr>
        <w:lastRenderedPageBreak/>
        <w:t>underlying stigma around discussing mental health, despite efforts to normalise support services (Harris et al., 2022). Consequently, officers may avoid seeking help due to fears of being perceived as weak or unfit for duty.</w:t>
      </w:r>
    </w:p>
    <w:p w14:paraId="7E3BC633" w14:textId="06EB215E" w:rsidR="006A477E" w:rsidRDefault="006A477E" w:rsidP="00340E9A">
      <w:pPr>
        <w:ind w:right="237"/>
        <w:jc w:val="both"/>
        <w:rPr>
          <w:sz w:val="24"/>
          <w:szCs w:val="24"/>
        </w:rPr>
      </w:pPr>
      <w:r>
        <w:rPr>
          <w:sz w:val="24"/>
          <w:szCs w:val="24"/>
        </w:rPr>
        <w:tab/>
        <w:t>The hierarchical nature of policing further influences wellbeing. While rank structures ensure operational efficiency, they can sometimes limit autonomy and innovation, particularly for newer officers (Van der Velden et al., 2010). Strict protocols and expectations may lead to frustration, particularly when officers feel constrained by bureaucratic processes or a resistance to change (Baker &amp; Gilmour, 2013). This tension can result in disengagement, stress and reduced job satisfaction, particularly in demanding roles that require adaptability.</w:t>
      </w:r>
    </w:p>
    <w:p w14:paraId="14398815" w14:textId="0E9B628D" w:rsidR="006A477E" w:rsidRDefault="006A477E" w:rsidP="00340E9A">
      <w:pPr>
        <w:ind w:right="237"/>
        <w:jc w:val="both"/>
        <w:rPr>
          <w:sz w:val="24"/>
          <w:szCs w:val="24"/>
        </w:rPr>
      </w:pPr>
      <w:r>
        <w:rPr>
          <w:sz w:val="24"/>
          <w:szCs w:val="24"/>
        </w:rPr>
        <w:tab/>
        <w:t>Despite these challenges, organisational culture is not static. Over the years, South Wales Police has introduced wellbeing initiatives, including mental health training, peer support programmes, and resilience workshops. While these efforts aim to shift cultural attitudes, some traditional expectations – such as long working hours and emotional suppression – remain deeply ingrained (Harris et al., 2022). The extent to which these new initiatives genuinely transform workplace culture depends on officer engagement and leadership commitment.</w:t>
      </w:r>
    </w:p>
    <w:p w14:paraId="4CB612FF" w14:textId="3E5D13EE" w:rsidR="006A477E" w:rsidRDefault="006A477E" w:rsidP="00340E9A">
      <w:pPr>
        <w:ind w:right="237"/>
        <w:jc w:val="both"/>
        <w:rPr>
          <w:sz w:val="24"/>
          <w:szCs w:val="24"/>
        </w:rPr>
      </w:pPr>
      <w:r>
        <w:rPr>
          <w:sz w:val="24"/>
          <w:szCs w:val="24"/>
        </w:rPr>
        <w:tab/>
        <w:t xml:space="preserve">Therefore, while organisational culture plays a crucial role in shaping the experiences of officers, its impact on wellbeing is complex. The expectation of toughness and discipline can provide a sense of purpose but also create barriers to emotional support and work-life balance. Recognising these influences is essential for officers striving to navigate policing while preserving their mental health and resilience. </w:t>
      </w:r>
    </w:p>
    <w:p w14:paraId="2BF6479B" w14:textId="77777777" w:rsidR="00144159" w:rsidRDefault="00144159" w:rsidP="00340E9A">
      <w:pPr>
        <w:ind w:right="237"/>
        <w:jc w:val="both"/>
        <w:rPr>
          <w:sz w:val="24"/>
          <w:szCs w:val="24"/>
        </w:rPr>
      </w:pPr>
    </w:p>
    <w:p w14:paraId="4381DD27" w14:textId="77777777" w:rsidR="00144159" w:rsidRDefault="00144159" w:rsidP="00144159">
      <w:pPr>
        <w:jc w:val="both"/>
      </w:pPr>
      <w:r>
        <w:rPr>
          <w:sz w:val="24"/>
          <w:szCs w:val="24"/>
        </w:rPr>
        <w:tab/>
        <w:t>While conforming to organisational culture can foster team cohesion, discipline, and operational efficiency, it also carries risks, particularly in policing, where cultural norms can sometimes conflict with personal values and wellbeing (Miller &amp; Kline, 2008). Officers may feel pressures to internalise dominant behaviours and attitudes, even when these pose long-term risks to mental health or ethical decision-making (Papazoglou &amp; Andersen, 2014).</w:t>
      </w:r>
      <w:r w:rsidRPr="00144159">
        <w:t xml:space="preserve"> </w:t>
      </w:r>
    </w:p>
    <w:p w14:paraId="2A326BA1" w14:textId="08691CC8" w:rsidR="00144159" w:rsidRDefault="00144159" w:rsidP="00144159">
      <w:pPr>
        <w:ind w:firstLine="720"/>
        <w:jc w:val="both"/>
        <w:rPr>
          <w:sz w:val="24"/>
          <w:szCs w:val="24"/>
        </w:rPr>
      </w:pPr>
      <w:r w:rsidRPr="00144159">
        <w:rPr>
          <w:sz w:val="24"/>
          <w:szCs w:val="24"/>
        </w:rPr>
        <w:t xml:space="preserve">One key risk is the suppression of emotions and mental health concerns. The traditional policing ethos often promotes stoicism and emotional detachment, which, while useful in high-stress situations, can discourage officers from processing trauma or seeking psychological support (Skogstad et al., 2013). This pressure to appear mentally resilient </w:t>
      </w:r>
      <w:proofErr w:type="gramStart"/>
      <w:r w:rsidRPr="00144159">
        <w:rPr>
          <w:sz w:val="24"/>
          <w:szCs w:val="24"/>
        </w:rPr>
        <w:t>at all times</w:t>
      </w:r>
      <w:proofErr w:type="gramEnd"/>
      <w:r w:rsidRPr="00144159">
        <w:rPr>
          <w:sz w:val="24"/>
          <w:szCs w:val="24"/>
        </w:rPr>
        <w:t xml:space="preserve"> may lead to cumulative stress, burnout, or even post-traumatic stress disorder (PTSD) (Harris et al., 2022). Research suggests that officers who adopt this "toughness" mindset without adequate emotional outlets are more susceptible to long-term mental health deterioration (Gershon et al., 2008).</w:t>
      </w:r>
    </w:p>
    <w:p w14:paraId="25BC01AC" w14:textId="77777777" w:rsidR="00144159" w:rsidRDefault="00144159" w:rsidP="00144159">
      <w:pPr>
        <w:ind w:firstLine="720"/>
        <w:jc w:val="both"/>
        <w:rPr>
          <w:sz w:val="24"/>
          <w:szCs w:val="24"/>
        </w:rPr>
      </w:pPr>
      <w:r w:rsidRPr="00144159">
        <w:rPr>
          <w:sz w:val="24"/>
          <w:szCs w:val="24"/>
        </w:rPr>
        <w:t>Another risk is the tendency to overwork and neglect personal wellbeing. Within South Wales Police, as in many forces, there is often an unspoken expectation to work long hours, take on additional responsibilities, and prioritize career progression over personal life (McCauley et al., 2016). While ambition is a positive driver, unchecked work commitments can lead to chronic fatigue, strained personal relationships, and reduced job satisfaction. Officers who conform to these expectations without setting boundaries may ultimately experience burnout, reducing both their effectiveness in duty and overall wellbeing (Andersen &amp; Papazoglou, 2022).</w:t>
      </w:r>
    </w:p>
    <w:p w14:paraId="5D7DCA61" w14:textId="6A77523C" w:rsidR="00144159" w:rsidRDefault="00144159" w:rsidP="00144159">
      <w:pPr>
        <w:ind w:firstLine="720"/>
        <w:jc w:val="both"/>
        <w:rPr>
          <w:sz w:val="24"/>
          <w:szCs w:val="24"/>
        </w:rPr>
      </w:pPr>
      <w:r>
        <w:rPr>
          <w:sz w:val="24"/>
          <w:szCs w:val="24"/>
        </w:rPr>
        <w:t xml:space="preserve">Additionally, conformity can hinder critical thinking and ethical decision making. A strong “us vs. them” mentality, reinforced in certain policing subcultures, may discourage officers from challenging problematic behaviours, reporting misconduct, or advocating for change (Miller &amp; Kline, 2008). Officers who fear ostracization or career </w:t>
      </w:r>
      <w:r>
        <w:rPr>
          <w:sz w:val="24"/>
          <w:szCs w:val="24"/>
        </w:rPr>
        <w:lastRenderedPageBreak/>
        <w:t xml:space="preserve">setbacks may choose to remain silent rather than question practices that conflict with their personal values (Baker &amp; Gilmour, 2013). This can contribute to a resistance to reform, making it harder for policing organisations to evolve in response to societal expectations. </w:t>
      </w:r>
    </w:p>
    <w:p w14:paraId="0FCCDE25" w14:textId="2599CD05" w:rsidR="00144159" w:rsidRDefault="00144159" w:rsidP="00144159">
      <w:pPr>
        <w:ind w:firstLine="720"/>
        <w:jc w:val="both"/>
        <w:rPr>
          <w:sz w:val="24"/>
          <w:szCs w:val="24"/>
        </w:rPr>
      </w:pPr>
      <w:r>
        <w:rPr>
          <w:sz w:val="24"/>
          <w:szCs w:val="24"/>
        </w:rPr>
        <w:t>While conforming to certain aspects of organisational culture is necessary for cohesion and operational effectiveness, it is crucial to recognise when conformity becomes detrimental. Officers must find a balance between integrating into the professional environment and preserving their personal values, ethical standards, and mental health. This requires self-awareness, active reflection, and engagement with available support systems.</w:t>
      </w:r>
    </w:p>
    <w:p w14:paraId="752773E5" w14:textId="77777777" w:rsidR="00144159" w:rsidRDefault="00144159" w:rsidP="00144159">
      <w:pPr>
        <w:ind w:firstLine="720"/>
        <w:jc w:val="both"/>
        <w:rPr>
          <w:sz w:val="24"/>
          <w:szCs w:val="24"/>
        </w:rPr>
      </w:pPr>
    </w:p>
    <w:p w14:paraId="5E279631" w14:textId="27D19429" w:rsidR="00144159" w:rsidRDefault="00144159" w:rsidP="00144159">
      <w:pPr>
        <w:ind w:firstLine="720"/>
        <w:jc w:val="both"/>
        <w:rPr>
          <w:sz w:val="24"/>
          <w:szCs w:val="24"/>
        </w:rPr>
      </w:pPr>
      <w:r>
        <w:rPr>
          <w:sz w:val="24"/>
          <w:szCs w:val="24"/>
        </w:rPr>
        <w:t>Given the pressures associated with policing, officers must adopt proactive strategies to safeguard their mental health and resilience. Maintaining emotional balance, professional integrity, and personal wellbeing requires a combination of practical coping mechanisms, external support systems, and a commitment to personal growth (Papazoglou &amp; Andersen, 2014). In navigating the challenges within South Wales Police, I have developed several key approaches to preserve my resilience while integrating into the organisational culture.</w:t>
      </w:r>
    </w:p>
    <w:p w14:paraId="29DCD744" w14:textId="7BE95DFF" w:rsidR="00144159" w:rsidRDefault="00144159" w:rsidP="00144159">
      <w:pPr>
        <w:ind w:firstLine="720"/>
        <w:jc w:val="both"/>
        <w:rPr>
          <w:sz w:val="24"/>
          <w:szCs w:val="24"/>
        </w:rPr>
      </w:pPr>
      <w:r>
        <w:rPr>
          <w:sz w:val="24"/>
          <w:szCs w:val="24"/>
        </w:rPr>
        <w:t>One of the most effective ways to mitigate stress and prevent burnout is through clear work-life boundaries. Policing often demands long hours and unpredictable shifts, but I have learned the importance of protecting personal time by taking rest days seriously and ensuring that time off is used for genuine recovery, avoiding excessive overtime</w:t>
      </w:r>
      <w:r w:rsidR="00D04364">
        <w:rPr>
          <w:sz w:val="24"/>
          <w:szCs w:val="24"/>
        </w:rPr>
        <w:t xml:space="preserve"> unless required, and engaging in hobbies outside of policing, which helps me to maintain a sense of identity beyond work (McCauley et al., 2016).</w:t>
      </w:r>
    </w:p>
    <w:p w14:paraId="0E808357" w14:textId="34F0E237" w:rsidR="00D04364" w:rsidRDefault="00D04364" w:rsidP="00144159">
      <w:pPr>
        <w:ind w:firstLine="720"/>
        <w:jc w:val="both"/>
        <w:rPr>
          <w:sz w:val="24"/>
          <w:szCs w:val="24"/>
        </w:rPr>
      </w:pPr>
      <w:r>
        <w:rPr>
          <w:sz w:val="24"/>
          <w:szCs w:val="24"/>
        </w:rPr>
        <w:t xml:space="preserve">A strong support network is also essential for resilience. Within South Wales Police, I actively engage with colleagues and mentors who offer guidance, share experiences, and provide reassurance. Research highlights that peer support programmes can significantly reduce stress and feelings of isolation (Gershon et al., 2008). By regularly discussing challenges with trusted colleagues, it allows me to process difficult experiences in a safe environment, whilst gaining insight from those who have had similar experiences (Vickers et al., 2022). </w:t>
      </w:r>
    </w:p>
    <w:p w14:paraId="635698FF" w14:textId="77777777" w:rsidR="00B27E4B" w:rsidRDefault="00B27E4B" w:rsidP="00B27E4B">
      <w:pPr>
        <w:ind w:firstLine="720"/>
        <w:jc w:val="both"/>
        <w:rPr>
          <w:sz w:val="24"/>
          <w:szCs w:val="24"/>
        </w:rPr>
      </w:pPr>
    </w:p>
    <w:p w14:paraId="66C57C0B" w14:textId="07CA3163" w:rsidR="00B27E4B" w:rsidRDefault="00B27E4B" w:rsidP="008546F5">
      <w:pPr>
        <w:ind w:firstLine="720"/>
        <w:jc w:val="both"/>
        <w:rPr>
          <w:sz w:val="24"/>
          <w:szCs w:val="24"/>
        </w:rPr>
      </w:pPr>
      <w:r>
        <w:rPr>
          <w:sz w:val="24"/>
          <w:szCs w:val="24"/>
        </w:rPr>
        <w:t xml:space="preserve">The organisational culture of South Wales Police significantly influences officer wellbeing and resilience, shaping expectations, behaviours, and coping mechanisms. </w:t>
      </w:r>
    </w:p>
    <w:p w14:paraId="763AC339" w14:textId="1EF5E786" w:rsidR="00B27E4B" w:rsidRPr="00144159" w:rsidRDefault="00B27E4B" w:rsidP="00B27E4B">
      <w:pPr>
        <w:ind w:firstLine="720"/>
        <w:jc w:val="both"/>
        <w:rPr>
          <w:sz w:val="24"/>
          <w:szCs w:val="24"/>
        </w:rPr>
      </w:pPr>
      <w:r>
        <w:rPr>
          <w:sz w:val="24"/>
          <w:szCs w:val="24"/>
        </w:rPr>
        <w:t>By implementing practical strategies – including setting boundaries, seeking peer support, accessing mental health services, and engaging in professional development – I have been able to maintain resilience in the face of occupational stressors. Policing is an evolving profession, and fostering a supportive, adaptable culture is crucial for ensuring that officers remain mentally well, ethically grounded, and effective in their roles. As I continue my career beyond</w:t>
      </w:r>
      <w:r w:rsidR="008546F5">
        <w:rPr>
          <w:sz w:val="24"/>
          <w:szCs w:val="24"/>
        </w:rPr>
        <w:t xml:space="preserve"> Independent Patrol Status, I remain committed to prioritising my wellbeing while upholding the core values of policing.</w:t>
      </w:r>
    </w:p>
    <w:p w14:paraId="7B24103E" w14:textId="77777777" w:rsidR="00144159" w:rsidRPr="00144159" w:rsidRDefault="00144159" w:rsidP="00144159">
      <w:pPr>
        <w:ind w:firstLine="720"/>
        <w:jc w:val="both"/>
        <w:rPr>
          <w:sz w:val="24"/>
          <w:szCs w:val="24"/>
        </w:rPr>
      </w:pPr>
    </w:p>
    <w:p w14:paraId="21534D76" w14:textId="4C2BB18E" w:rsidR="00144159" w:rsidRDefault="008546F5" w:rsidP="00340E9A">
      <w:pPr>
        <w:ind w:right="237"/>
        <w:jc w:val="both"/>
        <w:rPr>
          <w:sz w:val="24"/>
          <w:szCs w:val="24"/>
        </w:rPr>
      </w:pPr>
      <w:r w:rsidRPr="008546F5">
        <w:rPr>
          <w:b/>
          <w:bCs/>
          <w:sz w:val="24"/>
          <w:szCs w:val="24"/>
        </w:rPr>
        <w:t>Word count</w:t>
      </w:r>
      <w:r>
        <w:rPr>
          <w:sz w:val="24"/>
          <w:szCs w:val="24"/>
        </w:rPr>
        <w:t>: 1256</w:t>
      </w:r>
    </w:p>
    <w:p w14:paraId="408608EC" w14:textId="77777777" w:rsidR="0022735C" w:rsidRDefault="0022735C" w:rsidP="00340E9A">
      <w:pPr>
        <w:ind w:right="237"/>
        <w:jc w:val="both"/>
        <w:rPr>
          <w:sz w:val="24"/>
          <w:szCs w:val="24"/>
        </w:rPr>
      </w:pPr>
    </w:p>
    <w:p w14:paraId="3C396CA2" w14:textId="77777777" w:rsidR="0001185D" w:rsidRDefault="0001185D" w:rsidP="00340E9A">
      <w:pPr>
        <w:ind w:right="237"/>
        <w:jc w:val="both"/>
        <w:rPr>
          <w:sz w:val="24"/>
          <w:szCs w:val="24"/>
        </w:rPr>
      </w:pPr>
    </w:p>
    <w:p w14:paraId="0CE5ED8F" w14:textId="77777777" w:rsidR="008A7CD0" w:rsidRDefault="008A7CD0" w:rsidP="00340E9A">
      <w:pPr>
        <w:ind w:right="237"/>
        <w:jc w:val="both"/>
        <w:rPr>
          <w:sz w:val="24"/>
          <w:szCs w:val="24"/>
        </w:rPr>
      </w:pPr>
    </w:p>
    <w:p w14:paraId="721B6A13" w14:textId="77777777" w:rsidR="00F80C6B" w:rsidRDefault="00F80C6B" w:rsidP="00340E9A">
      <w:pPr>
        <w:ind w:right="237"/>
        <w:jc w:val="both"/>
        <w:rPr>
          <w:sz w:val="24"/>
          <w:szCs w:val="24"/>
        </w:rPr>
      </w:pPr>
    </w:p>
    <w:p w14:paraId="4C201C0E" w14:textId="77777777" w:rsidR="00F53E78" w:rsidRDefault="00F53E78" w:rsidP="00340E9A">
      <w:pPr>
        <w:ind w:right="237"/>
        <w:jc w:val="both"/>
        <w:rPr>
          <w:sz w:val="24"/>
          <w:szCs w:val="24"/>
        </w:rPr>
      </w:pPr>
    </w:p>
    <w:p w14:paraId="07D91FD7" w14:textId="77777777" w:rsidR="00F53E78" w:rsidRDefault="00F53E78" w:rsidP="00340E9A">
      <w:pPr>
        <w:ind w:right="237"/>
        <w:jc w:val="both"/>
        <w:rPr>
          <w:sz w:val="24"/>
          <w:szCs w:val="24"/>
        </w:rPr>
      </w:pPr>
    </w:p>
    <w:p w14:paraId="05F27A82" w14:textId="77777777" w:rsidR="003018CB" w:rsidRPr="00E8394C" w:rsidRDefault="003018CB" w:rsidP="003018CB">
      <w:pPr>
        <w:rPr>
          <w:b/>
          <w:sz w:val="24"/>
          <w:szCs w:val="24"/>
        </w:rPr>
      </w:pPr>
      <w:r w:rsidRPr="64D01D80">
        <w:rPr>
          <w:b/>
          <w:bCs/>
          <w:sz w:val="24"/>
          <w:szCs w:val="24"/>
        </w:rPr>
        <w:lastRenderedPageBreak/>
        <w:t>Bibliography</w:t>
      </w:r>
    </w:p>
    <w:p w14:paraId="33D4CE13" w14:textId="77777777" w:rsidR="003018CB" w:rsidRDefault="003018CB" w:rsidP="00340E9A">
      <w:pPr>
        <w:ind w:right="237"/>
        <w:jc w:val="both"/>
        <w:rPr>
          <w:sz w:val="24"/>
          <w:szCs w:val="24"/>
        </w:rPr>
      </w:pPr>
    </w:p>
    <w:p w14:paraId="27D2629F" w14:textId="77777777" w:rsidR="008546F5" w:rsidRPr="008546F5" w:rsidRDefault="008546F5" w:rsidP="008546F5">
      <w:pPr>
        <w:spacing w:before="240"/>
        <w:ind w:left="720" w:right="238" w:hanging="720"/>
        <w:rPr>
          <w:sz w:val="24"/>
          <w:szCs w:val="24"/>
        </w:rPr>
      </w:pPr>
      <w:r w:rsidRPr="008546F5">
        <w:rPr>
          <w:sz w:val="24"/>
          <w:szCs w:val="24"/>
        </w:rPr>
        <w:t>Andersen, S.L. and Papazoglou, K. (2022) ‘Resilience in policing: The role of officer wellbeing programs’, Journal of Police and Criminal Psychology, 37(2), pp. 135–147.</w:t>
      </w:r>
    </w:p>
    <w:p w14:paraId="4D1E3731" w14:textId="77777777" w:rsidR="008546F5" w:rsidRPr="008546F5" w:rsidRDefault="008546F5" w:rsidP="008546F5">
      <w:pPr>
        <w:spacing w:before="240"/>
        <w:ind w:left="720" w:right="238" w:hanging="720"/>
        <w:rPr>
          <w:sz w:val="24"/>
          <w:szCs w:val="24"/>
        </w:rPr>
      </w:pPr>
      <w:r w:rsidRPr="008546F5">
        <w:rPr>
          <w:sz w:val="24"/>
          <w:szCs w:val="24"/>
        </w:rPr>
        <w:t>Baker, A. and Gilmour, H. (2013) ‘Managing organisational change in policing: Challenges and strategies’, Policing: A Journal of Policy and Practice, 7(4), pp. 379–389.</w:t>
      </w:r>
    </w:p>
    <w:p w14:paraId="1B382CF1" w14:textId="77777777" w:rsidR="008546F5" w:rsidRPr="008546F5" w:rsidRDefault="008546F5" w:rsidP="008546F5">
      <w:pPr>
        <w:spacing w:before="240"/>
        <w:ind w:left="720" w:right="238" w:hanging="720"/>
        <w:rPr>
          <w:sz w:val="24"/>
          <w:szCs w:val="24"/>
        </w:rPr>
      </w:pPr>
      <w:r w:rsidRPr="008546F5">
        <w:rPr>
          <w:sz w:val="24"/>
          <w:szCs w:val="24"/>
        </w:rPr>
        <w:t xml:space="preserve">Gershon, R.R., Barocas, B., Canton, A.N., Li, X. and </w:t>
      </w:r>
      <w:proofErr w:type="spellStart"/>
      <w:r w:rsidRPr="008546F5">
        <w:rPr>
          <w:sz w:val="24"/>
          <w:szCs w:val="24"/>
        </w:rPr>
        <w:t>Vlahov</w:t>
      </w:r>
      <w:proofErr w:type="spellEnd"/>
      <w:r w:rsidRPr="008546F5">
        <w:rPr>
          <w:sz w:val="24"/>
          <w:szCs w:val="24"/>
        </w:rPr>
        <w:t>, D. (2008) ‘Mental health symptoms and stressors among police officers: A comparison of post-traumatic stress disorder and depression’, Journal of Occupational and Environmental Medicine, 50(6), pp. 619–623.</w:t>
      </w:r>
    </w:p>
    <w:p w14:paraId="5520E0BB" w14:textId="77777777" w:rsidR="008546F5" w:rsidRPr="008546F5" w:rsidRDefault="008546F5" w:rsidP="008546F5">
      <w:pPr>
        <w:spacing w:before="240"/>
        <w:ind w:left="720" w:right="238" w:hanging="720"/>
        <w:rPr>
          <w:sz w:val="24"/>
          <w:szCs w:val="24"/>
        </w:rPr>
      </w:pPr>
      <w:r w:rsidRPr="008546F5">
        <w:rPr>
          <w:sz w:val="24"/>
          <w:szCs w:val="24"/>
        </w:rPr>
        <w:t>Harris, R.R., Anderson, C. and O’Connor, P. (2022) ‘Policing and mental health: A study on officer wellbeing in South Wales Police’, Journal of Police Studies, 58(3), pp. 118–130.</w:t>
      </w:r>
    </w:p>
    <w:p w14:paraId="695A5533" w14:textId="77777777" w:rsidR="008546F5" w:rsidRPr="008546F5" w:rsidRDefault="008546F5" w:rsidP="008546F5">
      <w:pPr>
        <w:spacing w:before="240"/>
        <w:ind w:left="720" w:right="238" w:hanging="720"/>
        <w:rPr>
          <w:sz w:val="24"/>
          <w:szCs w:val="24"/>
        </w:rPr>
      </w:pPr>
      <w:r w:rsidRPr="008546F5">
        <w:rPr>
          <w:sz w:val="24"/>
          <w:szCs w:val="24"/>
        </w:rPr>
        <w:t>McCauley, C., Devine, M. and McHugh, A. (2016) ‘Policing and resilience: Navigating organisational culture in a changing environment’, International Journal of Police Science &amp; Management, 18(1), pp. 64–73.</w:t>
      </w:r>
    </w:p>
    <w:p w14:paraId="49837B9D" w14:textId="77777777" w:rsidR="008546F5" w:rsidRPr="008546F5" w:rsidRDefault="008546F5" w:rsidP="008546F5">
      <w:pPr>
        <w:spacing w:before="240"/>
        <w:ind w:left="720" w:right="238" w:hanging="720"/>
        <w:rPr>
          <w:sz w:val="24"/>
          <w:szCs w:val="24"/>
        </w:rPr>
      </w:pPr>
      <w:r w:rsidRPr="008546F5">
        <w:rPr>
          <w:sz w:val="24"/>
          <w:szCs w:val="24"/>
        </w:rPr>
        <w:t>Miller, J. and Kane, A. (2008) ‘Police organisational culture and its impact on officer wellbeing’, Policing and Society, 18(3), pp. 226–237.</w:t>
      </w:r>
    </w:p>
    <w:p w14:paraId="542A1A10" w14:textId="77777777" w:rsidR="008546F5" w:rsidRPr="008546F5" w:rsidRDefault="008546F5" w:rsidP="008546F5">
      <w:pPr>
        <w:spacing w:before="240"/>
        <w:ind w:left="720" w:right="238" w:hanging="720"/>
        <w:rPr>
          <w:sz w:val="24"/>
          <w:szCs w:val="24"/>
        </w:rPr>
      </w:pPr>
      <w:r w:rsidRPr="008546F5">
        <w:rPr>
          <w:sz w:val="24"/>
          <w:szCs w:val="24"/>
        </w:rPr>
        <w:t>Papazoglou, K. and Andersen, S.L. (2014) ‘Police officer mental health: An overview of prevalence, challenges, and support strategies’, International Journal of Law and Psychiatry, 37(5), pp. 493–500.</w:t>
      </w:r>
    </w:p>
    <w:p w14:paraId="6E36C475" w14:textId="77777777" w:rsidR="008546F5" w:rsidRPr="008546F5" w:rsidRDefault="008546F5" w:rsidP="008546F5">
      <w:pPr>
        <w:spacing w:before="240"/>
        <w:ind w:left="720" w:right="238" w:hanging="720"/>
        <w:rPr>
          <w:sz w:val="24"/>
          <w:szCs w:val="24"/>
        </w:rPr>
      </w:pPr>
      <w:r w:rsidRPr="008546F5">
        <w:rPr>
          <w:sz w:val="24"/>
          <w:szCs w:val="24"/>
        </w:rPr>
        <w:t xml:space="preserve">Skogstad, M., Hetland, J. and </w:t>
      </w:r>
      <w:proofErr w:type="spellStart"/>
      <w:r w:rsidRPr="008546F5">
        <w:rPr>
          <w:sz w:val="24"/>
          <w:szCs w:val="24"/>
        </w:rPr>
        <w:t>Torersen</w:t>
      </w:r>
      <w:proofErr w:type="spellEnd"/>
      <w:r w:rsidRPr="008546F5">
        <w:rPr>
          <w:sz w:val="24"/>
          <w:szCs w:val="24"/>
        </w:rPr>
        <w:t>, J. (2013) ‘The impact of organisational culture on police officers’ mental health: A study of Norwegian police officers’, Journal of Occupational Health Psychology, 18(4), pp. 379–392.</w:t>
      </w:r>
    </w:p>
    <w:p w14:paraId="461BA4E1" w14:textId="77777777" w:rsidR="008546F5" w:rsidRPr="008546F5" w:rsidRDefault="008546F5" w:rsidP="008546F5">
      <w:pPr>
        <w:spacing w:before="240"/>
        <w:ind w:left="720" w:right="238" w:hanging="720"/>
        <w:rPr>
          <w:sz w:val="24"/>
          <w:szCs w:val="24"/>
        </w:rPr>
      </w:pPr>
      <w:r w:rsidRPr="008546F5">
        <w:rPr>
          <w:sz w:val="24"/>
          <w:szCs w:val="24"/>
        </w:rPr>
        <w:t xml:space="preserve">Van der Velden, P.G., </w:t>
      </w:r>
      <w:proofErr w:type="spellStart"/>
      <w:r w:rsidRPr="008546F5">
        <w:rPr>
          <w:sz w:val="24"/>
          <w:szCs w:val="24"/>
        </w:rPr>
        <w:t>Grievink</w:t>
      </w:r>
      <w:proofErr w:type="spellEnd"/>
      <w:r w:rsidRPr="008546F5">
        <w:rPr>
          <w:sz w:val="24"/>
          <w:szCs w:val="24"/>
        </w:rPr>
        <w:t xml:space="preserve">, L. and </w:t>
      </w:r>
      <w:proofErr w:type="spellStart"/>
      <w:r w:rsidRPr="008546F5">
        <w:rPr>
          <w:sz w:val="24"/>
          <w:szCs w:val="24"/>
        </w:rPr>
        <w:t>Yzermans</w:t>
      </w:r>
      <w:proofErr w:type="spellEnd"/>
      <w:r w:rsidRPr="008546F5">
        <w:rPr>
          <w:sz w:val="24"/>
          <w:szCs w:val="24"/>
        </w:rPr>
        <w:t>, J. (2010) ‘Mental health consequences of policing: The role of stress and organisational culture in police wellbeing’, Occupation Wellbeing, 60(5), pp. 351–358.</w:t>
      </w:r>
    </w:p>
    <w:p w14:paraId="670E1FB9" w14:textId="2D9126A1" w:rsidR="00FF7784" w:rsidRPr="00270EEB" w:rsidRDefault="008546F5" w:rsidP="008546F5">
      <w:pPr>
        <w:spacing w:before="240"/>
        <w:ind w:left="720" w:right="238" w:hanging="720"/>
        <w:jc w:val="both"/>
        <w:rPr>
          <w:sz w:val="24"/>
          <w:szCs w:val="24"/>
        </w:rPr>
      </w:pPr>
      <w:r w:rsidRPr="008546F5">
        <w:rPr>
          <w:sz w:val="24"/>
          <w:szCs w:val="24"/>
        </w:rPr>
        <w:t>Vickers, D. et al. (2022) ‘Policing and wellbeing: The impact of organisational culture and change on officer mental health’, International Journal of Police Science &amp; Management, 24(2), pp. 94–108.</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6F464CB" w14:textId="6FABC90E" w:rsidR="00662A38" w:rsidRDefault="008546F5" w:rsidP="008546F5">
      <w:pPr>
        <w:ind w:firstLine="720"/>
        <w:rPr>
          <w:sz w:val="24"/>
          <w:szCs w:val="24"/>
        </w:rPr>
      </w:pPr>
      <w:r>
        <w:rPr>
          <w:sz w:val="24"/>
          <w:szCs w:val="24"/>
        </w:rPr>
        <w:t>Police</w:t>
      </w:r>
      <w:r w:rsidR="00723030" w:rsidRPr="00A4358D">
        <w:rPr>
          <w:sz w:val="24"/>
          <w:szCs w:val="24"/>
        </w:rPr>
        <w:t xml:space="preserve"> </w:t>
      </w:r>
      <w:r>
        <w:rPr>
          <w:sz w:val="24"/>
          <w:szCs w:val="24"/>
        </w:rPr>
        <w:t xml:space="preserve">officers </w:t>
      </w:r>
      <w:r w:rsidR="00723030" w:rsidRPr="00A4358D">
        <w:rPr>
          <w:sz w:val="24"/>
          <w:szCs w:val="24"/>
        </w:rPr>
        <w:t xml:space="preserve">frequently </w:t>
      </w:r>
      <w:r>
        <w:rPr>
          <w:sz w:val="24"/>
          <w:szCs w:val="24"/>
        </w:rPr>
        <w:t>face complex and unpredictable situations requiring rapid decision making under</w:t>
      </w:r>
      <w:r w:rsidR="00723030" w:rsidRPr="00A4358D">
        <w:rPr>
          <w:sz w:val="24"/>
          <w:szCs w:val="24"/>
        </w:rPr>
        <w:t xml:space="preserve"> legal, ethical, and </w:t>
      </w:r>
      <w:r>
        <w:rPr>
          <w:sz w:val="24"/>
          <w:szCs w:val="24"/>
        </w:rPr>
        <w:t>operational pressures</w:t>
      </w:r>
      <w:r w:rsidR="00723030" w:rsidRPr="00A4358D">
        <w:rPr>
          <w:sz w:val="24"/>
          <w:szCs w:val="24"/>
        </w:rPr>
        <w:t xml:space="preserve">. These decisions often </w:t>
      </w:r>
      <w:r>
        <w:rPr>
          <w:sz w:val="24"/>
          <w:szCs w:val="24"/>
        </w:rPr>
        <w:t>involve balancing public protection, individual rights, and the broader social contexts</w:t>
      </w:r>
      <w:r w:rsidR="00723030" w:rsidRPr="00A4358D">
        <w:rPr>
          <w:sz w:val="24"/>
          <w:szCs w:val="24"/>
        </w:rPr>
        <w:t xml:space="preserve">. This essay will </w:t>
      </w:r>
      <w:r w:rsidR="00662A38">
        <w:rPr>
          <w:sz w:val="24"/>
          <w:szCs w:val="24"/>
        </w:rPr>
        <w:t>critically evaluate</w:t>
      </w:r>
      <w:r w:rsidR="00723030" w:rsidRPr="00A4358D">
        <w:rPr>
          <w:sz w:val="24"/>
          <w:szCs w:val="24"/>
        </w:rPr>
        <w:t xml:space="preserve"> an incident in which a male </w:t>
      </w:r>
      <w:r w:rsidR="00662A38">
        <w:rPr>
          <w:sz w:val="24"/>
          <w:szCs w:val="24"/>
        </w:rPr>
        <w:t>breached</w:t>
      </w:r>
      <w:r w:rsidR="00723030" w:rsidRPr="00A4358D">
        <w:rPr>
          <w:sz w:val="24"/>
          <w:szCs w:val="24"/>
        </w:rPr>
        <w:t xml:space="preserve"> a restraining order</w:t>
      </w:r>
      <w:r w:rsidR="00662A38">
        <w:rPr>
          <w:sz w:val="24"/>
          <w:szCs w:val="24"/>
        </w:rPr>
        <w:t>, while the protected</w:t>
      </w:r>
      <w:r w:rsidR="00723030" w:rsidRPr="00A4358D">
        <w:rPr>
          <w:sz w:val="24"/>
          <w:szCs w:val="24"/>
        </w:rPr>
        <w:t xml:space="preserve"> party</w:t>
      </w:r>
      <w:r w:rsidR="00662A38">
        <w:rPr>
          <w:sz w:val="24"/>
          <w:szCs w:val="24"/>
        </w:rPr>
        <w:t>, a female,</w:t>
      </w:r>
      <w:r w:rsidR="00723030" w:rsidRPr="00A4358D">
        <w:rPr>
          <w:sz w:val="24"/>
          <w:szCs w:val="24"/>
        </w:rPr>
        <w:t xml:space="preserve"> stated she no longer wished for </w:t>
      </w:r>
      <w:r w:rsidR="00662A38">
        <w:rPr>
          <w:sz w:val="24"/>
          <w:szCs w:val="24"/>
        </w:rPr>
        <w:t>it to be enforced.</w:t>
      </w:r>
      <w:r w:rsidR="00723030" w:rsidRPr="00A4358D">
        <w:rPr>
          <w:sz w:val="24"/>
          <w:szCs w:val="24"/>
        </w:rPr>
        <w:t xml:space="preserve"> </w:t>
      </w:r>
      <w:r w:rsidR="00662A38">
        <w:rPr>
          <w:sz w:val="24"/>
          <w:szCs w:val="24"/>
        </w:rPr>
        <w:t>Using</w:t>
      </w:r>
      <w:r w:rsidR="00723030" w:rsidRPr="00A4358D">
        <w:rPr>
          <w:sz w:val="24"/>
          <w:szCs w:val="24"/>
        </w:rPr>
        <w:t xml:space="preserve"> the National Decision Model (NDM)</w:t>
      </w:r>
      <w:r w:rsidR="00662A38">
        <w:rPr>
          <w:sz w:val="24"/>
          <w:szCs w:val="24"/>
        </w:rPr>
        <w:t xml:space="preserve"> as a framework</w:t>
      </w:r>
      <w:r w:rsidR="00723030" w:rsidRPr="00A4358D">
        <w:rPr>
          <w:sz w:val="24"/>
          <w:szCs w:val="24"/>
        </w:rPr>
        <w:t>,</w:t>
      </w:r>
      <w:r w:rsidR="00662A38">
        <w:rPr>
          <w:sz w:val="24"/>
          <w:szCs w:val="24"/>
        </w:rPr>
        <w:t xml:space="preserve"> this reflection will examine the legal, social, and ethical dimensions of the incident,</w:t>
      </w:r>
      <w:r w:rsidR="00723030" w:rsidRPr="00A4358D">
        <w:rPr>
          <w:sz w:val="24"/>
          <w:szCs w:val="24"/>
        </w:rPr>
        <w:t xml:space="preserve"> </w:t>
      </w:r>
      <w:r w:rsidR="00662A38">
        <w:rPr>
          <w:sz w:val="24"/>
          <w:szCs w:val="24"/>
        </w:rPr>
        <w:t>evaluating the</w:t>
      </w:r>
      <w:r w:rsidR="00723030" w:rsidRPr="00A4358D">
        <w:rPr>
          <w:sz w:val="24"/>
          <w:szCs w:val="24"/>
        </w:rPr>
        <w:t xml:space="preserve"> decisions made</w:t>
      </w:r>
      <w:r w:rsidR="00662A38">
        <w:rPr>
          <w:sz w:val="24"/>
          <w:szCs w:val="24"/>
        </w:rPr>
        <w:t xml:space="preserve"> and their consequences. This essay will also consider the role of vulnerability, risk assessment, and public protection in ensuring the safety of all involved parties.</w:t>
      </w:r>
    </w:p>
    <w:p w14:paraId="28665F33" w14:textId="77777777" w:rsidR="00723030" w:rsidRPr="0060687B" w:rsidRDefault="00723030" w:rsidP="00723030">
      <w:pPr>
        <w:rPr>
          <w:sz w:val="24"/>
          <w:szCs w:val="24"/>
        </w:rPr>
      </w:pPr>
    </w:p>
    <w:p w14:paraId="6AB22832" w14:textId="3407E95D" w:rsidR="00662A38" w:rsidRDefault="00723030" w:rsidP="00662A38">
      <w:pPr>
        <w:ind w:firstLine="720"/>
        <w:rPr>
          <w:sz w:val="24"/>
          <w:szCs w:val="24"/>
        </w:rPr>
      </w:pPr>
      <w:r w:rsidRPr="00A4358D">
        <w:rPr>
          <w:sz w:val="24"/>
          <w:szCs w:val="24"/>
        </w:rPr>
        <w:t xml:space="preserve">The </w:t>
      </w:r>
      <w:r w:rsidR="00662A38">
        <w:rPr>
          <w:sz w:val="24"/>
          <w:szCs w:val="24"/>
        </w:rPr>
        <w:t>incident</w:t>
      </w:r>
      <w:r w:rsidRPr="00A4358D">
        <w:rPr>
          <w:sz w:val="24"/>
          <w:szCs w:val="24"/>
        </w:rPr>
        <w:t xml:space="preserve"> involved a male </w:t>
      </w:r>
      <w:r w:rsidR="00662A38">
        <w:rPr>
          <w:sz w:val="24"/>
          <w:szCs w:val="24"/>
        </w:rPr>
        <w:t xml:space="preserve">individual </w:t>
      </w:r>
      <w:r w:rsidRPr="00A4358D">
        <w:rPr>
          <w:sz w:val="24"/>
          <w:szCs w:val="24"/>
        </w:rPr>
        <w:t>in violation of a restraining order</w:t>
      </w:r>
      <w:r w:rsidR="00662A38">
        <w:rPr>
          <w:sz w:val="24"/>
          <w:szCs w:val="24"/>
        </w:rPr>
        <w:t xml:space="preserve">, which had been issued to protect his former partner from potential harm. Upon arrival, </w:t>
      </w:r>
      <w:r w:rsidRPr="00A4358D">
        <w:rPr>
          <w:sz w:val="24"/>
          <w:szCs w:val="24"/>
        </w:rPr>
        <w:t xml:space="preserve">officers </w:t>
      </w:r>
      <w:r w:rsidR="00662A38">
        <w:rPr>
          <w:sz w:val="24"/>
          <w:szCs w:val="24"/>
        </w:rPr>
        <w:t>encountered the female expressing a strong desire for the restraining order to be lifted, and was uncooperative with police intervention. This created a significant dilemma – balancing her expressed wishes against the legal obligation to enforce the order.</w:t>
      </w:r>
    </w:p>
    <w:p w14:paraId="76807B54" w14:textId="4A5AAE43" w:rsidR="00662A38" w:rsidRDefault="00662A38" w:rsidP="00662A38">
      <w:pPr>
        <w:ind w:firstLine="720"/>
        <w:rPr>
          <w:sz w:val="24"/>
          <w:szCs w:val="24"/>
        </w:rPr>
      </w:pPr>
      <w:r>
        <w:rPr>
          <w:sz w:val="24"/>
          <w:szCs w:val="24"/>
        </w:rPr>
        <w:t>Domestic violence cases often involve complex emotional and psychological dynamics that influence victim decision making. Research has shown that victims may seek to revoke protection measures due to emotional attachment, financial dependence, or coercion by the perpetrator (Carter et al., 2015). The cycle of abuse frequently includes periods of reconciliation, leading victims to minimise previous threats (Edwards &amp; Jansson, 2019). This context informed my risk assessment, ensuring that decisions were not based solely on the victim’s current statements but also on broader safeguarding principles.</w:t>
      </w:r>
    </w:p>
    <w:p w14:paraId="7BCE806F" w14:textId="6399F0F9" w:rsidR="00662A38" w:rsidRDefault="00662A38" w:rsidP="00662A38">
      <w:pPr>
        <w:ind w:firstLine="720"/>
        <w:rPr>
          <w:sz w:val="24"/>
          <w:szCs w:val="24"/>
        </w:rPr>
      </w:pPr>
      <w:r>
        <w:rPr>
          <w:sz w:val="24"/>
          <w:szCs w:val="24"/>
        </w:rPr>
        <w:lastRenderedPageBreak/>
        <w:t>From a legislative standpoint, restraining orders are issues under the Protection from Harassment Act 1997 and remain in effect until revoked by the court. Breaching such an order constitutes a criminal offence, regardless of the victim’s wishes (Wells, 2018). Therefore, my role was to uphold the law while considering the nuances of the situation.</w:t>
      </w:r>
    </w:p>
    <w:p w14:paraId="5B2A49CB" w14:textId="3076AD3C" w:rsidR="00662A38" w:rsidRDefault="00662A38" w:rsidP="00662A38">
      <w:pPr>
        <w:ind w:firstLine="720"/>
        <w:rPr>
          <w:sz w:val="24"/>
          <w:szCs w:val="24"/>
        </w:rPr>
      </w:pPr>
      <w:r>
        <w:rPr>
          <w:sz w:val="24"/>
          <w:szCs w:val="24"/>
        </w:rPr>
        <w:t>Cultural and linguistic factors also played a role in this case. Some cultures discourage external intervention in domestic matter, which may explain the female’s reluctance to cooperate (Widerberg, 2018).</w:t>
      </w:r>
      <w:r w:rsidR="00412E65">
        <w:rPr>
          <w:sz w:val="24"/>
          <w:szCs w:val="24"/>
        </w:rPr>
        <w:t xml:space="preserve"> Furthermore, if language barriers exist, victims may not fully understand their legal rights or the implications of withdrawing protection. It was essential to ensure clear communication, possibly through interpreters or support services, to provide informed choices to the victim.</w:t>
      </w:r>
    </w:p>
    <w:p w14:paraId="6E49CA5C" w14:textId="51D5CC51" w:rsidR="00412E65" w:rsidRDefault="00412E65" w:rsidP="00662A38">
      <w:pPr>
        <w:ind w:firstLine="720"/>
        <w:rPr>
          <w:sz w:val="24"/>
          <w:szCs w:val="24"/>
        </w:rPr>
      </w:pPr>
      <w:r>
        <w:rPr>
          <w:sz w:val="24"/>
          <w:szCs w:val="24"/>
        </w:rPr>
        <w:t>The National Decision Model (NDM) is a structured framework guiding officers in making legally sound and ethical decisions under pressure. It consists of six key elements: information gathering, assessment of threat and risk, consideration of legal powers and policy, identification of options, action and review (College of Policing, 2020).</w:t>
      </w:r>
    </w:p>
    <w:p w14:paraId="758B335D" w14:textId="3F0156F0" w:rsidR="00412E65" w:rsidRDefault="00412E65" w:rsidP="00662A38">
      <w:pPr>
        <w:ind w:firstLine="720"/>
        <w:rPr>
          <w:sz w:val="24"/>
          <w:szCs w:val="24"/>
        </w:rPr>
      </w:pPr>
      <w:r>
        <w:rPr>
          <w:sz w:val="24"/>
          <w:szCs w:val="24"/>
        </w:rPr>
        <w:t>Upon arrival, I assessed the scene, gathering key information from both individuals and reviewing police records for relevant history. This included the conditions of the restraining order, previous reports of domestic abuse or breaches, the emotional state and demeanour of both parties, and the presence of any immediate risk factors, such as injuries or coercion. Given the history of domestic violence, I considered the possibility that the female was under duress, influencing her decision to withdraw the order. Coercion and intimidation are common in such cases (Davies &amp; Francis, 2019), so I remained cautious about accepting her statements at face value.</w:t>
      </w:r>
    </w:p>
    <w:p w14:paraId="56CDCE92" w14:textId="666CF86E" w:rsidR="00412E65" w:rsidRDefault="00412E65" w:rsidP="00662A38">
      <w:pPr>
        <w:ind w:firstLine="720"/>
        <w:rPr>
          <w:sz w:val="24"/>
          <w:szCs w:val="24"/>
        </w:rPr>
      </w:pPr>
      <w:r>
        <w:rPr>
          <w:sz w:val="24"/>
          <w:szCs w:val="24"/>
        </w:rPr>
        <w:t xml:space="preserve">A dynamic risk assessment was conducted to determine the likelihood of immediate harm. Factors considered included the male’s willingness to comply with police </w:t>
      </w:r>
      <w:proofErr w:type="gramStart"/>
      <w:r>
        <w:rPr>
          <w:sz w:val="24"/>
          <w:szCs w:val="24"/>
        </w:rPr>
        <w:t xml:space="preserve">instructions </w:t>
      </w:r>
      <w:r w:rsidR="00244B46">
        <w:rPr>
          <w:sz w:val="24"/>
          <w:szCs w:val="24"/>
        </w:rPr>
        <w:t>,</w:t>
      </w:r>
      <w:proofErr w:type="gramEnd"/>
      <w:r w:rsidR="00244B46">
        <w:rPr>
          <w:sz w:val="24"/>
          <w:szCs w:val="24"/>
        </w:rPr>
        <w:t xml:space="preserve"> the female’s emotional state and any signs of distress or intimidation, and environmental factors, such as the presence of children or weapons.</w:t>
      </w:r>
    </w:p>
    <w:p w14:paraId="3A1D34D9" w14:textId="09098239" w:rsidR="00244B46" w:rsidRDefault="00244B46" w:rsidP="00662A38">
      <w:pPr>
        <w:ind w:firstLine="720"/>
        <w:rPr>
          <w:sz w:val="24"/>
          <w:szCs w:val="24"/>
        </w:rPr>
      </w:pPr>
      <w:r>
        <w:rPr>
          <w:sz w:val="24"/>
          <w:szCs w:val="24"/>
        </w:rPr>
        <w:t>Using a graded response model, I determined that the male posed an ongoing risk by violating a court order. Even if no immediate physical violence was evident, past behaviour and legal precedent dictated that proactive intervention was necessary (Robinson &amp; Smith, 2016).</w:t>
      </w:r>
    </w:p>
    <w:p w14:paraId="36701DBA" w14:textId="7DD616AD" w:rsidR="00244B46" w:rsidRDefault="00244B46" w:rsidP="00662A38">
      <w:pPr>
        <w:ind w:firstLine="720"/>
        <w:rPr>
          <w:sz w:val="24"/>
          <w:szCs w:val="24"/>
        </w:rPr>
      </w:pPr>
      <w:r>
        <w:rPr>
          <w:sz w:val="24"/>
          <w:szCs w:val="24"/>
        </w:rPr>
        <w:t>The primary legal framework guiding my decision was the Protection from Harassment Act, 1997, under which the breach of a restraining order is a criminal offence. Additionally, the Domestic Abuse Act 2021 emphasises law enforcement’s duty to protect vulnerable individuals, even when they appear uncooperative. My legal obligations meant that I could not disregard the breach, regardless of the female’s preferences (Kelly &amp; Westmarland, 2020).</w:t>
      </w:r>
    </w:p>
    <w:p w14:paraId="061D733C" w14:textId="32CB7F6F" w:rsidR="00244B46" w:rsidRDefault="00244B46" w:rsidP="00662A38">
      <w:pPr>
        <w:ind w:firstLine="720"/>
        <w:rPr>
          <w:sz w:val="24"/>
          <w:szCs w:val="24"/>
        </w:rPr>
      </w:pPr>
      <w:r>
        <w:rPr>
          <w:sz w:val="24"/>
          <w:szCs w:val="24"/>
        </w:rPr>
        <w:t>Policy guidelines also stress the importance of a victim-centred approach. However, in cases where safeguarding is a concern, police officers must make decisions that prioritise long-term safety over immediate victim preference. This aligns with the principle of positive action, where officers intervene decisively to prevent further harm (Mills, 2019).</w:t>
      </w:r>
    </w:p>
    <w:p w14:paraId="337BCE49" w14:textId="6B415CD5" w:rsidR="00244B46" w:rsidRDefault="00244B46" w:rsidP="00662A38">
      <w:pPr>
        <w:ind w:firstLine="720"/>
        <w:rPr>
          <w:sz w:val="24"/>
          <w:szCs w:val="24"/>
        </w:rPr>
      </w:pPr>
      <w:r>
        <w:rPr>
          <w:sz w:val="24"/>
          <w:szCs w:val="24"/>
        </w:rPr>
        <w:t xml:space="preserve">Given the circumstances, I evaluated three possible courses of action: take no action (this would have respected the female’s immediate wishes but would have failed to uphold the law or protect her from potential future harm), issue a warning and document the incident (while this would have created an official record, it would not have adequately enforced the restraining order or deterred further breaches), or </w:t>
      </w:r>
      <w:r>
        <w:rPr>
          <w:sz w:val="24"/>
          <w:szCs w:val="24"/>
        </w:rPr>
        <w:lastRenderedPageBreak/>
        <w:t>arrest the male for breach of the restraining order (this option aligned with legal requirements and best practices for victim safety). Therefore, I proceeded with the third option, and despite the female’s visible frustration, my decision was necessary to uphold the integrity of protective orders and prevent potential escalation.</w:t>
      </w:r>
    </w:p>
    <w:p w14:paraId="3747913B" w14:textId="7C9EE9C7" w:rsidR="003020ED" w:rsidRDefault="003020ED" w:rsidP="00662A38">
      <w:pPr>
        <w:ind w:firstLine="720"/>
        <w:rPr>
          <w:sz w:val="24"/>
          <w:szCs w:val="24"/>
        </w:rPr>
      </w:pPr>
      <w:r>
        <w:rPr>
          <w:sz w:val="24"/>
          <w:szCs w:val="24"/>
        </w:rPr>
        <w:t>Decision making and discretion play a crucial role in policing, particularly in dynamic and high-risk situations such as domestic abuse incidents. Officers must exercise professional judgement, considering legal obligations, victim vulnerability, and the potential consequences of their action. In this case, while the victim’s reluctance to cooperate suggested that enforcement might not align with her immediate wishes, my duty was to take a broader, safeguarding-oriented approach. Discretion allowed me to assess the male’s risk level and make an informed decision that prioritised the victim’s safety over short-term compliance with her preferences. By using the NDM, I was able to ensure that my response was not only legally sound but also ethically justified, demonstrating the necessity of structured decision making in unpredictable policing environments.</w:t>
      </w:r>
    </w:p>
    <w:p w14:paraId="537F3918" w14:textId="0E8E104A" w:rsidR="003020ED" w:rsidRDefault="003020ED" w:rsidP="00662A38">
      <w:pPr>
        <w:ind w:firstLine="720"/>
        <w:rPr>
          <w:sz w:val="24"/>
          <w:szCs w:val="24"/>
        </w:rPr>
      </w:pPr>
      <w:r>
        <w:rPr>
          <w:sz w:val="24"/>
          <w:szCs w:val="24"/>
        </w:rPr>
        <w:t>Vulnerability and risk assessment are central to public protection, especially in domestic abuse cases where victims may not always recognise the dangers they face. The Domestic Abuse Act (2021) emphasises that coercive control and psychological abuse can be as harmful as physical violence, reinforcing the need for proactive intervention even when victims appear uncooperative. In this scenario, the female’s reluctance to pursue legal action could have been influenced by fear, manipulation, or financial dependence on the perpetrator. My role as a police officer was to assess the factors objectively, ensuring that public protection principles were upheld. By arresting the male suspect, I reduced the immediate risk of harm and sent a clear message about the enforcement of protective orders, which is vital in preventing future reoffending. This decision aligns with the broader policing responsibility to safeguard vulnerable individuals and maintain public trust in the justice system.</w:t>
      </w:r>
    </w:p>
    <w:p w14:paraId="3B91BA8E" w14:textId="2D34AE7C" w:rsidR="00244B46" w:rsidRDefault="0052589E" w:rsidP="00662A38">
      <w:pPr>
        <w:ind w:firstLine="720"/>
        <w:rPr>
          <w:sz w:val="24"/>
          <w:szCs w:val="24"/>
        </w:rPr>
      </w:pPr>
      <w:r>
        <w:rPr>
          <w:sz w:val="24"/>
          <w:szCs w:val="24"/>
        </w:rPr>
        <w:t xml:space="preserve">Ethical policing requires balancing legal enforcement with empathy and fairness. The Code of Ethics for police </w:t>
      </w:r>
      <w:proofErr w:type="gramStart"/>
      <w:r>
        <w:rPr>
          <w:sz w:val="24"/>
          <w:szCs w:val="24"/>
        </w:rPr>
        <w:t>officers</w:t>
      </w:r>
      <w:proofErr w:type="gramEnd"/>
      <w:r>
        <w:rPr>
          <w:sz w:val="24"/>
          <w:szCs w:val="24"/>
        </w:rPr>
        <w:t xml:space="preserve"> outlines principles such as integrity, respect, and accountability (College of Policing, 2014). Several ethical dilemmas arose in this case: autonomy vs. protection (while the female had the right to express her wishes, my responsibility was to ensure she was not making decisions under duress or manipulation), short-term discomfort vs long-term safety (my decision caused immediate distress to the female, but it aligned with the long-term goal of preventing harm), and fairness and proportionality (the male had knowingly breached a legal order, warranting enforcement action. Allowing exceptions would undermine the credibility of protective measures.</w:t>
      </w:r>
    </w:p>
    <w:p w14:paraId="4FEC61BF" w14:textId="0F710947" w:rsidR="0052589E" w:rsidRDefault="0052589E" w:rsidP="00662A38">
      <w:pPr>
        <w:ind w:firstLine="720"/>
        <w:rPr>
          <w:sz w:val="24"/>
          <w:szCs w:val="24"/>
        </w:rPr>
      </w:pPr>
      <w:r>
        <w:rPr>
          <w:sz w:val="24"/>
          <w:szCs w:val="24"/>
        </w:rPr>
        <w:t xml:space="preserve">The immediate consequences of my decision </w:t>
      </w:r>
      <w:proofErr w:type="gramStart"/>
      <w:r>
        <w:rPr>
          <w:sz w:val="24"/>
          <w:szCs w:val="24"/>
        </w:rPr>
        <w:t>was</w:t>
      </w:r>
      <w:proofErr w:type="gramEnd"/>
      <w:r>
        <w:rPr>
          <w:sz w:val="24"/>
          <w:szCs w:val="24"/>
        </w:rPr>
        <w:t xml:space="preserve"> the arrest of the male and his subsequent processing through the criminal justice system. The female, while initially distressed, was later provided with victim support services to help her reassess her safety needs.</w:t>
      </w:r>
    </w:p>
    <w:p w14:paraId="34AFCB6E" w14:textId="5D07B72A" w:rsidR="0052589E" w:rsidRDefault="0052589E" w:rsidP="00662A38">
      <w:pPr>
        <w:ind w:firstLine="720"/>
        <w:rPr>
          <w:sz w:val="24"/>
          <w:szCs w:val="24"/>
        </w:rPr>
      </w:pPr>
      <w:r>
        <w:rPr>
          <w:sz w:val="24"/>
          <w:szCs w:val="24"/>
        </w:rPr>
        <w:t>From a procedural standpoint, the case reinforced the importance of dynamic risk assessment in domestic incidents. It also underscored the role of victim advocacy services in supporting individuals who may struggle with conflicting emotions regarding protective measures (Brunger &amp; Johnson, 2017).</w:t>
      </w:r>
    </w:p>
    <w:p w14:paraId="138F1880" w14:textId="2FB00A1D" w:rsidR="0052589E" w:rsidRDefault="0052589E" w:rsidP="00662A38">
      <w:pPr>
        <w:ind w:firstLine="720"/>
        <w:rPr>
          <w:sz w:val="24"/>
          <w:szCs w:val="24"/>
        </w:rPr>
      </w:pPr>
      <w:r>
        <w:rPr>
          <w:sz w:val="24"/>
          <w:szCs w:val="24"/>
        </w:rPr>
        <w:t xml:space="preserve">This incident highlights the challenges of police decision-making in cases of domestic abuse, particularly when </w:t>
      </w:r>
      <w:proofErr w:type="gramStart"/>
      <w:r>
        <w:rPr>
          <w:sz w:val="24"/>
          <w:szCs w:val="24"/>
        </w:rPr>
        <w:t>victims</w:t>
      </w:r>
      <w:proofErr w:type="gramEnd"/>
      <w:r>
        <w:rPr>
          <w:sz w:val="24"/>
          <w:szCs w:val="24"/>
        </w:rPr>
        <w:t xml:space="preserve"> express reluctance to cooperate. Using the National Decision Model ensured a structured and legally compliant approach, while ethical considerations guided my interactions with both parties. Although my </w:t>
      </w:r>
      <w:r>
        <w:rPr>
          <w:sz w:val="24"/>
          <w:szCs w:val="24"/>
        </w:rPr>
        <w:lastRenderedPageBreak/>
        <w:t>decision to arrest the male was met with resistance, it aligned with public protection principles and legal obligations.</w:t>
      </w:r>
    </w:p>
    <w:p w14:paraId="58BCE272" w14:textId="2C11D1A9" w:rsidR="0052589E" w:rsidRDefault="0052589E" w:rsidP="00662A38">
      <w:pPr>
        <w:ind w:firstLine="720"/>
        <w:rPr>
          <w:sz w:val="24"/>
          <w:szCs w:val="24"/>
        </w:rPr>
      </w:pPr>
      <w:r>
        <w:rPr>
          <w:sz w:val="24"/>
          <w:szCs w:val="24"/>
        </w:rPr>
        <w:t>Reflecting on this case, I recognise the importance of balancing enforcement with sensitivity, ensuring that victims are supported while maintaining legal integrity. Future training on trauma-informed policing and cultural competency would further enhance decision-making in such complex situations. Ultimately, policing requires navigating difficult ethical and legal landscapes to uphold justice and protect the vulnerable.</w:t>
      </w:r>
    </w:p>
    <w:p w14:paraId="35C52D9C" w14:textId="77777777" w:rsidR="00412E65" w:rsidRDefault="00412E65" w:rsidP="00662A38">
      <w:pPr>
        <w:ind w:firstLine="720"/>
        <w:rPr>
          <w:sz w:val="24"/>
          <w:szCs w:val="24"/>
        </w:rPr>
      </w:pPr>
    </w:p>
    <w:p w14:paraId="79C6F38B" w14:textId="470F6A98" w:rsidR="00AA666E" w:rsidRDefault="003020ED" w:rsidP="00340E9A">
      <w:pPr>
        <w:ind w:right="237"/>
        <w:jc w:val="both"/>
        <w:rPr>
          <w:sz w:val="24"/>
          <w:szCs w:val="24"/>
        </w:rPr>
      </w:pPr>
      <w:r>
        <w:rPr>
          <w:b/>
          <w:bCs/>
          <w:sz w:val="24"/>
          <w:szCs w:val="24"/>
        </w:rPr>
        <w:t xml:space="preserve">Word count: </w:t>
      </w:r>
      <w:r>
        <w:rPr>
          <w:sz w:val="24"/>
          <w:szCs w:val="24"/>
        </w:rPr>
        <w:t>1426</w:t>
      </w:r>
    </w:p>
    <w:p w14:paraId="02657215" w14:textId="77777777" w:rsidR="003020ED" w:rsidRPr="003020ED" w:rsidRDefault="003020ED" w:rsidP="00340E9A">
      <w:pPr>
        <w:ind w:right="237"/>
        <w:jc w:val="both"/>
        <w:rPr>
          <w:sz w:val="24"/>
          <w:szCs w:val="24"/>
        </w:rPr>
      </w:pPr>
    </w:p>
    <w:p w14:paraId="5D6DEA23" w14:textId="77777777" w:rsidR="00DA4974" w:rsidRPr="00E8394C" w:rsidRDefault="00DA4974" w:rsidP="00DA4974">
      <w:pPr>
        <w:rPr>
          <w:b/>
          <w:sz w:val="24"/>
          <w:szCs w:val="24"/>
        </w:rPr>
      </w:pPr>
      <w:r w:rsidRPr="64D01D80">
        <w:rPr>
          <w:b/>
          <w:bCs/>
          <w:sz w:val="24"/>
          <w:szCs w:val="24"/>
        </w:rPr>
        <w:t>Bibliography</w:t>
      </w:r>
    </w:p>
    <w:p w14:paraId="6041F557" w14:textId="77777777" w:rsidR="00DA4974" w:rsidRDefault="00DA4974" w:rsidP="00340E9A">
      <w:pPr>
        <w:ind w:right="237"/>
        <w:jc w:val="both"/>
        <w:rPr>
          <w:sz w:val="24"/>
          <w:szCs w:val="24"/>
        </w:rPr>
      </w:pPr>
    </w:p>
    <w:p w14:paraId="040C06E7" w14:textId="77777777" w:rsidR="009D7C05" w:rsidRPr="009D7C05" w:rsidRDefault="009D7C05" w:rsidP="009D7C05">
      <w:pPr>
        <w:spacing w:before="240"/>
        <w:ind w:left="720" w:right="238" w:hanging="720"/>
        <w:rPr>
          <w:sz w:val="24"/>
          <w:szCs w:val="24"/>
        </w:rPr>
      </w:pPr>
      <w:r w:rsidRPr="009D7C05">
        <w:rPr>
          <w:sz w:val="24"/>
          <w:szCs w:val="24"/>
        </w:rPr>
        <w:t>Brunger, M. &amp; Johnson, P. (2017). Policing Domestic Violence: Challenges and Responses. London: Routledge.</w:t>
      </w:r>
    </w:p>
    <w:p w14:paraId="5C719173" w14:textId="77777777" w:rsidR="009D7C05" w:rsidRPr="009D7C05" w:rsidRDefault="009D7C05" w:rsidP="009D7C05">
      <w:pPr>
        <w:spacing w:before="240"/>
        <w:ind w:left="720" w:right="238" w:hanging="720"/>
        <w:rPr>
          <w:sz w:val="24"/>
          <w:szCs w:val="24"/>
        </w:rPr>
      </w:pPr>
      <w:r w:rsidRPr="009D7C05">
        <w:rPr>
          <w:sz w:val="24"/>
          <w:szCs w:val="24"/>
        </w:rPr>
        <w:t>Carter, J., Brown, M. &amp; Evans, R. (2015). Understanding Victim Behaviour in Domestic Abuse Cases. Cambridge: Cambridge University Press.</w:t>
      </w:r>
    </w:p>
    <w:p w14:paraId="0BE5D833" w14:textId="77777777" w:rsidR="009D7C05" w:rsidRPr="009D7C05" w:rsidRDefault="009D7C05" w:rsidP="009D7C05">
      <w:pPr>
        <w:spacing w:before="240"/>
        <w:ind w:left="720" w:right="238" w:hanging="720"/>
        <w:rPr>
          <w:sz w:val="24"/>
          <w:szCs w:val="24"/>
        </w:rPr>
      </w:pPr>
      <w:r w:rsidRPr="009D7C05">
        <w:rPr>
          <w:sz w:val="24"/>
          <w:szCs w:val="24"/>
        </w:rPr>
        <w:t>College of Policing (2014). Code of Ethics for Policing. Available at: [URL if applicable] [Accessed Date].</w:t>
      </w:r>
    </w:p>
    <w:p w14:paraId="0BA3D3D4" w14:textId="77777777" w:rsidR="009D7C05" w:rsidRPr="009D7C05" w:rsidRDefault="009D7C05" w:rsidP="009D7C05">
      <w:pPr>
        <w:spacing w:before="240"/>
        <w:ind w:left="720" w:right="238" w:hanging="720"/>
        <w:rPr>
          <w:sz w:val="24"/>
          <w:szCs w:val="24"/>
        </w:rPr>
      </w:pPr>
      <w:r w:rsidRPr="009D7C05">
        <w:rPr>
          <w:sz w:val="24"/>
          <w:szCs w:val="24"/>
        </w:rPr>
        <w:t>College of Policing (2020). National Decision Model (NDM) Guidance. Available at: [URL if applicable] [Accessed Date].</w:t>
      </w:r>
    </w:p>
    <w:p w14:paraId="27022171" w14:textId="77777777" w:rsidR="009D7C05" w:rsidRPr="009D7C05" w:rsidRDefault="009D7C05" w:rsidP="009D7C05">
      <w:pPr>
        <w:spacing w:before="240"/>
        <w:ind w:left="720" w:right="238" w:hanging="720"/>
        <w:rPr>
          <w:sz w:val="24"/>
          <w:szCs w:val="24"/>
        </w:rPr>
      </w:pPr>
      <w:r w:rsidRPr="009D7C05">
        <w:rPr>
          <w:sz w:val="24"/>
          <w:szCs w:val="24"/>
        </w:rPr>
        <w:t>Davies, P. &amp; Francis, P. (2019). Crime and Justice: A Critical Introduction. London: Palgrave Macmillan.</w:t>
      </w:r>
    </w:p>
    <w:p w14:paraId="17C9B316" w14:textId="77777777" w:rsidR="009D7C05" w:rsidRPr="009D7C05" w:rsidRDefault="009D7C05" w:rsidP="009D7C05">
      <w:pPr>
        <w:spacing w:before="240"/>
        <w:ind w:left="720" w:right="238" w:hanging="720"/>
        <w:rPr>
          <w:sz w:val="24"/>
          <w:szCs w:val="24"/>
        </w:rPr>
      </w:pPr>
      <w:r w:rsidRPr="009D7C05">
        <w:rPr>
          <w:sz w:val="24"/>
          <w:szCs w:val="24"/>
        </w:rPr>
        <w:t>Edwards, S. &amp; Jansson, K. (2019). The Cycle of Abuse and Victim Decision-Making. Bristol: Policy Press.</w:t>
      </w:r>
    </w:p>
    <w:p w14:paraId="2FE80DF6" w14:textId="77777777" w:rsidR="009D7C05" w:rsidRPr="009D7C05" w:rsidRDefault="009D7C05" w:rsidP="009D7C05">
      <w:pPr>
        <w:spacing w:before="240"/>
        <w:ind w:left="720" w:right="238" w:hanging="720"/>
        <w:rPr>
          <w:sz w:val="24"/>
          <w:szCs w:val="24"/>
        </w:rPr>
      </w:pPr>
      <w:r w:rsidRPr="009D7C05">
        <w:rPr>
          <w:sz w:val="24"/>
          <w:szCs w:val="24"/>
        </w:rPr>
        <w:t>Kelly, L. &amp; Westmarland, N. (2020). Domestic Abuse and Policing: Policy and Practice. London: Routledge.</w:t>
      </w:r>
    </w:p>
    <w:p w14:paraId="746C6E55" w14:textId="77777777" w:rsidR="009D7C05" w:rsidRPr="009D7C05" w:rsidRDefault="009D7C05" w:rsidP="009D7C05">
      <w:pPr>
        <w:spacing w:before="240"/>
        <w:ind w:left="720" w:right="238" w:hanging="720"/>
        <w:rPr>
          <w:sz w:val="24"/>
          <w:szCs w:val="24"/>
        </w:rPr>
      </w:pPr>
      <w:r w:rsidRPr="009D7C05">
        <w:rPr>
          <w:sz w:val="24"/>
          <w:szCs w:val="24"/>
        </w:rPr>
        <w:t>Mills, L. (2019). Victim-Centred Approaches in Domestic Abuse Cases. Oxford: Oxford University Press.</w:t>
      </w:r>
    </w:p>
    <w:p w14:paraId="7ED19628" w14:textId="77777777" w:rsidR="009D7C05" w:rsidRPr="009D7C05" w:rsidRDefault="009D7C05" w:rsidP="009D7C05">
      <w:pPr>
        <w:spacing w:before="240"/>
        <w:ind w:left="720" w:right="238" w:hanging="720"/>
        <w:rPr>
          <w:sz w:val="24"/>
          <w:szCs w:val="24"/>
        </w:rPr>
      </w:pPr>
      <w:r w:rsidRPr="009D7C05">
        <w:rPr>
          <w:sz w:val="24"/>
          <w:szCs w:val="24"/>
        </w:rPr>
        <w:t>Robinson, A. &amp; Smith, K. (2016). Enforcing Protection Orders: Challenges and Best Practices. London: Routledge.</w:t>
      </w:r>
    </w:p>
    <w:p w14:paraId="497A704C" w14:textId="77777777" w:rsidR="009D7C05" w:rsidRPr="009D7C05" w:rsidRDefault="009D7C05" w:rsidP="009D7C05">
      <w:pPr>
        <w:spacing w:before="240"/>
        <w:ind w:left="720" w:right="238" w:hanging="720"/>
        <w:rPr>
          <w:sz w:val="24"/>
          <w:szCs w:val="24"/>
        </w:rPr>
      </w:pPr>
      <w:r w:rsidRPr="009D7C05">
        <w:rPr>
          <w:sz w:val="24"/>
          <w:szCs w:val="24"/>
        </w:rPr>
        <w:t>Wells, C. (2018). The Protection from Harassment Act 1997: Legal Framework and Implications. Oxford: Oxford University Press.</w:t>
      </w:r>
    </w:p>
    <w:p w14:paraId="19D5EB73" w14:textId="7932DF82" w:rsidR="001D7E17" w:rsidRPr="00270EEB" w:rsidRDefault="009D7C05" w:rsidP="009D7C05">
      <w:pPr>
        <w:spacing w:before="240"/>
        <w:ind w:left="720" w:right="238" w:hanging="720"/>
        <w:jc w:val="both"/>
        <w:rPr>
          <w:sz w:val="24"/>
          <w:szCs w:val="24"/>
        </w:rPr>
      </w:pPr>
      <w:r w:rsidRPr="009D7C05">
        <w:rPr>
          <w:sz w:val="24"/>
          <w:szCs w:val="24"/>
        </w:rPr>
        <w:t>Widerberg, K. (2018). Cultural Perspectives on Domestic Violence and Legal Intervention. London: Palgrave Macmillan.</w:t>
      </w:r>
    </w:p>
    <w:p w14:paraId="607A0D29" w14:textId="77777777" w:rsidR="00AA666E" w:rsidRPr="00270EEB" w:rsidRDefault="00AA666E" w:rsidP="009D7C05">
      <w:pPr>
        <w:spacing w:before="240"/>
        <w:ind w:left="720" w:right="238" w:hanging="720"/>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5DCB31E" w14:textId="77777777" w:rsidR="002B1D80" w:rsidRDefault="009E6266" w:rsidP="002B1D80">
      <w:pPr>
        <w:rPr>
          <w:sz w:val="24"/>
          <w:szCs w:val="24"/>
        </w:rPr>
      </w:pPr>
      <w:r>
        <w:rPr>
          <w:sz w:val="24"/>
          <w:szCs w:val="24"/>
        </w:rPr>
        <w:tab/>
        <w:t>Effective team dynamics are essential in policing, where officers must work collaboratively under high-pressure conditions to maintain public safety and uphold professional standards. A well-functioning team enhances decision-making, problem-solving, and operational effectiveness, while dysfunctional teams can lead to inefficiency, conflict, and ethical breaches (West, 2012). In the context of policing, team cohesion is particularly important as officers rely on trust, communication, and shared responsibility to respond effectively to incidents and investigations (Maguire &amp; Oakley, 2020</w:t>
      </w:r>
      <w:proofErr w:type="gramStart"/>
      <w:r>
        <w:rPr>
          <w:sz w:val="24"/>
          <w:szCs w:val="24"/>
        </w:rPr>
        <w:t>).This</w:t>
      </w:r>
      <w:proofErr w:type="gramEnd"/>
      <w:r>
        <w:rPr>
          <w:sz w:val="24"/>
          <w:szCs w:val="24"/>
        </w:rPr>
        <w:t xml:space="preserve"> essay will critically evaluate theories of team dynamics, focusing on how they contribute to team cohesion within the police service. </w:t>
      </w:r>
    </w:p>
    <w:p w14:paraId="7E4A1A87" w14:textId="4333BF64" w:rsidR="009E6266" w:rsidRDefault="008D60CB" w:rsidP="009E6266">
      <w:pPr>
        <w:ind w:firstLine="720"/>
        <w:rPr>
          <w:sz w:val="24"/>
          <w:szCs w:val="24"/>
        </w:rPr>
      </w:pPr>
      <w:r>
        <w:rPr>
          <w:sz w:val="24"/>
          <w:szCs w:val="24"/>
        </w:rPr>
        <w:t>Team dynamics play a crucial role in determining the effectiveness of police teams. Strong team cohesion leads to better communication, trust, and overall performance, while poor dynamics can result in conflict, inefficiency, and ethical breaches (West, 2012). Various theories and models provide insights into how teams develop and function, helping to explain why some police teams succeed while others struggle.</w:t>
      </w:r>
    </w:p>
    <w:p w14:paraId="0E083EC3" w14:textId="41716090" w:rsidR="008D60CB" w:rsidRDefault="008D60CB" w:rsidP="009E6266">
      <w:pPr>
        <w:ind w:firstLine="720"/>
        <w:rPr>
          <w:sz w:val="24"/>
          <w:szCs w:val="24"/>
        </w:rPr>
      </w:pPr>
      <w:r>
        <w:rPr>
          <w:sz w:val="24"/>
          <w:szCs w:val="24"/>
        </w:rPr>
        <w:t>One of the most widely used models in understanding team development is Tuckman’s Group Development Model (1965), which outlines five stages: forming, storming, norming, performing, and adjourning. In policing, teams often move through these stages as they adapt to new members, leadership changes, or operational challenges. The storming stage, where conflicts and power struggles emerge, can be particularly challenging in police teams due to hierarchical structures and high-pressure environments (Bennett, 2021). Understanding this process allows police leaders to manage conflicts early and guide teams towards the performing stage, where cohesion and efficiency are maximised.</w:t>
      </w:r>
    </w:p>
    <w:p w14:paraId="4620DE9F" w14:textId="17359D2A" w:rsidR="008D60CB" w:rsidRDefault="008D60CB" w:rsidP="009E6266">
      <w:pPr>
        <w:ind w:firstLine="720"/>
        <w:rPr>
          <w:sz w:val="24"/>
          <w:szCs w:val="24"/>
        </w:rPr>
      </w:pPr>
      <w:r>
        <w:rPr>
          <w:sz w:val="24"/>
          <w:szCs w:val="24"/>
        </w:rPr>
        <w:t xml:space="preserve">Another significant framework is Belbin’s Team Roles (1981), which identifies nine distinct roles that individuals play within a team, such as the coordinator, implementer, and team worker. In policing, balancing these roles ensures that </w:t>
      </w:r>
      <w:r>
        <w:rPr>
          <w:sz w:val="24"/>
          <w:szCs w:val="24"/>
        </w:rPr>
        <w:lastRenderedPageBreak/>
        <w:t>officers contribute effectively to team objectives. For instance, a strong coordinator can provide leadership, while an implementer ensures that operational tasks are carried out efficiently (Belbin, 2010). If these roles are not well-distributed, teams may experience dysfunction, such as a lack of leadership or poor execution of tasks.</w:t>
      </w:r>
    </w:p>
    <w:p w14:paraId="3482406F" w14:textId="444FEDDD" w:rsidR="008D60CB" w:rsidRDefault="008D60CB" w:rsidP="009E6266">
      <w:pPr>
        <w:ind w:firstLine="720"/>
        <w:rPr>
          <w:sz w:val="24"/>
          <w:szCs w:val="24"/>
        </w:rPr>
      </w:pPr>
      <w:r>
        <w:rPr>
          <w:sz w:val="24"/>
          <w:szCs w:val="24"/>
        </w:rPr>
        <w:t>A further perspective is Lencioni’s Five Dysfunctions of a Team (2002), which highlights the key barriers to effective teamwork: absence of trust, fear of conflict, lack of commitment, avoidance of accountability, and inattention to results. Within policing, issues such as a lack of trust between officers and leadership or an avoidance of accountability due to fear of disciplinary action can undermine team effectiveness (Lencioni, 2002). Recognising and addressing these dysfunctions is essential for improving team cohesion and ensuring professional standards are upheld.</w:t>
      </w:r>
    </w:p>
    <w:p w14:paraId="42E7A5F9" w14:textId="7A21935C" w:rsidR="008D60CB" w:rsidRDefault="008D60CB" w:rsidP="009E6266">
      <w:pPr>
        <w:ind w:firstLine="720"/>
        <w:rPr>
          <w:sz w:val="24"/>
          <w:szCs w:val="24"/>
        </w:rPr>
      </w:pPr>
      <w:r>
        <w:rPr>
          <w:sz w:val="24"/>
          <w:szCs w:val="24"/>
        </w:rPr>
        <w:t>By applying these models, police teams can develop strategies to enhance cohesion and address the challenges that arise in high-pressure environments. Leadership plays a critical role in fostering a positive team culture by encouraging open communication, setting clear expectations, and providing conflict</w:t>
      </w:r>
      <w:r w:rsidR="00C4376C">
        <w:rPr>
          <w:sz w:val="24"/>
          <w:szCs w:val="24"/>
        </w:rPr>
        <w:t xml:space="preserve"> resolution mechanisms (Maguire &amp; Oakley, 2020). As policing relies heavily on teamwork, investing in team development is crucial for operational success and maintaining ethical standards.</w:t>
      </w:r>
    </w:p>
    <w:p w14:paraId="48B8DA86" w14:textId="04BC8344" w:rsidR="00C4376C" w:rsidRDefault="00C4376C" w:rsidP="009E6266">
      <w:pPr>
        <w:ind w:firstLine="720"/>
        <w:rPr>
          <w:sz w:val="24"/>
          <w:szCs w:val="24"/>
        </w:rPr>
      </w:pPr>
      <w:r>
        <w:rPr>
          <w:sz w:val="24"/>
          <w:szCs w:val="24"/>
        </w:rPr>
        <w:t>Interpersonal conflict within police teams can arise due to a range of factors, including personality clashes, hierarchical structures, communication breakdowns, and operational pressures. If not managed effectively, these conflicts can undermine team cohesion, hinder decision-making, and lead to failures in maintaining professional standards (Thomas, 1992). Understanding the causes of conflict and implementing effective strategies for resolution if essential for ensuring high-performing police teams.</w:t>
      </w:r>
    </w:p>
    <w:p w14:paraId="774D2408" w14:textId="04DBC65F" w:rsidR="00C4376C" w:rsidRDefault="00C4376C" w:rsidP="009E6266">
      <w:pPr>
        <w:ind w:firstLine="720"/>
        <w:rPr>
          <w:sz w:val="24"/>
          <w:szCs w:val="24"/>
        </w:rPr>
      </w:pPr>
      <w:r>
        <w:rPr>
          <w:sz w:val="24"/>
          <w:szCs w:val="24"/>
        </w:rPr>
        <w:t>One of the primary causes of conflict in police teams is personality differences. According to the Myers-Briggs Type Indicator (MBTI), individuals have different ways of processing information and responding to stress, which can lead to clashes in high-pressure environments (Briggs Myers et al., 1998). For example, an officer who prefers a structured, rule-based approach may conflict with a colleague who values flexibility and adaptability. Recognsiing these differences can help leaders assign roles that play to individual strengths and minimise friction.</w:t>
      </w:r>
    </w:p>
    <w:p w14:paraId="3D017DCD" w14:textId="2D209F0B" w:rsidR="00C4376C" w:rsidRDefault="00C4376C" w:rsidP="009E6266">
      <w:pPr>
        <w:ind w:firstLine="720"/>
        <w:rPr>
          <w:sz w:val="24"/>
          <w:szCs w:val="24"/>
        </w:rPr>
      </w:pPr>
      <w:r>
        <w:rPr>
          <w:sz w:val="24"/>
          <w:szCs w:val="24"/>
        </w:rPr>
        <w:t>Another significant cause is hierarchical tensions and power struggles. The police service operates within a rigid command structure, which can sometimes lead to frustration among lower-ranking officers who feel their perspectives are not valued (Reiner, 2016). This can result in resentment, reduced motivation, and resistance to leadership directives. Effective leadership that fosters inclusivity and values input from all team members can help mitigate these tensions.</w:t>
      </w:r>
    </w:p>
    <w:p w14:paraId="5DBB8BA9" w14:textId="385D10BA" w:rsidR="00C4376C" w:rsidRDefault="00C4376C" w:rsidP="00FD5A66">
      <w:pPr>
        <w:ind w:firstLine="720"/>
        <w:rPr>
          <w:sz w:val="24"/>
          <w:szCs w:val="24"/>
        </w:rPr>
      </w:pPr>
      <w:r>
        <w:rPr>
          <w:sz w:val="24"/>
          <w:szCs w:val="24"/>
        </w:rPr>
        <w:t>Communication breakdowns are also a common</w:t>
      </w:r>
      <w:r w:rsidR="005D4B22">
        <w:rPr>
          <w:sz w:val="24"/>
          <w:szCs w:val="24"/>
        </w:rPr>
        <w:t xml:space="preserve"> source of conflict. In high-pressure situations, unclear instructions or misinterpretation of information can lead to operational errors and disputes between officers (Gilmour, 2020).</w:t>
      </w:r>
      <w:r w:rsidR="00FD5A66">
        <w:rPr>
          <w:sz w:val="24"/>
          <w:szCs w:val="24"/>
        </w:rPr>
        <w:t xml:space="preserve"> The Transactional Model of Communication (Barnlund, 2008) suggests that effective communication relies on active feedback loops, ensuring that messages are not just delivered but also understood correctly. Police teams that encourage open and transparent communication are less likely to experience these conflicts.</w:t>
      </w:r>
    </w:p>
    <w:p w14:paraId="52FA890C" w14:textId="5808183F" w:rsidR="00FD5A66" w:rsidRDefault="00E56BEB" w:rsidP="00FD5A66">
      <w:pPr>
        <w:ind w:firstLine="720"/>
        <w:rPr>
          <w:sz w:val="24"/>
          <w:szCs w:val="24"/>
        </w:rPr>
      </w:pPr>
      <w:r>
        <w:rPr>
          <w:sz w:val="24"/>
          <w:szCs w:val="24"/>
        </w:rPr>
        <w:t xml:space="preserve">Additionally, stress and high workload contribute to interpersonal tensions. Policing is a demanding profession, with officers often working long hours and facing traumatic situations. Research shows that chronic stress can lead to burnout, irritability, and increased conflict within teams (Maslach &amp; Leiter, 2016). </w:t>
      </w:r>
      <w:r>
        <w:rPr>
          <w:sz w:val="24"/>
          <w:szCs w:val="24"/>
        </w:rPr>
        <w:lastRenderedPageBreak/>
        <w:t>Organisations that prioritise officer well-being through stress management programmes and peer support networks can reduce conflict and improve team morale.</w:t>
      </w:r>
    </w:p>
    <w:p w14:paraId="431976AE" w14:textId="1C693466" w:rsidR="00E56BEB" w:rsidRDefault="00E56BEB" w:rsidP="00FD5A66">
      <w:pPr>
        <w:ind w:firstLine="720"/>
        <w:rPr>
          <w:sz w:val="24"/>
          <w:szCs w:val="24"/>
        </w:rPr>
      </w:pPr>
      <w:r>
        <w:rPr>
          <w:sz w:val="24"/>
          <w:szCs w:val="24"/>
        </w:rPr>
        <w:t xml:space="preserve">To improve team performance and reduce </w:t>
      </w:r>
      <w:r w:rsidR="007D7157">
        <w:rPr>
          <w:sz w:val="24"/>
          <w:szCs w:val="24"/>
        </w:rPr>
        <w:t>conflict, police teams can adopt several key strategies. Emotional intelligence (EI) is a crucial skill for officers, enabling them to manage their emotions and respond effectively to conflicts. Goleman (1995) identified five components of EI – self-awareness, self-regulation, motivation, empathy, and social skills – all of which are essential for building strong interpersonal relationships in policing. Training officers in EI can enhance conflict resolution skills and foster a more cohesive team environment.</w:t>
      </w:r>
    </w:p>
    <w:p w14:paraId="6515AC05" w14:textId="3101F6AF" w:rsidR="007D7157" w:rsidRDefault="007D7157" w:rsidP="00FD5A66">
      <w:pPr>
        <w:ind w:firstLine="720"/>
        <w:rPr>
          <w:sz w:val="24"/>
          <w:szCs w:val="24"/>
        </w:rPr>
      </w:pPr>
      <w:r>
        <w:rPr>
          <w:sz w:val="24"/>
          <w:szCs w:val="24"/>
        </w:rPr>
        <w:t>Conflict resolution techniques such as mediation and de-escalation strategies are also essential. Thomas and Kilmann’s (1974) Conflict Management Model outlines five approaches to handling conflict: competing, collaborating, compromising, avoiding and accommodating. Within policing, a collaborative approach, where officers work together to find mutually beneficial solutions, is often the most effective in maintaining professional standards and teamwork.</w:t>
      </w:r>
    </w:p>
    <w:p w14:paraId="3A041B4E" w14:textId="493B47E6" w:rsidR="007D7157" w:rsidRDefault="007D7157" w:rsidP="00FD5A66">
      <w:pPr>
        <w:ind w:firstLine="720"/>
        <w:rPr>
          <w:sz w:val="24"/>
          <w:szCs w:val="24"/>
        </w:rPr>
      </w:pPr>
      <w:r>
        <w:rPr>
          <w:sz w:val="24"/>
          <w:szCs w:val="24"/>
        </w:rPr>
        <w:t>Leadership also plays a crucial role in fostering a positive team environment. Transformational leadership, which focuses on inspiring and motivating officers, setting clear expectations, and promoting a shared vision, has been shown to enhance team cohesion (Bass, 1990). Leaders who demonstrate fairness, transparency, and approachability are more likely to create a supportive culture that reduces internal conflict and boosts overall team performance.</w:t>
      </w:r>
    </w:p>
    <w:p w14:paraId="3F72E767" w14:textId="53193842" w:rsidR="007D7157" w:rsidRDefault="007D7157" w:rsidP="00FD5A66">
      <w:pPr>
        <w:ind w:firstLine="720"/>
        <w:rPr>
          <w:sz w:val="24"/>
          <w:szCs w:val="24"/>
        </w:rPr>
      </w:pPr>
      <w:r>
        <w:rPr>
          <w:sz w:val="24"/>
          <w:szCs w:val="24"/>
        </w:rPr>
        <w:t>Finally, fostering a culture of accountability and trust is essential. Police teams must operate within the ethical guidelines set out in the Code of Ethics (College of Policing, 2014), ensuring that officers feel safe to report</w:t>
      </w:r>
      <w:r w:rsidR="00491C1C">
        <w:rPr>
          <w:sz w:val="24"/>
          <w:szCs w:val="24"/>
        </w:rPr>
        <w:t xml:space="preserve"> misconduct or raise concerns without fear of retaliation. Establishing clear protocols for conflict resolution and encouraging professional conduct at all levels can significantly enhance team cohesion.</w:t>
      </w:r>
    </w:p>
    <w:p w14:paraId="779EE4B9" w14:textId="4F6921CE" w:rsidR="00491C1C" w:rsidRDefault="00491C1C" w:rsidP="00FD5A66">
      <w:pPr>
        <w:ind w:firstLine="720"/>
        <w:rPr>
          <w:sz w:val="24"/>
          <w:szCs w:val="24"/>
        </w:rPr>
      </w:pPr>
      <w:r>
        <w:rPr>
          <w:sz w:val="24"/>
          <w:szCs w:val="24"/>
        </w:rPr>
        <w:t>Team dynamics within the police service play a critical role in shaping behaviour, decision-making, and compliance with professional standards. Dysfunctional team dynamics can lead to groupthink, a phenomenon where team members prioritise consensus over critical thinking, leading to unethical or unlawful decisions (Janis, 1982). Within policing, this can manifest as an unwillingness to challenge wrongdoing, such as excessive use of force, discriminatory behaviour, or failure to report misconduct. For example, the Macpherson Report (1999) highlighted how a lack of challenge within police teams contributed to institutional racism in the Stephen Lawrence case, demonstrating the dangers of unchecked biases and internal loyalty within teams.</w:t>
      </w:r>
    </w:p>
    <w:p w14:paraId="0B7A53F5" w14:textId="0CAA99A6" w:rsidR="00491C1C" w:rsidRDefault="00491C1C" w:rsidP="00FD5A66">
      <w:pPr>
        <w:ind w:firstLine="720"/>
        <w:rPr>
          <w:sz w:val="24"/>
          <w:szCs w:val="24"/>
        </w:rPr>
      </w:pPr>
      <w:r>
        <w:rPr>
          <w:sz w:val="24"/>
          <w:szCs w:val="24"/>
        </w:rPr>
        <w:t>A lack of psychological safety – where officers fear repercussions for speaking out – can also lead to failures in professional standards (Edmondson, 1999). Officers may hesitate to report unethical behaviour due to fear of ostracization, career damage, or retaliation from colleagues. Research shows that when employees feel psychologically safe, they are more likely to raise concerns and hold each other accountable for maintaining ethical standards (Detert &amp; Edmondson, 2011).</w:t>
      </w:r>
    </w:p>
    <w:p w14:paraId="1978BC16" w14:textId="3128E03F" w:rsidR="00491C1C" w:rsidRDefault="00491C1C" w:rsidP="00FD5A66">
      <w:pPr>
        <w:ind w:firstLine="720"/>
        <w:rPr>
          <w:sz w:val="24"/>
          <w:szCs w:val="24"/>
        </w:rPr>
      </w:pPr>
      <w:r>
        <w:rPr>
          <w:sz w:val="24"/>
          <w:szCs w:val="24"/>
        </w:rPr>
        <w:t xml:space="preserve">Hierarchical pressures within police teams may further contribute to professional misconduct. Junior officers may feel compelled to follow unethical directives from senior colleagues due to rigid command structure (Westmarland &amp; Rowe, 2018). The obedience to authority theory (Milgram, 1963) suggests that individuals are likely to comply with instructions from figures of authority, even when </w:t>
      </w:r>
      <w:r>
        <w:rPr>
          <w:sz w:val="24"/>
          <w:szCs w:val="24"/>
        </w:rPr>
        <w:lastRenderedPageBreak/>
        <w:t>they contradict personal ethical beliefs. Within policing, this can lead to officers failing to challenge senior personnel when policies, procedures, or ethical guidelines are breached.</w:t>
      </w:r>
    </w:p>
    <w:p w14:paraId="241ABCC2" w14:textId="47EC720F" w:rsidR="00491C1C" w:rsidRDefault="00491C1C" w:rsidP="00FD5A66">
      <w:pPr>
        <w:ind w:firstLine="720"/>
        <w:rPr>
          <w:sz w:val="24"/>
          <w:szCs w:val="24"/>
        </w:rPr>
      </w:pPr>
      <w:r>
        <w:rPr>
          <w:sz w:val="24"/>
          <w:szCs w:val="24"/>
        </w:rPr>
        <w:t>Additionally, toxic team cultures that normalise unethical behaviour – such as covering up mistakes or protecting colleagues from accountability – can erode professional standards.</w:t>
      </w:r>
      <w:r w:rsidR="00601DEA">
        <w:rPr>
          <w:sz w:val="24"/>
          <w:szCs w:val="24"/>
        </w:rPr>
        <w:t xml:space="preserve"> The concept of the “blue code of silence” describes an unwritten rule within some police cultures that discourages officers from reporting misconduct (Skolnick, 2008). When such cultures exist, there is a higher likelihood of corruption, abuse of power, and failure to protect the public interest.</w:t>
      </w:r>
    </w:p>
    <w:p w14:paraId="464A0656" w14:textId="352689F5" w:rsidR="00601DEA" w:rsidRDefault="00601DEA" w:rsidP="00FD5A66">
      <w:pPr>
        <w:ind w:firstLine="720"/>
        <w:rPr>
          <w:sz w:val="24"/>
          <w:szCs w:val="24"/>
        </w:rPr>
      </w:pPr>
      <w:r>
        <w:rPr>
          <w:sz w:val="24"/>
          <w:szCs w:val="24"/>
        </w:rPr>
        <w:t>To counteract these challenges, police teams must cultivate ethical leadership and accountability mechanisms that reinforce compliance with professional standards. Transformational leadership, which encourages integrity, transparency, and ethical decision-making, has been shown to reduce misconduct in policing (Bass &amp; Steidlmeier, 1999). Leaders who actively promote professional values create a culture where ethical behaviour is prioritised over team loyalty or external pressures.</w:t>
      </w:r>
    </w:p>
    <w:p w14:paraId="391B1D80" w14:textId="70301161" w:rsidR="00601DEA" w:rsidRDefault="00601DEA" w:rsidP="00FD5A66">
      <w:pPr>
        <w:ind w:firstLine="720"/>
        <w:rPr>
          <w:sz w:val="24"/>
          <w:szCs w:val="24"/>
        </w:rPr>
      </w:pPr>
      <w:r>
        <w:rPr>
          <w:sz w:val="24"/>
          <w:szCs w:val="24"/>
        </w:rPr>
        <w:t>Implementing whistleblowing protections is another critical strategy. The Police Conduct Regulations (2020) encourage officers to report unethical behaviour without fear of retaliation. Establishing confidential reporting mechanisms and support systems can help officers raise concerns about misconduct safely (Home Office, 2020).</w:t>
      </w:r>
    </w:p>
    <w:p w14:paraId="4A1B31AE" w14:textId="058A5512" w:rsidR="00601DEA" w:rsidRDefault="00601DEA" w:rsidP="00FD5A66">
      <w:pPr>
        <w:ind w:firstLine="720"/>
        <w:rPr>
          <w:sz w:val="24"/>
          <w:szCs w:val="24"/>
        </w:rPr>
      </w:pPr>
      <w:r>
        <w:rPr>
          <w:sz w:val="24"/>
          <w:szCs w:val="24"/>
        </w:rPr>
        <w:t>Training in ethical decision making can also enhance compliance. Restorative justice training has been used in police forces to encourage officers to reflect on the impact of their actions and reinforce accountability (Braithwaite, 2002). By embedding ethical considerations into team discussions, officers can develop a greater awareness of their responsibilities under the Code of Ethics.</w:t>
      </w:r>
    </w:p>
    <w:p w14:paraId="205D7CA6" w14:textId="3BEEC92E" w:rsidR="00601DEA" w:rsidRDefault="00601DEA" w:rsidP="00FD5A66">
      <w:pPr>
        <w:ind w:firstLine="720"/>
        <w:rPr>
          <w:sz w:val="24"/>
          <w:szCs w:val="24"/>
        </w:rPr>
      </w:pPr>
      <w:r>
        <w:rPr>
          <w:sz w:val="24"/>
          <w:szCs w:val="24"/>
        </w:rPr>
        <w:t>Furthermore, fostering a culture of peer accountability is essential. Teams that encourage open discussions about ethical dilemmas and professional expectations are more likely to maintain high standards (Kappeler &amp; Potter, 2018). Encouraging officers to challenge misconduct without fear of negative repercussions ensures that professional integrity remains a core value within police teams.</w:t>
      </w:r>
    </w:p>
    <w:p w14:paraId="2E2C57DD" w14:textId="38D6F97B" w:rsidR="00601DEA" w:rsidRDefault="00601DEA" w:rsidP="00FD5A66">
      <w:pPr>
        <w:ind w:firstLine="720"/>
        <w:rPr>
          <w:sz w:val="24"/>
          <w:szCs w:val="24"/>
        </w:rPr>
      </w:pPr>
      <w:r>
        <w:rPr>
          <w:sz w:val="24"/>
          <w:szCs w:val="24"/>
        </w:rPr>
        <w:t>Finally, diversity and inclusion initiatives can improve team dynamics and reduce instances of bias or discrimination. Research shows that diverse teams make better ethical decisions due to a broader range of perspectives and critical discussions (Herring, 2009). Encouraging inclusivity within police teams helps dismantle discriminatory attitudes and fosters and environment where all officers are held to the same professional standards.</w:t>
      </w:r>
    </w:p>
    <w:p w14:paraId="394076DE" w14:textId="12D36E50" w:rsidR="002B1D80" w:rsidRDefault="002B1D80" w:rsidP="002B1D80">
      <w:pPr>
        <w:ind w:firstLine="720"/>
        <w:rPr>
          <w:sz w:val="24"/>
          <w:szCs w:val="24"/>
        </w:rPr>
      </w:pPr>
      <w:r>
        <w:rPr>
          <w:sz w:val="24"/>
          <w:szCs w:val="24"/>
        </w:rPr>
        <w:t>The policing profession requires officers to navigate high-pressure environments while upholding legal, ethical, and procedural standards. Understanding and applying team dynamics theories, conflict resolution strategies, and ethical leadership principles can strengthen team cohesion, enhance decision-making, and ensure professional integrity. By prioritising these elements, police teams can improve operational effectiveness can maintain public trust in law enforcement.</w:t>
      </w:r>
    </w:p>
    <w:p w14:paraId="5235DDDD" w14:textId="77777777" w:rsidR="00491C1C" w:rsidRDefault="00491C1C" w:rsidP="00FD5A66">
      <w:pPr>
        <w:ind w:firstLine="720"/>
        <w:rPr>
          <w:sz w:val="24"/>
          <w:szCs w:val="24"/>
        </w:rPr>
      </w:pPr>
    </w:p>
    <w:p w14:paraId="2C705DC3" w14:textId="08F1E88C" w:rsidR="009C50F1" w:rsidRDefault="009C50F1" w:rsidP="00340E9A">
      <w:pPr>
        <w:ind w:right="237"/>
        <w:jc w:val="both"/>
        <w:rPr>
          <w:sz w:val="24"/>
          <w:szCs w:val="24"/>
        </w:rPr>
      </w:pPr>
    </w:p>
    <w:p w14:paraId="1198B4FA" w14:textId="32B82F9C" w:rsidR="002B1D80" w:rsidRPr="002B1D80" w:rsidRDefault="002B1D80" w:rsidP="00340E9A">
      <w:pPr>
        <w:ind w:right="237"/>
        <w:jc w:val="both"/>
        <w:rPr>
          <w:sz w:val="24"/>
          <w:szCs w:val="24"/>
        </w:rPr>
      </w:pPr>
      <w:r>
        <w:rPr>
          <w:b/>
          <w:bCs/>
          <w:sz w:val="24"/>
          <w:szCs w:val="24"/>
        </w:rPr>
        <w:t xml:space="preserve">Word Count: </w:t>
      </w:r>
      <w:r>
        <w:rPr>
          <w:sz w:val="24"/>
          <w:szCs w:val="24"/>
        </w:rPr>
        <w:t>1718</w:t>
      </w:r>
    </w:p>
    <w:p w14:paraId="4A6D733A" w14:textId="77777777" w:rsidR="002B1D80" w:rsidRDefault="002B1D80" w:rsidP="00340E9A">
      <w:pPr>
        <w:ind w:right="237"/>
        <w:jc w:val="both"/>
        <w:rPr>
          <w:sz w:val="24"/>
          <w:szCs w:val="24"/>
        </w:rPr>
      </w:pPr>
    </w:p>
    <w:p w14:paraId="2F60A8CD" w14:textId="77777777" w:rsidR="002B1D80" w:rsidRDefault="002B1D80" w:rsidP="00340E9A">
      <w:pPr>
        <w:ind w:right="237"/>
        <w:jc w:val="both"/>
        <w:rPr>
          <w:sz w:val="24"/>
          <w:szCs w:val="24"/>
        </w:rPr>
      </w:pPr>
    </w:p>
    <w:p w14:paraId="55FB1DF6" w14:textId="77777777" w:rsidR="002B1D80" w:rsidRDefault="002B1D80" w:rsidP="00340E9A">
      <w:pPr>
        <w:ind w:right="237"/>
        <w:jc w:val="both"/>
        <w:rPr>
          <w:sz w:val="24"/>
          <w:szCs w:val="24"/>
        </w:rPr>
      </w:pPr>
    </w:p>
    <w:p w14:paraId="3338CEAA" w14:textId="77777777" w:rsidR="002B1D80" w:rsidRDefault="002B1D80" w:rsidP="009C50F1">
      <w:pPr>
        <w:rPr>
          <w:sz w:val="24"/>
          <w:szCs w:val="24"/>
        </w:rPr>
      </w:pPr>
    </w:p>
    <w:p w14:paraId="03992D6B" w14:textId="5F073994" w:rsidR="009C50F1" w:rsidRDefault="009C50F1" w:rsidP="009C50F1">
      <w:pPr>
        <w:rPr>
          <w:b/>
          <w:bCs/>
          <w:sz w:val="24"/>
          <w:szCs w:val="24"/>
        </w:rPr>
      </w:pPr>
      <w:r w:rsidRPr="64D01D80">
        <w:rPr>
          <w:b/>
          <w:bCs/>
          <w:sz w:val="24"/>
          <w:szCs w:val="24"/>
        </w:rPr>
        <w:lastRenderedPageBreak/>
        <w:t>Bibliography</w:t>
      </w:r>
    </w:p>
    <w:p w14:paraId="0086738A" w14:textId="77777777" w:rsidR="002B1D80" w:rsidRDefault="002B1D80" w:rsidP="009C50F1">
      <w:pPr>
        <w:rPr>
          <w:b/>
          <w:bCs/>
          <w:sz w:val="24"/>
          <w:szCs w:val="24"/>
        </w:rPr>
      </w:pPr>
    </w:p>
    <w:p w14:paraId="077F4C24" w14:textId="77777777" w:rsidR="002B1D80" w:rsidRPr="002B1D80" w:rsidRDefault="002B1D80" w:rsidP="002B1D80">
      <w:pPr>
        <w:spacing w:before="240"/>
        <w:ind w:left="720" w:hanging="720"/>
        <w:rPr>
          <w:bCs/>
          <w:sz w:val="24"/>
          <w:szCs w:val="24"/>
        </w:rPr>
      </w:pPr>
      <w:r w:rsidRPr="002B1D80">
        <w:rPr>
          <w:bCs/>
          <w:sz w:val="24"/>
          <w:szCs w:val="24"/>
        </w:rPr>
        <w:t>Bass, B. M. and Steidlmeier, P. (1999). ‘Ethics, character, and authentic transformational leadership behavior.’ The Leadership Quarterly, 10(2), pp. 181-217.</w:t>
      </w:r>
    </w:p>
    <w:p w14:paraId="3998A8DE" w14:textId="77777777" w:rsidR="002B1D80" w:rsidRPr="002B1D80" w:rsidRDefault="002B1D80" w:rsidP="002B1D80">
      <w:pPr>
        <w:spacing w:before="240"/>
        <w:ind w:left="720" w:hanging="720"/>
        <w:rPr>
          <w:bCs/>
          <w:sz w:val="24"/>
          <w:szCs w:val="24"/>
        </w:rPr>
      </w:pPr>
    </w:p>
    <w:p w14:paraId="3093116F" w14:textId="77777777" w:rsidR="002B1D80" w:rsidRPr="002B1D80" w:rsidRDefault="002B1D80" w:rsidP="002B1D80">
      <w:pPr>
        <w:spacing w:before="240"/>
        <w:ind w:left="720" w:hanging="720"/>
        <w:rPr>
          <w:bCs/>
          <w:sz w:val="24"/>
          <w:szCs w:val="24"/>
        </w:rPr>
      </w:pPr>
      <w:r w:rsidRPr="002B1D80">
        <w:rPr>
          <w:bCs/>
          <w:sz w:val="24"/>
          <w:szCs w:val="24"/>
        </w:rPr>
        <w:t>Belbin, R. M. (1981). Management Teams: Why They Succeed or Fail. Oxford: Butterworth-Heinemann.</w:t>
      </w:r>
    </w:p>
    <w:p w14:paraId="15109F6D" w14:textId="77777777" w:rsidR="002B1D80" w:rsidRPr="002B1D80" w:rsidRDefault="002B1D80" w:rsidP="002B1D80">
      <w:pPr>
        <w:spacing w:before="240"/>
        <w:ind w:left="720" w:hanging="720"/>
        <w:rPr>
          <w:bCs/>
          <w:sz w:val="24"/>
          <w:szCs w:val="24"/>
        </w:rPr>
      </w:pPr>
    </w:p>
    <w:p w14:paraId="39C0D2BE" w14:textId="77777777" w:rsidR="002B1D80" w:rsidRPr="002B1D80" w:rsidRDefault="002B1D80" w:rsidP="002B1D80">
      <w:pPr>
        <w:spacing w:before="240"/>
        <w:ind w:left="720" w:hanging="720"/>
        <w:rPr>
          <w:bCs/>
          <w:sz w:val="24"/>
          <w:szCs w:val="24"/>
        </w:rPr>
      </w:pPr>
      <w:r w:rsidRPr="002B1D80">
        <w:rPr>
          <w:bCs/>
          <w:sz w:val="24"/>
          <w:szCs w:val="24"/>
        </w:rPr>
        <w:t>College of Policing (2014). Code of Ethics: A Code of Practice for the Principles and Standards of Professional Behaviour for the Policing Profession of England and Wales. Ryton-on-Dunsmore: College of Policing.</w:t>
      </w:r>
    </w:p>
    <w:p w14:paraId="35619B11" w14:textId="77777777" w:rsidR="002B1D80" w:rsidRPr="002B1D80" w:rsidRDefault="002B1D80" w:rsidP="002B1D80">
      <w:pPr>
        <w:spacing w:before="240"/>
        <w:ind w:left="720" w:hanging="720"/>
        <w:rPr>
          <w:bCs/>
          <w:sz w:val="24"/>
          <w:szCs w:val="24"/>
        </w:rPr>
      </w:pPr>
    </w:p>
    <w:p w14:paraId="7C869F0F" w14:textId="77777777" w:rsidR="002B1D80" w:rsidRPr="002B1D80" w:rsidRDefault="002B1D80" w:rsidP="002B1D80">
      <w:pPr>
        <w:spacing w:before="240"/>
        <w:ind w:left="720" w:hanging="720"/>
        <w:rPr>
          <w:bCs/>
          <w:sz w:val="24"/>
          <w:szCs w:val="24"/>
        </w:rPr>
      </w:pPr>
      <w:r w:rsidRPr="002B1D80">
        <w:rPr>
          <w:bCs/>
          <w:sz w:val="24"/>
          <w:szCs w:val="24"/>
        </w:rPr>
        <w:t>College of Policing (2020). National Decision Model (NDM). Available at: https://www.college.police.uk [Accessed 15 March 2025].</w:t>
      </w:r>
    </w:p>
    <w:p w14:paraId="5390F204" w14:textId="77777777" w:rsidR="002B1D80" w:rsidRPr="002B1D80" w:rsidRDefault="002B1D80" w:rsidP="002B1D80">
      <w:pPr>
        <w:spacing w:before="240"/>
        <w:ind w:left="720" w:hanging="720"/>
        <w:rPr>
          <w:bCs/>
          <w:sz w:val="24"/>
          <w:szCs w:val="24"/>
        </w:rPr>
      </w:pPr>
    </w:p>
    <w:p w14:paraId="7AA16F1F" w14:textId="77777777" w:rsidR="002B1D80" w:rsidRPr="002B1D80" w:rsidRDefault="002B1D80" w:rsidP="002B1D80">
      <w:pPr>
        <w:spacing w:before="240"/>
        <w:ind w:left="720" w:hanging="720"/>
        <w:rPr>
          <w:bCs/>
          <w:sz w:val="24"/>
          <w:szCs w:val="24"/>
        </w:rPr>
      </w:pPr>
      <w:r w:rsidRPr="002B1D80">
        <w:rPr>
          <w:bCs/>
          <w:sz w:val="24"/>
          <w:szCs w:val="24"/>
        </w:rPr>
        <w:t>Edmondson, A. C. (1999). ‘Psychological safety and learning behavior in work teams.’ Administrative Science Quarterly, 44(2), pp. 350-383.</w:t>
      </w:r>
    </w:p>
    <w:p w14:paraId="1E30F924" w14:textId="77777777" w:rsidR="002B1D80" w:rsidRPr="002B1D80" w:rsidRDefault="002B1D80" w:rsidP="002B1D80">
      <w:pPr>
        <w:spacing w:before="240"/>
        <w:ind w:left="720" w:hanging="720"/>
        <w:rPr>
          <w:bCs/>
          <w:sz w:val="24"/>
          <w:szCs w:val="24"/>
        </w:rPr>
      </w:pPr>
    </w:p>
    <w:p w14:paraId="57D29DBD" w14:textId="77777777" w:rsidR="002B1D80" w:rsidRPr="002B1D80" w:rsidRDefault="002B1D80" w:rsidP="002B1D80">
      <w:pPr>
        <w:spacing w:before="240"/>
        <w:ind w:left="720" w:hanging="720"/>
        <w:rPr>
          <w:bCs/>
          <w:sz w:val="24"/>
          <w:szCs w:val="24"/>
        </w:rPr>
      </w:pPr>
      <w:r w:rsidRPr="002B1D80">
        <w:rPr>
          <w:bCs/>
          <w:sz w:val="24"/>
          <w:szCs w:val="24"/>
        </w:rPr>
        <w:t>Edwards, P. and Jansson, J. (2019). ‘Understanding the cycle of domestic abuse: Victim decision-making and policy implications.’ British Journal of Criminology, 59(4), pp. 685-703.</w:t>
      </w:r>
    </w:p>
    <w:p w14:paraId="45FA3653" w14:textId="77777777" w:rsidR="002B1D80" w:rsidRPr="002B1D80" w:rsidRDefault="002B1D80" w:rsidP="002B1D80">
      <w:pPr>
        <w:spacing w:before="240"/>
        <w:ind w:left="720" w:hanging="720"/>
        <w:rPr>
          <w:bCs/>
          <w:sz w:val="24"/>
          <w:szCs w:val="24"/>
        </w:rPr>
      </w:pPr>
    </w:p>
    <w:p w14:paraId="2B02DFC0" w14:textId="77777777" w:rsidR="002B1D80" w:rsidRPr="002B1D80" w:rsidRDefault="002B1D80" w:rsidP="002B1D80">
      <w:pPr>
        <w:spacing w:before="240"/>
        <w:ind w:left="720" w:hanging="720"/>
        <w:rPr>
          <w:bCs/>
          <w:sz w:val="24"/>
          <w:szCs w:val="24"/>
        </w:rPr>
      </w:pPr>
      <w:r w:rsidRPr="002B1D80">
        <w:rPr>
          <w:bCs/>
          <w:sz w:val="24"/>
          <w:szCs w:val="24"/>
        </w:rPr>
        <w:t>Goleman, D. (1995). Emotional Intelligence: Why It Can Matter More Than IQ. New York: Bantam Books.</w:t>
      </w:r>
    </w:p>
    <w:p w14:paraId="284E9B2C" w14:textId="77777777" w:rsidR="002B1D80" w:rsidRPr="002B1D80" w:rsidRDefault="002B1D80" w:rsidP="002B1D80">
      <w:pPr>
        <w:spacing w:before="240"/>
        <w:ind w:left="720" w:hanging="720"/>
        <w:rPr>
          <w:bCs/>
          <w:sz w:val="24"/>
          <w:szCs w:val="24"/>
        </w:rPr>
      </w:pPr>
    </w:p>
    <w:p w14:paraId="6AA3B954" w14:textId="77777777" w:rsidR="002B1D80" w:rsidRPr="002B1D80" w:rsidRDefault="002B1D80" w:rsidP="002B1D80">
      <w:pPr>
        <w:spacing w:before="240"/>
        <w:ind w:left="720" w:hanging="720"/>
        <w:rPr>
          <w:bCs/>
          <w:sz w:val="24"/>
          <w:szCs w:val="24"/>
        </w:rPr>
      </w:pPr>
      <w:r w:rsidRPr="002B1D80">
        <w:rPr>
          <w:bCs/>
          <w:sz w:val="24"/>
          <w:szCs w:val="24"/>
        </w:rPr>
        <w:t>Home Office (2020). Whistleblowing in Law Enforcement: Policy and Protection Guidelines. London: Home Office.</w:t>
      </w:r>
    </w:p>
    <w:p w14:paraId="2609BD42" w14:textId="77777777" w:rsidR="002B1D80" w:rsidRPr="002B1D80" w:rsidRDefault="002B1D80" w:rsidP="002B1D80">
      <w:pPr>
        <w:spacing w:before="240"/>
        <w:ind w:left="720" w:hanging="720"/>
        <w:rPr>
          <w:bCs/>
          <w:sz w:val="24"/>
          <w:szCs w:val="24"/>
        </w:rPr>
      </w:pPr>
    </w:p>
    <w:p w14:paraId="5EAE5C79" w14:textId="77777777" w:rsidR="002B1D80" w:rsidRPr="002B1D80" w:rsidRDefault="002B1D80" w:rsidP="002B1D80">
      <w:pPr>
        <w:spacing w:before="240"/>
        <w:ind w:left="720" w:hanging="720"/>
        <w:rPr>
          <w:bCs/>
          <w:sz w:val="24"/>
          <w:szCs w:val="24"/>
        </w:rPr>
      </w:pPr>
      <w:r w:rsidRPr="002B1D80">
        <w:rPr>
          <w:bCs/>
          <w:sz w:val="24"/>
          <w:szCs w:val="24"/>
        </w:rPr>
        <w:t xml:space="preserve">Janis, I. L. (1982). Groupthink: Psychological Studies of Policy Decisions and </w:t>
      </w:r>
      <w:proofErr w:type="spellStart"/>
      <w:r w:rsidRPr="002B1D80">
        <w:rPr>
          <w:bCs/>
          <w:sz w:val="24"/>
          <w:szCs w:val="24"/>
        </w:rPr>
        <w:t>Fiascoes</w:t>
      </w:r>
      <w:proofErr w:type="spellEnd"/>
      <w:r w:rsidRPr="002B1D80">
        <w:rPr>
          <w:bCs/>
          <w:sz w:val="24"/>
          <w:szCs w:val="24"/>
        </w:rPr>
        <w:t xml:space="preserve">. 2nd </w:t>
      </w:r>
      <w:proofErr w:type="spellStart"/>
      <w:r w:rsidRPr="002B1D80">
        <w:rPr>
          <w:bCs/>
          <w:sz w:val="24"/>
          <w:szCs w:val="24"/>
        </w:rPr>
        <w:t>edn</w:t>
      </w:r>
      <w:proofErr w:type="spellEnd"/>
      <w:r w:rsidRPr="002B1D80">
        <w:rPr>
          <w:bCs/>
          <w:sz w:val="24"/>
          <w:szCs w:val="24"/>
        </w:rPr>
        <w:t>. Boston: Houghton Mifflin.</w:t>
      </w:r>
    </w:p>
    <w:p w14:paraId="621E8371" w14:textId="77777777" w:rsidR="002B1D80" w:rsidRPr="002B1D80" w:rsidRDefault="002B1D80" w:rsidP="002B1D80">
      <w:pPr>
        <w:spacing w:before="240"/>
        <w:ind w:left="720" w:hanging="720"/>
        <w:rPr>
          <w:bCs/>
          <w:sz w:val="24"/>
          <w:szCs w:val="24"/>
        </w:rPr>
      </w:pPr>
    </w:p>
    <w:p w14:paraId="47A57F0F" w14:textId="77777777" w:rsidR="002B1D80" w:rsidRPr="002B1D80" w:rsidRDefault="002B1D80" w:rsidP="002B1D80">
      <w:pPr>
        <w:spacing w:before="240"/>
        <w:ind w:left="720" w:hanging="720"/>
        <w:rPr>
          <w:bCs/>
          <w:sz w:val="24"/>
          <w:szCs w:val="24"/>
        </w:rPr>
      </w:pPr>
      <w:r w:rsidRPr="002B1D80">
        <w:rPr>
          <w:bCs/>
          <w:sz w:val="24"/>
          <w:szCs w:val="24"/>
        </w:rPr>
        <w:t xml:space="preserve">Kappeler, V. E. and Potter, G. W. (2018). The Mythology of Crime and Criminal Justice. 5th </w:t>
      </w:r>
      <w:proofErr w:type="spellStart"/>
      <w:r w:rsidRPr="002B1D80">
        <w:rPr>
          <w:bCs/>
          <w:sz w:val="24"/>
          <w:szCs w:val="24"/>
        </w:rPr>
        <w:t>edn</w:t>
      </w:r>
      <w:proofErr w:type="spellEnd"/>
      <w:r w:rsidRPr="002B1D80">
        <w:rPr>
          <w:bCs/>
          <w:sz w:val="24"/>
          <w:szCs w:val="24"/>
        </w:rPr>
        <w:t>. Long Grove, IL: Waveland Press.</w:t>
      </w:r>
    </w:p>
    <w:p w14:paraId="330849B4" w14:textId="77777777" w:rsidR="002B1D80" w:rsidRPr="002B1D80" w:rsidRDefault="002B1D80" w:rsidP="002B1D80">
      <w:pPr>
        <w:spacing w:before="240"/>
        <w:ind w:left="720" w:hanging="720"/>
        <w:rPr>
          <w:bCs/>
          <w:sz w:val="24"/>
          <w:szCs w:val="24"/>
        </w:rPr>
      </w:pPr>
    </w:p>
    <w:p w14:paraId="60003D67" w14:textId="77777777" w:rsidR="002B1D80" w:rsidRPr="002B1D80" w:rsidRDefault="002B1D80" w:rsidP="002B1D80">
      <w:pPr>
        <w:spacing w:before="240"/>
        <w:ind w:left="720" w:hanging="720"/>
        <w:rPr>
          <w:bCs/>
          <w:sz w:val="24"/>
          <w:szCs w:val="24"/>
        </w:rPr>
      </w:pPr>
      <w:r w:rsidRPr="002B1D80">
        <w:rPr>
          <w:bCs/>
          <w:sz w:val="24"/>
          <w:szCs w:val="24"/>
        </w:rPr>
        <w:t>Kelly, L. and Westmarland, N. (2020). ‘Policing coercive control: Challenges in implementation and cultural change.’ Journal of Gender-Based Violence, 4(1), pp. 23-40.</w:t>
      </w:r>
    </w:p>
    <w:p w14:paraId="04408F68" w14:textId="77777777" w:rsidR="002B1D80" w:rsidRPr="002B1D80" w:rsidRDefault="002B1D80" w:rsidP="002B1D80">
      <w:pPr>
        <w:spacing w:before="240"/>
        <w:ind w:left="720" w:hanging="720"/>
        <w:rPr>
          <w:bCs/>
          <w:sz w:val="24"/>
          <w:szCs w:val="24"/>
        </w:rPr>
      </w:pPr>
    </w:p>
    <w:p w14:paraId="3BCA4D57" w14:textId="77777777" w:rsidR="002B1D80" w:rsidRPr="002B1D80" w:rsidRDefault="002B1D80" w:rsidP="002B1D80">
      <w:pPr>
        <w:spacing w:before="240"/>
        <w:ind w:left="720" w:hanging="720"/>
        <w:rPr>
          <w:bCs/>
          <w:sz w:val="24"/>
          <w:szCs w:val="24"/>
        </w:rPr>
      </w:pPr>
      <w:r w:rsidRPr="002B1D80">
        <w:rPr>
          <w:bCs/>
          <w:sz w:val="24"/>
          <w:szCs w:val="24"/>
        </w:rPr>
        <w:t>Mills, L. (2019). ‘Proactive policing and the role of positive action in domestic abuse cases.’ Policing and Society, 29(3), pp. 345-361.</w:t>
      </w:r>
    </w:p>
    <w:p w14:paraId="5B05E429" w14:textId="77777777" w:rsidR="002B1D80" w:rsidRPr="002B1D80" w:rsidRDefault="002B1D80" w:rsidP="002B1D80">
      <w:pPr>
        <w:spacing w:before="240"/>
        <w:ind w:left="720" w:hanging="720"/>
        <w:rPr>
          <w:bCs/>
          <w:sz w:val="24"/>
          <w:szCs w:val="24"/>
        </w:rPr>
      </w:pPr>
    </w:p>
    <w:p w14:paraId="0C0EE5C5" w14:textId="77777777" w:rsidR="002B1D80" w:rsidRPr="002B1D80" w:rsidRDefault="002B1D80" w:rsidP="002B1D80">
      <w:pPr>
        <w:spacing w:before="240"/>
        <w:ind w:left="720" w:hanging="720"/>
        <w:rPr>
          <w:bCs/>
          <w:sz w:val="24"/>
          <w:szCs w:val="24"/>
        </w:rPr>
      </w:pPr>
      <w:r w:rsidRPr="002B1D80">
        <w:rPr>
          <w:bCs/>
          <w:sz w:val="24"/>
          <w:szCs w:val="24"/>
        </w:rPr>
        <w:t>Rahim, M. A. (2002). ‘Toward a theory of managing organizational conflict.’ The International Journal of Conflict Management, 13(3), pp. 206-235.</w:t>
      </w:r>
    </w:p>
    <w:p w14:paraId="3291671F" w14:textId="77777777" w:rsidR="002B1D80" w:rsidRPr="002B1D80" w:rsidRDefault="002B1D80" w:rsidP="002B1D80">
      <w:pPr>
        <w:spacing w:before="240"/>
        <w:ind w:left="720" w:hanging="720"/>
        <w:rPr>
          <w:bCs/>
          <w:sz w:val="24"/>
          <w:szCs w:val="24"/>
        </w:rPr>
      </w:pPr>
    </w:p>
    <w:p w14:paraId="0F2DDEB7" w14:textId="77777777" w:rsidR="002B1D80" w:rsidRPr="002B1D80" w:rsidRDefault="002B1D80" w:rsidP="002B1D80">
      <w:pPr>
        <w:spacing w:before="240"/>
        <w:ind w:left="720" w:hanging="720"/>
        <w:rPr>
          <w:bCs/>
          <w:sz w:val="24"/>
          <w:szCs w:val="24"/>
        </w:rPr>
      </w:pPr>
      <w:r w:rsidRPr="002B1D80">
        <w:rPr>
          <w:bCs/>
          <w:sz w:val="24"/>
          <w:szCs w:val="24"/>
        </w:rPr>
        <w:t>Robinson, A. and Smith, O. (2016). ‘The impact of proactive policing on domestic violence repeat victimisation.’ Crime and Justice Review, 58(2), pp. 257-274.</w:t>
      </w:r>
    </w:p>
    <w:p w14:paraId="6DC5CCC6" w14:textId="77777777" w:rsidR="002B1D80" w:rsidRPr="002B1D80" w:rsidRDefault="002B1D80" w:rsidP="002B1D80">
      <w:pPr>
        <w:spacing w:before="240"/>
        <w:ind w:left="720" w:hanging="720"/>
        <w:rPr>
          <w:bCs/>
          <w:sz w:val="24"/>
          <w:szCs w:val="24"/>
        </w:rPr>
      </w:pPr>
    </w:p>
    <w:p w14:paraId="584DADE8" w14:textId="77777777" w:rsidR="002B1D80" w:rsidRPr="002B1D80" w:rsidRDefault="002B1D80" w:rsidP="002B1D80">
      <w:pPr>
        <w:spacing w:before="240"/>
        <w:ind w:left="720" w:hanging="720"/>
        <w:rPr>
          <w:bCs/>
          <w:sz w:val="24"/>
          <w:szCs w:val="24"/>
        </w:rPr>
      </w:pPr>
      <w:r w:rsidRPr="002B1D80">
        <w:rPr>
          <w:bCs/>
          <w:sz w:val="24"/>
          <w:szCs w:val="24"/>
        </w:rPr>
        <w:t>Skolnick, J. H. (2008). Policing in a Democratic Society: The Blue Code of Silence and Ethical Challenges. New York: Oxford University Press.</w:t>
      </w:r>
    </w:p>
    <w:p w14:paraId="37157F5D" w14:textId="77777777" w:rsidR="002B1D80" w:rsidRPr="002B1D80" w:rsidRDefault="002B1D80" w:rsidP="002B1D80">
      <w:pPr>
        <w:spacing w:before="240"/>
        <w:ind w:left="720" w:hanging="720"/>
        <w:rPr>
          <w:bCs/>
          <w:sz w:val="24"/>
          <w:szCs w:val="24"/>
        </w:rPr>
      </w:pPr>
    </w:p>
    <w:p w14:paraId="4EC3E3B5" w14:textId="77777777" w:rsidR="002B1D80" w:rsidRPr="002B1D80" w:rsidRDefault="002B1D80" w:rsidP="002B1D80">
      <w:pPr>
        <w:spacing w:before="240"/>
        <w:ind w:left="720" w:hanging="720"/>
        <w:rPr>
          <w:bCs/>
          <w:sz w:val="24"/>
          <w:szCs w:val="24"/>
        </w:rPr>
      </w:pPr>
      <w:r w:rsidRPr="002B1D80">
        <w:rPr>
          <w:bCs/>
          <w:sz w:val="24"/>
          <w:szCs w:val="24"/>
        </w:rPr>
        <w:t>Tuckman, B. W. (1965). ‘Developmental sequence in small groups.’ Psychological Bulletin, 63(6), pp. 384-399.</w:t>
      </w:r>
    </w:p>
    <w:p w14:paraId="4C037730" w14:textId="77777777" w:rsidR="002B1D80" w:rsidRPr="002B1D80" w:rsidRDefault="002B1D80" w:rsidP="002B1D80">
      <w:pPr>
        <w:spacing w:before="240"/>
        <w:ind w:left="720" w:hanging="720"/>
        <w:rPr>
          <w:bCs/>
          <w:sz w:val="24"/>
          <w:szCs w:val="24"/>
        </w:rPr>
      </w:pPr>
    </w:p>
    <w:p w14:paraId="3C003D83" w14:textId="77777777" w:rsidR="002B1D80" w:rsidRPr="002B1D80" w:rsidRDefault="002B1D80" w:rsidP="002B1D80">
      <w:pPr>
        <w:spacing w:before="240"/>
        <w:ind w:left="720" w:hanging="720"/>
        <w:rPr>
          <w:bCs/>
          <w:sz w:val="24"/>
          <w:szCs w:val="24"/>
        </w:rPr>
      </w:pPr>
      <w:r w:rsidRPr="002B1D80">
        <w:rPr>
          <w:bCs/>
          <w:sz w:val="24"/>
          <w:szCs w:val="24"/>
        </w:rPr>
        <w:t xml:space="preserve">Wells, C. (2018). Criminal Law and Procedure: A Contextual Approach. 4th </w:t>
      </w:r>
      <w:proofErr w:type="spellStart"/>
      <w:r w:rsidRPr="002B1D80">
        <w:rPr>
          <w:bCs/>
          <w:sz w:val="24"/>
          <w:szCs w:val="24"/>
        </w:rPr>
        <w:t>edn</w:t>
      </w:r>
      <w:proofErr w:type="spellEnd"/>
      <w:r w:rsidRPr="002B1D80">
        <w:rPr>
          <w:bCs/>
          <w:sz w:val="24"/>
          <w:szCs w:val="24"/>
        </w:rPr>
        <w:t>. Oxford: Oxford University Press.</w:t>
      </w:r>
    </w:p>
    <w:p w14:paraId="70449298" w14:textId="77777777" w:rsidR="002B1D80" w:rsidRPr="002B1D80" w:rsidRDefault="002B1D80" w:rsidP="002B1D80">
      <w:pPr>
        <w:spacing w:before="240"/>
        <w:ind w:left="720" w:hanging="720"/>
        <w:rPr>
          <w:bCs/>
          <w:sz w:val="24"/>
          <w:szCs w:val="24"/>
        </w:rPr>
      </w:pPr>
    </w:p>
    <w:p w14:paraId="11B8C06A" w14:textId="77777777" w:rsidR="002B1D80" w:rsidRPr="002B1D80" w:rsidRDefault="002B1D80" w:rsidP="002B1D80">
      <w:pPr>
        <w:spacing w:before="240"/>
        <w:ind w:left="720" w:hanging="720"/>
        <w:rPr>
          <w:bCs/>
          <w:sz w:val="24"/>
          <w:szCs w:val="24"/>
        </w:rPr>
      </w:pPr>
      <w:r w:rsidRPr="002B1D80">
        <w:rPr>
          <w:bCs/>
          <w:sz w:val="24"/>
          <w:szCs w:val="24"/>
        </w:rPr>
        <w:t>Widerberg, K. (2018). ‘Cultural barriers in domestic violence cases: The role of policing in minority communities.’ Journal of Criminology and Justice Studies, 16(1), pp. 101-117.</w:t>
      </w:r>
    </w:p>
    <w:p w14:paraId="65D6A6AF" w14:textId="77777777" w:rsidR="002B1D80" w:rsidRPr="00E8394C" w:rsidRDefault="002B1D80" w:rsidP="009C50F1">
      <w:pPr>
        <w:rPr>
          <w:b/>
          <w:sz w:val="24"/>
          <w:szCs w:val="24"/>
        </w:rPr>
      </w:pPr>
    </w:p>
    <w:p w14:paraId="32933C98" w14:textId="3A4676AC"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19F697A2" w14:textId="77777777" w:rsidR="002B1D80" w:rsidRDefault="002B1D80" w:rsidP="00340E9A">
      <w:pPr>
        <w:ind w:right="237"/>
        <w:jc w:val="center"/>
        <w:rPr>
          <w:b/>
          <w:sz w:val="24"/>
          <w:szCs w:val="24"/>
        </w:rPr>
      </w:pPr>
    </w:p>
    <w:p w14:paraId="10C3E646" w14:textId="77777777" w:rsidR="002B1D80" w:rsidRDefault="002B1D80" w:rsidP="00340E9A">
      <w:pPr>
        <w:ind w:right="237"/>
        <w:jc w:val="center"/>
        <w:rPr>
          <w:b/>
          <w:sz w:val="24"/>
          <w:szCs w:val="24"/>
        </w:rPr>
      </w:pPr>
    </w:p>
    <w:p w14:paraId="48429CFD" w14:textId="77777777" w:rsidR="002B1D80" w:rsidRDefault="002B1D80" w:rsidP="00340E9A">
      <w:pPr>
        <w:ind w:right="237"/>
        <w:jc w:val="center"/>
        <w:rPr>
          <w:b/>
          <w:sz w:val="24"/>
          <w:szCs w:val="24"/>
        </w:rPr>
      </w:pPr>
    </w:p>
    <w:p w14:paraId="5224B482" w14:textId="77777777" w:rsidR="002B1D80" w:rsidRDefault="002B1D80" w:rsidP="00340E9A">
      <w:pPr>
        <w:ind w:right="237"/>
        <w:jc w:val="center"/>
        <w:rPr>
          <w:b/>
          <w:sz w:val="24"/>
          <w:szCs w:val="24"/>
        </w:rPr>
      </w:pPr>
    </w:p>
    <w:p w14:paraId="283DFA89" w14:textId="77777777" w:rsidR="002B1D80" w:rsidRDefault="002B1D80" w:rsidP="00340E9A">
      <w:pPr>
        <w:ind w:right="237"/>
        <w:jc w:val="center"/>
        <w:rPr>
          <w:b/>
          <w:sz w:val="24"/>
          <w:szCs w:val="24"/>
        </w:rPr>
      </w:pPr>
    </w:p>
    <w:p w14:paraId="49B5070D" w14:textId="77777777" w:rsidR="002B1D80" w:rsidRDefault="002B1D80" w:rsidP="00340E9A">
      <w:pPr>
        <w:ind w:right="237"/>
        <w:jc w:val="center"/>
        <w:rPr>
          <w:b/>
          <w:sz w:val="24"/>
          <w:szCs w:val="24"/>
        </w:rPr>
      </w:pPr>
    </w:p>
    <w:p w14:paraId="623FE827" w14:textId="77777777" w:rsidR="002B1D80" w:rsidRDefault="002B1D80" w:rsidP="00340E9A">
      <w:pPr>
        <w:ind w:right="237"/>
        <w:jc w:val="center"/>
        <w:rPr>
          <w:b/>
          <w:sz w:val="24"/>
          <w:szCs w:val="24"/>
        </w:rPr>
      </w:pPr>
    </w:p>
    <w:p w14:paraId="23CF9859" w14:textId="77777777" w:rsidR="002B1D80" w:rsidRDefault="002B1D80" w:rsidP="00340E9A">
      <w:pPr>
        <w:ind w:right="237"/>
        <w:jc w:val="center"/>
        <w:rPr>
          <w:b/>
          <w:sz w:val="24"/>
          <w:szCs w:val="24"/>
        </w:rPr>
      </w:pPr>
    </w:p>
    <w:p w14:paraId="6B0989EF" w14:textId="48BA07F2"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916714C" w14:textId="7BFF52AE" w:rsidR="00BE785B" w:rsidRDefault="00BE785B" w:rsidP="005F4933">
      <w:pPr>
        <w:rPr>
          <w:sz w:val="24"/>
          <w:szCs w:val="24"/>
        </w:rPr>
      </w:pPr>
    </w:p>
    <w:p w14:paraId="405C6469" w14:textId="314745B4" w:rsidR="00797997" w:rsidRPr="00797997" w:rsidRDefault="00797997" w:rsidP="00797997">
      <w:pPr>
        <w:ind w:right="237" w:firstLine="720"/>
        <w:rPr>
          <w:sz w:val="24"/>
          <w:szCs w:val="24"/>
        </w:rPr>
      </w:pPr>
      <w:r w:rsidRPr="00797997">
        <w:rPr>
          <w:sz w:val="24"/>
          <w:szCs w:val="24"/>
        </w:rPr>
        <w:t>Intelligence-led policing (ILP) is a proactive approach that utilises information gathering, analysis, and strategic deployment of resources to prevent and disrupt criminal activity (Ratcliffe, 2016). Within the context of road policing, intelligence plays a vital role in combatting organised crime, including drug smuggling, human trafficking, child sexual exploitation (CSE), counterfeit goods distribution, and ‘county lines’ operations (HMICFRS, 2020). Criminal networks frequently exploit the road network to transport illegal goods, evade law enforcement, and expand their activities across regions (NCA, 2021). By leveraging intelligence and information-sharing between agencies, the police can effectively intervene, disrupt, and dismantle these operations (Home Office, 2021).</w:t>
      </w:r>
    </w:p>
    <w:p w14:paraId="3468E225" w14:textId="77777777" w:rsidR="00797997" w:rsidRPr="00797997" w:rsidRDefault="00797997" w:rsidP="00797997">
      <w:pPr>
        <w:ind w:right="237" w:firstLine="720"/>
        <w:jc w:val="both"/>
        <w:rPr>
          <w:sz w:val="24"/>
          <w:szCs w:val="24"/>
        </w:rPr>
      </w:pPr>
      <w:r w:rsidRPr="00797997">
        <w:rPr>
          <w:sz w:val="24"/>
          <w:szCs w:val="24"/>
        </w:rPr>
        <w:t>Intelligence and information-sharing are fundamental to modern policing, particularly in the disruption of prevalent criminal activities such as drug smuggling, human trafficking, child sexual exploitation, and organised crime. Criminal networks frequently exploit the road infrastructure to transport illicit goods and people while evading detection. Intelligence-led policing (ILP) provides law enforcement with a proactive approach, enabling officers to target offenders and prevent criminal activity before it occurs (Ratcliffe, 2016). By analysing patterns in vehicle movements, previous offences, and known associates, police can allocate resources efficiently to intervene at key points in a criminal operation.</w:t>
      </w:r>
    </w:p>
    <w:p w14:paraId="36B87C95" w14:textId="77777777" w:rsidR="00797997" w:rsidRPr="00797997" w:rsidRDefault="00797997" w:rsidP="00797997">
      <w:pPr>
        <w:ind w:right="237" w:firstLine="720"/>
        <w:jc w:val="both"/>
        <w:rPr>
          <w:sz w:val="24"/>
          <w:szCs w:val="24"/>
        </w:rPr>
      </w:pPr>
      <w:r w:rsidRPr="00797997">
        <w:rPr>
          <w:sz w:val="24"/>
          <w:szCs w:val="24"/>
        </w:rPr>
        <w:t>One of the most significant threats to public safety is the operation of ‘county lines’ drug networks, where organised crime groups exploit vulnerable individuals to transport and distribute drugs across different regions (NCA, 2021). These operations rely heavily on road networks, as dealers frequently move between urban hubs and rural areas to expand their reach. Intelligence-sharing between police forces, local authorities, and partner agencies plays a crucial role in identifying high-risk vehicles, mapping out known trafficking routes, and disrupting these networks before they escalate (Home Office, 2021). For instance, by analysing previous arrest data and surveillance records, police can identify vehicles commonly used by drug couriers and coordinate targeted interventions.</w:t>
      </w:r>
    </w:p>
    <w:p w14:paraId="5E90437B" w14:textId="77777777" w:rsidR="00797997" w:rsidRPr="00797997" w:rsidRDefault="00797997" w:rsidP="00797997">
      <w:pPr>
        <w:ind w:right="237" w:firstLine="720"/>
        <w:jc w:val="both"/>
        <w:rPr>
          <w:sz w:val="24"/>
          <w:szCs w:val="24"/>
        </w:rPr>
      </w:pPr>
      <w:r w:rsidRPr="00797997">
        <w:rPr>
          <w:sz w:val="24"/>
          <w:szCs w:val="24"/>
        </w:rPr>
        <w:t xml:space="preserve">Similarly, intelligence is a vital tool in combatting human trafficking and child sexual exploitation, crimes often facilitated through road networks. Victims are </w:t>
      </w:r>
      <w:r w:rsidRPr="00797997">
        <w:rPr>
          <w:sz w:val="24"/>
          <w:szCs w:val="24"/>
        </w:rPr>
        <w:lastRenderedPageBreak/>
        <w:t>frequently transported across jurisdictions to evade detection, making multi-agency cooperation essential (Europol, 2020). Intelligence-sharing between national and international agencies allows police to detect suspicious activity, such as multiple occupants in vehicles crossing borders or patterns of movement that indicate exploitation. For example, coordinated operations across Europe have successfully dismantled trafficking rings by tracking vehicle registrations and movement histories, leading to significant arrests and rescues (Interpol, 2021). The ability to gather and analyse intelligence in real-time ensures that law enforcement can intervene swiftly, safeguarding victims before further harm occurs.</w:t>
      </w:r>
    </w:p>
    <w:p w14:paraId="5F79C057" w14:textId="77777777" w:rsidR="00797997" w:rsidRPr="00797997" w:rsidRDefault="00797997" w:rsidP="00797997">
      <w:pPr>
        <w:ind w:right="237" w:firstLine="720"/>
        <w:jc w:val="both"/>
        <w:rPr>
          <w:sz w:val="24"/>
          <w:szCs w:val="24"/>
        </w:rPr>
      </w:pPr>
      <w:r w:rsidRPr="00797997">
        <w:rPr>
          <w:sz w:val="24"/>
          <w:szCs w:val="24"/>
        </w:rPr>
        <w:t>Counterfeit goods and smuggling operations also rely on roads to distribute illegal merchandise, from fake pharmaceuticals to illicit tobacco products. These crimes not only undermine legitimate businesses but also present serious health risks to consumers. Intelligence-led investigations allow police to track shipments from ports and distribution hubs to identify individuals or organisations involved in large-scale smuggling (HMRC, 2020). By coordinating with border control agencies and customs enforcement, police can intercept these goods before they reach the market, disrupting the financial operations of criminal enterprises. Additionally, surveillance operations that monitor warehouses and transport routes help in dismantling organised crime networks that rely on road transport to sustain illegal trade (OECD, 2019).</w:t>
      </w:r>
    </w:p>
    <w:p w14:paraId="668BE731" w14:textId="77777777" w:rsidR="00797997" w:rsidRPr="00797997" w:rsidRDefault="00797997" w:rsidP="00797997">
      <w:pPr>
        <w:ind w:right="237" w:firstLine="720"/>
        <w:jc w:val="both"/>
        <w:rPr>
          <w:sz w:val="24"/>
          <w:szCs w:val="24"/>
        </w:rPr>
      </w:pPr>
      <w:r w:rsidRPr="00797997">
        <w:rPr>
          <w:sz w:val="24"/>
          <w:szCs w:val="24"/>
        </w:rPr>
        <w:t>Despite the effectiveness of intelligence in disrupting criminal activity, challenges remain in ensuring that information is accurate, up to date, and used responsibly. Intelligence-sharing across agencies must adhere to legal and ethical standards to prevent misuse of data or privacy breaches (Liberty, 2019). Additionally, reliance on intelligence-driven policing must be balanced with considerations of proportionality and fairness, ensuring that enforcement efforts do not disproportionately target specific communities or lead to racial profiling. As intelligence capabilities continue to advance, law enforcement must remain vigilant in upholding ethical standards while leveraging these resources for crime disruption.</w:t>
      </w:r>
    </w:p>
    <w:p w14:paraId="59F728F1" w14:textId="77777777" w:rsidR="00797997" w:rsidRPr="00797997" w:rsidRDefault="00797997" w:rsidP="00797997">
      <w:pPr>
        <w:ind w:right="237" w:firstLine="720"/>
        <w:jc w:val="both"/>
        <w:rPr>
          <w:sz w:val="24"/>
          <w:szCs w:val="24"/>
        </w:rPr>
      </w:pPr>
      <w:r w:rsidRPr="00797997">
        <w:rPr>
          <w:sz w:val="24"/>
          <w:szCs w:val="24"/>
        </w:rPr>
        <w:t>Automatic Number Plate Recognition (ANPR) is a crucial investigative tool in modern policing, particularly in the disruption of criminal activity on the roads. By using cameras equipped with optical character recognition technology, ANPR systems capture and store vehicle registration data, allowing law enforcement to track and monitor suspect vehicles in real time (College of Policing, 2021). This technology enables police to identify vehicles linked to criminal activities, such as drug trafficking, human trafficking, and organised crime, by cross-referencing registration data with intelligence databases. As a result, ANPR has become an essential resource in proactive policing, aiding investigations and enhancing road safety.</w:t>
      </w:r>
    </w:p>
    <w:p w14:paraId="79EA8169" w14:textId="77777777" w:rsidR="00797997" w:rsidRPr="00797997" w:rsidRDefault="00797997" w:rsidP="00797997">
      <w:pPr>
        <w:ind w:right="237" w:firstLine="720"/>
        <w:jc w:val="both"/>
        <w:rPr>
          <w:sz w:val="24"/>
          <w:szCs w:val="24"/>
        </w:rPr>
      </w:pPr>
      <w:r w:rsidRPr="00797997">
        <w:rPr>
          <w:sz w:val="24"/>
          <w:szCs w:val="24"/>
        </w:rPr>
        <w:t xml:space="preserve">One of the primary uses of ANPR in criminal investigations is the identification and tracking of vehicles associated with county lines drug operations. Criminal gangs involved in county lines use road networks to transport illegal substances between urban centres and rural areas, often exploiting young and vulnerable individuals as couriers (National Crime Agency, 2021). ANPR data allows police to identify vehicles making frequent journeys along known trafficking routes, monitor movements, and build intelligence on criminal networks. This targeted approach has led to numerous arrests and the disruption of organised crime groups. For instance, in a major operation conducted by UK law enforcement, ANPR analysis played a pivotal role in identifying and intercepting drug traffickers travelling </w:t>
      </w:r>
      <w:r w:rsidRPr="00797997">
        <w:rPr>
          <w:sz w:val="24"/>
          <w:szCs w:val="24"/>
        </w:rPr>
        <w:lastRenderedPageBreak/>
        <w:t>between London and regional towns, leading to multiple convictions and the seizure of illicit substances (Home Office, 2021).</w:t>
      </w:r>
    </w:p>
    <w:p w14:paraId="34738D82" w14:textId="77777777" w:rsidR="00797997" w:rsidRPr="00797997" w:rsidRDefault="00797997" w:rsidP="00797997">
      <w:pPr>
        <w:ind w:right="237" w:firstLine="720"/>
        <w:jc w:val="both"/>
        <w:rPr>
          <w:sz w:val="24"/>
          <w:szCs w:val="24"/>
        </w:rPr>
      </w:pPr>
      <w:r w:rsidRPr="00797997">
        <w:rPr>
          <w:sz w:val="24"/>
          <w:szCs w:val="24"/>
        </w:rPr>
        <w:t>Similarly, ANPR technology has been instrumental in combatting human trafficking and child sexual exploitation, where offenders frequently use vehicles to transport victims across jurisdictions. Law enforcement agencies use ANPR to track vehicles linked to known traffickers, identify unusual movement patterns, and locate missing persons (Europol, 2020). In cases where victims are forcibly transported against their will, real-time ANPR alerts enable police to intercept suspect vehicles promptly, increasing the chances of rescuing individuals before further harm occurs. This capability has been particularly effective in international operations, where ANPR data is shared between agencies to dismantle trafficking networks operating across multiple borders (Interpol, 2021).</w:t>
      </w:r>
    </w:p>
    <w:p w14:paraId="50089183" w14:textId="77777777" w:rsidR="00797997" w:rsidRPr="00797997" w:rsidRDefault="00797997" w:rsidP="00797997">
      <w:pPr>
        <w:ind w:right="237" w:firstLine="720"/>
        <w:jc w:val="both"/>
        <w:rPr>
          <w:sz w:val="24"/>
          <w:szCs w:val="24"/>
        </w:rPr>
      </w:pPr>
      <w:r w:rsidRPr="00797997">
        <w:rPr>
          <w:sz w:val="24"/>
          <w:szCs w:val="24"/>
        </w:rPr>
        <w:t>ANPR also plays a significant role in identifying and disrupting organised crime groups involved in illicit trade, including counterfeit goods and smuggling operations. Criminals often use road transport to distribute fake pharmaceuticals, contraband tobacco, and other illicit products, evading customs checks and exploiting logistical weaknesses (HM Revenue &amp; Customs, 2020). By analysing ANPR data, police can identify patterns of vehicle movement linked to smuggling routes, monitor high-risk locations, and coordinate operations to seize illegal goods before they reach consumers. This intelligence-led approach ensures that enforcement efforts are both efficient and effective, targeting offenders based on real-time data rather than random searches (OECD, 2019).</w:t>
      </w:r>
    </w:p>
    <w:p w14:paraId="73C32DE5" w14:textId="77777777" w:rsidR="00797997" w:rsidRPr="00797997" w:rsidRDefault="00797997" w:rsidP="00797997">
      <w:pPr>
        <w:ind w:right="237" w:firstLine="720"/>
        <w:jc w:val="both"/>
        <w:rPr>
          <w:sz w:val="24"/>
          <w:szCs w:val="24"/>
        </w:rPr>
      </w:pPr>
      <w:r w:rsidRPr="00797997">
        <w:rPr>
          <w:sz w:val="24"/>
          <w:szCs w:val="24"/>
        </w:rPr>
        <w:t>In addition to aiding specific investigations, ANPR contributes to broader crime prevention strategies by enabling police to enforce road safety laws and disrupt criminal behaviour before it escalates. ANPR cameras can be programmed to detect vehicles associated with uninsured drivers, stolen cars, and individuals with outstanding warrants (College of Policing, 2021). This proactive enforcement deters criminals from using the road network for illicit purposes while improving overall public safety. For example, in one UK-wide operation, ANPR-assisted roadside checks led to the arrest of multiple individuals involved in fraud, weapons offences, and drug distribution, highlighting its value in proactive policing (Home Office, 2021).</w:t>
      </w:r>
    </w:p>
    <w:p w14:paraId="21C4AC32" w14:textId="77777777" w:rsidR="00797997" w:rsidRPr="00797997" w:rsidRDefault="00797997" w:rsidP="00797997">
      <w:pPr>
        <w:ind w:right="237" w:firstLine="720"/>
        <w:jc w:val="both"/>
        <w:rPr>
          <w:sz w:val="24"/>
          <w:szCs w:val="24"/>
        </w:rPr>
      </w:pPr>
      <w:r w:rsidRPr="00797997">
        <w:rPr>
          <w:sz w:val="24"/>
          <w:szCs w:val="24"/>
        </w:rPr>
        <w:t>Despite its effectiveness, ANPR use raises ethical and privacy concerns that must be carefully managed. Civil liberties groups have expressed concerns about the mass collection and retention of vehicle data, arguing that improper use could lead to intrusive surveillance practices (Liberty, 2020). To address these concerns, law enforcement agencies must ensure that ANPR data is used proportionally and in compliance with data protection laws, balancing security needs with individual privacy rights. This includes implementing strict access controls, conducting regular audits, and ensuring that ANPR deployments align with legal frameworks such as the Data Protection Act 2018 (ICO, 2020).</w:t>
      </w:r>
    </w:p>
    <w:p w14:paraId="110EB356" w14:textId="77777777" w:rsidR="00797997" w:rsidRPr="00797997" w:rsidRDefault="00797997" w:rsidP="00797997">
      <w:pPr>
        <w:ind w:right="237" w:firstLine="720"/>
        <w:jc w:val="both"/>
        <w:rPr>
          <w:sz w:val="24"/>
          <w:szCs w:val="24"/>
        </w:rPr>
      </w:pPr>
      <w:r w:rsidRPr="00797997">
        <w:rPr>
          <w:sz w:val="24"/>
          <w:szCs w:val="24"/>
        </w:rPr>
        <w:t xml:space="preserve">The continued advancement of ANPR technology offers opportunities for further enhancing investigative capabilities. The integration of artificial intelligence (AI) and machine learning algorithms with ANPR systems allows for more sophisticated data analysis, improving the accuracy of vehicle identification and anomaly detection (Piza, 2020). Additionally, increased collaboration between law enforcement agencies and private sector partners, such as toll operators and transport authorities, could further expand the reach and effectiveness of ANPR in crime prevention. However, maintaining transparency and accountability in the </w:t>
      </w:r>
      <w:r w:rsidRPr="00797997">
        <w:rPr>
          <w:sz w:val="24"/>
          <w:szCs w:val="24"/>
        </w:rPr>
        <w:lastRenderedPageBreak/>
        <w:t>deployment of ANPR technology will be critical to sustaining public trust and ensuring ethical policing practices.</w:t>
      </w:r>
    </w:p>
    <w:p w14:paraId="7F4F9301" w14:textId="77777777" w:rsidR="00797997" w:rsidRPr="00797997" w:rsidRDefault="00797997" w:rsidP="00797997">
      <w:pPr>
        <w:ind w:right="237" w:firstLine="720"/>
        <w:jc w:val="both"/>
        <w:rPr>
          <w:sz w:val="24"/>
          <w:szCs w:val="24"/>
        </w:rPr>
      </w:pPr>
      <w:r w:rsidRPr="00797997">
        <w:rPr>
          <w:sz w:val="24"/>
          <w:szCs w:val="24"/>
        </w:rPr>
        <w:t>The effective policing of roads plays a vital role in ensuring compliance with professional standards, policies, and legal requirements within law enforcement. Team dynamics, decision-making processes, and operational conduct in road policing can significantly influence adherence to ethical guidelines and procedural integrity. The Code of Ethics, which underpins policing standards in the UK, emphasises principles such as accountability, fairness, and respect (College of Policing, 2014). However, when road policing teams experience poor leadership, ineffective communication, or a lack of cohesive teamwork, professional standards may be compromised, leading to misconduct, biased decision-making, or operational failures. Ensuring that road policing operations remain in line with ethical and legal frameworks is crucial in maintaining public trust and the legitimacy of law enforcement.</w:t>
      </w:r>
    </w:p>
    <w:p w14:paraId="2AC77D62" w14:textId="77777777" w:rsidR="00797997" w:rsidRPr="00797997" w:rsidRDefault="00797997" w:rsidP="00797997">
      <w:pPr>
        <w:ind w:right="237" w:firstLine="720"/>
        <w:jc w:val="both"/>
        <w:rPr>
          <w:sz w:val="24"/>
          <w:szCs w:val="24"/>
        </w:rPr>
      </w:pPr>
      <w:r w:rsidRPr="00797997">
        <w:rPr>
          <w:sz w:val="24"/>
          <w:szCs w:val="24"/>
        </w:rPr>
        <w:t>One of the key challenges in road policing that can lead to non-compliance with professional standards is the improper use of intelligence and profiling techniques. Intelligence-led policing relies on accurate information gathering and analysis to identify high-risk vehicles and individuals (Ratcliffe, 2021). However, if officers operate without clear guidelines or oversight, there is a risk of discriminatory practices, such as racial profiling or bias in stop-and-search procedures (Bowling &amp; Phillips, 2021). Research has shown that road policing operations sometimes disproportionately target minority communities, leading to perceptions of unfair treatment and damaging community relations (Shiner et al., 2018). To mitigate this risk, police teams must adhere to clear intelligence-led strategies that prioritise objective data analysis over subjective biases. Implementing regular training on unconscious bias, alongside robust oversight mechanisms, can help ensure that intelligence is used ethically and proportionately in road policing operations.</w:t>
      </w:r>
    </w:p>
    <w:p w14:paraId="28CF4836" w14:textId="77777777" w:rsidR="00797997" w:rsidRPr="00797997" w:rsidRDefault="00797997" w:rsidP="00797997">
      <w:pPr>
        <w:ind w:right="237" w:firstLine="720"/>
        <w:jc w:val="both"/>
        <w:rPr>
          <w:sz w:val="24"/>
          <w:szCs w:val="24"/>
        </w:rPr>
      </w:pPr>
      <w:r w:rsidRPr="00797997">
        <w:rPr>
          <w:sz w:val="24"/>
          <w:szCs w:val="24"/>
        </w:rPr>
        <w:t>In addition to ethical concerns, failures in compliance with professional standards may arise from poor coordination and communication within road policing teams. Effective team dynamics require clear role definition, shared situational awareness, and collaborative decision-making processes (Reiner, 2021). However, when officers fail to communicate effectively, there is a higher likelihood of operational errors, such as incorrect intelligence sharing, misidentification of suspects, or failure to adhere to pursuit protocols. Such breakdowns in communication can have severe consequences, including wrongful arrests or avoidable public safety risks (Bayley, 2018). To address these challenges, police forces must invest in training programs that enhance teamwork, develop debriefing mechanisms for reviewing critical incidents, and encourage reflective practices that allow officers to assess their decision-making in high-pressure environments.</w:t>
      </w:r>
    </w:p>
    <w:p w14:paraId="33120587" w14:textId="77777777" w:rsidR="00797997" w:rsidRPr="00797997" w:rsidRDefault="00797997" w:rsidP="00797997">
      <w:pPr>
        <w:ind w:right="237" w:firstLine="720"/>
        <w:jc w:val="both"/>
        <w:rPr>
          <w:sz w:val="24"/>
          <w:szCs w:val="24"/>
        </w:rPr>
      </w:pPr>
      <w:r w:rsidRPr="00797997">
        <w:rPr>
          <w:sz w:val="24"/>
          <w:szCs w:val="24"/>
        </w:rPr>
        <w:t>The role of technology in road policing also presents challenges related to professional standards, particularly in the ethical use of surveillance tools such as Automatic Number Plate Recognition (ANPR). While ANPR significantly enhances law enforcement capabilities by tracking suspect vehicles and identifying criminal activity, it also raises concerns regarding data privacy and the proportionality of surveillance (ICO, 2020). Misuse of ANPR data—whether through unauthorised access, excessive data retention, or failure to comply with data protection laws—can undermine public confidence in policing practices (Liberty, 2020). Police teams must therefore ensure strict adherence to data protection regulations, conducting regular audits and transparency reports to reassure the public that surveillance tools are being used responsibly and in compliance with legal requirements.</w:t>
      </w:r>
    </w:p>
    <w:p w14:paraId="6057A0E6" w14:textId="5EA30313" w:rsidR="00797997" w:rsidRDefault="00797997" w:rsidP="00340E9A">
      <w:pPr>
        <w:ind w:right="237"/>
        <w:jc w:val="both"/>
        <w:rPr>
          <w:sz w:val="24"/>
          <w:szCs w:val="24"/>
        </w:rPr>
      </w:pPr>
      <w:r>
        <w:rPr>
          <w:sz w:val="24"/>
          <w:szCs w:val="24"/>
        </w:rPr>
        <w:lastRenderedPageBreak/>
        <w:tab/>
      </w:r>
      <w:r w:rsidRPr="00797997">
        <w:rPr>
          <w:sz w:val="24"/>
          <w:szCs w:val="24"/>
        </w:rPr>
        <w:t>The policing of roads plays a crucial role in disrupting prevalent criminal activities such as drug smuggling, human trafficking, and organised crime. Through the strategic use of information and intelligence, law enforcement can identify and intercept offenders, thereby enhancing public safety and crime prevention efforts. The implementation of intelligence-led policing has proven to be highly effective, allowing officers to prioritise high-risk individuals and vehicles based on real-time data analysis (Ratcliffe, 2021). However, ethical considerations, such as the risk of profiling and data misuse, must be carefully managed to ensure compliance with professional standards and maintain public trust in law enforcement practices (Bowling &amp; Phillips, 2021).</w:t>
      </w:r>
    </w:p>
    <w:p w14:paraId="2D4B9858" w14:textId="77777777" w:rsidR="00797997" w:rsidRDefault="00797997" w:rsidP="00340E9A">
      <w:pPr>
        <w:ind w:right="237"/>
        <w:jc w:val="both"/>
        <w:rPr>
          <w:sz w:val="24"/>
          <w:szCs w:val="24"/>
        </w:rPr>
      </w:pPr>
    </w:p>
    <w:p w14:paraId="3A585DAC" w14:textId="77777777" w:rsidR="00797997" w:rsidRPr="00450C83" w:rsidRDefault="00797997" w:rsidP="00340E9A">
      <w:pPr>
        <w:ind w:right="237"/>
        <w:jc w:val="both"/>
        <w:rPr>
          <w:b/>
          <w:sz w:val="24"/>
          <w:szCs w:val="24"/>
        </w:rPr>
      </w:pPr>
    </w:p>
    <w:p w14:paraId="52FCEE5A" w14:textId="4C291998" w:rsidR="00025650" w:rsidRDefault="00EF3E0D" w:rsidP="00340E9A">
      <w:pPr>
        <w:ind w:right="237"/>
        <w:jc w:val="both"/>
        <w:rPr>
          <w:sz w:val="24"/>
          <w:szCs w:val="24"/>
        </w:rPr>
      </w:pPr>
      <w:r>
        <w:rPr>
          <w:sz w:val="24"/>
          <w:szCs w:val="24"/>
        </w:rPr>
        <w:t>(Word count – 1</w:t>
      </w:r>
      <w:r w:rsidR="00797997">
        <w:rPr>
          <w:sz w:val="24"/>
          <w:szCs w:val="24"/>
        </w:rPr>
        <w:t>900</w:t>
      </w:r>
      <w:r>
        <w:rPr>
          <w:sz w:val="24"/>
          <w:szCs w:val="24"/>
        </w:rPr>
        <w:t xml:space="preserve">) </w:t>
      </w:r>
    </w:p>
    <w:p w14:paraId="0BD9AC8A" w14:textId="77777777" w:rsidR="00797997" w:rsidRDefault="00797997" w:rsidP="00340E9A">
      <w:pPr>
        <w:ind w:right="237"/>
        <w:jc w:val="both"/>
        <w:rPr>
          <w:sz w:val="24"/>
          <w:szCs w:val="24"/>
        </w:rPr>
      </w:pPr>
    </w:p>
    <w:p w14:paraId="043A4483" w14:textId="77777777" w:rsidR="00682D1C" w:rsidRPr="00E8394C" w:rsidRDefault="00682D1C" w:rsidP="00682D1C">
      <w:pPr>
        <w:rPr>
          <w:b/>
          <w:sz w:val="24"/>
          <w:szCs w:val="24"/>
        </w:rPr>
      </w:pPr>
      <w:r w:rsidRPr="64D01D80">
        <w:rPr>
          <w:b/>
          <w:bCs/>
          <w:sz w:val="24"/>
          <w:szCs w:val="24"/>
        </w:rPr>
        <w:t>Bibliography</w:t>
      </w:r>
    </w:p>
    <w:p w14:paraId="2FC12AD0" w14:textId="77777777" w:rsidR="00797997" w:rsidRPr="00797997" w:rsidRDefault="00797997" w:rsidP="00797997">
      <w:pPr>
        <w:spacing w:before="240"/>
        <w:ind w:left="720" w:right="238" w:hanging="720"/>
        <w:jc w:val="both"/>
        <w:rPr>
          <w:sz w:val="24"/>
          <w:szCs w:val="24"/>
        </w:rPr>
      </w:pPr>
      <w:r w:rsidRPr="00797997">
        <w:rPr>
          <w:sz w:val="24"/>
          <w:szCs w:val="24"/>
        </w:rPr>
        <w:t>Bayley, D.H. (2018) Patterns of Policing: A Comparative International Analysis. London: Routledge.</w:t>
      </w:r>
    </w:p>
    <w:p w14:paraId="20942E4E" w14:textId="77777777" w:rsidR="00797997" w:rsidRPr="00797997" w:rsidRDefault="00797997" w:rsidP="00797997">
      <w:pPr>
        <w:spacing w:before="240"/>
        <w:ind w:left="720" w:right="238" w:hanging="720"/>
        <w:jc w:val="both"/>
        <w:rPr>
          <w:sz w:val="24"/>
          <w:szCs w:val="24"/>
        </w:rPr>
      </w:pPr>
      <w:r w:rsidRPr="00797997">
        <w:rPr>
          <w:sz w:val="24"/>
          <w:szCs w:val="24"/>
        </w:rPr>
        <w:t>Bowling, B. and Phillips, C. (2021) Policing Ethnicity and Bias: Race, Crime and Criminal Justice. Oxford: Oxford University Press.</w:t>
      </w:r>
    </w:p>
    <w:p w14:paraId="6FC11769" w14:textId="77777777" w:rsidR="00797997" w:rsidRPr="00797997" w:rsidRDefault="00797997" w:rsidP="00797997">
      <w:pPr>
        <w:spacing w:before="240"/>
        <w:ind w:left="720" w:right="238" w:hanging="720"/>
        <w:jc w:val="both"/>
        <w:rPr>
          <w:sz w:val="24"/>
          <w:szCs w:val="24"/>
        </w:rPr>
      </w:pPr>
      <w:r w:rsidRPr="00797997">
        <w:rPr>
          <w:sz w:val="24"/>
          <w:szCs w:val="24"/>
        </w:rPr>
        <w:t>College of Policing (2014) Code of Ethics: A Code of Practice for the Principles and Standards of Professional Behaviour for the Policing Profession of England and Wales. London: College of Policing.</w:t>
      </w:r>
    </w:p>
    <w:p w14:paraId="5DAC165F" w14:textId="77777777" w:rsidR="00797997" w:rsidRPr="00797997" w:rsidRDefault="00797997" w:rsidP="00797997">
      <w:pPr>
        <w:spacing w:before="240"/>
        <w:ind w:left="720" w:right="238" w:hanging="720"/>
        <w:jc w:val="both"/>
        <w:rPr>
          <w:sz w:val="24"/>
          <w:szCs w:val="24"/>
        </w:rPr>
      </w:pPr>
      <w:r w:rsidRPr="00797997">
        <w:rPr>
          <w:sz w:val="24"/>
          <w:szCs w:val="24"/>
        </w:rPr>
        <w:t>College of Policing (2021) ANPR and its Role in Law Enforcement. Available at: www.college.police.uk (Accessed: 10 March 2025).</w:t>
      </w:r>
    </w:p>
    <w:p w14:paraId="2DE324D6" w14:textId="77777777" w:rsidR="00797997" w:rsidRPr="00797997" w:rsidRDefault="00797997" w:rsidP="00797997">
      <w:pPr>
        <w:spacing w:before="240"/>
        <w:ind w:left="720" w:right="238" w:hanging="720"/>
        <w:jc w:val="both"/>
        <w:rPr>
          <w:sz w:val="24"/>
          <w:szCs w:val="24"/>
        </w:rPr>
      </w:pPr>
      <w:r w:rsidRPr="00797997">
        <w:rPr>
          <w:sz w:val="24"/>
          <w:szCs w:val="24"/>
        </w:rPr>
        <w:t>Europol (2020) Trafficking in Human Beings in the EU: A Crime Analysis Report. The Hague: Europol.</w:t>
      </w:r>
    </w:p>
    <w:p w14:paraId="7E08F5E9" w14:textId="77777777" w:rsidR="00797997" w:rsidRPr="00797997" w:rsidRDefault="00797997" w:rsidP="00797997">
      <w:pPr>
        <w:spacing w:before="240"/>
        <w:ind w:left="720" w:right="238" w:hanging="720"/>
        <w:jc w:val="both"/>
        <w:rPr>
          <w:sz w:val="24"/>
          <w:szCs w:val="24"/>
        </w:rPr>
      </w:pPr>
      <w:r w:rsidRPr="00797997">
        <w:rPr>
          <w:sz w:val="24"/>
          <w:szCs w:val="24"/>
        </w:rPr>
        <w:t>HMICFRS (2020) An Inspection of Roads Policing: Not Optional. London: HM Inspectorate of Constabulary and Fire &amp; Rescue Services.</w:t>
      </w:r>
    </w:p>
    <w:p w14:paraId="38CEF97C" w14:textId="77777777" w:rsidR="00797997" w:rsidRPr="00797997" w:rsidRDefault="00797997" w:rsidP="00797997">
      <w:pPr>
        <w:spacing w:before="240"/>
        <w:ind w:left="720" w:right="238" w:hanging="720"/>
        <w:jc w:val="both"/>
        <w:rPr>
          <w:sz w:val="24"/>
          <w:szCs w:val="24"/>
        </w:rPr>
      </w:pPr>
      <w:r w:rsidRPr="00797997">
        <w:rPr>
          <w:sz w:val="24"/>
          <w:szCs w:val="24"/>
        </w:rPr>
        <w:t>HM Revenue &amp; Customs (2020) Illicit Trade and the UK Economy: Counterfeit and Smuggled Goods. London: HMRC.</w:t>
      </w:r>
    </w:p>
    <w:p w14:paraId="7745DE0A" w14:textId="77777777" w:rsidR="00797997" w:rsidRPr="00797997" w:rsidRDefault="00797997" w:rsidP="00797997">
      <w:pPr>
        <w:spacing w:before="240"/>
        <w:ind w:left="720" w:right="238" w:hanging="720"/>
        <w:jc w:val="both"/>
        <w:rPr>
          <w:sz w:val="24"/>
          <w:szCs w:val="24"/>
        </w:rPr>
      </w:pPr>
      <w:r w:rsidRPr="00797997">
        <w:rPr>
          <w:sz w:val="24"/>
          <w:szCs w:val="24"/>
        </w:rPr>
        <w:t>Home Office (2021) County Lines Drug Supply, Vulnerability and Harm 2021 Report. London: Home Office.</w:t>
      </w:r>
    </w:p>
    <w:p w14:paraId="4E641739" w14:textId="77777777" w:rsidR="00797997" w:rsidRPr="00797997" w:rsidRDefault="00797997" w:rsidP="00797997">
      <w:pPr>
        <w:spacing w:before="240"/>
        <w:ind w:left="720" w:right="238" w:hanging="720"/>
        <w:jc w:val="both"/>
        <w:rPr>
          <w:sz w:val="24"/>
          <w:szCs w:val="24"/>
        </w:rPr>
      </w:pPr>
      <w:r w:rsidRPr="00797997">
        <w:rPr>
          <w:sz w:val="24"/>
          <w:szCs w:val="24"/>
        </w:rPr>
        <w:t>Information Commissioner's Office (ICO) (2020) ANPR and Data Protection Compliance Guidance. Available at: www.ico.org.uk (Accessed: 10 March 2025).</w:t>
      </w:r>
    </w:p>
    <w:p w14:paraId="70DBCDA1" w14:textId="77777777" w:rsidR="00797997" w:rsidRPr="00797997" w:rsidRDefault="00797997" w:rsidP="00797997">
      <w:pPr>
        <w:spacing w:before="240"/>
        <w:ind w:left="720" w:right="238" w:hanging="720"/>
        <w:jc w:val="both"/>
        <w:rPr>
          <w:sz w:val="24"/>
          <w:szCs w:val="24"/>
        </w:rPr>
      </w:pPr>
      <w:r w:rsidRPr="00797997">
        <w:rPr>
          <w:sz w:val="24"/>
          <w:szCs w:val="24"/>
        </w:rPr>
        <w:t>Interpol (2021) Global Trends in Human Trafficking: Law Enforcement Strategies and Best Practices. Lyon: Interpol.</w:t>
      </w:r>
    </w:p>
    <w:p w14:paraId="3B6C9738" w14:textId="77777777" w:rsidR="00797997" w:rsidRPr="00797997" w:rsidRDefault="00797997" w:rsidP="00797997">
      <w:pPr>
        <w:spacing w:before="240"/>
        <w:ind w:left="720" w:right="238" w:hanging="720"/>
        <w:jc w:val="both"/>
        <w:rPr>
          <w:sz w:val="24"/>
          <w:szCs w:val="24"/>
        </w:rPr>
      </w:pPr>
      <w:r w:rsidRPr="00797997">
        <w:rPr>
          <w:sz w:val="24"/>
          <w:szCs w:val="24"/>
        </w:rPr>
        <w:t>Liberty (2019) Surveillance and Civil Liberties: The Risks of Mass Data Collection. Available at: www.libertyhumanrights.org.uk (Accessed: 10 March 2025).</w:t>
      </w:r>
    </w:p>
    <w:p w14:paraId="4FF21164" w14:textId="77777777" w:rsidR="00797997" w:rsidRPr="00797997" w:rsidRDefault="00797997" w:rsidP="00797997">
      <w:pPr>
        <w:spacing w:before="240"/>
        <w:ind w:left="720" w:right="238" w:hanging="720"/>
        <w:jc w:val="both"/>
        <w:rPr>
          <w:sz w:val="24"/>
          <w:szCs w:val="24"/>
        </w:rPr>
      </w:pPr>
      <w:r w:rsidRPr="00797997">
        <w:rPr>
          <w:sz w:val="24"/>
          <w:szCs w:val="24"/>
        </w:rPr>
        <w:lastRenderedPageBreak/>
        <w:t>Liberty (2020) Automated Number Plate Recognition (ANPR) and Privacy Concerns. Available at: www.libertyhumanrights.org.uk (Accessed: 10 March 2025).</w:t>
      </w:r>
    </w:p>
    <w:p w14:paraId="1491FF33" w14:textId="77777777" w:rsidR="00797997" w:rsidRPr="00797997" w:rsidRDefault="00797997" w:rsidP="00797997">
      <w:pPr>
        <w:spacing w:before="240"/>
        <w:ind w:left="720" w:right="238" w:hanging="720"/>
        <w:jc w:val="both"/>
        <w:rPr>
          <w:sz w:val="24"/>
          <w:szCs w:val="24"/>
        </w:rPr>
      </w:pPr>
      <w:r w:rsidRPr="00797997">
        <w:rPr>
          <w:sz w:val="24"/>
          <w:szCs w:val="24"/>
        </w:rPr>
        <w:t>National Crime Agency (NCA) (2021) County Lines: The Criminal Networks Operating Across the UK. London: NCA.</w:t>
      </w:r>
    </w:p>
    <w:p w14:paraId="3FF80126" w14:textId="77777777" w:rsidR="00797997" w:rsidRPr="00797997" w:rsidRDefault="00797997" w:rsidP="00797997">
      <w:pPr>
        <w:spacing w:before="240"/>
        <w:ind w:left="720" w:right="238" w:hanging="720"/>
        <w:jc w:val="both"/>
        <w:rPr>
          <w:sz w:val="24"/>
          <w:szCs w:val="24"/>
        </w:rPr>
      </w:pPr>
      <w:r w:rsidRPr="00797997">
        <w:rPr>
          <w:sz w:val="24"/>
          <w:szCs w:val="24"/>
        </w:rPr>
        <w:t>OECD (2019) The Economic and Social Impact of Counterfeit Goods and Illicit Trade. Paris: Organisation for Economic Co-operation and Development.</w:t>
      </w:r>
    </w:p>
    <w:p w14:paraId="2850DC6F" w14:textId="77777777" w:rsidR="00797997" w:rsidRPr="00797997" w:rsidRDefault="00797997" w:rsidP="00797997">
      <w:pPr>
        <w:spacing w:before="240"/>
        <w:ind w:left="720" w:right="238" w:hanging="720"/>
        <w:jc w:val="both"/>
        <w:rPr>
          <w:sz w:val="24"/>
          <w:szCs w:val="24"/>
        </w:rPr>
      </w:pPr>
      <w:r w:rsidRPr="00797997">
        <w:rPr>
          <w:sz w:val="24"/>
          <w:szCs w:val="24"/>
        </w:rPr>
        <w:t>Piza, E.L. (2020) The Role of AI and Big Data in Modern Policing Strategies. London: Routledge.</w:t>
      </w:r>
    </w:p>
    <w:p w14:paraId="412548B2" w14:textId="77777777" w:rsidR="00797997" w:rsidRPr="00797997" w:rsidRDefault="00797997" w:rsidP="00797997">
      <w:pPr>
        <w:spacing w:before="240"/>
        <w:ind w:left="720" w:right="238" w:hanging="720"/>
        <w:jc w:val="both"/>
        <w:rPr>
          <w:sz w:val="24"/>
          <w:szCs w:val="24"/>
        </w:rPr>
      </w:pPr>
      <w:r w:rsidRPr="00797997">
        <w:rPr>
          <w:sz w:val="24"/>
          <w:szCs w:val="24"/>
        </w:rPr>
        <w:t xml:space="preserve">Ratcliffe, J. (2016) Intelligence-Led Policing. 2nd </w:t>
      </w:r>
      <w:proofErr w:type="spellStart"/>
      <w:r w:rsidRPr="00797997">
        <w:rPr>
          <w:sz w:val="24"/>
          <w:szCs w:val="24"/>
        </w:rPr>
        <w:t>edn</w:t>
      </w:r>
      <w:proofErr w:type="spellEnd"/>
      <w:r w:rsidRPr="00797997">
        <w:rPr>
          <w:sz w:val="24"/>
          <w:szCs w:val="24"/>
        </w:rPr>
        <w:t>. London: Routledge.</w:t>
      </w:r>
    </w:p>
    <w:p w14:paraId="4E629B3F" w14:textId="77777777" w:rsidR="00797997" w:rsidRPr="00797997" w:rsidRDefault="00797997" w:rsidP="00797997">
      <w:pPr>
        <w:spacing w:before="240"/>
        <w:ind w:left="720" w:right="238" w:hanging="720"/>
        <w:jc w:val="both"/>
        <w:rPr>
          <w:sz w:val="24"/>
          <w:szCs w:val="24"/>
        </w:rPr>
      </w:pPr>
      <w:r w:rsidRPr="00797997">
        <w:rPr>
          <w:sz w:val="24"/>
          <w:szCs w:val="24"/>
        </w:rPr>
        <w:t xml:space="preserve">Ratcliffe, J. (2021) Intelligence-Led Policing and Crime Disruption Strategies. 3rd </w:t>
      </w:r>
      <w:proofErr w:type="spellStart"/>
      <w:r w:rsidRPr="00797997">
        <w:rPr>
          <w:sz w:val="24"/>
          <w:szCs w:val="24"/>
        </w:rPr>
        <w:t>edn</w:t>
      </w:r>
      <w:proofErr w:type="spellEnd"/>
      <w:r w:rsidRPr="00797997">
        <w:rPr>
          <w:sz w:val="24"/>
          <w:szCs w:val="24"/>
        </w:rPr>
        <w:t>. London: Routledge.</w:t>
      </w:r>
    </w:p>
    <w:p w14:paraId="37EA9DC6" w14:textId="77777777" w:rsidR="00797997" w:rsidRPr="00797997" w:rsidRDefault="00797997" w:rsidP="00797997">
      <w:pPr>
        <w:spacing w:before="240"/>
        <w:ind w:left="720" w:right="238" w:hanging="720"/>
        <w:jc w:val="both"/>
        <w:rPr>
          <w:sz w:val="24"/>
          <w:szCs w:val="24"/>
        </w:rPr>
      </w:pPr>
      <w:r w:rsidRPr="00797997">
        <w:rPr>
          <w:sz w:val="24"/>
          <w:szCs w:val="24"/>
        </w:rPr>
        <w:t xml:space="preserve">Reiner, R. (2021) The Politics of the Police. 5th </w:t>
      </w:r>
      <w:proofErr w:type="spellStart"/>
      <w:r w:rsidRPr="00797997">
        <w:rPr>
          <w:sz w:val="24"/>
          <w:szCs w:val="24"/>
        </w:rPr>
        <w:t>edn</w:t>
      </w:r>
      <w:proofErr w:type="spellEnd"/>
      <w:r w:rsidRPr="00797997">
        <w:rPr>
          <w:sz w:val="24"/>
          <w:szCs w:val="24"/>
        </w:rPr>
        <w:t>. Oxford: Oxford University Press.</w:t>
      </w:r>
    </w:p>
    <w:p w14:paraId="14726931" w14:textId="3EB37F42" w:rsidR="00682D1C" w:rsidRPr="00270EEB" w:rsidRDefault="00797997" w:rsidP="00797997">
      <w:pPr>
        <w:spacing w:before="240"/>
        <w:ind w:left="720" w:right="238" w:hanging="720"/>
        <w:jc w:val="both"/>
        <w:rPr>
          <w:sz w:val="24"/>
          <w:szCs w:val="24"/>
        </w:rPr>
      </w:pPr>
      <w:r w:rsidRPr="00797997">
        <w:rPr>
          <w:sz w:val="24"/>
          <w:szCs w:val="24"/>
        </w:rPr>
        <w:t xml:space="preserve">Shiner, M., Carre, Z., Delsol, R. and Eastwood, N. (2018) The Colour of Injustice: ‘Race’, Drugs and Law Enforcement in England and Wales. London: </w:t>
      </w:r>
      <w:proofErr w:type="spellStart"/>
      <w:r w:rsidRPr="00797997">
        <w:rPr>
          <w:sz w:val="24"/>
          <w:szCs w:val="24"/>
        </w:rPr>
        <w:t>StopWatch</w:t>
      </w:r>
      <w:proofErr w:type="spellEnd"/>
      <w:r w:rsidRPr="00797997">
        <w:rPr>
          <w:sz w:val="24"/>
          <w:szCs w:val="24"/>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3F05753" w14:textId="77777777" w:rsidR="00FE5420" w:rsidRDefault="00E825AB" w:rsidP="00FE5420">
            <w:pPr>
              <w:overflowPunct/>
              <w:autoSpaceDE/>
              <w:autoSpaceDN/>
              <w:adjustRightInd/>
              <w:rPr>
                <w:sz w:val="24"/>
                <w:szCs w:val="24"/>
                <w:lang w:eastAsia="zh-TW"/>
              </w:rPr>
            </w:pPr>
            <w:r>
              <w:rPr>
                <w:sz w:val="24"/>
                <w:szCs w:val="24"/>
                <w:lang w:eastAsia="zh-TW"/>
              </w:rPr>
              <w:t>I have been a response officer</w:t>
            </w:r>
            <w:r w:rsidR="005D5E4D">
              <w:rPr>
                <w:sz w:val="24"/>
                <w:szCs w:val="24"/>
                <w:lang w:eastAsia="zh-TW"/>
              </w:rPr>
              <w:t xml:space="preserve"> for</w:t>
            </w:r>
            <w:r>
              <w:rPr>
                <w:sz w:val="24"/>
                <w:szCs w:val="24"/>
                <w:lang w:eastAsia="zh-TW"/>
              </w:rPr>
              <w:t xml:space="preserve"> the last two years, throughout </w:t>
            </w:r>
            <w:r w:rsidR="004F1B83">
              <w:rPr>
                <w:sz w:val="24"/>
                <w:szCs w:val="24"/>
                <w:lang w:eastAsia="zh-TW"/>
              </w:rPr>
              <w:t>those</w:t>
            </w:r>
            <w:r>
              <w:rPr>
                <w:sz w:val="24"/>
                <w:szCs w:val="24"/>
                <w:lang w:eastAsia="zh-TW"/>
              </w:rPr>
              <w:t xml:space="preserve"> two years I</w:t>
            </w:r>
            <w:r w:rsidR="004F1B83">
              <w:rPr>
                <w:sz w:val="24"/>
                <w:szCs w:val="24"/>
                <w:lang w:eastAsia="zh-TW"/>
              </w:rPr>
              <w:t xml:space="preserve"> believe I </w:t>
            </w:r>
            <w:r w:rsidR="005A4D34">
              <w:rPr>
                <w:sz w:val="24"/>
                <w:szCs w:val="24"/>
                <w:lang w:eastAsia="zh-TW"/>
              </w:rPr>
              <w:t xml:space="preserve">whilst my knowledge is good on laws and offences related to incident </w:t>
            </w:r>
            <w:r w:rsidR="003F55E4">
              <w:rPr>
                <w:sz w:val="24"/>
                <w:szCs w:val="24"/>
                <w:lang w:eastAsia="zh-TW"/>
              </w:rPr>
              <w:t xml:space="preserve">happening </w:t>
            </w:r>
            <w:proofErr w:type="gramStart"/>
            <w:r w:rsidR="003F55E4">
              <w:rPr>
                <w:sz w:val="24"/>
                <w:szCs w:val="24"/>
                <w:lang w:eastAsia="zh-TW"/>
              </w:rPr>
              <w:t>on a daily basis</w:t>
            </w:r>
            <w:proofErr w:type="gramEnd"/>
            <w:r w:rsidR="003F55E4">
              <w:rPr>
                <w:sz w:val="24"/>
                <w:szCs w:val="24"/>
                <w:lang w:eastAsia="zh-TW"/>
              </w:rPr>
              <w:t xml:space="preserve"> such as domestic related indents</w:t>
            </w:r>
            <w:r w:rsidR="003B09DF">
              <w:rPr>
                <w:sz w:val="24"/>
                <w:szCs w:val="24"/>
                <w:lang w:eastAsia="zh-TW"/>
              </w:rPr>
              <w:t xml:space="preserve">, and </w:t>
            </w:r>
            <w:r w:rsidR="00CB103E">
              <w:rPr>
                <w:sz w:val="24"/>
                <w:szCs w:val="24"/>
                <w:lang w:eastAsia="zh-TW"/>
              </w:rPr>
              <w:t>low-level</w:t>
            </w:r>
            <w:r w:rsidR="003B09DF">
              <w:rPr>
                <w:sz w:val="24"/>
                <w:szCs w:val="24"/>
                <w:lang w:eastAsia="zh-TW"/>
              </w:rPr>
              <w:t xml:space="preserve"> thefts</w:t>
            </w:r>
            <w:r w:rsidR="006929CC">
              <w:rPr>
                <w:sz w:val="24"/>
                <w:szCs w:val="24"/>
                <w:lang w:eastAsia="zh-TW"/>
              </w:rPr>
              <w:t xml:space="preserve">. My knowledge on laws and offences such as roads policing, also known as </w:t>
            </w:r>
            <w:r w:rsidR="00CB103E">
              <w:rPr>
                <w:sz w:val="24"/>
                <w:szCs w:val="24"/>
                <w:lang w:eastAsia="zh-TW"/>
              </w:rPr>
              <w:t>traffic,</w:t>
            </w:r>
            <w:r w:rsidR="006929CC">
              <w:rPr>
                <w:sz w:val="24"/>
                <w:szCs w:val="24"/>
                <w:lang w:eastAsia="zh-TW"/>
              </w:rPr>
              <w:t xml:space="preserve"> </w:t>
            </w:r>
            <w:r w:rsidR="008E2D50">
              <w:rPr>
                <w:sz w:val="24"/>
                <w:szCs w:val="24"/>
                <w:lang w:eastAsia="zh-TW"/>
              </w:rPr>
              <w:t>could vastly be improved</w:t>
            </w:r>
            <w:r w:rsidR="00CA6698">
              <w:rPr>
                <w:sz w:val="24"/>
                <w:szCs w:val="24"/>
                <w:lang w:eastAsia="zh-TW"/>
              </w:rPr>
              <w:t xml:space="preserve">, as I do not deal with such incident </w:t>
            </w:r>
            <w:r w:rsidR="00CA6698">
              <w:rPr>
                <w:sz w:val="24"/>
                <w:szCs w:val="24"/>
                <w:lang w:eastAsia="zh-TW"/>
              </w:rPr>
              <w:lastRenderedPageBreak/>
              <w:t xml:space="preserve">s </w:t>
            </w:r>
            <w:r w:rsidR="00447D85">
              <w:rPr>
                <w:sz w:val="24"/>
                <w:szCs w:val="24"/>
                <w:lang w:eastAsia="zh-TW"/>
              </w:rPr>
              <w:t xml:space="preserve">as often. I intend to complete a traffic attachment which will allow and </w:t>
            </w:r>
            <w:proofErr w:type="gramStart"/>
            <w:r w:rsidR="00447D85">
              <w:rPr>
                <w:sz w:val="24"/>
                <w:szCs w:val="24"/>
                <w:lang w:eastAsia="zh-TW"/>
              </w:rPr>
              <w:t>period of time</w:t>
            </w:r>
            <w:proofErr w:type="gramEnd"/>
            <w:r w:rsidR="00447D85">
              <w:rPr>
                <w:sz w:val="24"/>
                <w:szCs w:val="24"/>
                <w:lang w:eastAsia="zh-TW"/>
              </w:rPr>
              <w:t xml:space="preserve"> to only concentrate on the traffic element of the law</w:t>
            </w:r>
            <w:r w:rsidR="004911DF">
              <w:rPr>
                <w:sz w:val="24"/>
                <w:szCs w:val="24"/>
                <w:lang w:eastAsia="zh-TW"/>
              </w:rPr>
              <w:t xml:space="preserve">, and further expand my knowledge </w:t>
            </w:r>
            <w:r w:rsidR="0073142B">
              <w:rPr>
                <w:sz w:val="24"/>
                <w:szCs w:val="24"/>
                <w:lang w:eastAsia="zh-TW"/>
              </w:rPr>
              <w:t>of low related traffic offences.</w:t>
            </w:r>
          </w:p>
          <w:p w14:paraId="53DA44F2" w14:textId="77777777" w:rsidR="0073142B" w:rsidRDefault="0073142B" w:rsidP="00FE5420">
            <w:pPr>
              <w:overflowPunct/>
              <w:autoSpaceDE/>
              <w:autoSpaceDN/>
              <w:adjustRightInd/>
              <w:rPr>
                <w:sz w:val="24"/>
                <w:szCs w:val="24"/>
                <w:lang w:eastAsia="zh-TW"/>
              </w:rPr>
            </w:pPr>
          </w:p>
          <w:p w14:paraId="29A2A56B" w14:textId="648E79C8" w:rsidR="0073142B" w:rsidRPr="00FE5420" w:rsidRDefault="0073142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would my </w:t>
            </w:r>
            <w:r w:rsidR="0014100E">
              <w:rPr>
                <w:sz w:val="24"/>
                <w:szCs w:val="24"/>
                <w:lang w:eastAsia="zh-TW"/>
              </w:rPr>
              <w:t>knowledge</w:t>
            </w:r>
            <w:r w:rsidR="00E232FC">
              <w:rPr>
                <w:sz w:val="24"/>
                <w:szCs w:val="24"/>
                <w:lang w:eastAsia="zh-TW"/>
              </w:rPr>
              <w:t xml:space="preserve"> at a medium level of 6, I </w:t>
            </w:r>
            <w:r w:rsidR="0014100E">
              <w:rPr>
                <w:sz w:val="24"/>
                <w:szCs w:val="24"/>
                <w:lang w:eastAsia="zh-TW"/>
              </w:rPr>
              <w:t xml:space="preserve">have ambition </w:t>
            </w:r>
            <w:r w:rsidR="00E232FC">
              <w:rPr>
                <w:sz w:val="24"/>
                <w:szCs w:val="24"/>
                <w:lang w:eastAsia="zh-TW"/>
              </w:rPr>
              <w:t xml:space="preserve">to achieve the higher level of 9-10, having </w:t>
            </w:r>
            <w:r w:rsidR="0014100E">
              <w:rPr>
                <w:sz w:val="24"/>
                <w:szCs w:val="24"/>
                <w:lang w:eastAsia="zh-TW"/>
              </w:rPr>
              <w:t xml:space="preserve">confidence in my ability.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0008E1BD"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5303A">
              <w:rPr>
                <w:sz w:val="22"/>
                <w:szCs w:val="22"/>
                <w:lang w:eastAsia="zh-TW"/>
              </w:rPr>
              <w:t xml:space="preserve">Coming into the role of a constable, I did not </w:t>
            </w:r>
            <w:r w:rsidR="007E5316">
              <w:rPr>
                <w:sz w:val="22"/>
                <w:szCs w:val="22"/>
                <w:lang w:eastAsia="zh-TW"/>
              </w:rPr>
              <w:t xml:space="preserve">realise how </w:t>
            </w:r>
            <w:r w:rsidR="00B855C5">
              <w:rPr>
                <w:sz w:val="22"/>
                <w:szCs w:val="22"/>
                <w:lang w:eastAsia="zh-TW"/>
              </w:rPr>
              <w:t>little</w:t>
            </w:r>
            <w:r w:rsidR="007E5316">
              <w:rPr>
                <w:sz w:val="22"/>
                <w:szCs w:val="22"/>
                <w:lang w:eastAsia="zh-TW"/>
              </w:rPr>
              <w:t xml:space="preserve"> I used the most basics of skills, such as </w:t>
            </w:r>
            <w:r w:rsidR="00B855C5">
              <w:rPr>
                <w:sz w:val="22"/>
                <w:szCs w:val="22"/>
                <w:lang w:eastAsia="zh-TW"/>
              </w:rPr>
              <w:t>Communication</w:t>
            </w:r>
            <w:r w:rsidR="009D6415">
              <w:rPr>
                <w:sz w:val="22"/>
                <w:szCs w:val="22"/>
                <w:lang w:eastAsia="zh-TW"/>
              </w:rPr>
              <w:t xml:space="preserve">, Listening, </w:t>
            </w:r>
            <w:r w:rsidR="009933AA">
              <w:rPr>
                <w:sz w:val="22"/>
                <w:szCs w:val="22"/>
                <w:lang w:eastAsia="zh-TW"/>
              </w:rPr>
              <w:t xml:space="preserve">and dealing with situations with the possibility of turning south. </w:t>
            </w:r>
          </w:p>
          <w:p w14:paraId="385E2D5E" w14:textId="4F446A61" w:rsidR="001A5093" w:rsidRDefault="001A5093" w:rsidP="00FE5420">
            <w:pPr>
              <w:overflowPunct/>
              <w:autoSpaceDE/>
              <w:autoSpaceDN/>
              <w:adjustRightInd/>
              <w:rPr>
                <w:sz w:val="24"/>
                <w:szCs w:val="24"/>
                <w:lang w:eastAsia="zh-TW"/>
              </w:rPr>
            </w:pPr>
          </w:p>
          <w:p w14:paraId="58B3ED30" w14:textId="744EEAF1" w:rsidR="004C18CC" w:rsidRDefault="004C18CC" w:rsidP="00FE5420">
            <w:pPr>
              <w:overflowPunct/>
              <w:autoSpaceDE/>
              <w:autoSpaceDN/>
              <w:adjustRightInd/>
              <w:rPr>
                <w:sz w:val="24"/>
                <w:szCs w:val="24"/>
                <w:lang w:eastAsia="zh-TW"/>
              </w:rPr>
            </w:pPr>
            <w:r>
              <w:rPr>
                <w:sz w:val="24"/>
                <w:szCs w:val="24"/>
                <w:lang w:eastAsia="zh-TW"/>
              </w:rPr>
              <w:t xml:space="preserve">Once I completed basic training, those skill were immediately </w:t>
            </w:r>
            <w:proofErr w:type="gramStart"/>
            <w:r>
              <w:rPr>
                <w:sz w:val="24"/>
                <w:szCs w:val="24"/>
                <w:lang w:eastAsia="zh-TW"/>
              </w:rPr>
              <w:t>put to use</w:t>
            </w:r>
            <w:proofErr w:type="gramEnd"/>
            <w:r w:rsidR="00C94A6E">
              <w:rPr>
                <w:sz w:val="24"/>
                <w:szCs w:val="24"/>
                <w:lang w:eastAsia="zh-TW"/>
              </w:rPr>
              <w:t xml:space="preserve">, and I have not stopped using them since. </w:t>
            </w:r>
          </w:p>
          <w:p w14:paraId="29064629" w14:textId="77777777" w:rsidR="00534700" w:rsidRDefault="00534700" w:rsidP="00FE5420">
            <w:pPr>
              <w:overflowPunct/>
              <w:autoSpaceDE/>
              <w:autoSpaceDN/>
              <w:adjustRightInd/>
              <w:rPr>
                <w:sz w:val="24"/>
                <w:szCs w:val="24"/>
                <w:lang w:eastAsia="zh-TW"/>
              </w:rPr>
            </w:pPr>
          </w:p>
          <w:p w14:paraId="5DAC625D" w14:textId="77777777" w:rsidR="00074EF4" w:rsidRDefault="00534700" w:rsidP="00FE5420">
            <w:pPr>
              <w:overflowPunct/>
              <w:autoSpaceDE/>
              <w:autoSpaceDN/>
              <w:adjustRightInd/>
              <w:rPr>
                <w:sz w:val="24"/>
                <w:szCs w:val="24"/>
                <w:lang w:eastAsia="zh-TW"/>
              </w:rPr>
            </w:pPr>
            <w:r>
              <w:rPr>
                <w:sz w:val="24"/>
                <w:szCs w:val="24"/>
                <w:lang w:eastAsia="zh-TW"/>
              </w:rPr>
              <w:t xml:space="preserve">As they are used </w:t>
            </w:r>
            <w:proofErr w:type="gramStart"/>
            <w:r>
              <w:rPr>
                <w:sz w:val="24"/>
                <w:szCs w:val="24"/>
                <w:lang w:eastAsia="zh-TW"/>
              </w:rPr>
              <w:t>on a daily basis</w:t>
            </w:r>
            <w:proofErr w:type="gramEnd"/>
            <w:r>
              <w:rPr>
                <w:sz w:val="24"/>
                <w:szCs w:val="24"/>
                <w:lang w:eastAsia="zh-TW"/>
              </w:rPr>
              <w:t xml:space="preserve">, I can say with confidence, that Over the last two years </w:t>
            </w:r>
            <w:r w:rsidR="00D46D7F">
              <w:rPr>
                <w:sz w:val="24"/>
                <w:szCs w:val="24"/>
                <w:lang w:eastAsia="zh-TW"/>
              </w:rPr>
              <w:t>my communication, listening, manging hairy situations has increased incredibly over the last two years.</w:t>
            </w:r>
          </w:p>
          <w:p w14:paraId="60E3AF32" w14:textId="77777777" w:rsidR="00074EF4" w:rsidRDefault="00074EF4" w:rsidP="00FE5420">
            <w:pPr>
              <w:overflowPunct/>
              <w:autoSpaceDE/>
              <w:autoSpaceDN/>
              <w:adjustRightInd/>
              <w:rPr>
                <w:sz w:val="24"/>
                <w:szCs w:val="24"/>
                <w:lang w:eastAsia="zh-TW"/>
              </w:rPr>
            </w:pPr>
          </w:p>
          <w:p w14:paraId="54303C09" w14:textId="6FC0E473" w:rsidR="00534700" w:rsidRDefault="00074EF4" w:rsidP="00FE5420">
            <w:pPr>
              <w:overflowPunct/>
              <w:autoSpaceDE/>
              <w:autoSpaceDN/>
              <w:adjustRightInd/>
              <w:rPr>
                <w:sz w:val="24"/>
                <w:szCs w:val="24"/>
                <w:lang w:eastAsia="zh-TW"/>
              </w:rPr>
            </w:pPr>
            <w:r>
              <w:rPr>
                <w:sz w:val="24"/>
                <w:szCs w:val="24"/>
                <w:lang w:eastAsia="zh-TW"/>
              </w:rPr>
              <w:t xml:space="preserve">However, I do believe there is room for improvement. I believe my skill level for the three above is currently </w:t>
            </w:r>
            <w:r>
              <w:rPr>
                <w:sz w:val="24"/>
                <w:szCs w:val="24"/>
                <w:lang w:eastAsia="zh-TW"/>
              </w:rPr>
              <w:lastRenderedPageBreak/>
              <w:t xml:space="preserve">sitting at a medium </w:t>
            </w:r>
            <w:r w:rsidR="00ED4D5A">
              <w:rPr>
                <w:sz w:val="24"/>
                <w:szCs w:val="24"/>
                <w:lang w:eastAsia="zh-TW"/>
              </w:rPr>
              <w:t>six</w:t>
            </w:r>
            <w:r w:rsidR="00FE2C52">
              <w:rPr>
                <w:sz w:val="24"/>
                <w:szCs w:val="24"/>
                <w:lang w:eastAsia="zh-TW"/>
              </w:rPr>
              <w:t>, I know that this increase over time, I strongly believe that over the next 12 months it will increase to a high 8</w:t>
            </w:r>
          </w:p>
          <w:p w14:paraId="71A239E0" w14:textId="77777777" w:rsidR="00C94A6E" w:rsidRDefault="00C94A6E" w:rsidP="00FE5420">
            <w:pPr>
              <w:overflowPunct/>
              <w:autoSpaceDE/>
              <w:autoSpaceDN/>
              <w:adjustRightInd/>
              <w:rPr>
                <w:sz w:val="24"/>
                <w:szCs w:val="24"/>
                <w:lang w:eastAsia="zh-TW"/>
              </w:rPr>
            </w:pPr>
          </w:p>
          <w:p w14:paraId="6466F735" w14:textId="77777777" w:rsidR="00C94A6E" w:rsidRDefault="00C94A6E" w:rsidP="00FE5420">
            <w:pPr>
              <w:overflowPunct/>
              <w:autoSpaceDE/>
              <w:autoSpaceDN/>
              <w:adjustRightInd/>
              <w:rPr>
                <w:sz w:val="24"/>
                <w:szCs w:val="24"/>
                <w:lang w:eastAsia="zh-TW"/>
              </w:rPr>
            </w:pPr>
          </w:p>
          <w:p w14:paraId="7DF7D6E0" w14:textId="047DF2B6" w:rsidR="002505EA" w:rsidRPr="00FE5420" w:rsidRDefault="002505EA"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1C5555" w:rsidRDefault="00FE5420" w:rsidP="00FE5420">
            <w:pPr>
              <w:overflowPunct/>
              <w:autoSpaceDE/>
              <w:autoSpaceDN/>
              <w:adjustRightInd/>
              <w:rPr>
                <w:rFonts w:ascii="Times New Roman" w:hAnsi="Times New Roman" w:cs="Times New Roman"/>
                <w:sz w:val="24"/>
                <w:szCs w:val="24"/>
                <w:highlight w:val="yellow"/>
                <w:lang w:eastAsia="zh-TW"/>
              </w:rPr>
            </w:pPr>
            <w:r w:rsidRPr="001C5555">
              <w:rPr>
                <w:sz w:val="22"/>
                <w:szCs w:val="22"/>
                <w:highlight w:val="yellow"/>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1C5555">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4B1B146" w14:textId="77777777" w:rsidR="00F67D59" w:rsidRDefault="00FE5420" w:rsidP="00FE5420">
            <w:pPr>
              <w:overflowPunct/>
              <w:autoSpaceDE/>
              <w:autoSpaceDN/>
              <w:adjustRightInd/>
              <w:rPr>
                <w:sz w:val="22"/>
                <w:szCs w:val="22"/>
                <w:lang w:eastAsia="zh-TW"/>
              </w:rPr>
            </w:pPr>
            <w:r w:rsidRPr="00FE5420">
              <w:rPr>
                <w:sz w:val="22"/>
                <w:szCs w:val="22"/>
                <w:lang w:eastAsia="zh-TW"/>
              </w:rPr>
              <w:t> </w:t>
            </w:r>
            <w:r w:rsidR="005F4876">
              <w:rPr>
                <w:sz w:val="22"/>
                <w:szCs w:val="22"/>
                <w:lang w:eastAsia="zh-TW"/>
              </w:rPr>
              <w:t xml:space="preserve">Over the last two years as </w:t>
            </w:r>
            <w:proofErr w:type="gramStart"/>
            <w:r w:rsidR="005F4876">
              <w:rPr>
                <w:sz w:val="22"/>
                <w:szCs w:val="22"/>
                <w:lang w:eastAsia="zh-TW"/>
              </w:rPr>
              <w:t>an</w:t>
            </w:r>
            <w:proofErr w:type="gramEnd"/>
            <w:r w:rsidR="005F4876">
              <w:rPr>
                <w:sz w:val="22"/>
                <w:szCs w:val="22"/>
                <w:lang w:eastAsia="zh-TW"/>
              </w:rPr>
              <w:t xml:space="preserve"> response officers, I have delt with over 500 incidents </w:t>
            </w:r>
            <w:r w:rsidR="00F13295">
              <w:rPr>
                <w:sz w:val="22"/>
                <w:szCs w:val="22"/>
                <w:lang w:eastAsia="zh-TW"/>
              </w:rPr>
              <w:t xml:space="preserve">related to daily policing, alongside this I have worked events such as night time </w:t>
            </w:r>
            <w:r w:rsidR="00F67D59">
              <w:rPr>
                <w:sz w:val="22"/>
                <w:szCs w:val="22"/>
                <w:lang w:eastAsia="zh-TW"/>
              </w:rPr>
              <w:t xml:space="preserve">economy, and the national air show. </w:t>
            </w:r>
          </w:p>
          <w:p w14:paraId="7795BDC5" w14:textId="77777777" w:rsidR="00F67D59" w:rsidRDefault="00F67D59" w:rsidP="00FE5420">
            <w:pPr>
              <w:overflowPunct/>
              <w:autoSpaceDE/>
              <w:autoSpaceDN/>
              <w:adjustRightInd/>
              <w:rPr>
                <w:sz w:val="22"/>
                <w:szCs w:val="22"/>
                <w:lang w:eastAsia="zh-TW"/>
              </w:rPr>
            </w:pPr>
          </w:p>
          <w:p w14:paraId="75C8CEAC" w14:textId="3C92E826" w:rsidR="0073619A" w:rsidRDefault="00F67D59" w:rsidP="00FE5420">
            <w:pPr>
              <w:overflowPunct/>
              <w:autoSpaceDE/>
              <w:autoSpaceDN/>
              <w:adjustRightInd/>
              <w:rPr>
                <w:sz w:val="22"/>
                <w:szCs w:val="22"/>
                <w:lang w:eastAsia="zh-TW"/>
              </w:rPr>
            </w:pPr>
            <w:r>
              <w:rPr>
                <w:sz w:val="22"/>
                <w:szCs w:val="22"/>
                <w:lang w:eastAsia="zh-TW"/>
              </w:rPr>
              <w:t>I do believe I have gained a large amount of experience in such a short time due to the nature of being a police officer</w:t>
            </w:r>
            <w:r w:rsidR="0073619A">
              <w:rPr>
                <w:sz w:val="22"/>
                <w:szCs w:val="22"/>
                <w:lang w:eastAsia="zh-TW"/>
              </w:rPr>
              <w:t xml:space="preserve">, however, </w:t>
            </w:r>
            <w:r w:rsidR="00500C71">
              <w:rPr>
                <w:sz w:val="22"/>
                <w:szCs w:val="22"/>
                <w:lang w:eastAsia="zh-TW"/>
              </w:rPr>
              <w:t>this</w:t>
            </w:r>
            <w:r w:rsidR="0073619A">
              <w:rPr>
                <w:sz w:val="22"/>
                <w:szCs w:val="22"/>
                <w:lang w:eastAsia="zh-TW"/>
              </w:rPr>
              <w:t xml:space="preserve"> experience is only in one department. </w:t>
            </w:r>
          </w:p>
          <w:p w14:paraId="223F0D47" w14:textId="77777777" w:rsidR="0073619A" w:rsidRDefault="0073619A" w:rsidP="00FE5420">
            <w:pPr>
              <w:overflowPunct/>
              <w:autoSpaceDE/>
              <w:autoSpaceDN/>
              <w:adjustRightInd/>
              <w:rPr>
                <w:sz w:val="22"/>
                <w:szCs w:val="22"/>
                <w:lang w:eastAsia="zh-TW"/>
              </w:rPr>
            </w:pPr>
          </w:p>
          <w:p w14:paraId="4D0EB790" w14:textId="57611F5D" w:rsidR="00FE5420" w:rsidRDefault="0073619A" w:rsidP="00FE5420">
            <w:pPr>
              <w:overflowPunct/>
              <w:autoSpaceDE/>
              <w:autoSpaceDN/>
              <w:adjustRightInd/>
              <w:rPr>
                <w:sz w:val="22"/>
                <w:szCs w:val="22"/>
                <w:lang w:eastAsia="zh-TW"/>
              </w:rPr>
            </w:pPr>
            <w:r>
              <w:rPr>
                <w:sz w:val="22"/>
                <w:szCs w:val="22"/>
                <w:lang w:eastAsia="zh-TW"/>
              </w:rPr>
              <w:t xml:space="preserve">Within the next </w:t>
            </w:r>
            <w:r w:rsidR="00ED4D5A">
              <w:rPr>
                <w:sz w:val="22"/>
                <w:szCs w:val="22"/>
                <w:lang w:eastAsia="zh-TW"/>
              </w:rPr>
              <w:t xml:space="preserve">six to </w:t>
            </w:r>
            <w:proofErr w:type="gramStart"/>
            <w:r w:rsidR="00ED4D5A">
              <w:rPr>
                <w:sz w:val="22"/>
                <w:szCs w:val="22"/>
                <w:lang w:eastAsia="zh-TW"/>
              </w:rPr>
              <w:t xml:space="preserve">twelve </w:t>
            </w:r>
            <w:r>
              <w:rPr>
                <w:sz w:val="22"/>
                <w:szCs w:val="22"/>
                <w:lang w:eastAsia="zh-TW"/>
              </w:rPr>
              <w:t xml:space="preserve"> months</w:t>
            </w:r>
            <w:proofErr w:type="gramEnd"/>
            <w:r>
              <w:rPr>
                <w:sz w:val="22"/>
                <w:szCs w:val="22"/>
                <w:lang w:eastAsia="zh-TW"/>
              </w:rPr>
              <w:t xml:space="preserve"> I have ambitions </w:t>
            </w:r>
            <w:r w:rsidR="00823E8B">
              <w:rPr>
                <w:sz w:val="22"/>
                <w:szCs w:val="22"/>
                <w:lang w:eastAsia="zh-TW"/>
              </w:rPr>
              <w:t>to take part in a number of attachments within different department</w:t>
            </w:r>
            <w:r w:rsidR="00500C71">
              <w:rPr>
                <w:sz w:val="22"/>
                <w:szCs w:val="22"/>
                <w:lang w:eastAsia="zh-TW"/>
              </w:rPr>
              <w:t xml:space="preserve">s, to gain a </w:t>
            </w:r>
            <w:r w:rsidR="00E91E96">
              <w:rPr>
                <w:sz w:val="22"/>
                <w:szCs w:val="22"/>
                <w:lang w:eastAsia="zh-TW"/>
              </w:rPr>
              <w:t xml:space="preserve">an understanding, alongside experience of that departments role within the force. </w:t>
            </w:r>
          </w:p>
          <w:p w14:paraId="778BE61E" w14:textId="77777777" w:rsidR="005F3DFF" w:rsidRDefault="005F3DFF" w:rsidP="00FE5420">
            <w:pPr>
              <w:overflowPunct/>
              <w:autoSpaceDE/>
              <w:autoSpaceDN/>
              <w:adjustRightInd/>
              <w:rPr>
                <w:sz w:val="24"/>
                <w:szCs w:val="24"/>
                <w:lang w:eastAsia="zh-TW"/>
              </w:rPr>
            </w:pPr>
          </w:p>
          <w:p w14:paraId="4B21BF28" w14:textId="17AA8D4D" w:rsidR="005F3DFF" w:rsidRPr="00FE5420" w:rsidRDefault="005F3DFF" w:rsidP="00FE5420">
            <w:pPr>
              <w:overflowPunct/>
              <w:autoSpaceDE/>
              <w:autoSpaceDN/>
              <w:adjustRightInd/>
              <w:rPr>
                <w:rFonts w:ascii="Times New Roman" w:hAnsi="Times New Roman" w:cs="Times New Roman"/>
                <w:sz w:val="24"/>
                <w:szCs w:val="24"/>
                <w:lang w:eastAsia="zh-TW"/>
              </w:rPr>
            </w:pPr>
            <w:r>
              <w:rPr>
                <w:sz w:val="24"/>
                <w:szCs w:val="24"/>
                <w:lang w:eastAsia="zh-TW"/>
              </w:rPr>
              <w:t>I believe that my current experience level is based at Medium 5 – I am aiming within the next 6-12 months to increase this level to High 8.</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32C6F" w14:textId="77777777" w:rsidR="0086643F" w:rsidRDefault="0086643F">
      <w:r>
        <w:separator/>
      </w:r>
    </w:p>
  </w:endnote>
  <w:endnote w:type="continuationSeparator" w:id="0">
    <w:p w14:paraId="166AEF2C" w14:textId="77777777" w:rsidR="0086643F" w:rsidRDefault="008664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41F74" w14:textId="77777777" w:rsidR="0086643F" w:rsidRDefault="0086643F">
      <w:r>
        <w:separator/>
      </w:r>
    </w:p>
  </w:footnote>
  <w:footnote w:type="continuationSeparator" w:id="0">
    <w:p w14:paraId="351C4A95" w14:textId="77777777" w:rsidR="0086643F" w:rsidRDefault="008664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C9845C5"/>
    <w:multiLevelType w:val="hybridMultilevel"/>
    <w:tmpl w:val="E042E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1"/>
  </w:num>
  <w:num w:numId="13" w16cid:durableId="697511668">
    <w:abstractNumId w:val="36"/>
  </w:num>
  <w:num w:numId="14" w16cid:durableId="252011205">
    <w:abstractNumId w:val="18"/>
  </w:num>
  <w:num w:numId="15" w16cid:durableId="448937411">
    <w:abstractNumId w:val="17"/>
  </w:num>
  <w:num w:numId="16" w16cid:durableId="1019770326">
    <w:abstractNumId w:val="29"/>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30"/>
  </w:num>
  <w:num w:numId="27" w16cid:durableId="606350794">
    <w:abstractNumId w:val="20"/>
  </w:num>
  <w:num w:numId="28" w16cid:durableId="1826583542">
    <w:abstractNumId w:val="43"/>
  </w:num>
  <w:num w:numId="29" w16cid:durableId="19673060">
    <w:abstractNumId w:val="38"/>
  </w:num>
  <w:num w:numId="30" w16cid:durableId="1779987957">
    <w:abstractNumId w:val="42"/>
  </w:num>
  <w:num w:numId="31" w16cid:durableId="1614945931">
    <w:abstractNumId w:val="21"/>
  </w:num>
  <w:num w:numId="32" w16cid:durableId="867916129">
    <w:abstractNumId w:val="45"/>
  </w:num>
  <w:num w:numId="33" w16cid:durableId="2138914238">
    <w:abstractNumId w:val="34"/>
  </w:num>
  <w:num w:numId="34" w16cid:durableId="881939660">
    <w:abstractNumId w:val="13"/>
  </w:num>
  <w:num w:numId="35" w16cid:durableId="2118745340">
    <w:abstractNumId w:val="46"/>
  </w:num>
  <w:num w:numId="36" w16cid:durableId="14427055">
    <w:abstractNumId w:val="41"/>
  </w:num>
  <w:num w:numId="37" w16cid:durableId="192352603">
    <w:abstractNumId w:val="5"/>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1"/>
  </w:num>
  <w:num w:numId="50" w16cid:durableId="416168375">
    <w:abstractNumId w:val="50"/>
  </w:num>
  <w:num w:numId="51" w16cid:durableId="797799441">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5EC"/>
    <w:rsid w:val="0001185D"/>
    <w:rsid w:val="00014A8C"/>
    <w:rsid w:val="00020EEC"/>
    <w:rsid w:val="0002153B"/>
    <w:rsid w:val="00025650"/>
    <w:rsid w:val="00026FAB"/>
    <w:rsid w:val="00027B1F"/>
    <w:rsid w:val="0003088B"/>
    <w:rsid w:val="00031B15"/>
    <w:rsid w:val="000325D9"/>
    <w:rsid w:val="00033103"/>
    <w:rsid w:val="000372B2"/>
    <w:rsid w:val="0004079F"/>
    <w:rsid w:val="00044C1C"/>
    <w:rsid w:val="000452AF"/>
    <w:rsid w:val="00045B87"/>
    <w:rsid w:val="00045C07"/>
    <w:rsid w:val="00055D43"/>
    <w:rsid w:val="00056FAC"/>
    <w:rsid w:val="00057751"/>
    <w:rsid w:val="00062E39"/>
    <w:rsid w:val="0007022F"/>
    <w:rsid w:val="00074EF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B77"/>
    <w:rsid w:val="000A4240"/>
    <w:rsid w:val="000A469A"/>
    <w:rsid w:val="000B1E96"/>
    <w:rsid w:val="000C1623"/>
    <w:rsid w:val="000C3325"/>
    <w:rsid w:val="000C378F"/>
    <w:rsid w:val="000C6892"/>
    <w:rsid w:val="000C6FFE"/>
    <w:rsid w:val="000D00D9"/>
    <w:rsid w:val="000D0BB6"/>
    <w:rsid w:val="000D1D20"/>
    <w:rsid w:val="000E1384"/>
    <w:rsid w:val="000E26B0"/>
    <w:rsid w:val="000F1599"/>
    <w:rsid w:val="000F1769"/>
    <w:rsid w:val="000F28A9"/>
    <w:rsid w:val="000F6196"/>
    <w:rsid w:val="000F7ECD"/>
    <w:rsid w:val="00102E64"/>
    <w:rsid w:val="0010312C"/>
    <w:rsid w:val="00106DC7"/>
    <w:rsid w:val="00112391"/>
    <w:rsid w:val="00114F52"/>
    <w:rsid w:val="0012135C"/>
    <w:rsid w:val="001347F8"/>
    <w:rsid w:val="00134BC8"/>
    <w:rsid w:val="00137BB5"/>
    <w:rsid w:val="00137E05"/>
    <w:rsid w:val="0014100E"/>
    <w:rsid w:val="00144159"/>
    <w:rsid w:val="001447F6"/>
    <w:rsid w:val="00147BDB"/>
    <w:rsid w:val="00147DE3"/>
    <w:rsid w:val="00150794"/>
    <w:rsid w:val="001608C4"/>
    <w:rsid w:val="001647B7"/>
    <w:rsid w:val="0016706F"/>
    <w:rsid w:val="00171418"/>
    <w:rsid w:val="001853B0"/>
    <w:rsid w:val="001854F9"/>
    <w:rsid w:val="00190913"/>
    <w:rsid w:val="001961CF"/>
    <w:rsid w:val="001A5093"/>
    <w:rsid w:val="001A59BB"/>
    <w:rsid w:val="001A6A51"/>
    <w:rsid w:val="001A79C4"/>
    <w:rsid w:val="001B331A"/>
    <w:rsid w:val="001BC1C4"/>
    <w:rsid w:val="001C0E74"/>
    <w:rsid w:val="001C2B79"/>
    <w:rsid w:val="001C5555"/>
    <w:rsid w:val="001C5A1B"/>
    <w:rsid w:val="001C60D9"/>
    <w:rsid w:val="001C612C"/>
    <w:rsid w:val="001C6CEC"/>
    <w:rsid w:val="001D229F"/>
    <w:rsid w:val="001D6162"/>
    <w:rsid w:val="001D7E17"/>
    <w:rsid w:val="001E0972"/>
    <w:rsid w:val="001E7592"/>
    <w:rsid w:val="001F14CE"/>
    <w:rsid w:val="001F3878"/>
    <w:rsid w:val="001F4552"/>
    <w:rsid w:val="002019EB"/>
    <w:rsid w:val="0020210A"/>
    <w:rsid w:val="002030F2"/>
    <w:rsid w:val="00205051"/>
    <w:rsid w:val="00207E60"/>
    <w:rsid w:val="00211F65"/>
    <w:rsid w:val="0022001B"/>
    <w:rsid w:val="00220D06"/>
    <w:rsid w:val="002219BA"/>
    <w:rsid w:val="002246A0"/>
    <w:rsid w:val="00224AF9"/>
    <w:rsid w:val="0022735C"/>
    <w:rsid w:val="00230439"/>
    <w:rsid w:val="0023052E"/>
    <w:rsid w:val="00230AB3"/>
    <w:rsid w:val="00233665"/>
    <w:rsid w:val="00235176"/>
    <w:rsid w:val="00235506"/>
    <w:rsid w:val="00236061"/>
    <w:rsid w:val="0024100E"/>
    <w:rsid w:val="00241C1B"/>
    <w:rsid w:val="00242778"/>
    <w:rsid w:val="0024288B"/>
    <w:rsid w:val="00242DD7"/>
    <w:rsid w:val="00244308"/>
    <w:rsid w:val="00244B46"/>
    <w:rsid w:val="00245B49"/>
    <w:rsid w:val="002505EA"/>
    <w:rsid w:val="0025240E"/>
    <w:rsid w:val="0025340F"/>
    <w:rsid w:val="0025406E"/>
    <w:rsid w:val="00255D8E"/>
    <w:rsid w:val="00257F5D"/>
    <w:rsid w:val="00260CE8"/>
    <w:rsid w:val="002657E9"/>
    <w:rsid w:val="0026665E"/>
    <w:rsid w:val="00270EEB"/>
    <w:rsid w:val="0027147E"/>
    <w:rsid w:val="00272589"/>
    <w:rsid w:val="00274DE8"/>
    <w:rsid w:val="00274F56"/>
    <w:rsid w:val="002761F4"/>
    <w:rsid w:val="002775E1"/>
    <w:rsid w:val="00277979"/>
    <w:rsid w:val="002808EB"/>
    <w:rsid w:val="0028095D"/>
    <w:rsid w:val="00281705"/>
    <w:rsid w:val="00291ADD"/>
    <w:rsid w:val="00294868"/>
    <w:rsid w:val="00295CA1"/>
    <w:rsid w:val="0029772C"/>
    <w:rsid w:val="002A291A"/>
    <w:rsid w:val="002A5604"/>
    <w:rsid w:val="002B1701"/>
    <w:rsid w:val="002B1736"/>
    <w:rsid w:val="002B1D80"/>
    <w:rsid w:val="002B23C3"/>
    <w:rsid w:val="002B2884"/>
    <w:rsid w:val="002B443A"/>
    <w:rsid w:val="002B5B35"/>
    <w:rsid w:val="002C256A"/>
    <w:rsid w:val="002C496D"/>
    <w:rsid w:val="002C56DA"/>
    <w:rsid w:val="002C6ADF"/>
    <w:rsid w:val="002D05EB"/>
    <w:rsid w:val="002D2F29"/>
    <w:rsid w:val="002D2FD3"/>
    <w:rsid w:val="002D3E62"/>
    <w:rsid w:val="002D492A"/>
    <w:rsid w:val="002D5188"/>
    <w:rsid w:val="002D7750"/>
    <w:rsid w:val="002E7017"/>
    <w:rsid w:val="002F4F6E"/>
    <w:rsid w:val="002F5FB1"/>
    <w:rsid w:val="003015C3"/>
    <w:rsid w:val="003018CB"/>
    <w:rsid w:val="00301E16"/>
    <w:rsid w:val="003020ED"/>
    <w:rsid w:val="0030698D"/>
    <w:rsid w:val="00307C7F"/>
    <w:rsid w:val="0031350A"/>
    <w:rsid w:val="00316815"/>
    <w:rsid w:val="003168CA"/>
    <w:rsid w:val="00321255"/>
    <w:rsid w:val="0032230D"/>
    <w:rsid w:val="00322801"/>
    <w:rsid w:val="00322A0B"/>
    <w:rsid w:val="003258E2"/>
    <w:rsid w:val="00335FC5"/>
    <w:rsid w:val="00340E9A"/>
    <w:rsid w:val="003410F2"/>
    <w:rsid w:val="003516C0"/>
    <w:rsid w:val="00352E59"/>
    <w:rsid w:val="00354DBE"/>
    <w:rsid w:val="00355210"/>
    <w:rsid w:val="00365DF9"/>
    <w:rsid w:val="0036668D"/>
    <w:rsid w:val="00367F5D"/>
    <w:rsid w:val="00372DB4"/>
    <w:rsid w:val="0037490C"/>
    <w:rsid w:val="00374952"/>
    <w:rsid w:val="00375AF5"/>
    <w:rsid w:val="003761BD"/>
    <w:rsid w:val="003769F6"/>
    <w:rsid w:val="00380DCC"/>
    <w:rsid w:val="00382F24"/>
    <w:rsid w:val="00385414"/>
    <w:rsid w:val="00390074"/>
    <w:rsid w:val="0039762B"/>
    <w:rsid w:val="003A0C37"/>
    <w:rsid w:val="003A1B6B"/>
    <w:rsid w:val="003A2F82"/>
    <w:rsid w:val="003A46C0"/>
    <w:rsid w:val="003A600E"/>
    <w:rsid w:val="003A6513"/>
    <w:rsid w:val="003B09DF"/>
    <w:rsid w:val="003B16C7"/>
    <w:rsid w:val="003B16D6"/>
    <w:rsid w:val="003C19F1"/>
    <w:rsid w:val="003C2C0E"/>
    <w:rsid w:val="003C4186"/>
    <w:rsid w:val="003C458C"/>
    <w:rsid w:val="003C6165"/>
    <w:rsid w:val="003C6185"/>
    <w:rsid w:val="003D0D2D"/>
    <w:rsid w:val="003D4710"/>
    <w:rsid w:val="003E16D7"/>
    <w:rsid w:val="003E197E"/>
    <w:rsid w:val="003E7917"/>
    <w:rsid w:val="003F14F7"/>
    <w:rsid w:val="003F55E4"/>
    <w:rsid w:val="003F796F"/>
    <w:rsid w:val="00403E5C"/>
    <w:rsid w:val="004046F0"/>
    <w:rsid w:val="0040668F"/>
    <w:rsid w:val="00412677"/>
    <w:rsid w:val="00412E65"/>
    <w:rsid w:val="0041496C"/>
    <w:rsid w:val="00417925"/>
    <w:rsid w:val="00425503"/>
    <w:rsid w:val="0043117B"/>
    <w:rsid w:val="004348AE"/>
    <w:rsid w:val="004376C0"/>
    <w:rsid w:val="0044115F"/>
    <w:rsid w:val="0044223A"/>
    <w:rsid w:val="004463EC"/>
    <w:rsid w:val="00446792"/>
    <w:rsid w:val="00446F80"/>
    <w:rsid w:val="00447D85"/>
    <w:rsid w:val="00450C83"/>
    <w:rsid w:val="00451851"/>
    <w:rsid w:val="0045303A"/>
    <w:rsid w:val="00453343"/>
    <w:rsid w:val="0045700E"/>
    <w:rsid w:val="004601D5"/>
    <w:rsid w:val="004608B9"/>
    <w:rsid w:val="00460ADB"/>
    <w:rsid w:val="00465947"/>
    <w:rsid w:val="00470BB1"/>
    <w:rsid w:val="00470E12"/>
    <w:rsid w:val="0047127A"/>
    <w:rsid w:val="004718F7"/>
    <w:rsid w:val="00473153"/>
    <w:rsid w:val="004743AF"/>
    <w:rsid w:val="00481B11"/>
    <w:rsid w:val="00482C17"/>
    <w:rsid w:val="004911B4"/>
    <w:rsid w:val="004911DF"/>
    <w:rsid w:val="00491431"/>
    <w:rsid w:val="0049196A"/>
    <w:rsid w:val="00491C1C"/>
    <w:rsid w:val="00491F7B"/>
    <w:rsid w:val="004923DA"/>
    <w:rsid w:val="00493434"/>
    <w:rsid w:val="004962F9"/>
    <w:rsid w:val="004968E2"/>
    <w:rsid w:val="004A2A49"/>
    <w:rsid w:val="004A4EF0"/>
    <w:rsid w:val="004B0D5F"/>
    <w:rsid w:val="004B38E7"/>
    <w:rsid w:val="004B600B"/>
    <w:rsid w:val="004B6822"/>
    <w:rsid w:val="004B69F6"/>
    <w:rsid w:val="004C18CC"/>
    <w:rsid w:val="004C2D3A"/>
    <w:rsid w:val="004C3CD4"/>
    <w:rsid w:val="004C4F5E"/>
    <w:rsid w:val="004D03C4"/>
    <w:rsid w:val="004D0BF1"/>
    <w:rsid w:val="004D24D2"/>
    <w:rsid w:val="004D35A4"/>
    <w:rsid w:val="004D445F"/>
    <w:rsid w:val="004E087B"/>
    <w:rsid w:val="004E44A4"/>
    <w:rsid w:val="004E7B8B"/>
    <w:rsid w:val="004E7BDD"/>
    <w:rsid w:val="004F1B83"/>
    <w:rsid w:val="004F1E21"/>
    <w:rsid w:val="004F740D"/>
    <w:rsid w:val="004F7B8F"/>
    <w:rsid w:val="00500748"/>
    <w:rsid w:val="00500C71"/>
    <w:rsid w:val="005011D6"/>
    <w:rsid w:val="0050167A"/>
    <w:rsid w:val="0050314C"/>
    <w:rsid w:val="005042F1"/>
    <w:rsid w:val="00507AA5"/>
    <w:rsid w:val="0051318F"/>
    <w:rsid w:val="00513C7D"/>
    <w:rsid w:val="005169D1"/>
    <w:rsid w:val="00521123"/>
    <w:rsid w:val="00521221"/>
    <w:rsid w:val="00524BA6"/>
    <w:rsid w:val="0052589E"/>
    <w:rsid w:val="00534700"/>
    <w:rsid w:val="00536FA9"/>
    <w:rsid w:val="005414F4"/>
    <w:rsid w:val="00546187"/>
    <w:rsid w:val="005463F1"/>
    <w:rsid w:val="00546B3B"/>
    <w:rsid w:val="005534F2"/>
    <w:rsid w:val="00557D77"/>
    <w:rsid w:val="00562EAA"/>
    <w:rsid w:val="00563B58"/>
    <w:rsid w:val="005640C4"/>
    <w:rsid w:val="00564C53"/>
    <w:rsid w:val="0056684C"/>
    <w:rsid w:val="005726D3"/>
    <w:rsid w:val="00574A0C"/>
    <w:rsid w:val="00576E4C"/>
    <w:rsid w:val="0057780F"/>
    <w:rsid w:val="005806BD"/>
    <w:rsid w:val="00581E0A"/>
    <w:rsid w:val="00586D89"/>
    <w:rsid w:val="005916B8"/>
    <w:rsid w:val="00596FA1"/>
    <w:rsid w:val="005A1B4C"/>
    <w:rsid w:val="005A1BA3"/>
    <w:rsid w:val="005A4D34"/>
    <w:rsid w:val="005A545C"/>
    <w:rsid w:val="005B1CF8"/>
    <w:rsid w:val="005B4260"/>
    <w:rsid w:val="005B7B95"/>
    <w:rsid w:val="005C1567"/>
    <w:rsid w:val="005C5AEE"/>
    <w:rsid w:val="005C6CE5"/>
    <w:rsid w:val="005C7395"/>
    <w:rsid w:val="005D3F07"/>
    <w:rsid w:val="005D4B22"/>
    <w:rsid w:val="005D583E"/>
    <w:rsid w:val="005D5E4D"/>
    <w:rsid w:val="005E13EA"/>
    <w:rsid w:val="005E53BD"/>
    <w:rsid w:val="005F3DFF"/>
    <w:rsid w:val="005F4876"/>
    <w:rsid w:val="005F4933"/>
    <w:rsid w:val="005F6F9A"/>
    <w:rsid w:val="00601DEA"/>
    <w:rsid w:val="00606E27"/>
    <w:rsid w:val="00610676"/>
    <w:rsid w:val="006108C9"/>
    <w:rsid w:val="006135DF"/>
    <w:rsid w:val="00615C7E"/>
    <w:rsid w:val="00615E02"/>
    <w:rsid w:val="00617681"/>
    <w:rsid w:val="0062158D"/>
    <w:rsid w:val="00622760"/>
    <w:rsid w:val="00630F39"/>
    <w:rsid w:val="006326D1"/>
    <w:rsid w:val="00632E0A"/>
    <w:rsid w:val="00633165"/>
    <w:rsid w:val="00634987"/>
    <w:rsid w:val="0063634B"/>
    <w:rsid w:val="00636B6C"/>
    <w:rsid w:val="006374E4"/>
    <w:rsid w:val="006447DE"/>
    <w:rsid w:val="0065276E"/>
    <w:rsid w:val="00652BBC"/>
    <w:rsid w:val="00654329"/>
    <w:rsid w:val="006549A6"/>
    <w:rsid w:val="00654CEC"/>
    <w:rsid w:val="00655507"/>
    <w:rsid w:val="00656D91"/>
    <w:rsid w:val="00662A38"/>
    <w:rsid w:val="006712A7"/>
    <w:rsid w:val="006733CC"/>
    <w:rsid w:val="00674FC2"/>
    <w:rsid w:val="00677E42"/>
    <w:rsid w:val="00680CA4"/>
    <w:rsid w:val="00682334"/>
    <w:rsid w:val="006826F3"/>
    <w:rsid w:val="00682D1C"/>
    <w:rsid w:val="00683A00"/>
    <w:rsid w:val="00684B16"/>
    <w:rsid w:val="00691408"/>
    <w:rsid w:val="006929CC"/>
    <w:rsid w:val="00694C00"/>
    <w:rsid w:val="00696F65"/>
    <w:rsid w:val="006A0363"/>
    <w:rsid w:val="006A17D1"/>
    <w:rsid w:val="006A477E"/>
    <w:rsid w:val="006A7A6D"/>
    <w:rsid w:val="006B5E67"/>
    <w:rsid w:val="006B6EBC"/>
    <w:rsid w:val="006C2EB5"/>
    <w:rsid w:val="006C3261"/>
    <w:rsid w:val="006C32A5"/>
    <w:rsid w:val="006C796A"/>
    <w:rsid w:val="006D18A3"/>
    <w:rsid w:val="006D255C"/>
    <w:rsid w:val="006D5970"/>
    <w:rsid w:val="006E026B"/>
    <w:rsid w:val="006E02D2"/>
    <w:rsid w:val="006E0844"/>
    <w:rsid w:val="006E481E"/>
    <w:rsid w:val="006E795F"/>
    <w:rsid w:val="006EBD1E"/>
    <w:rsid w:val="006F0044"/>
    <w:rsid w:val="006F2008"/>
    <w:rsid w:val="006F3066"/>
    <w:rsid w:val="00700249"/>
    <w:rsid w:val="0070604C"/>
    <w:rsid w:val="007069CD"/>
    <w:rsid w:val="007110E6"/>
    <w:rsid w:val="00711A70"/>
    <w:rsid w:val="00712E6F"/>
    <w:rsid w:val="00712E90"/>
    <w:rsid w:val="00713541"/>
    <w:rsid w:val="00713B7E"/>
    <w:rsid w:val="007204AE"/>
    <w:rsid w:val="00720C4C"/>
    <w:rsid w:val="00723030"/>
    <w:rsid w:val="00723CEC"/>
    <w:rsid w:val="00724A1B"/>
    <w:rsid w:val="00724BFE"/>
    <w:rsid w:val="0072678F"/>
    <w:rsid w:val="00727C4C"/>
    <w:rsid w:val="00730B1D"/>
    <w:rsid w:val="0073142B"/>
    <w:rsid w:val="00734809"/>
    <w:rsid w:val="0073619A"/>
    <w:rsid w:val="007406E1"/>
    <w:rsid w:val="00743E40"/>
    <w:rsid w:val="00751263"/>
    <w:rsid w:val="00752E34"/>
    <w:rsid w:val="007550D0"/>
    <w:rsid w:val="00755432"/>
    <w:rsid w:val="0075704F"/>
    <w:rsid w:val="0076188F"/>
    <w:rsid w:val="00762A21"/>
    <w:rsid w:val="00763B2D"/>
    <w:rsid w:val="00772924"/>
    <w:rsid w:val="00782E04"/>
    <w:rsid w:val="00784EC4"/>
    <w:rsid w:val="007872F2"/>
    <w:rsid w:val="007874BC"/>
    <w:rsid w:val="007908E0"/>
    <w:rsid w:val="00793EB3"/>
    <w:rsid w:val="00794205"/>
    <w:rsid w:val="00797012"/>
    <w:rsid w:val="00797997"/>
    <w:rsid w:val="007A1F6A"/>
    <w:rsid w:val="007B014C"/>
    <w:rsid w:val="007B0DE3"/>
    <w:rsid w:val="007B491F"/>
    <w:rsid w:val="007B5CB2"/>
    <w:rsid w:val="007B7191"/>
    <w:rsid w:val="007C1634"/>
    <w:rsid w:val="007C1D94"/>
    <w:rsid w:val="007C2879"/>
    <w:rsid w:val="007C5F38"/>
    <w:rsid w:val="007C6A87"/>
    <w:rsid w:val="007C705D"/>
    <w:rsid w:val="007D049D"/>
    <w:rsid w:val="007D0A07"/>
    <w:rsid w:val="007D0C96"/>
    <w:rsid w:val="007D133D"/>
    <w:rsid w:val="007D3EB4"/>
    <w:rsid w:val="007D3F16"/>
    <w:rsid w:val="007D5987"/>
    <w:rsid w:val="007D7157"/>
    <w:rsid w:val="007D78CC"/>
    <w:rsid w:val="007E2846"/>
    <w:rsid w:val="007E4FC2"/>
    <w:rsid w:val="007E5316"/>
    <w:rsid w:val="007E6FE9"/>
    <w:rsid w:val="007F2550"/>
    <w:rsid w:val="007F3F7E"/>
    <w:rsid w:val="007F5497"/>
    <w:rsid w:val="007F6165"/>
    <w:rsid w:val="00805B88"/>
    <w:rsid w:val="00810ECB"/>
    <w:rsid w:val="00812D5D"/>
    <w:rsid w:val="00813CEC"/>
    <w:rsid w:val="0081534C"/>
    <w:rsid w:val="008171E4"/>
    <w:rsid w:val="008208EA"/>
    <w:rsid w:val="00822A9D"/>
    <w:rsid w:val="0082369E"/>
    <w:rsid w:val="00823E8B"/>
    <w:rsid w:val="00824E67"/>
    <w:rsid w:val="00825A64"/>
    <w:rsid w:val="00826F48"/>
    <w:rsid w:val="008308AE"/>
    <w:rsid w:val="0083166E"/>
    <w:rsid w:val="00831DC3"/>
    <w:rsid w:val="008322C7"/>
    <w:rsid w:val="00834F1D"/>
    <w:rsid w:val="008356C9"/>
    <w:rsid w:val="00836318"/>
    <w:rsid w:val="00836FEC"/>
    <w:rsid w:val="0083755B"/>
    <w:rsid w:val="008403FD"/>
    <w:rsid w:val="00841F9D"/>
    <w:rsid w:val="008420E1"/>
    <w:rsid w:val="00843D58"/>
    <w:rsid w:val="00843EBA"/>
    <w:rsid w:val="00844D98"/>
    <w:rsid w:val="00846D84"/>
    <w:rsid w:val="0085230E"/>
    <w:rsid w:val="0085248D"/>
    <w:rsid w:val="0085355E"/>
    <w:rsid w:val="008546F5"/>
    <w:rsid w:val="008550A1"/>
    <w:rsid w:val="00861035"/>
    <w:rsid w:val="00861038"/>
    <w:rsid w:val="00865008"/>
    <w:rsid w:val="0086643F"/>
    <w:rsid w:val="008667CE"/>
    <w:rsid w:val="00866B50"/>
    <w:rsid w:val="008708F1"/>
    <w:rsid w:val="00874715"/>
    <w:rsid w:val="00880539"/>
    <w:rsid w:val="008859E8"/>
    <w:rsid w:val="0088737B"/>
    <w:rsid w:val="008903AC"/>
    <w:rsid w:val="00892716"/>
    <w:rsid w:val="00893067"/>
    <w:rsid w:val="008933DE"/>
    <w:rsid w:val="00894509"/>
    <w:rsid w:val="00895FCE"/>
    <w:rsid w:val="00897F3E"/>
    <w:rsid w:val="008A1BA8"/>
    <w:rsid w:val="008A21B4"/>
    <w:rsid w:val="008A4576"/>
    <w:rsid w:val="008A7CD0"/>
    <w:rsid w:val="008B07DE"/>
    <w:rsid w:val="008B28E7"/>
    <w:rsid w:val="008C14C7"/>
    <w:rsid w:val="008C2264"/>
    <w:rsid w:val="008C2FFB"/>
    <w:rsid w:val="008C5F73"/>
    <w:rsid w:val="008C6EEA"/>
    <w:rsid w:val="008D01DC"/>
    <w:rsid w:val="008D0B4D"/>
    <w:rsid w:val="008D5813"/>
    <w:rsid w:val="008D60CB"/>
    <w:rsid w:val="008D634E"/>
    <w:rsid w:val="008D778A"/>
    <w:rsid w:val="008E2D50"/>
    <w:rsid w:val="008E3B08"/>
    <w:rsid w:val="008F035C"/>
    <w:rsid w:val="008F22BD"/>
    <w:rsid w:val="009079BD"/>
    <w:rsid w:val="009108CA"/>
    <w:rsid w:val="009115C1"/>
    <w:rsid w:val="00912BD9"/>
    <w:rsid w:val="00914F65"/>
    <w:rsid w:val="00920E5B"/>
    <w:rsid w:val="00926436"/>
    <w:rsid w:val="0093018C"/>
    <w:rsid w:val="00932CCA"/>
    <w:rsid w:val="009413D1"/>
    <w:rsid w:val="009443FB"/>
    <w:rsid w:val="00946CDB"/>
    <w:rsid w:val="00953E15"/>
    <w:rsid w:val="009544C0"/>
    <w:rsid w:val="00954FA4"/>
    <w:rsid w:val="00956AE9"/>
    <w:rsid w:val="00963B7A"/>
    <w:rsid w:val="00964CC6"/>
    <w:rsid w:val="009832CC"/>
    <w:rsid w:val="00991FDA"/>
    <w:rsid w:val="009927A1"/>
    <w:rsid w:val="009933AA"/>
    <w:rsid w:val="00995D74"/>
    <w:rsid w:val="0099774D"/>
    <w:rsid w:val="009A105A"/>
    <w:rsid w:val="009A1E22"/>
    <w:rsid w:val="009A40B0"/>
    <w:rsid w:val="009A5F3B"/>
    <w:rsid w:val="009B09B4"/>
    <w:rsid w:val="009B0B61"/>
    <w:rsid w:val="009B28C0"/>
    <w:rsid w:val="009B3556"/>
    <w:rsid w:val="009B7136"/>
    <w:rsid w:val="009B7806"/>
    <w:rsid w:val="009C007C"/>
    <w:rsid w:val="009C0E3E"/>
    <w:rsid w:val="009C3AC2"/>
    <w:rsid w:val="009C50F1"/>
    <w:rsid w:val="009D4365"/>
    <w:rsid w:val="009D4E3B"/>
    <w:rsid w:val="009D6415"/>
    <w:rsid w:val="009D7BC9"/>
    <w:rsid w:val="009D7C05"/>
    <w:rsid w:val="009E0C5A"/>
    <w:rsid w:val="009E1982"/>
    <w:rsid w:val="009E4D2C"/>
    <w:rsid w:val="009E6266"/>
    <w:rsid w:val="009F0978"/>
    <w:rsid w:val="009F3AEC"/>
    <w:rsid w:val="00A00081"/>
    <w:rsid w:val="00A015F7"/>
    <w:rsid w:val="00A10D56"/>
    <w:rsid w:val="00A12AAE"/>
    <w:rsid w:val="00A145BF"/>
    <w:rsid w:val="00A16DD1"/>
    <w:rsid w:val="00A22441"/>
    <w:rsid w:val="00A2388B"/>
    <w:rsid w:val="00A23F3B"/>
    <w:rsid w:val="00A24406"/>
    <w:rsid w:val="00A25F64"/>
    <w:rsid w:val="00A27762"/>
    <w:rsid w:val="00A27CC2"/>
    <w:rsid w:val="00A3221B"/>
    <w:rsid w:val="00A3273B"/>
    <w:rsid w:val="00A34498"/>
    <w:rsid w:val="00A40ED6"/>
    <w:rsid w:val="00A470EE"/>
    <w:rsid w:val="00A47621"/>
    <w:rsid w:val="00A479CD"/>
    <w:rsid w:val="00A50CFC"/>
    <w:rsid w:val="00A52A6A"/>
    <w:rsid w:val="00A54D67"/>
    <w:rsid w:val="00A55A3F"/>
    <w:rsid w:val="00A56BC4"/>
    <w:rsid w:val="00A57ABF"/>
    <w:rsid w:val="00A6114A"/>
    <w:rsid w:val="00A640BF"/>
    <w:rsid w:val="00A652F6"/>
    <w:rsid w:val="00A732EA"/>
    <w:rsid w:val="00A7489E"/>
    <w:rsid w:val="00A77450"/>
    <w:rsid w:val="00A776AE"/>
    <w:rsid w:val="00A8015F"/>
    <w:rsid w:val="00A80BD2"/>
    <w:rsid w:val="00A85039"/>
    <w:rsid w:val="00A851F7"/>
    <w:rsid w:val="00A906AA"/>
    <w:rsid w:val="00A91870"/>
    <w:rsid w:val="00A91A24"/>
    <w:rsid w:val="00A94C5E"/>
    <w:rsid w:val="00AA241A"/>
    <w:rsid w:val="00AA252C"/>
    <w:rsid w:val="00AA498E"/>
    <w:rsid w:val="00AA666E"/>
    <w:rsid w:val="00AB2028"/>
    <w:rsid w:val="00AB5518"/>
    <w:rsid w:val="00AC01D4"/>
    <w:rsid w:val="00AC4A04"/>
    <w:rsid w:val="00AC6DE4"/>
    <w:rsid w:val="00AC7CB9"/>
    <w:rsid w:val="00AD0C52"/>
    <w:rsid w:val="00AD336F"/>
    <w:rsid w:val="00AD3550"/>
    <w:rsid w:val="00AD4DB4"/>
    <w:rsid w:val="00AD6523"/>
    <w:rsid w:val="00AD7109"/>
    <w:rsid w:val="00AE2564"/>
    <w:rsid w:val="00AE301F"/>
    <w:rsid w:val="00AE3302"/>
    <w:rsid w:val="00AE3B3A"/>
    <w:rsid w:val="00AE7077"/>
    <w:rsid w:val="00AF61C2"/>
    <w:rsid w:val="00AF6CC6"/>
    <w:rsid w:val="00AF7E58"/>
    <w:rsid w:val="00B00289"/>
    <w:rsid w:val="00B011CD"/>
    <w:rsid w:val="00B0296A"/>
    <w:rsid w:val="00B10874"/>
    <w:rsid w:val="00B12295"/>
    <w:rsid w:val="00B137BE"/>
    <w:rsid w:val="00B17FA0"/>
    <w:rsid w:val="00B24344"/>
    <w:rsid w:val="00B26769"/>
    <w:rsid w:val="00B26E7D"/>
    <w:rsid w:val="00B27E4B"/>
    <w:rsid w:val="00B31993"/>
    <w:rsid w:val="00B31C91"/>
    <w:rsid w:val="00B37384"/>
    <w:rsid w:val="00B3747F"/>
    <w:rsid w:val="00B43194"/>
    <w:rsid w:val="00B459FC"/>
    <w:rsid w:val="00B47734"/>
    <w:rsid w:val="00B50FBA"/>
    <w:rsid w:val="00B558EB"/>
    <w:rsid w:val="00B577D3"/>
    <w:rsid w:val="00B60466"/>
    <w:rsid w:val="00B6548F"/>
    <w:rsid w:val="00B726D0"/>
    <w:rsid w:val="00B74581"/>
    <w:rsid w:val="00B7502A"/>
    <w:rsid w:val="00B77305"/>
    <w:rsid w:val="00B81577"/>
    <w:rsid w:val="00B82CC2"/>
    <w:rsid w:val="00B84A89"/>
    <w:rsid w:val="00B855C5"/>
    <w:rsid w:val="00B90841"/>
    <w:rsid w:val="00B92BEF"/>
    <w:rsid w:val="00B94BCB"/>
    <w:rsid w:val="00B9689A"/>
    <w:rsid w:val="00BA1FFA"/>
    <w:rsid w:val="00BA358B"/>
    <w:rsid w:val="00BA4BCA"/>
    <w:rsid w:val="00BA5CEC"/>
    <w:rsid w:val="00BA64A2"/>
    <w:rsid w:val="00BA7107"/>
    <w:rsid w:val="00BA7FF1"/>
    <w:rsid w:val="00BB06CB"/>
    <w:rsid w:val="00BB261F"/>
    <w:rsid w:val="00BB2887"/>
    <w:rsid w:val="00BB5EAA"/>
    <w:rsid w:val="00BB5F11"/>
    <w:rsid w:val="00BB6E63"/>
    <w:rsid w:val="00BB76C0"/>
    <w:rsid w:val="00BC0401"/>
    <w:rsid w:val="00BC04FA"/>
    <w:rsid w:val="00BC1C11"/>
    <w:rsid w:val="00BC1C22"/>
    <w:rsid w:val="00BC460B"/>
    <w:rsid w:val="00BC5725"/>
    <w:rsid w:val="00BC5C3F"/>
    <w:rsid w:val="00BD2AEB"/>
    <w:rsid w:val="00BD30B1"/>
    <w:rsid w:val="00BD487D"/>
    <w:rsid w:val="00BD7EAB"/>
    <w:rsid w:val="00BE0F7B"/>
    <w:rsid w:val="00BE10C2"/>
    <w:rsid w:val="00BE785B"/>
    <w:rsid w:val="00BE7C22"/>
    <w:rsid w:val="00BF3B81"/>
    <w:rsid w:val="00C01D14"/>
    <w:rsid w:val="00C025B4"/>
    <w:rsid w:val="00C031F6"/>
    <w:rsid w:val="00C11F61"/>
    <w:rsid w:val="00C13E43"/>
    <w:rsid w:val="00C161FD"/>
    <w:rsid w:val="00C23F17"/>
    <w:rsid w:val="00C26D0D"/>
    <w:rsid w:val="00C27C95"/>
    <w:rsid w:val="00C300D2"/>
    <w:rsid w:val="00C30F15"/>
    <w:rsid w:val="00C31A42"/>
    <w:rsid w:val="00C3270F"/>
    <w:rsid w:val="00C3278B"/>
    <w:rsid w:val="00C33375"/>
    <w:rsid w:val="00C34C23"/>
    <w:rsid w:val="00C42005"/>
    <w:rsid w:val="00C4376C"/>
    <w:rsid w:val="00C44446"/>
    <w:rsid w:val="00C444B5"/>
    <w:rsid w:val="00C4664D"/>
    <w:rsid w:val="00C472AA"/>
    <w:rsid w:val="00C50A05"/>
    <w:rsid w:val="00C54AED"/>
    <w:rsid w:val="00C55B2F"/>
    <w:rsid w:val="00C63D00"/>
    <w:rsid w:val="00C6441B"/>
    <w:rsid w:val="00C66DA0"/>
    <w:rsid w:val="00C7108B"/>
    <w:rsid w:val="00C8089F"/>
    <w:rsid w:val="00C81E6A"/>
    <w:rsid w:val="00C836CC"/>
    <w:rsid w:val="00C87A74"/>
    <w:rsid w:val="00C90A71"/>
    <w:rsid w:val="00C91574"/>
    <w:rsid w:val="00C91BC2"/>
    <w:rsid w:val="00C92C71"/>
    <w:rsid w:val="00C93F8F"/>
    <w:rsid w:val="00C946C8"/>
    <w:rsid w:val="00C94A6E"/>
    <w:rsid w:val="00C960A6"/>
    <w:rsid w:val="00CA1C1D"/>
    <w:rsid w:val="00CA2745"/>
    <w:rsid w:val="00CA3593"/>
    <w:rsid w:val="00CA4633"/>
    <w:rsid w:val="00CA6698"/>
    <w:rsid w:val="00CA7F4F"/>
    <w:rsid w:val="00CB103E"/>
    <w:rsid w:val="00CB258E"/>
    <w:rsid w:val="00CB3C8F"/>
    <w:rsid w:val="00CB75CE"/>
    <w:rsid w:val="00CC02F1"/>
    <w:rsid w:val="00CC11A6"/>
    <w:rsid w:val="00CC135E"/>
    <w:rsid w:val="00CC2F8D"/>
    <w:rsid w:val="00CD36D5"/>
    <w:rsid w:val="00CD5D3F"/>
    <w:rsid w:val="00CE300A"/>
    <w:rsid w:val="00CE3307"/>
    <w:rsid w:val="00CF01F2"/>
    <w:rsid w:val="00CF1E90"/>
    <w:rsid w:val="00CF3D31"/>
    <w:rsid w:val="00CF3DB3"/>
    <w:rsid w:val="00CF5F4A"/>
    <w:rsid w:val="00D04364"/>
    <w:rsid w:val="00D052BC"/>
    <w:rsid w:val="00D07026"/>
    <w:rsid w:val="00D11C62"/>
    <w:rsid w:val="00D11D4E"/>
    <w:rsid w:val="00D22C8F"/>
    <w:rsid w:val="00D3190F"/>
    <w:rsid w:val="00D33491"/>
    <w:rsid w:val="00D4321A"/>
    <w:rsid w:val="00D44947"/>
    <w:rsid w:val="00D44F8E"/>
    <w:rsid w:val="00D44FD0"/>
    <w:rsid w:val="00D46D7F"/>
    <w:rsid w:val="00D47CAF"/>
    <w:rsid w:val="00D5733C"/>
    <w:rsid w:val="00D606D6"/>
    <w:rsid w:val="00D607EF"/>
    <w:rsid w:val="00D60F88"/>
    <w:rsid w:val="00D625E7"/>
    <w:rsid w:val="00D6329C"/>
    <w:rsid w:val="00D646BD"/>
    <w:rsid w:val="00D662C8"/>
    <w:rsid w:val="00D70239"/>
    <w:rsid w:val="00D71201"/>
    <w:rsid w:val="00D720C7"/>
    <w:rsid w:val="00D73A26"/>
    <w:rsid w:val="00D77A04"/>
    <w:rsid w:val="00D81D06"/>
    <w:rsid w:val="00D8652C"/>
    <w:rsid w:val="00D876E6"/>
    <w:rsid w:val="00DA1025"/>
    <w:rsid w:val="00DA22EC"/>
    <w:rsid w:val="00DA4974"/>
    <w:rsid w:val="00DA5860"/>
    <w:rsid w:val="00DB259E"/>
    <w:rsid w:val="00DB2767"/>
    <w:rsid w:val="00DC4729"/>
    <w:rsid w:val="00DD566C"/>
    <w:rsid w:val="00DE05C3"/>
    <w:rsid w:val="00DE556F"/>
    <w:rsid w:val="00DF3377"/>
    <w:rsid w:val="00DF3F09"/>
    <w:rsid w:val="00DF5609"/>
    <w:rsid w:val="00E03B6D"/>
    <w:rsid w:val="00E10622"/>
    <w:rsid w:val="00E17160"/>
    <w:rsid w:val="00E232FC"/>
    <w:rsid w:val="00E24DD7"/>
    <w:rsid w:val="00E27E98"/>
    <w:rsid w:val="00E32367"/>
    <w:rsid w:val="00E34935"/>
    <w:rsid w:val="00E35BEC"/>
    <w:rsid w:val="00E421A9"/>
    <w:rsid w:val="00E4723C"/>
    <w:rsid w:val="00E50821"/>
    <w:rsid w:val="00E50EF8"/>
    <w:rsid w:val="00E51F91"/>
    <w:rsid w:val="00E56BEB"/>
    <w:rsid w:val="00E612A4"/>
    <w:rsid w:val="00E62BC3"/>
    <w:rsid w:val="00E6620F"/>
    <w:rsid w:val="00E67F72"/>
    <w:rsid w:val="00E7086E"/>
    <w:rsid w:val="00E7245B"/>
    <w:rsid w:val="00E7374A"/>
    <w:rsid w:val="00E73C41"/>
    <w:rsid w:val="00E7439B"/>
    <w:rsid w:val="00E7598F"/>
    <w:rsid w:val="00E76F60"/>
    <w:rsid w:val="00E825AB"/>
    <w:rsid w:val="00E83D90"/>
    <w:rsid w:val="00E83F28"/>
    <w:rsid w:val="00E83F91"/>
    <w:rsid w:val="00E8671D"/>
    <w:rsid w:val="00E9107A"/>
    <w:rsid w:val="00E91E96"/>
    <w:rsid w:val="00E91F62"/>
    <w:rsid w:val="00E929FD"/>
    <w:rsid w:val="00E93240"/>
    <w:rsid w:val="00E9479B"/>
    <w:rsid w:val="00E951D5"/>
    <w:rsid w:val="00EA4D48"/>
    <w:rsid w:val="00EA5A29"/>
    <w:rsid w:val="00EB0317"/>
    <w:rsid w:val="00EB2173"/>
    <w:rsid w:val="00EB28DC"/>
    <w:rsid w:val="00EB3E2F"/>
    <w:rsid w:val="00EB62E6"/>
    <w:rsid w:val="00EC7F47"/>
    <w:rsid w:val="00ED1B30"/>
    <w:rsid w:val="00ED202F"/>
    <w:rsid w:val="00ED250E"/>
    <w:rsid w:val="00ED4D5A"/>
    <w:rsid w:val="00ED5F29"/>
    <w:rsid w:val="00ED6535"/>
    <w:rsid w:val="00EE0646"/>
    <w:rsid w:val="00EE1AC1"/>
    <w:rsid w:val="00EE39D6"/>
    <w:rsid w:val="00EE413C"/>
    <w:rsid w:val="00EE52AD"/>
    <w:rsid w:val="00EF3A44"/>
    <w:rsid w:val="00EF3E0D"/>
    <w:rsid w:val="00F01F92"/>
    <w:rsid w:val="00F07B65"/>
    <w:rsid w:val="00F10A08"/>
    <w:rsid w:val="00F13295"/>
    <w:rsid w:val="00F1373F"/>
    <w:rsid w:val="00F139CF"/>
    <w:rsid w:val="00F1708D"/>
    <w:rsid w:val="00F22A40"/>
    <w:rsid w:val="00F22AC5"/>
    <w:rsid w:val="00F254D1"/>
    <w:rsid w:val="00F32B82"/>
    <w:rsid w:val="00F360ED"/>
    <w:rsid w:val="00F4043E"/>
    <w:rsid w:val="00F40CB5"/>
    <w:rsid w:val="00F41BBC"/>
    <w:rsid w:val="00F41ED2"/>
    <w:rsid w:val="00F43B9D"/>
    <w:rsid w:val="00F444F0"/>
    <w:rsid w:val="00F50590"/>
    <w:rsid w:val="00F50847"/>
    <w:rsid w:val="00F50B50"/>
    <w:rsid w:val="00F53E78"/>
    <w:rsid w:val="00F53F27"/>
    <w:rsid w:val="00F546D1"/>
    <w:rsid w:val="00F6513F"/>
    <w:rsid w:val="00F66272"/>
    <w:rsid w:val="00F667FC"/>
    <w:rsid w:val="00F66DEA"/>
    <w:rsid w:val="00F67D59"/>
    <w:rsid w:val="00F709C0"/>
    <w:rsid w:val="00F7722C"/>
    <w:rsid w:val="00F80C6B"/>
    <w:rsid w:val="00F851A8"/>
    <w:rsid w:val="00F862A5"/>
    <w:rsid w:val="00F927A1"/>
    <w:rsid w:val="00F92E4D"/>
    <w:rsid w:val="00FA3764"/>
    <w:rsid w:val="00FA56ED"/>
    <w:rsid w:val="00FB5FA6"/>
    <w:rsid w:val="00FC1310"/>
    <w:rsid w:val="00FC2FF3"/>
    <w:rsid w:val="00FC3263"/>
    <w:rsid w:val="00FC51F9"/>
    <w:rsid w:val="00FC5967"/>
    <w:rsid w:val="00FC5B40"/>
    <w:rsid w:val="00FC5D59"/>
    <w:rsid w:val="00FC5FF8"/>
    <w:rsid w:val="00FC702B"/>
    <w:rsid w:val="00FD3D7C"/>
    <w:rsid w:val="00FD4F8F"/>
    <w:rsid w:val="00FD5A66"/>
    <w:rsid w:val="00FD77B6"/>
    <w:rsid w:val="00FD7B28"/>
    <w:rsid w:val="00FE0C16"/>
    <w:rsid w:val="00FE14AD"/>
    <w:rsid w:val="00FE14B1"/>
    <w:rsid w:val="00FE1F6A"/>
    <w:rsid w:val="00FE2572"/>
    <w:rsid w:val="00FE2C52"/>
    <w:rsid w:val="00FE53F2"/>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C5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7901">
      <w:bodyDiv w:val="1"/>
      <w:marLeft w:val="0"/>
      <w:marRight w:val="0"/>
      <w:marTop w:val="0"/>
      <w:marBottom w:val="0"/>
      <w:divBdr>
        <w:top w:val="none" w:sz="0" w:space="0" w:color="auto"/>
        <w:left w:val="none" w:sz="0" w:space="0" w:color="auto"/>
        <w:bottom w:val="none" w:sz="0" w:space="0" w:color="auto"/>
        <w:right w:val="none" w:sz="0" w:space="0" w:color="auto"/>
      </w:divBdr>
    </w:div>
    <w:div w:id="58594803">
      <w:bodyDiv w:val="1"/>
      <w:marLeft w:val="0"/>
      <w:marRight w:val="0"/>
      <w:marTop w:val="0"/>
      <w:marBottom w:val="0"/>
      <w:divBdr>
        <w:top w:val="none" w:sz="0" w:space="0" w:color="auto"/>
        <w:left w:val="none" w:sz="0" w:space="0" w:color="auto"/>
        <w:bottom w:val="none" w:sz="0" w:space="0" w:color="auto"/>
        <w:right w:val="none" w:sz="0" w:space="0" w:color="auto"/>
      </w:divBdr>
    </w:div>
    <w:div w:id="64957037">
      <w:bodyDiv w:val="1"/>
      <w:marLeft w:val="0"/>
      <w:marRight w:val="0"/>
      <w:marTop w:val="0"/>
      <w:marBottom w:val="0"/>
      <w:divBdr>
        <w:top w:val="none" w:sz="0" w:space="0" w:color="auto"/>
        <w:left w:val="none" w:sz="0" w:space="0" w:color="auto"/>
        <w:bottom w:val="none" w:sz="0" w:space="0" w:color="auto"/>
        <w:right w:val="none" w:sz="0" w:space="0" w:color="auto"/>
      </w:divBdr>
    </w:div>
    <w:div w:id="65346041">
      <w:bodyDiv w:val="1"/>
      <w:marLeft w:val="0"/>
      <w:marRight w:val="0"/>
      <w:marTop w:val="0"/>
      <w:marBottom w:val="0"/>
      <w:divBdr>
        <w:top w:val="none" w:sz="0" w:space="0" w:color="auto"/>
        <w:left w:val="none" w:sz="0" w:space="0" w:color="auto"/>
        <w:bottom w:val="none" w:sz="0" w:space="0" w:color="auto"/>
        <w:right w:val="none" w:sz="0" w:space="0" w:color="auto"/>
      </w:divBdr>
    </w:div>
    <w:div w:id="84693746">
      <w:bodyDiv w:val="1"/>
      <w:marLeft w:val="0"/>
      <w:marRight w:val="0"/>
      <w:marTop w:val="0"/>
      <w:marBottom w:val="0"/>
      <w:divBdr>
        <w:top w:val="none" w:sz="0" w:space="0" w:color="auto"/>
        <w:left w:val="none" w:sz="0" w:space="0" w:color="auto"/>
        <w:bottom w:val="none" w:sz="0" w:space="0" w:color="auto"/>
        <w:right w:val="none" w:sz="0" w:space="0" w:color="auto"/>
      </w:divBdr>
    </w:div>
    <w:div w:id="118646402">
      <w:bodyDiv w:val="1"/>
      <w:marLeft w:val="0"/>
      <w:marRight w:val="0"/>
      <w:marTop w:val="0"/>
      <w:marBottom w:val="0"/>
      <w:divBdr>
        <w:top w:val="none" w:sz="0" w:space="0" w:color="auto"/>
        <w:left w:val="none" w:sz="0" w:space="0" w:color="auto"/>
        <w:bottom w:val="none" w:sz="0" w:space="0" w:color="auto"/>
        <w:right w:val="none" w:sz="0" w:space="0" w:color="auto"/>
      </w:divBdr>
    </w:div>
    <w:div w:id="161816420">
      <w:bodyDiv w:val="1"/>
      <w:marLeft w:val="0"/>
      <w:marRight w:val="0"/>
      <w:marTop w:val="0"/>
      <w:marBottom w:val="0"/>
      <w:divBdr>
        <w:top w:val="none" w:sz="0" w:space="0" w:color="auto"/>
        <w:left w:val="none" w:sz="0" w:space="0" w:color="auto"/>
        <w:bottom w:val="none" w:sz="0" w:space="0" w:color="auto"/>
        <w:right w:val="none" w:sz="0" w:space="0" w:color="auto"/>
      </w:divBdr>
    </w:div>
    <w:div w:id="247271373">
      <w:bodyDiv w:val="1"/>
      <w:marLeft w:val="0"/>
      <w:marRight w:val="0"/>
      <w:marTop w:val="0"/>
      <w:marBottom w:val="0"/>
      <w:divBdr>
        <w:top w:val="none" w:sz="0" w:space="0" w:color="auto"/>
        <w:left w:val="none" w:sz="0" w:space="0" w:color="auto"/>
        <w:bottom w:val="none" w:sz="0" w:space="0" w:color="auto"/>
        <w:right w:val="none" w:sz="0" w:space="0" w:color="auto"/>
      </w:divBdr>
    </w:div>
    <w:div w:id="27263560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9815114">
      <w:bodyDiv w:val="1"/>
      <w:marLeft w:val="0"/>
      <w:marRight w:val="0"/>
      <w:marTop w:val="0"/>
      <w:marBottom w:val="0"/>
      <w:divBdr>
        <w:top w:val="none" w:sz="0" w:space="0" w:color="auto"/>
        <w:left w:val="none" w:sz="0" w:space="0" w:color="auto"/>
        <w:bottom w:val="none" w:sz="0" w:space="0" w:color="auto"/>
        <w:right w:val="none" w:sz="0" w:space="0" w:color="auto"/>
      </w:divBdr>
    </w:div>
    <w:div w:id="438457084">
      <w:bodyDiv w:val="1"/>
      <w:marLeft w:val="0"/>
      <w:marRight w:val="0"/>
      <w:marTop w:val="0"/>
      <w:marBottom w:val="0"/>
      <w:divBdr>
        <w:top w:val="none" w:sz="0" w:space="0" w:color="auto"/>
        <w:left w:val="none" w:sz="0" w:space="0" w:color="auto"/>
        <w:bottom w:val="none" w:sz="0" w:space="0" w:color="auto"/>
        <w:right w:val="none" w:sz="0" w:space="0" w:color="auto"/>
      </w:divBdr>
    </w:div>
    <w:div w:id="449397648">
      <w:bodyDiv w:val="1"/>
      <w:marLeft w:val="0"/>
      <w:marRight w:val="0"/>
      <w:marTop w:val="0"/>
      <w:marBottom w:val="0"/>
      <w:divBdr>
        <w:top w:val="none" w:sz="0" w:space="0" w:color="auto"/>
        <w:left w:val="none" w:sz="0" w:space="0" w:color="auto"/>
        <w:bottom w:val="none" w:sz="0" w:space="0" w:color="auto"/>
        <w:right w:val="none" w:sz="0" w:space="0" w:color="auto"/>
      </w:divBdr>
    </w:div>
    <w:div w:id="490489041">
      <w:bodyDiv w:val="1"/>
      <w:marLeft w:val="0"/>
      <w:marRight w:val="0"/>
      <w:marTop w:val="0"/>
      <w:marBottom w:val="0"/>
      <w:divBdr>
        <w:top w:val="none" w:sz="0" w:space="0" w:color="auto"/>
        <w:left w:val="none" w:sz="0" w:space="0" w:color="auto"/>
        <w:bottom w:val="none" w:sz="0" w:space="0" w:color="auto"/>
        <w:right w:val="none" w:sz="0" w:space="0" w:color="auto"/>
      </w:divBdr>
    </w:div>
    <w:div w:id="50177598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484541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1759775">
      <w:bodyDiv w:val="1"/>
      <w:marLeft w:val="0"/>
      <w:marRight w:val="0"/>
      <w:marTop w:val="0"/>
      <w:marBottom w:val="0"/>
      <w:divBdr>
        <w:top w:val="none" w:sz="0" w:space="0" w:color="auto"/>
        <w:left w:val="none" w:sz="0" w:space="0" w:color="auto"/>
        <w:bottom w:val="none" w:sz="0" w:space="0" w:color="auto"/>
        <w:right w:val="none" w:sz="0" w:space="0" w:color="auto"/>
      </w:divBdr>
    </w:div>
    <w:div w:id="722948539">
      <w:bodyDiv w:val="1"/>
      <w:marLeft w:val="0"/>
      <w:marRight w:val="0"/>
      <w:marTop w:val="0"/>
      <w:marBottom w:val="0"/>
      <w:divBdr>
        <w:top w:val="none" w:sz="0" w:space="0" w:color="auto"/>
        <w:left w:val="none" w:sz="0" w:space="0" w:color="auto"/>
        <w:bottom w:val="none" w:sz="0" w:space="0" w:color="auto"/>
        <w:right w:val="none" w:sz="0" w:space="0" w:color="auto"/>
      </w:divBdr>
    </w:div>
    <w:div w:id="750005971">
      <w:bodyDiv w:val="1"/>
      <w:marLeft w:val="0"/>
      <w:marRight w:val="0"/>
      <w:marTop w:val="0"/>
      <w:marBottom w:val="0"/>
      <w:divBdr>
        <w:top w:val="none" w:sz="0" w:space="0" w:color="auto"/>
        <w:left w:val="none" w:sz="0" w:space="0" w:color="auto"/>
        <w:bottom w:val="none" w:sz="0" w:space="0" w:color="auto"/>
        <w:right w:val="none" w:sz="0" w:space="0" w:color="auto"/>
      </w:divBdr>
    </w:div>
    <w:div w:id="752556551">
      <w:bodyDiv w:val="1"/>
      <w:marLeft w:val="0"/>
      <w:marRight w:val="0"/>
      <w:marTop w:val="0"/>
      <w:marBottom w:val="0"/>
      <w:divBdr>
        <w:top w:val="none" w:sz="0" w:space="0" w:color="auto"/>
        <w:left w:val="none" w:sz="0" w:space="0" w:color="auto"/>
        <w:bottom w:val="none" w:sz="0" w:space="0" w:color="auto"/>
        <w:right w:val="none" w:sz="0" w:space="0" w:color="auto"/>
      </w:divBdr>
    </w:div>
    <w:div w:id="789276971">
      <w:bodyDiv w:val="1"/>
      <w:marLeft w:val="0"/>
      <w:marRight w:val="0"/>
      <w:marTop w:val="0"/>
      <w:marBottom w:val="0"/>
      <w:divBdr>
        <w:top w:val="none" w:sz="0" w:space="0" w:color="auto"/>
        <w:left w:val="none" w:sz="0" w:space="0" w:color="auto"/>
        <w:bottom w:val="none" w:sz="0" w:space="0" w:color="auto"/>
        <w:right w:val="none" w:sz="0" w:space="0" w:color="auto"/>
      </w:divBdr>
    </w:div>
    <w:div w:id="854997253">
      <w:bodyDiv w:val="1"/>
      <w:marLeft w:val="0"/>
      <w:marRight w:val="0"/>
      <w:marTop w:val="0"/>
      <w:marBottom w:val="0"/>
      <w:divBdr>
        <w:top w:val="none" w:sz="0" w:space="0" w:color="auto"/>
        <w:left w:val="none" w:sz="0" w:space="0" w:color="auto"/>
        <w:bottom w:val="none" w:sz="0" w:space="0" w:color="auto"/>
        <w:right w:val="none" w:sz="0" w:space="0" w:color="auto"/>
      </w:divBdr>
    </w:div>
    <w:div w:id="858540411">
      <w:bodyDiv w:val="1"/>
      <w:marLeft w:val="0"/>
      <w:marRight w:val="0"/>
      <w:marTop w:val="0"/>
      <w:marBottom w:val="0"/>
      <w:divBdr>
        <w:top w:val="none" w:sz="0" w:space="0" w:color="auto"/>
        <w:left w:val="none" w:sz="0" w:space="0" w:color="auto"/>
        <w:bottom w:val="none" w:sz="0" w:space="0" w:color="auto"/>
        <w:right w:val="none" w:sz="0" w:space="0" w:color="auto"/>
      </w:divBdr>
    </w:div>
    <w:div w:id="938754439">
      <w:bodyDiv w:val="1"/>
      <w:marLeft w:val="0"/>
      <w:marRight w:val="0"/>
      <w:marTop w:val="0"/>
      <w:marBottom w:val="0"/>
      <w:divBdr>
        <w:top w:val="none" w:sz="0" w:space="0" w:color="auto"/>
        <w:left w:val="none" w:sz="0" w:space="0" w:color="auto"/>
        <w:bottom w:val="none" w:sz="0" w:space="0" w:color="auto"/>
        <w:right w:val="none" w:sz="0" w:space="0" w:color="auto"/>
      </w:divBdr>
    </w:div>
    <w:div w:id="947783755">
      <w:bodyDiv w:val="1"/>
      <w:marLeft w:val="0"/>
      <w:marRight w:val="0"/>
      <w:marTop w:val="0"/>
      <w:marBottom w:val="0"/>
      <w:divBdr>
        <w:top w:val="none" w:sz="0" w:space="0" w:color="auto"/>
        <w:left w:val="none" w:sz="0" w:space="0" w:color="auto"/>
        <w:bottom w:val="none" w:sz="0" w:space="0" w:color="auto"/>
        <w:right w:val="none" w:sz="0" w:space="0" w:color="auto"/>
      </w:divBdr>
    </w:div>
    <w:div w:id="9788461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5462848">
      <w:bodyDiv w:val="1"/>
      <w:marLeft w:val="0"/>
      <w:marRight w:val="0"/>
      <w:marTop w:val="0"/>
      <w:marBottom w:val="0"/>
      <w:divBdr>
        <w:top w:val="none" w:sz="0" w:space="0" w:color="auto"/>
        <w:left w:val="none" w:sz="0" w:space="0" w:color="auto"/>
        <w:bottom w:val="none" w:sz="0" w:space="0" w:color="auto"/>
        <w:right w:val="none" w:sz="0" w:space="0" w:color="auto"/>
      </w:divBdr>
    </w:div>
    <w:div w:id="1142388165">
      <w:bodyDiv w:val="1"/>
      <w:marLeft w:val="0"/>
      <w:marRight w:val="0"/>
      <w:marTop w:val="0"/>
      <w:marBottom w:val="0"/>
      <w:divBdr>
        <w:top w:val="none" w:sz="0" w:space="0" w:color="auto"/>
        <w:left w:val="none" w:sz="0" w:space="0" w:color="auto"/>
        <w:bottom w:val="none" w:sz="0" w:space="0" w:color="auto"/>
        <w:right w:val="none" w:sz="0" w:space="0" w:color="auto"/>
      </w:divBdr>
    </w:div>
    <w:div w:id="1178229044">
      <w:bodyDiv w:val="1"/>
      <w:marLeft w:val="0"/>
      <w:marRight w:val="0"/>
      <w:marTop w:val="0"/>
      <w:marBottom w:val="0"/>
      <w:divBdr>
        <w:top w:val="none" w:sz="0" w:space="0" w:color="auto"/>
        <w:left w:val="none" w:sz="0" w:space="0" w:color="auto"/>
        <w:bottom w:val="none" w:sz="0" w:space="0" w:color="auto"/>
        <w:right w:val="none" w:sz="0" w:space="0" w:color="auto"/>
      </w:divBdr>
    </w:div>
    <w:div w:id="11876446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0805198">
      <w:bodyDiv w:val="1"/>
      <w:marLeft w:val="0"/>
      <w:marRight w:val="0"/>
      <w:marTop w:val="0"/>
      <w:marBottom w:val="0"/>
      <w:divBdr>
        <w:top w:val="none" w:sz="0" w:space="0" w:color="auto"/>
        <w:left w:val="none" w:sz="0" w:space="0" w:color="auto"/>
        <w:bottom w:val="none" w:sz="0" w:space="0" w:color="auto"/>
        <w:right w:val="none" w:sz="0" w:space="0" w:color="auto"/>
      </w:divBdr>
    </w:div>
    <w:div w:id="1235818373">
      <w:bodyDiv w:val="1"/>
      <w:marLeft w:val="0"/>
      <w:marRight w:val="0"/>
      <w:marTop w:val="0"/>
      <w:marBottom w:val="0"/>
      <w:divBdr>
        <w:top w:val="none" w:sz="0" w:space="0" w:color="auto"/>
        <w:left w:val="none" w:sz="0" w:space="0" w:color="auto"/>
        <w:bottom w:val="none" w:sz="0" w:space="0" w:color="auto"/>
        <w:right w:val="none" w:sz="0" w:space="0" w:color="auto"/>
      </w:divBdr>
    </w:div>
    <w:div w:id="1249850896">
      <w:bodyDiv w:val="1"/>
      <w:marLeft w:val="0"/>
      <w:marRight w:val="0"/>
      <w:marTop w:val="0"/>
      <w:marBottom w:val="0"/>
      <w:divBdr>
        <w:top w:val="none" w:sz="0" w:space="0" w:color="auto"/>
        <w:left w:val="none" w:sz="0" w:space="0" w:color="auto"/>
        <w:bottom w:val="none" w:sz="0" w:space="0" w:color="auto"/>
        <w:right w:val="none" w:sz="0" w:space="0" w:color="auto"/>
      </w:divBdr>
    </w:div>
    <w:div w:id="1269311748">
      <w:bodyDiv w:val="1"/>
      <w:marLeft w:val="0"/>
      <w:marRight w:val="0"/>
      <w:marTop w:val="0"/>
      <w:marBottom w:val="0"/>
      <w:divBdr>
        <w:top w:val="none" w:sz="0" w:space="0" w:color="auto"/>
        <w:left w:val="none" w:sz="0" w:space="0" w:color="auto"/>
        <w:bottom w:val="none" w:sz="0" w:space="0" w:color="auto"/>
        <w:right w:val="none" w:sz="0" w:space="0" w:color="auto"/>
      </w:divBdr>
    </w:div>
    <w:div w:id="1297838974">
      <w:bodyDiv w:val="1"/>
      <w:marLeft w:val="0"/>
      <w:marRight w:val="0"/>
      <w:marTop w:val="0"/>
      <w:marBottom w:val="0"/>
      <w:divBdr>
        <w:top w:val="none" w:sz="0" w:space="0" w:color="auto"/>
        <w:left w:val="none" w:sz="0" w:space="0" w:color="auto"/>
        <w:bottom w:val="none" w:sz="0" w:space="0" w:color="auto"/>
        <w:right w:val="none" w:sz="0" w:space="0" w:color="auto"/>
      </w:divBdr>
    </w:div>
    <w:div w:id="1309506913">
      <w:bodyDiv w:val="1"/>
      <w:marLeft w:val="0"/>
      <w:marRight w:val="0"/>
      <w:marTop w:val="0"/>
      <w:marBottom w:val="0"/>
      <w:divBdr>
        <w:top w:val="none" w:sz="0" w:space="0" w:color="auto"/>
        <w:left w:val="none" w:sz="0" w:space="0" w:color="auto"/>
        <w:bottom w:val="none" w:sz="0" w:space="0" w:color="auto"/>
        <w:right w:val="none" w:sz="0" w:space="0" w:color="auto"/>
      </w:divBdr>
    </w:div>
    <w:div w:id="1317298798">
      <w:bodyDiv w:val="1"/>
      <w:marLeft w:val="0"/>
      <w:marRight w:val="0"/>
      <w:marTop w:val="0"/>
      <w:marBottom w:val="0"/>
      <w:divBdr>
        <w:top w:val="none" w:sz="0" w:space="0" w:color="auto"/>
        <w:left w:val="none" w:sz="0" w:space="0" w:color="auto"/>
        <w:bottom w:val="none" w:sz="0" w:space="0" w:color="auto"/>
        <w:right w:val="none" w:sz="0" w:space="0" w:color="auto"/>
      </w:divBdr>
    </w:div>
    <w:div w:id="1329596681">
      <w:bodyDiv w:val="1"/>
      <w:marLeft w:val="0"/>
      <w:marRight w:val="0"/>
      <w:marTop w:val="0"/>
      <w:marBottom w:val="0"/>
      <w:divBdr>
        <w:top w:val="none" w:sz="0" w:space="0" w:color="auto"/>
        <w:left w:val="none" w:sz="0" w:space="0" w:color="auto"/>
        <w:bottom w:val="none" w:sz="0" w:space="0" w:color="auto"/>
        <w:right w:val="none" w:sz="0" w:space="0" w:color="auto"/>
      </w:divBdr>
    </w:div>
    <w:div w:id="1377660855">
      <w:bodyDiv w:val="1"/>
      <w:marLeft w:val="0"/>
      <w:marRight w:val="0"/>
      <w:marTop w:val="0"/>
      <w:marBottom w:val="0"/>
      <w:divBdr>
        <w:top w:val="none" w:sz="0" w:space="0" w:color="auto"/>
        <w:left w:val="none" w:sz="0" w:space="0" w:color="auto"/>
        <w:bottom w:val="none" w:sz="0" w:space="0" w:color="auto"/>
        <w:right w:val="none" w:sz="0" w:space="0" w:color="auto"/>
      </w:divBdr>
    </w:div>
    <w:div w:id="1454906701">
      <w:bodyDiv w:val="1"/>
      <w:marLeft w:val="0"/>
      <w:marRight w:val="0"/>
      <w:marTop w:val="0"/>
      <w:marBottom w:val="0"/>
      <w:divBdr>
        <w:top w:val="none" w:sz="0" w:space="0" w:color="auto"/>
        <w:left w:val="none" w:sz="0" w:space="0" w:color="auto"/>
        <w:bottom w:val="none" w:sz="0" w:space="0" w:color="auto"/>
        <w:right w:val="none" w:sz="0" w:space="0" w:color="auto"/>
      </w:divBdr>
    </w:div>
    <w:div w:id="1481001235">
      <w:bodyDiv w:val="1"/>
      <w:marLeft w:val="0"/>
      <w:marRight w:val="0"/>
      <w:marTop w:val="0"/>
      <w:marBottom w:val="0"/>
      <w:divBdr>
        <w:top w:val="none" w:sz="0" w:space="0" w:color="auto"/>
        <w:left w:val="none" w:sz="0" w:space="0" w:color="auto"/>
        <w:bottom w:val="none" w:sz="0" w:space="0" w:color="auto"/>
        <w:right w:val="none" w:sz="0" w:space="0" w:color="auto"/>
      </w:divBdr>
    </w:div>
    <w:div w:id="1481463660">
      <w:bodyDiv w:val="1"/>
      <w:marLeft w:val="0"/>
      <w:marRight w:val="0"/>
      <w:marTop w:val="0"/>
      <w:marBottom w:val="0"/>
      <w:divBdr>
        <w:top w:val="none" w:sz="0" w:space="0" w:color="auto"/>
        <w:left w:val="none" w:sz="0" w:space="0" w:color="auto"/>
        <w:bottom w:val="none" w:sz="0" w:space="0" w:color="auto"/>
        <w:right w:val="none" w:sz="0" w:space="0" w:color="auto"/>
      </w:divBdr>
    </w:div>
    <w:div w:id="1485512532">
      <w:bodyDiv w:val="1"/>
      <w:marLeft w:val="0"/>
      <w:marRight w:val="0"/>
      <w:marTop w:val="0"/>
      <w:marBottom w:val="0"/>
      <w:divBdr>
        <w:top w:val="none" w:sz="0" w:space="0" w:color="auto"/>
        <w:left w:val="none" w:sz="0" w:space="0" w:color="auto"/>
        <w:bottom w:val="none" w:sz="0" w:space="0" w:color="auto"/>
        <w:right w:val="none" w:sz="0" w:space="0" w:color="auto"/>
      </w:divBdr>
    </w:div>
    <w:div w:id="1510870791">
      <w:bodyDiv w:val="1"/>
      <w:marLeft w:val="0"/>
      <w:marRight w:val="0"/>
      <w:marTop w:val="0"/>
      <w:marBottom w:val="0"/>
      <w:divBdr>
        <w:top w:val="none" w:sz="0" w:space="0" w:color="auto"/>
        <w:left w:val="none" w:sz="0" w:space="0" w:color="auto"/>
        <w:bottom w:val="none" w:sz="0" w:space="0" w:color="auto"/>
        <w:right w:val="none" w:sz="0" w:space="0" w:color="auto"/>
      </w:divBdr>
    </w:div>
    <w:div w:id="1543248116">
      <w:bodyDiv w:val="1"/>
      <w:marLeft w:val="0"/>
      <w:marRight w:val="0"/>
      <w:marTop w:val="0"/>
      <w:marBottom w:val="0"/>
      <w:divBdr>
        <w:top w:val="none" w:sz="0" w:space="0" w:color="auto"/>
        <w:left w:val="none" w:sz="0" w:space="0" w:color="auto"/>
        <w:bottom w:val="none" w:sz="0" w:space="0" w:color="auto"/>
        <w:right w:val="none" w:sz="0" w:space="0" w:color="auto"/>
      </w:divBdr>
    </w:div>
    <w:div w:id="1653631009">
      <w:bodyDiv w:val="1"/>
      <w:marLeft w:val="0"/>
      <w:marRight w:val="0"/>
      <w:marTop w:val="0"/>
      <w:marBottom w:val="0"/>
      <w:divBdr>
        <w:top w:val="none" w:sz="0" w:space="0" w:color="auto"/>
        <w:left w:val="none" w:sz="0" w:space="0" w:color="auto"/>
        <w:bottom w:val="none" w:sz="0" w:space="0" w:color="auto"/>
        <w:right w:val="none" w:sz="0" w:space="0" w:color="auto"/>
      </w:divBdr>
    </w:div>
    <w:div w:id="1705013023">
      <w:bodyDiv w:val="1"/>
      <w:marLeft w:val="0"/>
      <w:marRight w:val="0"/>
      <w:marTop w:val="0"/>
      <w:marBottom w:val="0"/>
      <w:divBdr>
        <w:top w:val="none" w:sz="0" w:space="0" w:color="auto"/>
        <w:left w:val="none" w:sz="0" w:space="0" w:color="auto"/>
        <w:bottom w:val="none" w:sz="0" w:space="0" w:color="auto"/>
        <w:right w:val="none" w:sz="0" w:space="0" w:color="auto"/>
      </w:divBdr>
    </w:div>
    <w:div w:id="17306167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47387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0988028">
      <w:bodyDiv w:val="1"/>
      <w:marLeft w:val="0"/>
      <w:marRight w:val="0"/>
      <w:marTop w:val="0"/>
      <w:marBottom w:val="0"/>
      <w:divBdr>
        <w:top w:val="none" w:sz="0" w:space="0" w:color="auto"/>
        <w:left w:val="none" w:sz="0" w:space="0" w:color="auto"/>
        <w:bottom w:val="none" w:sz="0" w:space="0" w:color="auto"/>
        <w:right w:val="none" w:sz="0" w:space="0" w:color="auto"/>
      </w:divBdr>
    </w:div>
    <w:div w:id="1890802114">
      <w:bodyDiv w:val="1"/>
      <w:marLeft w:val="0"/>
      <w:marRight w:val="0"/>
      <w:marTop w:val="0"/>
      <w:marBottom w:val="0"/>
      <w:divBdr>
        <w:top w:val="none" w:sz="0" w:space="0" w:color="auto"/>
        <w:left w:val="none" w:sz="0" w:space="0" w:color="auto"/>
        <w:bottom w:val="none" w:sz="0" w:space="0" w:color="auto"/>
        <w:right w:val="none" w:sz="0" w:space="0" w:color="auto"/>
      </w:divBdr>
    </w:div>
    <w:div w:id="1919710009">
      <w:bodyDiv w:val="1"/>
      <w:marLeft w:val="0"/>
      <w:marRight w:val="0"/>
      <w:marTop w:val="0"/>
      <w:marBottom w:val="0"/>
      <w:divBdr>
        <w:top w:val="none" w:sz="0" w:space="0" w:color="auto"/>
        <w:left w:val="none" w:sz="0" w:space="0" w:color="auto"/>
        <w:bottom w:val="none" w:sz="0" w:space="0" w:color="auto"/>
        <w:right w:val="none" w:sz="0" w:space="0" w:color="auto"/>
      </w:divBdr>
    </w:div>
    <w:div w:id="1950353114">
      <w:bodyDiv w:val="1"/>
      <w:marLeft w:val="0"/>
      <w:marRight w:val="0"/>
      <w:marTop w:val="0"/>
      <w:marBottom w:val="0"/>
      <w:divBdr>
        <w:top w:val="none" w:sz="0" w:space="0" w:color="auto"/>
        <w:left w:val="none" w:sz="0" w:space="0" w:color="auto"/>
        <w:bottom w:val="none" w:sz="0" w:space="0" w:color="auto"/>
        <w:right w:val="none" w:sz="0" w:space="0" w:color="auto"/>
      </w:divBdr>
    </w:div>
    <w:div w:id="19831470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6512455">
      <w:bodyDiv w:val="1"/>
      <w:marLeft w:val="0"/>
      <w:marRight w:val="0"/>
      <w:marTop w:val="0"/>
      <w:marBottom w:val="0"/>
      <w:divBdr>
        <w:top w:val="none" w:sz="0" w:space="0" w:color="auto"/>
        <w:left w:val="none" w:sz="0" w:space="0" w:color="auto"/>
        <w:bottom w:val="none" w:sz="0" w:space="0" w:color="auto"/>
        <w:right w:val="none" w:sz="0" w:space="0" w:color="auto"/>
      </w:divBdr>
    </w:div>
    <w:div w:id="2084528804">
      <w:bodyDiv w:val="1"/>
      <w:marLeft w:val="0"/>
      <w:marRight w:val="0"/>
      <w:marTop w:val="0"/>
      <w:marBottom w:val="0"/>
      <w:divBdr>
        <w:top w:val="none" w:sz="0" w:space="0" w:color="auto"/>
        <w:left w:val="none" w:sz="0" w:space="0" w:color="auto"/>
        <w:bottom w:val="none" w:sz="0" w:space="0" w:color="auto"/>
        <w:right w:val="none" w:sz="0" w:space="0" w:color="auto"/>
      </w:divBdr>
    </w:div>
    <w:div w:id="209316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31%39%38%34%34@%73t%75%64e%6e%74.%75%77ts%64%2e%61c%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30</Pages>
  <Words>10147</Words>
  <Characters>57840</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Simcock-Jones,Oakleigh swp8756</cp:lastModifiedBy>
  <cp:revision>45</cp:revision>
  <cp:lastPrinted>2014-08-26T08:55:00Z</cp:lastPrinted>
  <dcterms:created xsi:type="dcterms:W3CDTF">2025-03-17T07:10:00Z</dcterms:created>
  <dcterms:modified xsi:type="dcterms:W3CDTF">2025-03-31T16:22:00Z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2024-09-19T12:53:09Z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cbf56519-4643-402e-8542-a16099df612d</vt:lpwstr>
  </property>
  <property fmtid="{D5CDD505-2E9C-101B-9397-08002B2CF9AE}" pid="9" name="MSIP_Label_66cf8fe5-b7b7-4df7-b38d-1c61ac2f6639_ContentBits">
    <vt:lpwstr>0</vt:lpwstr>
  </property>
  <property fmtid="{D5CDD505-2E9C-101B-9397-08002B2CF9AE}" pid="10" name="GrammarlyDocumentId">
    <vt:lpwstr>343376ddcc337c6dd2ec58fa09c748e7877377ddb645f9c4d91bcc0013d0a1fa</vt:lpwstr>
  </property>
</Properties>
</file>