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0"/>
      </w:pPr>
    </w:p>
    <w:p>
      <w:pPr>
        <w:spacing w:after="400" w:line="360" w:lineRule="auto"/>
        <w:jc w:val="center"/>
      </w:pPr>
      <w:r>
        <w:rPr>
          <w:rFonts w:ascii="Arial" w:cs="Arial" w:eastAsia="Arial" w:hAnsi="Arial"/>
          <w:b/>
          <w:bCs/>
          <w:i w:val="false"/>
          <w:iCs w:val="false"/>
          <w:sz w:val="26"/>
          <w:szCs w:val="26"/>
        </w:rPr>
        <w:t xml:space="preserve">Certificate of Higher Education Skills for the Workplace (Health &amp; Social Care)</w:t>
      </w:r>
    </w:p>
    <w:p>
      <w:pPr>
        <w:spacing w:after="200" w:line="360" w:lineRule="auto"/>
        <w:jc w:val="center"/>
      </w:pPr>
      <w:r>
        <w:rPr>
          <w:rFonts w:ascii="Arial" w:cs="Arial" w:eastAsia="Arial" w:hAnsi="Arial"/>
          <w:b w:val="false"/>
          <w:bCs w:val="false"/>
          <w:i w:val="false"/>
          <w:iCs w:val="false"/>
          <w:sz w:val="24"/>
          <w:szCs w:val="24"/>
        </w:rPr>
        <w:t xml:space="preserve">Module: Introduction to Health and Social Care (LCHS4003)</w:t>
      </w:r>
    </w:p>
    <w:p>
      <w:pPr>
        <w:spacing w:after="600" w:line="360" w:lineRule="auto"/>
        <w:jc w:val="center"/>
      </w:pPr>
      <w:r>
        <w:rPr>
          <w:rFonts w:ascii="Arial" w:cs="Arial" w:eastAsia="Arial" w:hAnsi="Arial"/>
          <w:b w:val="false"/>
          <w:bCs w:val="false"/>
          <w:i w:val="false"/>
          <w:iCs w:val="false"/>
          <w:sz w:val="24"/>
          <w:szCs w:val="24"/>
        </w:rPr>
        <w:t xml:space="preserve">Component 1: Portfolio – Two Tasks</w:t>
      </w:r>
    </w:p>
    <w:p>
      <w:pPr>
        <w:spacing w:after="100" w:line="360" w:lineRule="auto"/>
        <w:jc w:val="center"/>
      </w:pPr>
      <w:r>
        <w:rPr>
          <w:rFonts w:ascii="Arial" w:cs="Arial" w:eastAsia="Arial" w:hAnsi="Arial"/>
          <w:b w:val="false"/>
          <w:bCs w:val="false"/>
          <w:i w:val="false"/>
          <w:iCs w:val="false"/>
          <w:sz w:val="24"/>
          <w:szCs w:val="24"/>
        </w:rPr>
        <w:t xml:space="preserve">Student Name: Oladimeji Majolagbe</w:t>
      </w:r>
    </w:p>
    <w:p>
      <w:pPr>
        <w:spacing w:after="100" w:line="360" w:lineRule="auto"/>
        <w:jc w:val="center"/>
      </w:pPr>
      <w:r>
        <w:rPr>
          <w:rFonts w:ascii="Arial" w:cs="Arial" w:eastAsia="Arial" w:hAnsi="Arial"/>
          <w:b w:val="false"/>
          <w:bCs w:val="false"/>
          <w:i w:val="false"/>
          <w:iCs w:val="false"/>
          <w:sz w:val="24"/>
          <w:szCs w:val="24"/>
        </w:rPr>
        <w:t xml:space="preserve">Student ID Number: 2533086</w:t>
      </w:r>
    </w:p>
    <w:p>
      <w:pPr>
        <w:spacing w:after="100" w:line="360" w:lineRule="auto"/>
        <w:jc w:val="center"/>
      </w:pPr>
      <w:r>
        <w:rPr>
          <w:rFonts w:ascii="Arial" w:cs="Arial" w:eastAsia="Arial" w:hAnsi="Arial"/>
          <w:b w:val="false"/>
          <w:bCs w:val="false"/>
          <w:i w:val="false"/>
          <w:iCs w:val="false"/>
          <w:sz w:val="24"/>
          <w:szCs w:val="24"/>
        </w:rPr>
        <w:t xml:space="preserve">Lecturer: Muhammad Aliyu</w:t>
      </w:r>
    </w:p>
    <w:p>
      <w:r>
        <w:br w:type="page"/>
      </w:r>
    </w:p>
    <w:p>
      <w:pPr>
        <w:pStyle w:val="Heading1"/>
        <w:spacing w:after="160" w:before="240"/>
      </w:pPr>
      <w:r>
        <w:rPr>
          <w:rFonts w:ascii="Arial" w:cs="Arial" w:eastAsia="Arial" w:hAnsi="Arial"/>
          <w:b/>
          <w:bCs/>
        </w:rPr>
        <w:t xml:space="preserve">Task 1: Poster — Dentistry Services</w:t>
      </w:r>
    </w:p>
    <w:p>
      <w:pPr>
        <w:pStyle w:val="Heading2"/>
        <w:spacing w:after="160" w:before="240"/>
      </w:pPr>
      <w:r>
        <w:rPr>
          <w:rFonts w:ascii="Arial" w:cs="Arial" w:eastAsia="Arial" w:hAnsi="Arial"/>
          <w:b/>
          <w:bCs/>
        </w:rPr>
        <w:t xml:space="preserve">Brief History</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2400"/>
        <w:gridCol w:w="2400"/>
        <w:gridCol w:w="2400"/>
        <w:gridCol w:w="2400"/>
      </w:tblGrid>
      <w:tr>
        <w:tc>
          <w:tcPr>
            <w:tcW w:type="dxa" w:w="2400"/>
            <w:shd w:fill="D9E2F3" w:color="auto" w:val="clear"/>
            <w:tcMar>
              <w:top w:type="dxa" w:w="120"/>
              <w:left w:type="dxa" w:w="120"/>
              <w:bottom w:type="dxa" w:w="120"/>
              <w:right w:type="dxa" w:w="120"/>
            </w:tcMar>
            <w:vAlign w:val="top"/>
          </w:tcPr>
          <w:p>
            <w:pPr>
              <w:spacing w:after="160" w:line="360" w:lineRule="auto"/>
              <w:jc w:val="center"/>
            </w:pPr>
            <w:r>
              <w:rPr>
                <w:rFonts w:ascii="Arial" w:cs="Arial" w:eastAsia="Arial" w:hAnsi="Arial"/>
                <w:b/>
                <w:bCs/>
                <w:i w:val="false"/>
                <w:iCs w:val="false"/>
                <w:sz w:val="22"/>
                <w:szCs w:val="22"/>
              </w:rPr>
              <w:t xml:space="preserve">1948</w:t>
            </w:r>
          </w:p>
        </w:tc>
        <w:tc>
          <w:tcPr>
            <w:tcW w:type="dxa" w:w="2400"/>
            <w:shd w:fill="D9E2F3" w:color="auto" w:val="clear"/>
            <w:tcMar>
              <w:top w:type="dxa" w:w="120"/>
              <w:left w:type="dxa" w:w="120"/>
              <w:bottom w:type="dxa" w:w="120"/>
              <w:right w:type="dxa" w:w="120"/>
            </w:tcMar>
            <w:vAlign w:val="top"/>
          </w:tcPr>
          <w:p>
            <w:pPr>
              <w:spacing w:after="160" w:line="360" w:lineRule="auto"/>
              <w:jc w:val="center"/>
            </w:pPr>
            <w:r>
              <w:rPr>
                <w:rFonts w:ascii="Arial" w:cs="Arial" w:eastAsia="Arial" w:hAnsi="Arial"/>
                <w:b/>
                <w:bCs/>
                <w:i w:val="false"/>
                <w:iCs w:val="false"/>
                <w:sz w:val="22"/>
                <w:szCs w:val="22"/>
              </w:rPr>
              <w:t xml:space="preserve">1950s</w:t>
            </w:r>
          </w:p>
        </w:tc>
        <w:tc>
          <w:tcPr>
            <w:tcW w:type="dxa" w:w="2400"/>
            <w:shd w:fill="D9E2F3" w:color="auto" w:val="clear"/>
            <w:tcMar>
              <w:top w:type="dxa" w:w="120"/>
              <w:left w:type="dxa" w:w="120"/>
              <w:bottom w:type="dxa" w:w="120"/>
              <w:right w:type="dxa" w:w="120"/>
            </w:tcMar>
            <w:vAlign w:val="top"/>
          </w:tcPr>
          <w:p>
            <w:pPr>
              <w:spacing w:after="160" w:line="360" w:lineRule="auto"/>
              <w:jc w:val="center"/>
            </w:pPr>
            <w:r>
              <w:rPr>
                <w:rFonts w:ascii="Arial" w:cs="Arial" w:eastAsia="Arial" w:hAnsi="Arial"/>
                <w:b/>
                <w:bCs/>
                <w:i w:val="false"/>
                <w:iCs w:val="false"/>
                <w:sz w:val="22"/>
                <w:szCs w:val="22"/>
              </w:rPr>
              <w:t xml:space="preserve">2006</w:t>
            </w:r>
          </w:p>
        </w:tc>
        <w:tc>
          <w:tcPr>
            <w:tcW w:type="dxa" w:w="2400"/>
            <w:shd w:fill="D9E2F3" w:color="auto" w:val="clear"/>
            <w:tcMar>
              <w:top w:type="dxa" w:w="120"/>
              <w:left w:type="dxa" w:w="120"/>
              <w:bottom w:type="dxa" w:w="120"/>
              <w:right w:type="dxa" w:w="120"/>
            </w:tcMar>
            <w:vAlign w:val="top"/>
          </w:tcPr>
          <w:p>
            <w:pPr>
              <w:spacing w:after="160" w:line="360" w:lineRule="auto"/>
              <w:jc w:val="center"/>
            </w:pPr>
            <w:r>
              <w:rPr>
                <w:rFonts w:ascii="Arial" w:cs="Arial" w:eastAsia="Arial" w:hAnsi="Arial"/>
                <w:b/>
                <w:bCs/>
                <w:i w:val="false"/>
                <w:iCs w:val="false"/>
                <w:sz w:val="22"/>
                <w:szCs w:val="22"/>
              </w:rPr>
              <w:t xml:space="preserve">From 2026</w:t>
            </w:r>
          </w:p>
        </w:tc>
      </w:tr>
      <w:tr>
        <w:tc>
          <w:tcPr>
            <w:tcW w:type="dxa" w:w="2400"/>
            <w:tcMar>
              <w:top w:type="dxa" w:w="120"/>
              <w:left w:type="dxa" w:w="120"/>
              <w:bottom w:type="dxa" w:w="120"/>
              <w:right w:type="dxa" w:w="120"/>
            </w:tcMar>
            <w:vAlign w:val="top"/>
          </w:tcPr>
          <w:p>
            <w:pPr>
              <w:spacing w:after="160" w:line="360" w:lineRule="auto"/>
            </w:pPr>
            <w:r>
              <w:rPr>
                <w:rFonts w:ascii="Arial" w:cs="Arial" w:eastAsia="Arial" w:hAnsi="Arial"/>
                <w:b w:val="false"/>
                <w:bCs w:val="false"/>
                <w:i w:val="false"/>
                <w:iCs w:val="false"/>
                <w:sz w:val="20"/>
                <w:szCs w:val="20"/>
              </w:rPr>
              <w:t xml:space="preserve">NHS dentistry introduced as part of the National Health Service, providing dental care that was initially free at the point of use.</w:t>
            </w:r>
          </w:p>
        </w:tc>
        <w:tc>
          <w:tcPr>
            <w:tcW w:type="dxa" w:w="2400"/>
            <w:tcMar>
              <w:top w:type="dxa" w:w="120"/>
              <w:left w:type="dxa" w:w="120"/>
              <w:bottom w:type="dxa" w:w="120"/>
              <w:right w:type="dxa" w:w="120"/>
            </w:tcMar>
            <w:vAlign w:val="top"/>
          </w:tcPr>
          <w:p>
            <w:pPr>
              <w:spacing w:after="160" w:line="360" w:lineRule="auto"/>
            </w:pPr>
            <w:r>
              <w:rPr>
                <w:rFonts w:ascii="Arial" w:cs="Arial" w:eastAsia="Arial" w:hAnsi="Arial"/>
                <w:b w:val="false"/>
                <w:bCs w:val="false"/>
                <w:i w:val="false"/>
                <w:iCs w:val="false"/>
                <w:sz w:val="20"/>
                <w:szCs w:val="20"/>
              </w:rPr>
              <w:t xml:space="preserve">Patient charges introduced for adults to help manage the rising cost of NHS dental services.</w:t>
            </w:r>
          </w:p>
        </w:tc>
        <w:tc>
          <w:tcPr>
            <w:tcW w:type="dxa" w:w="2400"/>
            <w:tcMar>
              <w:top w:type="dxa" w:w="120"/>
              <w:left w:type="dxa" w:w="120"/>
              <w:bottom w:type="dxa" w:w="120"/>
              <w:right w:type="dxa" w:w="120"/>
            </w:tcMar>
            <w:vAlign w:val="top"/>
          </w:tcPr>
          <w:p>
            <w:pPr>
              <w:spacing w:after="160" w:line="360" w:lineRule="auto"/>
            </w:pPr>
            <w:r>
              <w:rPr>
                <w:rFonts w:ascii="Arial" w:cs="Arial" w:eastAsia="Arial" w:hAnsi="Arial"/>
                <w:b w:val="false"/>
                <w:bCs w:val="false"/>
                <w:i w:val="false"/>
                <w:iCs w:val="false"/>
                <w:sz w:val="20"/>
                <w:szCs w:val="20"/>
              </w:rPr>
              <w:t xml:space="preserve">New NHS dental contract replaced the fee-per-item system with Units of Dental Activity (UDAs).</w:t>
            </w:r>
          </w:p>
        </w:tc>
        <w:tc>
          <w:tcPr>
            <w:tcW w:type="dxa" w:w="2400"/>
            <w:tcMar>
              <w:top w:type="dxa" w:w="120"/>
              <w:left w:type="dxa" w:w="120"/>
              <w:bottom w:type="dxa" w:w="120"/>
              <w:right w:type="dxa" w:w="120"/>
            </w:tcMar>
            <w:vAlign w:val="top"/>
          </w:tcPr>
          <w:p>
            <w:pPr>
              <w:spacing w:after="160" w:line="360" w:lineRule="auto"/>
            </w:pPr>
            <w:r>
              <w:rPr>
                <w:rFonts w:ascii="Arial" w:cs="Arial" w:eastAsia="Arial" w:hAnsi="Arial"/>
                <w:b w:val="false"/>
                <w:bCs w:val="false"/>
                <w:i w:val="false"/>
                <w:iCs w:val="false"/>
                <w:sz w:val="20"/>
                <w:szCs w:val="20"/>
              </w:rPr>
              <w:t xml:space="preserve">Revised contract introduces higher payments for complex and preventive care (NHS England, 2024; House of Commons Library, 2024).</w:t>
            </w:r>
          </w:p>
        </w:tc>
      </w:tr>
    </w:tbl>
    <w:p>
      <w:pPr>
        <w:pStyle w:val="Heading2"/>
        <w:spacing w:after="160" w:before="240"/>
      </w:pPr>
      <w:r>
        <w:rPr>
          <w:rFonts w:ascii="Arial" w:cs="Arial" w:eastAsia="Arial" w:hAnsi="Arial"/>
          <w:b/>
          <w:bCs/>
        </w:rPr>
        <w:t xml:space="preserve">Current Functioning</w:t>
      </w:r>
    </w:p>
    <w:p>
      <w:pPr>
        <w:pStyle w:val="ListParagraph"/>
        <w:numPr>
          <w:ilvl w:val="0"/>
          <w:numId w:val="1"/>
        </w:numPr>
        <w:spacing w:after="120" w:line="360" w:lineRule="auto"/>
      </w:pPr>
      <w:r>
        <w:rPr>
          <w:rFonts w:ascii="Arial" w:cs="Arial" w:eastAsia="Arial" w:hAnsi="Arial"/>
          <w:sz w:val="22"/>
          <w:szCs w:val="22"/>
        </w:rPr>
        <w:t xml:space="preserve">Service delivery: Most NHS dentists are self-employed contractors who provide both NHS and private dental services under contracts with the NHS.</w:t>
      </w:r>
    </w:p>
    <w:p>
      <w:pPr>
        <w:pStyle w:val="ListParagraph"/>
        <w:numPr>
          <w:ilvl w:val="0"/>
          <w:numId w:val="1"/>
        </w:numPr>
        <w:spacing w:after="120" w:line="360" w:lineRule="auto"/>
      </w:pPr>
      <w:r>
        <w:rPr>
          <w:rFonts w:ascii="Arial" w:cs="Arial" w:eastAsia="Arial" w:hAnsi="Arial"/>
          <w:sz w:val="22"/>
          <w:szCs w:val="22"/>
        </w:rPr>
        <w:t xml:space="preserve">Access to care: Patients pay fixed NHS charge bands depending on treatment. Community dental services and hospital dental departments provide care for people who cannot access or be treated by high street practices.</w:t>
      </w:r>
    </w:p>
    <w:p>
      <w:pPr>
        <w:pStyle w:val="ListParagraph"/>
        <w:numPr>
          <w:ilvl w:val="0"/>
          <w:numId w:val="1"/>
        </w:numPr>
        <w:spacing w:after="120" w:line="360" w:lineRule="auto"/>
      </w:pPr>
      <w:r>
        <w:rPr>
          <w:rFonts w:ascii="Arial" w:cs="Arial" w:eastAsia="Arial" w:hAnsi="Arial"/>
          <w:sz w:val="22"/>
          <w:szCs w:val="22"/>
        </w:rPr>
        <w:t xml:space="preserve">How the system works: Dental practices receive funding through NHS contracts, with payments linked to agreed levels of dental activity.</w:t>
      </w:r>
    </w:p>
    <w:p>
      <w:pPr>
        <w:pStyle w:val="ListParagraph"/>
        <w:numPr>
          <w:ilvl w:val="0"/>
          <w:numId w:val="1"/>
        </w:numPr>
        <w:spacing w:after="120" w:line="360" w:lineRule="auto"/>
      </w:pPr>
      <w:r>
        <w:rPr>
          <w:rFonts w:ascii="Arial" w:cs="Arial" w:eastAsia="Arial" w:hAnsi="Arial"/>
          <w:sz w:val="22"/>
          <w:szCs w:val="22"/>
        </w:rPr>
        <w:t xml:space="preserve">Current reform: From April 2026, a revised NHS dental contract introduces higher payments for complex treatments and preventive care, aiming to improve patient access and better reflect the time and resources required for complex cases (NHS England, 2024; House of Commons Library, 2024).</w:t>
      </w:r>
    </w:p>
    <w:p>
      <w:pPr>
        <w:pStyle w:val="Heading2"/>
        <w:spacing w:after="160" w:before="240"/>
      </w:pPr>
      <w:r>
        <w:rPr>
          <w:rFonts w:ascii="Arial" w:cs="Arial" w:eastAsia="Arial" w:hAnsi="Arial"/>
          <w:b/>
          <w:bCs/>
        </w:rPr>
        <w:t xml:space="preserve">Key Challenges</w:t>
      </w:r>
    </w:p>
    <w:tbl>
      <w:tblPr>
        <w:tblW w:type="dxa" w:w="9600"/>
        <w:tblBorders>
          <w:top w:val="single" w:color="auto" w:sz="4"/>
          <w:left w:val="single" w:color="auto" w:sz="4"/>
          <w:bottom w:val="single" w:color="auto" w:sz="4"/>
          <w:right w:val="single" w:color="auto" w:sz="4"/>
          <w:insideH w:val="single" w:color="auto" w:sz="4"/>
          <w:insideV w:val="single" w:color="auto" w:sz="4"/>
        </w:tblBorders>
      </w:tblPr>
      <w:tblGrid>
        <w:gridCol w:w="4800"/>
        <w:gridCol w:w="4800"/>
      </w:tblGrid>
      <w:tr>
        <w:tc>
          <w:tcPr>
            <w:tcW w:type="dxa" w:w="4800"/>
            <w:shd w:fill="FCE4D6" w:color="auto" w:val="clear"/>
            <w:tcMar>
              <w:top w:type="dxa" w:w="120"/>
              <w:left w:type="dxa" w:w="120"/>
              <w:bottom w:type="dxa" w:w="120"/>
              <w:right w:type="dxa" w:w="120"/>
            </w:tcMar>
            <w:vAlign w:val="top"/>
          </w:tcPr>
          <w:p>
            <w:pPr>
              <w:spacing w:after="160" w:line="360" w:lineRule="auto"/>
            </w:pPr>
            <w:r>
              <w:rPr>
                <w:rFonts w:ascii="Arial" w:cs="Arial" w:eastAsia="Arial" w:hAnsi="Arial"/>
                <w:b/>
                <w:bCs/>
                <w:i w:val="false"/>
                <w:iCs w:val="false"/>
                <w:sz w:val="20"/>
                <w:szCs w:val="20"/>
              </w:rPr>
              <w:t xml:space="preserve">1. Limited Access to NHS Dental Care ("Dental Deserts")</w:t>
            </w:r>
          </w:p>
        </w:tc>
        <w:tc>
          <w:tcPr>
            <w:tcW w:type="dxa" w:w="4800"/>
            <w:shd w:fill="FCE4D6" w:color="auto" w:val="clear"/>
            <w:tcMar>
              <w:top w:type="dxa" w:w="120"/>
              <w:left w:type="dxa" w:w="120"/>
              <w:bottom w:type="dxa" w:w="120"/>
              <w:right w:type="dxa" w:w="120"/>
            </w:tcMar>
            <w:vAlign w:val="top"/>
          </w:tcPr>
          <w:p>
            <w:pPr>
              <w:spacing w:after="160" w:line="360" w:lineRule="auto"/>
            </w:pPr>
            <w:r>
              <w:rPr>
                <w:rFonts w:ascii="Arial" w:cs="Arial" w:eastAsia="Arial" w:hAnsi="Arial"/>
                <w:b/>
                <w:bCs/>
                <w:i w:val="false"/>
                <w:iCs w:val="false"/>
                <w:sz w:val="20"/>
                <w:szCs w:val="20"/>
              </w:rPr>
              <w:t xml:space="preserve">2. Contract Design and Complex Patient Needs</w:t>
            </w:r>
          </w:p>
        </w:tc>
      </w:tr>
      <w:tr>
        <w:tc>
          <w:tcPr>
            <w:tcW w:type="dxa" w:w="4800"/>
            <w:tcMar>
              <w:top w:type="dxa" w:w="120"/>
              <w:left w:type="dxa" w:w="120"/>
              <w:bottom w:type="dxa" w:w="120"/>
              <w:right w:type="dxa" w:w="120"/>
            </w:tcMar>
            <w:vAlign w:val="top"/>
          </w:tcPr>
          <w:p>
            <w:pPr>
              <w:spacing w:after="160" w:line="360" w:lineRule="auto"/>
            </w:pPr>
            <w:r>
              <w:rPr>
                <w:rFonts w:ascii="Arial" w:cs="Arial" w:eastAsia="Arial" w:hAnsi="Arial"/>
                <w:b w:val="false"/>
                <w:bCs w:val="false"/>
                <w:i w:val="false"/>
                <w:iCs w:val="false"/>
                <w:sz w:val="20"/>
                <w:szCs w:val="20"/>
              </w:rPr>
              <w:t xml:space="preserve">Many people struggle to secure NHS dental appointments because of limited availability in some areas, often referred to as "dental deserts."</w:t>
            </w:r>
          </w:p>
          <w:p>
            <w:pPr>
              <w:spacing w:after="160" w:line="360" w:lineRule="auto"/>
            </w:pPr>
            <w:r>
              <w:rPr>
                <w:rFonts w:ascii="Arial" w:cs="Arial" w:eastAsia="Arial" w:hAnsi="Arial"/>
                <w:b w:val="false"/>
                <w:bCs w:val="false"/>
                <w:i w:val="false"/>
                <w:iCs w:val="false"/>
                <w:sz w:val="20"/>
                <w:szCs w:val="20"/>
              </w:rPr>
              <w:t xml:space="preserve">As a result, many patients are forced to seek more expensive private treatment or experience long delays in receiving care (House of Commons Library, 2024; British Dental Association, 2024).</w:t>
            </w:r>
          </w:p>
        </w:tc>
        <w:tc>
          <w:tcPr>
            <w:tcW w:type="dxa" w:w="4800"/>
            <w:tcMar>
              <w:top w:type="dxa" w:w="120"/>
              <w:left w:type="dxa" w:w="120"/>
              <w:bottom w:type="dxa" w:w="120"/>
              <w:right w:type="dxa" w:w="120"/>
            </w:tcMar>
            <w:vAlign w:val="top"/>
          </w:tcPr>
          <w:p>
            <w:pPr>
              <w:spacing w:after="160" w:line="360" w:lineRule="auto"/>
            </w:pPr>
            <w:r>
              <w:rPr>
                <w:rFonts w:ascii="Arial" w:cs="Arial" w:eastAsia="Arial" w:hAnsi="Arial"/>
                <w:b w:val="false"/>
                <w:bCs w:val="false"/>
                <w:i w:val="false"/>
                <w:iCs w:val="false"/>
                <w:sz w:val="20"/>
                <w:szCs w:val="20"/>
              </w:rPr>
              <w:t xml:space="preserve">The current Units of Dental Activity (UDA) system does not adequately reward dentists for treating patients with complex oral health needs, as these cases require more time and resources.</w:t>
            </w:r>
          </w:p>
          <w:p>
            <w:pPr>
              <w:spacing w:after="160" w:line="360" w:lineRule="auto"/>
            </w:pPr>
            <w:r>
              <w:rPr>
                <w:rFonts w:ascii="Arial" w:cs="Arial" w:eastAsia="Arial" w:hAnsi="Arial"/>
                <w:b w:val="false"/>
                <w:bCs w:val="false"/>
                <w:i w:val="false"/>
                <w:iCs w:val="false"/>
                <w:sz w:val="20"/>
                <w:szCs w:val="20"/>
              </w:rPr>
              <w:t xml:space="preserve">Many dental professionals argue the payment system should better reflect treatment complexity to improve patient care and encourage more dentists to provide NHS services (British Dental Association, 2024; NHS England, 2024).</w:t>
            </w:r>
          </w:p>
        </w:tc>
      </w:tr>
    </w:tbl>
    <w:p>
      <w:r>
        <w:br w:type="page"/>
      </w:r>
    </w:p>
    <w:p>
      <w:pPr>
        <w:pStyle w:val="Heading1"/>
        <w:spacing w:after="160" w:before="240"/>
      </w:pPr>
      <w:r>
        <w:rPr>
          <w:rFonts w:ascii="Arial" w:cs="Arial" w:eastAsia="Arial" w:hAnsi="Arial"/>
          <w:b/>
          <w:bCs/>
        </w:rPr>
        <w:t xml:space="preserve">Task 2: Essay — Residential Care Homes</w:t>
      </w:r>
    </w:p>
    <w:p>
      <w:pPr>
        <w:spacing w:after="160" w:line="360" w:lineRule="auto"/>
      </w:pPr>
      <w:r>
        <w:rPr>
          <w:rFonts w:ascii="Arial" w:cs="Arial" w:eastAsia="Arial" w:hAnsi="Arial"/>
          <w:b w:val="false"/>
          <w:bCs w:val="false"/>
          <w:i w:val="false"/>
          <w:iCs w:val="false"/>
          <w:sz w:val="22"/>
          <w:szCs w:val="22"/>
        </w:rPr>
        <w:t xml:space="preserve">Residential care homes play a vital role in supporting older adults and vulnerable individuals who can no longer live independently. The origins of residential care in the United Kingdom can be traced back to the nineteenth-century Poor Law workhouses, which provided accommodation for elderly, disabled, and impoverished people. However, these institutions were often criticised for their harsh conditions and poor quality of care. A significant change occurred with the National Assistance Act 1948, which abolished the Poor Law system and placed a legal duty on local authorities to provide residential accommodation for people in need (National Assistance Act, 1948). This marked the beginning of a more modern and welfare-focused approach to social care. During the 1980s, the independent and private care home sector expanded rapidly following changes in government funding and community care policies (Means &amp; Smith, 1998). The introduction of the Care Standards Act 2000 established national minimum standards for care homes, while responsibility for regulating services later transferred to the Care Quality Commission (CQC) under the Health and Social Care Act 2008 (Care Standards Act, 2000; CQC, 2024).</w:t>
      </w:r>
    </w:p>
    <w:p>
      <w:pPr>
        <w:spacing w:after="160" w:line="360" w:lineRule="auto"/>
      </w:pPr>
      <w:r>
        <w:rPr>
          <w:rFonts w:ascii="Arial" w:cs="Arial" w:eastAsia="Arial" w:hAnsi="Arial"/>
          <w:b w:val="false"/>
          <w:bCs w:val="false"/>
          <w:i w:val="false"/>
          <w:iCs w:val="false"/>
          <w:sz w:val="22"/>
          <w:szCs w:val="22"/>
        </w:rPr>
        <w:t xml:space="preserve">Today, residential care homes operate within a highly regulated health and social care system designed to promote safety, dignity, and quality of life. Most care homes are owned and managed by private companies or voluntary organisations, while a smaller proportion are operated by local authorities (Skills for Care, 2024). All registered care homes in England are inspected by the Care Quality Commission, which evaluates services against five key areas: whether they are safe, effective, caring, responsive, and well-led (CQC, 2024). Funding is provided through a combination of local authority support, which is subject to means testing, NHS Continuing Healthcare for eligible individuals, and private payments made by self-funding residents (Age UK, 2024). Residential homes employ registered managers, care workers, and support staff, with healthcare professionals such as general practitioners, district nurses, physiotherapists, and occupational therapists providing additional specialist care when required.</w:t>
      </w:r>
    </w:p>
    <w:p>
      <w:pPr>
        <w:spacing w:after="160" w:line="360" w:lineRule="auto"/>
      </w:pPr>
      <w:r>
        <w:rPr>
          <w:rFonts w:ascii="Arial" w:cs="Arial" w:eastAsia="Arial" w:hAnsi="Arial"/>
          <w:b w:val="false"/>
          <w:bCs w:val="false"/>
          <w:i w:val="false"/>
          <w:iCs w:val="false"/>
          <w:sz w:val="22"/>
          <w:szCs w:val="22"/>
        </w:rPr>
        <w:t xml:space="preserve">Although the current system provides a comprehensive framework for delivering residential care, it also faces several significant challenges. Despite regular inspections by the Care Quality Commission, the quality of care can vary considerably between providers, with some homes consistently receiving lower inspection ratings than others (CQC, 2024). In addition, the sector continues to experience workforce shortages, difficulties recruiting and retaining qualified staff, and increasing financial pressures caused by rising operating costs and growing demand from an ageing population (Skills for Care, 2024; House of Commons Library, 2024). These issues can affect continuity of care, staff morale, and the overall quality of services available to residents. Consequently, many experts argue that further investment and workforce development are necessary to ensure residential care remains sustainable and capable of meeting future demand.</w:t>
      </w:r>
    </w:p>
    <w:p>
      <w:pPr>
        <w:spacing w:after="160" w:line="360" w:lineRule="auto"/>
      </w:pPr>
      <w:r>
        <w:rPr>
          <w:rFonts w:ascii="Arial" w:cs="Arial" w:eastAsia="Arial" w:hAnsi="Arial"/>
          <w:b w:val="false"/>
          <w:bCs w:val="false"/>
          <w:i w:val="false"/>
          <w:iCs w:val="false"/>
          <w:sz w:val="22"/>
          <w:szCs w:val="22"/>
        </w:rPr>
        <w:t xml:space="preserve">Residential care homes make a significant contribution to improving the quality of life of people who require ongoing support. They provide twenty-four-hour assistance with personal care, medication management, nutrition, mobility, and daily living activities while also reducing the risks associated with living alone. In addition to meeting physical care needs, residential homes promote emotional wellbeing by offering companionship, organised activities, and opportunities for social interaction, helping to reduce loneliness and isolation (Age UK, 2024). Modern care practice is increasingly based on the principle of person-centred care, which encourages residents to participate in decisions about their own care, maintain their independence wherever possible, and preserve their dignity and individual preferences (CQC, 2024). This approach recognises that high-quality care extends beyond meeting physical needs and should also support emotional, psychological, and social wellbeing.</w:t>
      </w:r>
    </w:p>
    <w:p>
      <w:pPr>
        <w:spacing w:after="160" w:line="360" w:lineRule="auto"/>
      </w:pPr>
      <w:r>
        <w:rPr>
          <w:rFonts w:ascii="Arial" w:cs="Arial" w:eastAsia="Arial" w:hAnsi="Arial"/>
          <w:b w:val="false"/>
          <w:bCs w:val="false"/>
          <w:i w:val="false"/>
          <w:iCs w:val="false"/>
          <w:sz w:val="22"/>
          <w:szCs w:val="22"/>
        </w:rPr>
        <w:t xml:space="preserve">In conclusion, residential care homes have evolved substantially from the Poor Law workhouse system into professionally regulated services that provide essential care for vulnerable members of society. Legislative reforms, stronger regulation, and the widespread adoption of person-centred care have significantly improved standards over time. Nevertheless, ongoing challenges relating to funding, workforce shortages, and variations in service quality demonstrate that continuous improvement remains necessary. Overall, residential care homes continue to form a fundamental part of the UK's health and social care system by providing safe, supportive, and compassionate care for individuals who are unable to live independently.</w:t>
      </w:r>
    </w:p>
    <w:p>
      <w:r>
        <w:br w:type="page"/>
      </w:r>
    </w:p>
    <w:p>
      <w:pPr>
        <w:pStyle w:val="Heading1"/>
        <w:spacing w:after="160" w:before="240"/>
      </w:pPr>
      <w:r>
        <w:rPr>
          <w:rFonts w:ascii="Arial" w:cs="Arial" w:eastAsia="Arial" w:hAnsi="Arial"/>
          <w:b/>
          <w:bCs/>
        </w:rPr>
        <w:t xml:space="preserve">Reference List (Harvard Style)</w:t>
      </w:r>
    </w:p>
    <w:p>
      <w:pPr>
        <w:spacing w:after="200" w:line="360" w:lineRule="auto"/>
      </w:pPr>
      <w:r>
        <w:rPr>
          <w:rFonts w:ascii="Arial" w:cs="Arial" w:eastAsia="Arial" w:hAnsi="Arial"/>
          <w:b w:val="false"/>
          <w:bCs w:val="false"/>
          <w:i w:val="false"/>
          <w:iCs w:val="false"/>
          <w:sz w:val="22"/>
          <w:szCs w:val="22"/>
        </w:rPr>
        <w:t xml:space="preserve">Age UK. (2024). Paying for Permanent Residential Care. Age UK.</w:t>
      </w:r>
    </w:p>
    <w:p>
      <w:pPr>
        <w:spacing w:after="200" w:line="360" w:lineRule="auto"/>
      </w:pPr>
      <w:r>
        <w:rPr>
          <w:rFonts w:ascii="Arial" w:cs="Arial" w:eastAsia="Arial" w:hAnsi="Arial"/>
          <w:b w:val="false"/>
          <w:bCs w:val="false"/>
          <w:i w:val="false"/>
          <w:iCs w:val="false"/>
          <w:sz w:val="22"/>
          <w:szCs w:val="22"/>
        </w:rPr>
        <w:t xml:space="preserve">British Dental Association (BDA). (2024). UDA Contract Changes: Information and Advice. BDA.</w:t>
      </w:r>
    </w:p>
    <w:p>
      <w:pPr>
        <w:spacing w:after="200" w:line="360" w:lineRule="auto"/>
      </w:pPr>
      <w:r>
        <w:rPr>
          <w:rFonts w:ascii="Arial" w:cs="Arial" w:eastAsia="Arial" w:hAnsi="Arial"/>
          <w:b w:val="false"/>
          <w:bCs w:val="false"/>
          <w:i w:val="false"/>
          <w:iCs w:val="false"/>
          <w:sz w:val="22"/>
          <w:szCs w:val="22"/>
        </w:rPr>
        <w:t xml:space="preserve">Care Quality Commission (CQC). (2024). How We Inspect Adult Social Care Services. CQC.</w:t>
      </w:r>
    </w:p>
    <w:p>
      <w:pPr>
        <w:spacing w:after="200" w:line="360" w:lineRule="auto"/>
      </w:pPr>
      <w:r>
        <w:rPr>
          <w:rFonts w:ascii="Arial" w:cs="Arial" w:eastAsia="Arial" w:hAnsi="Arial"/>
          <w:b w:val="false"/>
          <w:bCs w:val="false"/>
          <w:i w:val="false"/>
          <w:iCs w:val="false"/>
          <w:sz w:val="22"/>
          <w:szCs w:val="22"/>
        </w:rPr>
        <w:t xml:space="preserve">House of Commons Library. (2024). Adult Social Care in England.</w:t>
      </w:r>
    </w:p>
    <w:p>
      <w:pPr>
        <w:spacing w:after="200" w:line="360" w:lineRule="auto"/>
      </w:pPr>
      <w:r>
        <w:rPr>
          <w:rFonts w:ascii="Arial" w:cs="Arial" w:eastAsia="Arial" w:hAnsi="Arial"/>
          <w:b w:val="false"/>
          <w:bCs w:val="false"/>
          <w:i w:val="false"/>
          <w:iCs w:val="false"/>
          <w:sz w:val="22"/>
          <w:szCs w:val="22"/>
        </w:rPr>
        <w:t xml:space="preserve">House of Commons Library. (2024). NHS Dentistry in England.</w:t>
      </w:r>
    </w:p>
    <w:p>
      <w:pPr>
        <w:spacing w:after="200" w:line="360" w:lineRule="auto"/>
      </w:pPr>
      <w:r>
        <w:rPr>
          <w:rFonts w:ascii="Arial" w:cs="Arial" w:eastAsia="Arial" w:hAnsi="Arial"/>
          <w:b w:val="false"/>
          <w:bCs w:val="false"/>
          <w:i w:val="false"/>
          <w:iCs w:val="false"/>
          <w:sz w:val="22"/>
          <w:szCs w:val="22"/>
        </w:rPr>
        <w:t xml:space="preserve">Means, R., &amp; Smith, R. (1998). Community Care: Policy and Practice (2nd ed.). Macmillan.</w:t>
      </w:r>
    </w:p>
    <w:p>
      <w:pPr>
        <w:spacing w:after="200" w:line="360" w:lineRule="auto"/>
      </w:pPr>
      <w:r>
        <w:rPr>
          <w:rFonts w:ascii="Arial" w:cs="Arial" w:eastAsia="Arial" w:hAnsi="Arial"/>
          <w:b w:val="false"/>
          <w:bCs w:val="false"/>
          <w:i w:val="false"/>
          <w:iCs w:val="false"/>
          <w:sz w:val="22"/>
          <w:szCs w:val="22"/>
        </w:rPr>
        <w:t xml:space="preserve">NHS England. (2024). NHS Dentistry Quality and Payment Reforms.</w:t>
      </w:r>
    </w:p>
    <w:p>
      <w:pPr>
        <w:spacing w:after="400" w:line="360" w:lineRule="auto"/>
      </w:pPr>
      <w:r>
        <w:rPr>
          <w:rFonts w:ascii="Arial" w:cs="Arial" w:eastAsia="Arial" w:hAnsi="Arial"/>
          <w:b w:val="false"/>
          <w:bCs w:val="false"/>
          <w:i w:val="false"/>
          <w:iCs w:val="false"/>
          <w:sz w:val="22"/>
          <w:szCs w:val="22"/>
        </w:rPr>
        <w:t xml:space="preserve">Skills for Care. (2024). The State of the Adult Social Care Sector and Workforce in England.</w:t>
      </w:r>
    </w:p>
    <w:p>
      <w:pPr>
        <w:pStyle w:val="Heading2"/>
        <w:spacing w:after="160" w:before="240"/>
      </w:pPr>
      <w:r>
        <w:rPr>
          <w:rFonts w:ascii="Arial" w:cs="Arial" w:eastAsia="Arial" w:hAnsi="Arial"/>
          <w:b/>
          <w:bCs/>
        </w:rPr>
        <w:t xml:space="preserve">Legislation</w:t>
      </w:r>
    </w:p>
    <w:p>
      <w:pPr>
        <w:spacing w:after="200" w:line="360" w:lineRule="auto"/>
      </w:pPr>
      <w:r>
        <w:rPr>
          <w:rFonts w:ascii="Arial" w:cs="Arial" w:eastAsia="Arial" w:hAnsi="Arial"/>
          <w:b w:val="false"/>
          <w:bCs w:val="false"/>
          <w:i w:val="false"/>
          <w:iCs w:val="false"/>
          <w:sz w:val="22"/>
          <w:szCs w:val="22"/>
        </w:rPr>
        <w:t xml:space="preserve">National Assistance Act 1948.</w:t>
      </w:r>
    </w:p>
    <w:p>
      <w:pPr>
        <w:spacing w:after="200" w:line="360" w:lineRule="auto"/>
      </w:pPr>
      <w:r>
        <w:rPr>
          <w:rFonts w:ascii="Arial" w:cs="Arial" w:eastAsia="Arial" w:hAnsi="Arial"/>
          <w:b w:val="false"/>
          <w:bCs w:val="false"/>
          <w:i w:val="false"/>
          <w:iCs w:val="false"/>
          <w:sz w:val="22"/>
          <w:szCs w:val="22"/>
        </w:rPr>
        <w:t xml:space="preserve">Care Standards Act 2000.</w:t>
      </w:r>
    </w:p>
    <w:sectPr>
      <w:headerReference w:type="default" r:id="rId7"/>
      <w:footerReference w:type="default" r:id="rId8"/>
      <w:pgSz w:w="11906" w:h="16838" w:orient="portrait"/>
      <w:pgMar w:top="1440" w:right="1440" w:bottom="1440" w:left="1440" w:header="708" w:footer="708" w:gutter="0"/>
      <w:pgNumType w:start="1" w:fmt="decimal"/>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2026-07-19T18:19:23.460Z</dcterms:created>
  <dcterms:modified xsi:type="dcterms:W3CDTF">2026-07-19T18:19:23.474Z</dcterms:modified>
</cp:coreProperties>
</file>

<file path=docProps/custom.xml><?xml version="1.0" encoding="utf-8"?>
<Properties xmlns="http://schemas.openxmlformats.org/officeDocument/2006/custom-properties" xmlns:vt="http://schemas.openxmlformats.org/officeDocument/2006/docPropsVTypes"/>
</file>