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28D746" w14:textId="77777777" w:rsidR="00204C87" w:rsidRPr="00C8561B" w:rsidRDefault="00204C87" w:rsidP="00204C87">
      <w:pPr>
        <w:spacing w:after="0" w:line="360" w:lineRule="auto"/>
        <w:jc w:val="both"/>
        <w:rPr>
          <w:rFonts w:ascii="Arial" w:eastAsia="Arial" w:hAnsi="Arial" w:cs="Arial"/>
          <w:color w:val="000000" w:themeColor="text1"/>
          <w:sz w:val="22"/>
          <w:szCs w:val="22"/>
        </w:rPr>
      </w:pPr>
    </w:p>
    <w:p w14:paraId="50D75918" w14:textId="77777777" w:rsidR="00204C87" w:rsidRPr="00C8561B" w:rsidRDefault="00204C87" w:rsidP="00375F21">
      <w:pPr>
        <w:rPr>
          <w:rFonts w:ascii="Arial" w:eastAsia="Arial" w:hAnsi="Arial" w:cs="Arial"/>
          <w:color w:val="000000" w:themeColor="text1"/>
        </w:rPr>
      </w:pPr>
      <w:r w:rsidRPr="00C8561B">
        <w:rPr>
          <w:rFonts w:ascii="Arial" w:hAnsi="Arial" w:cs="Arial"/>
          <w:noProof/>
        </w:rPr>
        <w:drawing>
          <wp:inline distT="0" distB="0" distL="0" distR="0" wp14:anchorId="3C6A51CA" wp14:editId="55D0931D">
            <wp:extent cx="3238500" cy="1436717"/>
            <wp:effectExtent l="0" t="0" r="0" b="0"/>
            <wp:docPr id="13630651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884409" name="Picture 1822884409"/>
                    <pic:cNvPicPr/>
                  </pic:nvPicPr>
                  <pic:blipFill>
                    <a:blip r:embed="rId8">
                      <a:extLst>
                        <a:ext uri="{28A0092B-C50C-407E-A947-70E740481C1C}">
                          <a14:useLocalDpi xmlns:a14="http://schemas.microsoft.com/office/drawing/2010/main"/>
                        </a:ext>
                      </a:extLst>
                    </a:blip>
                    <a:stretch>
                      <a:fillRect/>
                    </a:stretch>
                  </pic:blipFill>
                  <pic:spPr>
                    <a:xfrm>
                      <a:off x="0" y="0"/>
                      <a:ext cx="3287284" cy="1458359"/>
                    </a:xfrm>
                    <a:prstGeom prst="rect">
                      <a:avLst/>
                    </a:prstGeom>
                  </pic:spPr>
                </pic:pic>
              </a:graphicData>
            </a:graphic>
          </wp:inline>
        </w:drawing>
      </w:r>
    </w:p>
    <w:p w14:paraId="55D2BBD6" w14:textId="7C0A5AFF" w:rsidR="005A5A5A" w:rsidRPr="00C8561B" w:rsidRDefault="00204C87" w:rsidP="00375F21">
      <w:pPr>
        <w:rPr>
          <w:rFonts w:ascii="Arial" w:hAnsi="Arial" w:cs="Arial"/>
        </w:rPr>
      </w:pPr>
      <w:r w:rsidRPr="00C8561B">
        <w:rPr>
          <w:rFonts w:ascii="Arial" w:eastAsia="Arial" w:hAnsi="Arial" w:cs="Arial"/>
          <w:b/>
          <w:bCs/>
          <w:color w:val="000000" w:themeColor="text1"/>
          <w:lang w:val="en-GB"/>
        </w:rPr>
        <w:t>Name:</w:t>
      </w:r>
      <w:r w:rsidRPr="00C8561B">
        <w:rPr>
          <w:rFonts w:ascii="Arial" w:eastAsia="Arial" w:hAnsi="Arial" w:cs="Arial"/>
          <w:color w:val="000000" w:themeColor="text1"/>
          <w:lang w:val="en-GB"/>
        </w:rPr>
        <w:t xml:space="preserve"> Nene Toure </w:t>
      </w:r>
      <w:r w:rsidRPr="00C8561B">
        <w:rPr>
          <w:rFonts w:ascii="Arial" w:hAnsi="Arial" w:cs="Arial"/>
        </w:rPr>
        <w:br/>
      </w:r>
      <w:r w:rsidRPr="00C8561B">
        <w:rPr>
          <w:rFonts w:ascii="Arial" w:eastAsia="Arial" w:hAnsi="Arial" w:cs="Arial"/>
          <w:b/>
          <w:bCs/>
          <w:color w:val="000000" w:themeColor="text1"/>
          <w:lang w:val="en-GB"/>
        </w:rPr>
        <w:t>Student ID:</w:t>
      </w:r>
      <w:r w:rsidRPr="00C8561B">
        <w:rPr>
          <w:rFonts w:ascii="Arial" w:eastAsia="Arial" w:hAnsi="Arial" w:cs="Arial"/>
          <w:color w:val="000000" w:themeColor="text1"/>
          <w:lang w:val="en-GB"/>
        </w:rPr>
        <w:t xml:space="preserve"> 2411571</w:t>
      </w:r>
    </w:p>
    <w:p w14:paraId="7421372D" w14:textId="516F05E0" w:rsidR="00204C87" w:rsidRPr="00C8561B" w:rsidRDefault="00204C87" w:rsidP="00375F21">
      <w:pPr>
        <w:rPr>
          <w:rFonts w:ascii="Arial" w:eastAsia="Times New Roman" w:hAnsi="Arial" w:cs="Arial"/>
          <w:kern w:val="36"/>
          <w:lang w:eastAsia="en-GB"/>
        </w:rPr>
      </w:pPr>
      <w:r w:rsidRPr="00C8561B">
        <w:rPr>
          <w:rFonts w:ascii="Arial" w:eastAsia="Arial" w:hAnsi="Arial" w:cs="Arial"/>
          <w:b/>
          <w:bCs/>
          <w:color w:val="000000" w:themeColor="text1"/>
          <w:lang w:val="en-GB"/>
        </w:rPr>
        <w:t>Module Code:</w:t>
      </w:r>
      <w:r w:rsidRPr="00C8561B">
        <w:rPr>
          <w:rFonts w:ascii="Arial" w:eastAsia="Arial" w:hAnsi="Arial" w:cs="Arial"/>
          <w:color w:val="000000" w:themeColor="text1"/>
          <w:lang w:val="en-GB"/>
        </w:rPr>
        <w:t xml:space="preserve"> BMHP5019</w:t>
      </w:r>
      <w:r w:rsidRPr="00C8561B">
        <w:rPr>
          <w:rFonts w:ascii="Arial" w:hAnsi="Arial" w:cs="Arial"/>
        </w:rPr>
        <w:t xml:space="preserve"> </w:t>
      </w:r>
      <w:r w:rsidRPr="00C8561B">
        <w:rPr>
          <w:rFonts w:ascii="Arial" w:hAnsi="Arial" w:cs="Arial"/>
        </w:rPr>
        <w:br/>
      </w:r>
      <w:r w:rsidRPr="00C8561B">
        <w:rPr>
          <w:rFonts w:ascii="Arial" w:eastAsia="Arial" w:hAnsi="Arial" w:cs="Arial"/>
          <w:b/>
          <w:bCs/>
          <w:color w:val="000000" w:themeColor="text1"/>
          <w:lang w:val="en-GB"/>
        </w:rPr>
        <w:t>Module Title:</w:t>
      </w:r>
      <w:r w:rsidRPr="00C8561B">
        <w:rPr>
          <w:rFonts w:ascii="Arial" w:eastAsia="Arial" w:hAnsi="Arial" w:cs="Arial"/>
          <w:color w:val="000000" w:themeColor="text1"/>
          <w:lang w:val="en-GB"/>
        </w:rPr>
        <w:t xml:space="preserve"> </w:t>
      </w:r>
      <w:r w:rsidRPr="00C8561B">
        <w:rPr>
          <w:rFonts w:ascii="Arial" w:eastAsia="Arial" w:hAnsi="Arial" w:cs="Arial"/>
          <w:color w:val="000000" w:themeColor="text1"/>
        </w:rPr>
        <w:t>I</w:t>
      </w:r>
      <w:r w:rsidRPr="00C8561B">
        <w:rPr>
          <w:rFonts w:ascii="Arial" w:eastAsia="Times New Roman" w:hAnsi="Arial" w:cs="Arial"/>
          <w:kern w:val="36"/>
          <w:lang w:eastAsia="en-GB"/>
        </w:rPr>
        <w:t>ntroduction to Independent Research Skills (BMHP5019</w:t>
      </w:r>
      <w:r w:rsidR="0013355F" w:rsidRPr="00C8561B">
        <w:rPr>
          <w:rFonts w:ascii="Arial" w:eastAsia="Times New Roman" w:hAnsi="Arial" w:cs="Arial"/>
          <w:kern w:val="36"/>
          <w:lang w:eastAsia="en-GB"/>
        </w:rPr>
        <w:t>-</w:t>
      </w:r>
      <w:r w:rsidRPr="00C8561B">
        <w:rPr>
          <w:rFonts w:ascii="Arial" w:eastAsia="Times New Roman" w:hAnsi="Arial" w:cs="Arial"/>
          <w:kern w:val="36"/>
          <w:lang w:eastAsia="en-GB"/>
        </w:rPr>
        <w:t>LON)</w:t>
      </w:r>
    </w:p>
    <w:p w14:paraId="0F394692" w14:textId="77777777" w:rsidR="005A5A5A" w:rsidRPr="00C8561B" w:rsidRDefault="005A5A5A" w:rsidP="00375F21">
      <w:pPr>
        <w:rPr>
          <w:rFonts w:ascii="Arial" w:hAnsi="Arial" w:cs="Arial"/>
          <w:lang w:val="en-GB" w:eastAsia="en-GB"/>
        </w:rPr>
      </w:pPr>
      <w:r w:rsidRPr="00C8561B">
        <w:rPr>
          <w:rStyle w:val="Strong"/>
          <w:rFonts w:ascii="Arial" w:hAnsi="Arial" w:cs="Arial"/>
        </w:rPr>
        <w:t>Assignment:</w:t>
      </w:r>
      <w:r w:rsidRPr="00C8561B">
        <w:rPr>
          <w:rFonts w:ascii="Arial" w:hAnsi="Arial" w:cs="Arial"/>
        </w:rPr>
        <w:t xml:space="preserve"> Component 2 Research Report</w:t>
      </w:r>
    </w:p>
    <w:p w14:paraId="7081BE31" w14:textId="7F991095" w:rsidR="00204C87" w:rsidRPr="00C8561B" w:rsidRDefault="00204C87" w:rsidP="00375F21">
      <w:pPr>
        <w:rPr>
          <w:rFonts w:ascii="Arial" w:hAnsi="Arial" w:cs="Arial"/>
          <w:lang w:val="en-GB" w:eastAsia="en-GB"/>
        </w:rPr>
      </w:pPr>
      <w:r w:rsidRPr="00C8561B">
        <w:rPr>
          <w:rFonts w:ascii="Arial" w:eastAsia="Arial" w:hAnsi="Arial" w:cs="Arial"/>
          <w:b/>
          <w:bCs/>
          <w:color w:val="000000" w:themeColor="text1"/>
          <w:lang w:val="en-GB"/>
        </w:rPr>
        <w:t>Lecturer:</w:t>
      </w:r>
      <w:r w:rsidRPr="00C8561B">
        <w:rPr>
          <w:rFonts w:ascii="Arial" w:hAnsi="Arial" w:cs="Arial"/>
          <w:color w:val="1D2125"/>
          <w:shd w:val="clear" w:color="auto" w:fill="FFFFFF"/>
        </w:rPr>
        <w:t> </w:t>
      </w:r>
      <w:r w:rsidRPr="00C8561B">
        <w:rPr>
          <w:rStyle w:val="Strong"/>
          <w:rFonts w:ascii="Arial" w:hAnsi="Arial" w:cs="Arial"/>
          <w:b w:val="0"/>
          <w:bCs w:val="0"/>
          <w:color w:val="1D2125"/>
          <w:shd w:val="clear" w:color="auto" w:fill="FFFFFF"/>
        </w:rPr>
        <w:t>Muhammed Khan</w:t>
      </w:r>
      <w:r w:rsidRPr="00C8561B">
        <w:rPr>
          <w:rFonts w:ascii="Arial" w:hAnsi="Arial" w:cs="Arial"/>
        </w:rPr>
        <w:br/>
      </w:r>
      <w:r w:rsidRPr="00C8561B">
        <w:rPr>
          <w:rFonts w:ascii="Arial" w:eastAsia="Arial" w:hAnsi="Arial" w:cs="Arial"/>
          <w:b/>
          <w:bCs/>
          <w:color w:val="000000" w:themeColor="text1"/>
          <w:lang w:val="en-GB"/>
        </w:rPr>
        <w:t>Submission Date: 0</w:t>
      </w:r>
      <w:r w:rsidR="00424DBB">
        <w:rPr>
          <w:rFonts w:ascii="Arial" w:eastAsia="Arial" w:hAnsi="Arial" w:cs="Arial"/>
          <w:b/>
          <w:bCs/>
          <w:color w:val="000000" w:themeColor="text1"/>
          <w:lang w:val="en-GB"/>
        </w:rPr>
        <w:t>7</w:t>
      </w:r>
      <w:r w:rsidRPr="00C8561B">
        <w:rPr>
          <w:rFonts w:ascii="Arial" w:eastAsia="Arial" w:hAnsi="Arial" w:cs="Arial"/>
          <w:b/>
          <w:bCs/>
          <w:color w:val="000000" w:themeColor="text1"/>
          <w:lang w:val="en-GB"/>
        </w:rPr>
        <w:t>//08/2026</w:t>
      </w:r>
    </w:p>
    <w:p w14:paraId="78C6C47D" w14:textId="77777777" w:rsidR="000527DD" w:rsidRPr="00C8561B" w:rsidRDefault="000527DD">
      <w:pPr>
        <w:rPr>
          <w:rFonts w:ascii="Arial" w:hAnsi="Arial" w:cs="Arial"/>
          <w:lang w:val="en-GB"/>
        </w:rPr>
      </w:pPr>
    </w:p>
    <w:p w14:paraId="05A3825D" w14:textId="77777777" w:rsidR="00260F07" w:rsidRPr="00C8561B" w:rsidRDefault="00260F07" w:rsidP="006F1B8F">
      <w:pPr>
        <w:spacing w:before="100" w:beforeAutospacing="1" w:after="100" w:afterAutospacing="1" w:line="240" w:lineRule="auto"/>
        <w:rPr>
          <w:rFonts w:ascii="Arial" w:eastAsia="Times New Roman" w:hAnsi="Arial" w:cs="Arial"/>
          <w:lang w:val="en-GB" w:eastAsia="en-GB"/>
        </w:rPr>
      </w:pPr>
    </w:p>
    <w:p w14:paraId="58EC6983" w14:textId="77777777" w:rsidR="002E53BC" w:rsidRPr="00C8561B" w:rsidRDefault="002E53BC" w:rsidP="002E53BC">
      <w:pPr>
        <w:spacing w:before="100" w:beforeAutospacing="1" w:after="100" w:afterAutospacing="1" w:line="240" w:lineRule="auto"/>
        <w:rPr>
          <w:rFonts w:ascii="Arial" w:eastAsia="Times New Roman" w:hAnsi="Arial" w:cs="Arial"/>
          <w:lang w:val="en-GB" w:eastAsia="en-GB"/>
        </w:rPr>
      </w:pPr>
    </w:p>
    <w:p w14:paraId="7D77294A" w14:textId="77777777" w:rsidR="002E53BC" w:rsidRPr="00C8561B" w:rsidRDefault="002E53BC" w:rsidP="002E53BC">
      <w:pPr>
        <w:spacing w:before="100" w:beforeAutospacing="1" w:after="100" w:afterAutospacing="1" w:line="240" w:lineRule="auto"/>
        <w:rPr>
          <w:rFonts w:ascii="Arial" w:eastAsia="Times New Roman" w:hAnsi="Arial" w:cs="Arial"/>
          <w:lang w:val="en-GB" w:eastAsia="en-GB"/>
        </w:rPr>
      </w:pPr>
    </w:p>
    <w:p w14:paraId="643F8C7F" w14:textId="7F9EC5B0" w:rsidR="00EB7F04" w:rsidRDefault="00C31565">
      <w:pPr>
        <w:pStyle w:val="TOC1"/>
        <w:rPr>
          <w:noProof/>
          <w:kern w:val="2"/>
          <w:lang w:val="en-GB" w:eastAsia="en-GB"/>
          <w14:ligatures w14:val="standardContextual"/>
        </w:rPr>
      </w:pPr>
      <w:r w:rsidRPr="00C8561B">
        <w:rPr>
          <w:rFonts w:ascii="Arial" w:eastAsia="Times New Roman" w:hAnsi="Arial" w:cs="Arial"/>
          <w:b/>
          <w:bCs/>
          <w:lang w:val="en-GB" w:eastAsia="en-GB"/>
        </w:rPr>
        <w:fldChar w:fldCharType="begin"/>
      </w:r>
      <w:r w:rsidRPr="00C8561B">
        <w:rPr>
          <w:rFonts w:ascii="Arial" w:eastAsia="Times New Roman" w:hAnsi="Arial" w:cs="Arial"/>
          <w:b/>
          <w:bCs/>
          <w:lang w:val="en-GB" w:eastAsia="en-GB"/>
        </w:rPr>
        <w:instrText xml:space="preserve"> TOC \o "1-1" \u </w:instrText>
      </w:r>
      <w:r w:rsidRPr="00C8561B">
        <w:rPr>
          <w:rFonts w:ascii="Arial" w:eastAsia="Times New Roman" w:hAnsi="Arial" w:cs="Arial"/>
          <w:b/>
          <w:bCs/>
          <w:lang w:val="en-GB" w:eastAsia="en-GB"/>
        </w:rPr>
        <w:fldChar w:fldCharType="separate"/>
      </w:r>
      <w:r w:rsidR="00EB7F04" w:rsidRPr="00001874">
        <w:rPr>
          <w:rFonts w:ascii="Arial" w:eastAsia="Calibri" w:hAnsi="Arial" w:cs="Arial"/>
          <w:b/>
          <w:bCs/>
          <w:noProof/>
        </w:rPr>
        <w:t>Abstract</w:t>
      </w:r>
      <w:r w:rsidR="00EB7F04">
        <w:rPr>
          <w:noProof/>
        </w:rPr>
        <w:tab/>
      </w:r>
      <w:r w:rsidR="00EB7F04">
        <w:rPr>
          <w:noProof/>
        </w:rPr>
        <w:fldChar w:fldCharType="begin"/>
      </w:r>
      <w:r w:rsidR="00EB7F04">
        <w:rPr>
          <w:noProof/>
        </w:rPr>
        <w:instrText xml:space="preserve"> PAGEREF _Toc236953655 \h </w:instrText>
      </w:r>
      <w:r w:rsidR="00EB7F04">
        <w:rPr>
          <w:noProof/>
        </w:rPr>
      </w:r>
      <w:r w:rsidR="00EB7F04">
        <w:rPr>
          <w:noProof/>
        </w:rPr>
        <w:fldChar w:fldCharType="separate"/>
      </w:r>
      <w:r w:rsidR="00EB7F04">
        <w:rPr>
          <w:noProof/>
        </w:rPr>
        <w:t>2</w:t>
      </w:r>
      <w:r w:rsidR="00EB7F04">
        <w:rPr>
          <w:noProof/>
        </w:rPr>
        <w:fldChar w:fldCharType="end"/>
      </w:r>
    </w:p>
    <w:p w14:paraId="74FDC29E" w14:textId="3726FEE9" w:rsidR="00EB7F04" w:rsidRDefault="00EB7F04">
      <w:pPr>
        <w:pStyle w:val="TOC1"/>
        <w:rPr>
          <w:noProof/>
          <w:kern w:val="2"/>
          <w:lang w:val="en-GB" w:eastAsia="en-GB"/>
          <w14:ligatures w14:val="standardContextual"/>
        </w:rPr>
      </w:pPr>
      <w:r w:rsidRPr="00001874">
        <w:rPr>
          <w:rFonts w:ascii="Arial" w:eastAsia="Calibri" w:hAnsi="Arial" w:cs="Arial"/>
          <w:b/>
          <w:bCs/>
          <w:noProof/>
        </w:rPr>
        <w:t>1. Introduction</w:t>
      </w:r>
      <w:r>
        <w:rPr>
          <w:noProof/>
        </w:rPr>
        <w:tab/>
      </w:r>
      <w:r>
        <w:rPr>
          <w:noProof/>
        </w:rPr>
        <w:fldChar w:fldCharType="begin"/>
      </w:r>
      <w:r>
        <w:rPr>
          <w:noProof/>
        </w:rPr>
        <w:instrText xml:space="preserve"> PAGEREF _Toc236953656 \h </w:instrText>
      </w:r>
      <w:r>
        <w:rPr>
          <w:noProof/>
        </w:rPr>
      </w:r>
      <w:r>
        <w:rPr>
          <w:noProof/>
        </w:rPr>
        <w:fldChar w:fldCharType="separate"/>
      </w:r>
      <w:r>
        <w:rPr>
          <w:noProof/>
        </w:rPr>
        <w:t>3</w:t>
      </w:r>
      <w:r>
        <w:rPr>
          <w:noProof/>
        </w:rPr>
        <w:fldChar w:fldCharType="end"/>
      </w:r>
    </w:p>
    <w:p w14:paraId="46202979" w14:textId="2C3662E7" w:rsidR="00EB7F04" w:rsidRDefault="00EB7F04">
      <w:pPr>
        <w:pStyle w:val="TOC1"/>
        <w:rPr>
          <w:noProof/>
          <w:kern w:val="2"/>
          <w:lang w:val="en-GB" w:eastAsia="en-GB"/>
          <w14:ligatures w14:val="standardContextual"/>
        </w:rPr>
      </w:pPr>
      <w:r w:rsidRPr="00001874">
        <w:rPr>
          <w:rFonts w:ascii="Arial" w:eastAsia="Calibri" w:hAnsi="Arial" w:cs="Arial"/>
          <w:b/>
          <w:bCs/>
          <w:noProof/>
        </w:rPr>
        <w:t>2. Background</w:t>
      </w:r>
      <w:r>
        <w:rPr>
          <w:noProof/>
        </w:rPr>
        <w:tab/>
      </w:r>
      <w:r>
        <w:rPr>
          <w:noProof/>
        </w:rPr>
        <w:fldChar w:fldCharType="begin"/>
      </w:r>
      <w:r>
        <w:rPr>
          <w:noProof/>
        </w:rPr>
        <w:instrText xml:space="preserve"> PAGEREF _Toc236953657 \h </w:instrText>
      </w:r>
      <w:r>
        <w:rPr>
          <w:noProof/>
        </w:rPr>
      </w:r>
      <w:r>
        <w:rPr>
          <w:noProof/>
        </w:rPr>
        <w:fldChar w:fldCharType="separate"/>
      </w:r>
      <w:r>
        <w:rPr>
          <w:noProof/>
        </w:rPr>
        <w:t>4</w:t>
      </w:r>
      <w:r>
        <w:rPr>
          <w:noProof/>
        </w:rPr>
        <w:fldChar w:fldCharType="end"/>
      </w:r>
    </w:p>
    <w:p w14:paraId="5AE3ED62" w14:textId="7D454904" w:rsidR="00EB7F04" w:rsidRDefault="00EB7F04">
      <w:pPr>
        <w:pStyle w:val="TOC1"/>
        <w:rPr>
          <w:noProof/>
          <w:kern w:val="2"/>
          <w:lang w:val="en-GB" w:eastAsia="en-GB"/>
          <w14:ligatures w14:val="standardContextual"/>
        </w:rPr>
      </w:pPr>
      <w:r w:rsidRPr="00001874">
        <w:rPr>
          <w:rFonts w:ascii="Arial" w:eastAsia="Calibri" w:hAnsi="Arial" w:cs="Arial"/>
          <w:b/>
          <w:bCs/>
          <w:noProof/>
        </w:rPr>
        <w:t>3. Methods</w:t>
      </w:r>
      <w:r>
        <w:rPr>
          <w:noProof/>
        </w:rPr>
        <w:tab/>
      </w:r>
      <w:r>
        <w:rPr>
          <w:noProof/>
        </w:rPr>
        <w:fldChar w:fldCharType="begin"/>
      </w:r>
      <w:r>
        <w:rPr>
          <w:noProof/>
        </w:rPr>
        <w:instrText xml:space="preserve"> PAGEREF _Toc236953658 \h </w:instrText>
      </w:r>
      <w:r>
        <w:rPr>
          <w:noProof/>
        </w:rPr>
      </w:r>
      <w:r>
        <w:rPr>
          <w:noProof/>
        </w:rPr>
        <w:fldChar w:fldCharType="separate"/>
      </w:r>
      <w:r>
        <w:rPr>
          <w:noProof/>
        </w:rPr>
        <w:t>6</w:t>
      </w:r>
      <w:r>
        <w:rPr>
          <w:noProof/>
        </w:rPr>
        <w:fldChar w:fldCharType="end"/>
      </w:r>
    </w:p>
    <w:p w14:paraId="7516AE0D" w14:textId="699CCCDE" w:rsidR="00EB7F04" w:rsidRDefault="00EB7F04">
      <w:pPr>
        <w:pStyle w:val="TOC1"/>
        <w:rPr>
          <w:noProof/>
          <w:kern w:val="2"/>
          <w:lang w:val="en-GB" w:eastAsia="en-GB"/>
          <w14:ligatures w14:val="standardContextual"/>
        </w:rPr>
      </w:pPr>
      <w:r w:rsidRPr="00001874">
        <w:rPr>
          <w:rFonts w:ascii="Arial" w:eastAsia="Calibri" w:hAnsi="Arial" w:cs="Arial"/>
          <w:b/>
          <w:bCs/>
          <w:noProof/>
        </w:rPr>
        <w:t>4. Results</w:t>
      </w:r>
      <w:r>
        <w:rPr>
          <w:noProof/>
        </w:rPr>
        <w:tab/>
      </w:r>
      <w:r>
        <w:rPr>
          <w:noProof/>
        </w:rPr>
        <w:fldChar w:fldCharType="begin"/>
      </w:r>
      <w:r>
        <w:rPr>
          <w:noProof/>
        </w:rPr>
        <w:instrText xml:space="preserve"> PAGEREF _Toc236953659 \h </w:instrText>
      </w:r>
      <w:r>
        <w:rPr>
          <w:noProof/>
        </w:rPr>
      </w:r>
      <w:r>
        <w:rPr>
          <w:noProof/>
        </w:rPr>
        <w:fldChar w:fldCharType="separate"/>
      </w:r>
      <w:r>
        <w:rPr>
          <w:noProof/>
        </w:rPr>
        <w:t>8</w:t>
      </w:r>
      <w:r>
        <w:rPr>
          <w:noProof/>
        </w:rPr>
        <w:fldChar w:fldCharType="end"/>
      </w:r>
    </w:p>
    <w:p w14:paraId="022026AE" w14:textId="38C15FEA" w:rsidR="00EB7F04" w:rsidRDefault="00EB7F04">
      <w:pPr>
        <w:pStyle w:val="TOC1"/>
        <w:rPr>
          <w:noProof/>
          <w:kern w:val="2"/>
          <w:lang w:val="en-GB" w:eastAsia="en-GB"/>
          <w14:ligatures w14:val="standardContextual"/>
        </w:rPr>
      </w:pPr>
      <w:r w:rsidRPr="00001874">
        <w:rPr>
          <w:rFonts w:ascii="Arial" w:eastAsia="Calibri" w:hAnsi="Arial" w:cs="Arial"/>
          <w:b/>
          <w:bCs/>
          <w:noProof/>
        </w:rPr>
        <w:t>5. Discussion</w:t>
      </w:r>
      <w:r>
        <w:rPr>
          <w:noProof/>
        </w:rPr>
        <w:tab/>
      </w:r>
      <w:r>
        <w:rPr>
          <w:noProof/>
        </w:rPr>
        <w:fldChar w:fldCharType="begin"/>
      </w:r>
      <w:r>
        <w:rPr>
          <w:noProof/>
        </w:rPr>
        <w:instrText xml:space="preserve"> PAGEREF _Toc236953660 \h </w:instrText>
      </w:r>
      <w:r>
        <w:rPr>
          <w:noProof/>
        </w:rPr>
      </w:r>
      <w:r>
        <w:rPr>
          <w:noProof/>
        </w:rPr>
        <w:fldChar w:fldCharType="separate"/>
      </w:r>
      <w:r>
        <w:rPr>
          <w:noProof/>
        </w:rPr>
        <w:t>11</w:t>
      </w:r>
      <w:r>
        <w:rPr>
          <w:noProof/>
        </w:rPr>
        <w:fldChar w:fldCharType="end"/>
      </w:r>
    </w:p>
    <w:p w14:paraId="2678A1BA" w14:textId="4CDA88E8" w:rsidR="00EB7F04" w:rsidRDefault="00EB7F04">
      <w:pPr>
        <w:pStyle w:val="TOC1"/>
        <w:rPr>
          <w:noProof/>
          <w:kern w:val="2"/>
          <w:lang w:val="en-GB" w:eastAsia="en-GB"/>
          <w14:ligatures w14:val="standardContextual"/>
        </w:rPr>
      </w:pPr>
      <w:r w:rsidRPr="00001874">
        <w:rPr>
          <w:rFonts w:ascii="Arial" w:eastAsia="Calibri" w:hAnsi="Arial" w:cs="Arial"/>
          <w:b/>
          <w:bCs/>
          <w:noProof/>
        </w:rPr>
        <w:t>6. Conclusion and Recommendations</w:t>
      </w:r>
      <w:r>
        <w:rPr>
          <w:noProof/>
        </w:rPr>
        <w:tab/>
      </w:r>
      <w:r>
        <w:rPr>
          <w:noProof/>
        </w:rPr>
        <w:fldChar w:fldCharType="begin"/>
      </w:r>
      <w:r>
        <w:rPr>
          <w:noProof/>
        </w:rPr>
        <w:instrText xml:space="preserve"> PAGEREF _Toc236953661 \h </w:instrText>
      </w:r>
      <w:r>
        <w:rPr>
          <w:noProof/>
        </w:rPr>
      </w:r>
      <w:r>
        <w:rPr>
          <w:noProof/>
        </w:rPr>
        <w:fldChar w:fldCharType="separate"/>
      </w:r>
      <w:r>
        <w:rPr>
          <w:noProof/>
        </w:rPr>
        <w:t>14</w:t>
      </w:r>
      <w:r>
        <w:rPr>
          <w:noProof/>
        </w:rPr>
        <w:fldChar w:fldCharType="end"/>
      </w:r>
    </w:p>
    <w:p w14:paraId="7CE11F1B" w14:textId="35BFC30D" w:rsidR="00EB7F04" w:rsidRDefault="00EB7F04">
      <w:pPr>
        <w:pStyle w:val="TOC1"/>
        <w:rPr>
          <w:noProof/>
          <w:kern w:val="2"/>
          <w:lang w:val="en-GB" w:eastAsia="en-GB"/>
          <w14:ligatures w14:val="standardContextual"/>
        </w:rPr>
      </w:pPr>
      <w:r w:rsidRPr="00001874">
        <w:rPr>
          <w:rFonts w:ascii="Arial" w:eastAsia="Calibri" w:hAnsi="Arial" w:cs="Arial"/>
          <w:b/>
          <w:bCs/>
          <w:noProof/>
        </w:rPr>
        <w:t>References</w:t>
      </w:r>
      <w:r>
        <w:rPr>
          <w:noProof/>
        </w:rPr>
        <w:tab/>
      </w:r>
      <w:r>
        <w:rPr>
          <w:noProof/>
        </w:rPr>
        <w:fldChar w:fldCharType="begin"/>
      </w:r>
      <w:r>
        <w:rPr>
          <w:noProof/>
        </w:rPr>
        <w:instrText xml:space="preserve"> PAGEREF _Toc236953662 \h </w:instrText>
      </w:r>
      <w:r>
        <w:rPr>
          <w:noProof/>
        </w:rPr>
      </w:r>
      <w:r>
        <w:rPr>
          <w:noProof/>
        </w:rPr>
        <w:fldChar w:fldCharType="separate"/>
      </w:r>
      <w:r>
        <w:rPr>
          <w:noProof/>
        </w:rPr>
        <w:t>14</w:t>
      </w:r>
      <w:r>
        <w:rPr>
          <w:noProof/>
        </w:rPr>
        <w:fldChar w:fldCharType="end"/>
      </w:r>
    </w:p>
    <w:p w14:paraId="63734B0A" w14:textId="646BA754" w:rsidR="00EB7F04" w:rsidRDefault="00EB7F04">
      <w:pPr>
        <w:pStyle w:val="TOC1"/>
        <w:rPr>
          <w:noProof/>
          <w:kern w:val="2"/>
          <w:lang w:val="en-GB" w:eastAsia="en-GB"/>
          <w14:ligatures w14:val="standardContextual"/>
        </w:rPr>
      </w:pPr>
      <w:r w:rsidRPr="00001874">
        <w:rPr>
          <w:rFonts w:ascii="Arial" w:eastAsia="Calibri" w:hAnsi="Arial" w:cs="Arial"/>
          <w:b/>
          <w:bCs/>
          <w:noProof/>
        </w:rPr>
        <w:t>Appendix A: Search Strategy</w:t>
      </w:r>
      <w:r>
        <w:rPr>
          <w:noProof/>
        </w:rPr>
        <w:tab/>
      </w:r>
      <w:r>
        <w:rPr>
          <w:noProof/>
        </w:rPr>
        <w:fldChar w:fldCharType="begin"/>
      </w:r>
      <w:r>
        <w:rPr>
          <w:noProof/>
        </w:rPr>
        <w:instrText xml:space="preserve"> PAGEREF _Toc236953663 \h </w:instrText>
      </w:r>
      <w:r>
        <w:rPr>
          <w:noProof/>
        </w:rPr>
      </w:r>
      <w:r>
        <w:rPr>
          <w:noProof/>
        </w:rPr>
        <w:fldChar w:fldCharType="separate"/>
      </w:r>
      <w:r>
        <w:rPr>
          <w:noProof/>
        </w:rPr>
        <w:t>17</w:t>
      </w:r>
      <w:r>
        <w:rPr>
          <w:noProof/>
        </w:rPr>
        <w:fldChar w:fldCharType="end"/>
      </w:r>
    </w:p>
    <w:p w14:paraId="59129EC4" w14:textId="2921DD31" w:rsidR="00EB7F04" w:rsidRDefault="00EB7F04">
      <w:pPr>
        <w:pStyle w:val="TOC1"/>
        <w:rPr>
          <w:noProof/>
          <w:kern w:val="2"/>
          <w:lang w:val="en-GB" w:eastAsia="en-GB"/>
          <w14:ligatures w14:val="standardContextual"/>
        </w:rPr>
      </w:pPr>
      <w:r w:rsidRPr="00001874">
        <w:rPr>
          <w:rFonts w:ascii="Arial" w:eastAsia="Calibri" w:hAnsi="Arial" w:cs="Arial"/>
          <w:b/>
          <w:bCs/>
          <w:noProof/>
        </w:rPr>
        <w:t>Appendix B: PRISMA-ScR Flow Diagram Detail</w:t>
      </w:r>
      <w:r>
        <w:rPr>
          <w:noProof/>
        </w:rPr>
        <w:tab/>
      </w:r>
      <w:r>
        <w:rPr>
          <w:noProof/>
        </w:rPr>
        <w:fldChar w:fldCharType="begin"/>
      </w:r>
      <w:r>
        <w:rPr>
          <w:noProof/>
        </w:rPr>
        <w:instrText xml:space="preserve"> PAGEREF _Toc236953664 \h </w:instrText>
      </w:r>
      <w:r>
        <w:rPr>
          <w:noProof/>
        </w:rPr>
      </w:r>
      <w:r>
        <w:rPr>
          <w:noProof/>
        </w:rPr>
        <w:fldChar w:fldCharType="separate"/>
      </w:r>
      <w:r>
        <w:rPr>
          <w:noProof/>
        </w:rPr>
        <w:t>18</w:t>
      </w:r>
      <w:r>
        <w:rPr>
          <w:noProof/>
        </w:rPr>
        <w:fldChar w:fldCharType="end"/>
      </w:r>
    </w:p>
    <w:p w14:paraId="7873D177" w14:textId="3A61A0C4" w:rsidR="008A076A" w:rsidRPr="00C8561B" w:rsidRDefault="00C31565" w:rsidP="008A076A">
      <w:pPr>
        <w:spacing w:line="278" w:lineRule="auto"/>
        <w:rPr>
          <w:rFonts w:ascii="Arial" w:eastAsia="Times New Roman" w:hAnsi="Arial" w:cs="Arial"/>
          <w:b/>
          <w:bCs/>
          <w:lang w:val="en-GB" w:eastAsia="en-GB"/>
        </w:rPr>
      </w:pPr>
      <w:r w:rsidRPr="00C8561B">
        <w:rPr>
          <w:rFonts w:ascii="Arial" w:eastAsia="Times New Roman" w:hAnsi="Arial" w:cs="Arial"/>
          <w:b/>
          <w:bCs/>
          <w:lang w:val="en-GB" w:eastAsia="en-GB"/>
        </w:rPr>
        <w:fldChar w:fldCharType="end"/>
      </w:r>
    </w:p>
    <w:p w14:paraId="0B9B348A" w14:textId="77777777" w:rsidR="008A076A" w:rsidRPr="00C8561B" w:rsidRDefault="008A076A" w:rsidP="008A076A">
      <w:pPr>
        <w:spacing w:line="278" w:lineRule="auto"/>
        <w:rPr>
          <w:rFonts w:ascii="Arial" w:eastAsia="Times New Roman" w:hAnsi="Arial" w:cs="Arial"/>
          <w:b/>
          <w:bCs/>
          <w:lang w:val="en-GB" w:eastAsia="en-GB"/>
        </w:rPr>
      </w:pPr>
    </w:p>
    <w:p w14:paraId="2C37A999" w14:textId="77777777" w:rsidR="00C8561B" w:rsidRDefault="00C8561B" w:rsidP="008A076A">
      <w:pPr>
        <w:spacing w:line="278" w:lineRule="auto"/>
        <w:rPr>
          <w:rFonts w:ascii="Arial" w:eastAsia="Times New Roman" w:hAnsi="Arial" w:cs="Arial"/>
          <w:b/>
          <w:bCs/>
          <w:lang w:val="en-GB" w:eastAsia="en-GB"/>
        </w:rPr>
      </w:pPr>
    </w:p>
    <w:p w14:paraId="25B56C36" w14:textId="22337C63" w:rsidR="008B39A0" w:rsidRPr="00C8561B" w:rsidRDefault="008B39A0" w:rsidP="008A076A">
      <w:pPr>
        <w:spacing w:line="278" w:lineRule="auto"/>
        <w:rPr>
          <w:rFonts w:ascii="Arial" w:eastAsia="Times New Roman" w:hAnsi="Arial" w:cs="Arial"/>
          <w:b/>
          <w:bCs/>
          <w:lang w:val="en-GB" w:eastAsia="en-GB"/>
        </w:rPr>
      </w:pPr>
      <w:r w:rsidRPr="00C8561B">
        <w:rPr>
          <w:rFonts w:ascii="Arial" w:eastAsia="Times New Roman" w:hAnsi="Arial" w:cs="Arial"/>
          <w:b/>
          <w:bCs/>
          <w:lang w:val="en-GB" w:eastAsia="en-GB"/>
        </w:rPr>
        <w:lastRenderedPageBreak/>
        <w:t>Topic</w:t>
      </w:r>
    </w:p>
    <w:p w14:paraId="3C05236B" w14:textId="77777777" w:rsidR="008B39A0" w:rsidRPr="00C8561B" w:rsidRDefault="008B39A0" w:rsidP="008B39A0">
      <w:pPr>
        <w:spacing w:before="100" w:beforeAutospacing="1" w:after="100" w:afterAutospacing="1" w:line="240" w:lineRule="auto"/>
        <w:rPr>
          <w:rFonts w:ascii="Arial" w:eastAsia="Times New Roman" w:hAnsi="Arial" w:cs="Arial"/>
          <w:lang w:val="en-GB" w:eastAsia="en-GB"/>
        </w:rPr>
      </w:pPr>
      <w:r w:rsidRPr="00C8561B">
        <w:rPr>
          <w:rFonts w:ascii="Arial" w:eastAsia="Times New Roman" w:hAnsi="Arial" w:cs="Arial"/>
          <w:i/>
          <w:iCs/>
          <w:lang w:val="en-GB" w:eastAsia="en-GB"/>
        </w:rPr>
        <w:t>The Effectiveness of Reasonable Adjustments in Improving Healthcare Experiences for Adults with Learning Disabilities in UK Primary Care: A Scoping Review</w:t>
      </w:r>
    </w:p>
    <w:p w14:paraId="19BF62A7" w14:textId="77777777" w:rsidR="00C8561B" w:rsidRPr="00C8561B" w:rsidRDefault="00C8561B" w:rsidP="00C8561B">
      <w:pPr>
        <w:pStyle w:val="Heading1"/>
        <w:spacing w:before="400" w:after="200"/>
        <w:rPr>
          <w:rFonts w:ascii="Arial" w:hAnsi="Arial" w:cs="Arial"/>
        </w:rPr>
      </w:pPr>
      <w:bookmarkStart w:id="0" w:name="_Toc236953276"/>
      <w:bookmarkStart w:id="1" w:name="_Toc236953655"/>
      <w:r w:rsidRPr="00C8561B">
        <w:rPr>
          <w:rFonts w:ascii="Arial" w:eastAsia="Calibri" w:hAnsi="Arial" w:cs="Arial"/>
          <w:b/>
          <w:bCs/>
          <w:sz w:val="30"/>
          <w:szCs w:val="30"/>
        </w:rPr>
        <w:t>Abstract</w:t>
      </w:r>
      <w:bookmarkEnd w:id="0"/>
      <w:bookmarkEnd w:id="1"/>
    </w:p>
    <w:p w14:paraId="5E38727D"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Background: Adults with learning disabilities experience substantial health inequalities in UK primary care, including higher rates of chronic illness, communication barriers, and premature, often avoidable, death. UK law places a statutory duty on primary care providers to make reasonable adjustments, yet evidence on their effectiveness remains fragmented across qualitative, quantitative, and policy literature.</w:t>
      </w:r>
    </w:p>
    <w:p w14:paraId="368D0CBD"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Aim: To evaluate the effectiveness of reasonable adjustments in improving healthcare experiences for adults with learning disabilities accessing UK primary care.</w:t>
      </w:r>
    </w:p>
    <w:p w14:paraId="5C2E74A4"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Method: A scoping review was conducted following the Arksey and O'Malley (2005) framework, refined by Levac et al. (2010), and reported in line with PRISMA-</w:t>
      </w:r>
      <w:proofErr w:type="spellStart"/>
      <w:r w:rsidRPr="00C8561B">
        <w:rPr>
          <w:rFonts w:ascii="Arial" w:eastAsia="Calibri" w:hAnsi="Arial" w:cs="Arial"/>
        </w:rPr>
        <w:t>ScR</w:t>
      </w:r>
      <w:proofErr w:type="spellEnd"/>
      <w:r w:rsidRPr="00C8561B">
        <w:rPr>
          <w:rFonts w:ascii="Arial" w:eastAsia="Calibri" w:hAnsi="Arial" w:cs="Arial"/>
        </w:rPr>
        <w:t xml:space="preserve"> guidance (</w:t>
      </w:r>
      <w:proofErr w:type="spellStart"/>
      <w:r w:rsidRPr="00C8561B">
        <w:rPr>
          <w:rFonts w:ascii="Arial" w:eastAsia="Calibri" w:hAnsi="Arial" w:cs="Arial"/>
        </w:rPr>
        <w:t>Tricco</w:t>
      </w:r>
      <w:proofErr w:type="spellEnd"/>
      <w:r w:rsidRPr="00C8561B">
        <w:rPr>
          <w:rFonts w:ascii="Arial" w:eastAsia="Calibri" w:hAnsi="Arial" w:cs="Arial"/>
        </w:rPr>
        <w:t xml:space="preserve"> et al., 2018). Databases </w:t>
      </w:r>
      <w:proofErr w:type="gramStart"/>
      <w:r w:rsidRPr="00C8561B">
        <w:rPr>
          <w:rFonts w:ascii="Arial" w:eastAsia="Calibri" w:hAnsi="Arial" w:cs="Arial"/>
        </w:rPr>
        <w:t>searched</w:t>
      </w:r>
      <w:proofErr w:type="gramEnd"/>
      <w:r w:rsidRPr="00C8561B">
        <w:rPr>
          <w:rFonts w:ascii="Arial" w:eastAsia="Calibri" w:hAnsi="Arial" w:cs="Arial"/>
        </w:rPr>
        <w:t xml:space="preserve"> included PubMed, CINAHL, EBSCOhost, and SAGE Journals, supplemented by grey literature from NHS England and Mencap.</w:t>
      </w:r>
    </w:p>
    <w:p w14:paraId="7D3DAA71"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Results: Five studies met the inclusion criteria, supplemented by narrative reference to UK legislation, NHS policy, and third-sector reports. Four themes were identified: accessible communication, annual health checks, staff education and training, and </w:t>
      </w:r>
      <w:proofErr w:type="spellStart"/>
      <w:r w:rsidRPr="00C8561B">
        <w:rPr>
          <w:rFonts w:ascii="Arial" w:eastAsia="Calibri" w:hAnsi="Arial" w:cs="Arial"/>
        </w:rPr>
        <w:t>organisational</w:t>
      </w:r>
      <w:proofErr w:type="spellEnd"/>
      <w:r w:rsidRPr="00C8561B">
        <w:rPr>
          <w:rFonts w:ascii="Arial" w:eastAsia="Calibri" w:hAnsi="Arial" w:cs="Arial"/>
        </w:rPr>
        <w:t xml:space="preserve"> barriers to implementation.</w:t>
      </w:r>
    </w:p>
    <w:p w14:paraId="41C09C59"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Conclusion: Reasonable adjustments such as accessible information, longer appointments, and annual health checks are associated with improved access and experience, but inconsistent implementation, variable staff training, and weak </w:t>
      </w:r>
      <w:proofErr w:type="spellStart"/>
      <w:r w:rsidRPr="00C8561B">
        <w:rPr>
          <w:rFonts w:ascii="Arial" w:eastAsia="Calibri" w:hAnsi="Arial" w:cs="Arial"/>
        </w:rPr>
        <w:t>organisational</w:t>
      </w:r>
      <w:proofErr w:type="spellEnd"/>
      <w:r w:rsidRPr="00C8561B">
        <w:rPr>
          <w:rFonts w:ascii="Arial" w:eastAsia="Calibri" w:hAnsi="Arial" w:cs="Arial"/>
        </w:rPr>
        <w:t xml:space="preserve"> monitoring continue to undermine their overall effectiveness.</w:t>
      </w:r>
    </w:p>
    <w:p w14:paraId="153AE05F"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Keywords: learning disability; reasonable adjustments; primary care; health inequalities; scoping review</w:t>
      </w:r>
    </w:p>
    <w:p w14:paraId="0EBE4E6B" w14:textId="77777777" w:rsidR="00C8561B" w:rsidRPr="00C8561B" w:rsidRDefault="00C8561B" w:rsidP="00C8561B">
      <w:pPr>
        <w:rPr>
          <w:rFonts w:ascii="Arial" w:hAnsi="Arial" w:cs="Arial"/>
        </w:rPr>
      </w:pPr>
      <w:r w:rsidRPr="00C8561B">
        <w:rPr>
          <w:rFonts w:ascii="Arial" w:hAnsi="Arial" w:cs="Arial"/>
        </w:rPr>
        <w:br w:type="page"/>
      </w:r>
    </w:p>
    <w:p w14:paraId="35D3114C" w14:textId="77777777" w:rsidR="00C8561B" w:rsidRPr="00C8561B" w:rsidRDefault="00C8561B" w:rsidP="00C8561B">
      <w:pPr>
        <w:pStyle w:val="Heading1"/>
        <w:spacing w:before="400" w:after="200"/>
        <w:rPr>
          <w:rFonts w:ascii="Arial" w:hAnsi="Arial" w:cs="Arial"/>
        </w:rPr>
      </w:pPr>
      <w:bookmarkStart w:id="2" w:name="_Toc236953277"/>
      <w:bookmarkStart w:id="3" w:name="_Toc236953656"/>
      <w:r w:rsidRPr="00C8561B">
        <w:rPr>
          <w:rFonts w:ascii="Arial" w:eastAsia="Calibri" w:hAnsi="Arial" w:cs="Arial"/>
          <w:b/>
          <w:bCs/>
          <w:sz w:val="30"/>
          <w:szCs w:val="30"/>
        </w:rPr>
        <w:lastRenderedPageBreak/>
        <w:t>1. Introduction</w:t>
      </w:r>
      <w:bookmarkEnd w:id="2"/>
      <w:bookmarkEnd w:id="3"/>
    </w:p>
    <w:p w14:paraId="7D4B73D0"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Learning disability (LD) is a lifelong condition originating before adulthood, </w:t>
      </w:r>
      <w:proofErr w:type="spellStart"/>
      <w:r w:rsidRPr="00C8561B">
        <w:rPr>
          <w:rFonts w:ascii="Arial" w:eastAsia="Calibri" w:hAnsi="Arial" w:cs="Arial"/>
        </w:rPr>
        <w:t>characterised</w:t>
      </w:r>
      <w:proofErr w:type="spellEnd"/>
      <w:r w:rsidRPr="00C8561B">
        <w:rPr>
          <w:rFonts w:ascii="Arial" w:eastAsia="Calibri" w:hAnsi="Arial" w:cs="Arial"/>
        </w:rPr>
        <w:t xml:space="preserve"> by significant impairment of intellectual functioning and adaptive </w:t>
      </w:r>
      <w:proofErr w:type="spellStart"/>
      <w:r w:rsidRPr="00C8561B">
        <w:rPr>
          <w:rFonts w:ascii="Arial" w:eastAsia="Calibri" w:hAnsi="Arial" w:cs="Arial"/>
        </w:rPr>
        <w:t>behaviour</w:t>
      </w:r>
      <w:proofErr w:type="spellEnd"/>
      <w:r w:rsidRPr="00C8561B">
        <w:rPr>
          <w:rFonts w:ascii="Arial" w:eastAsia="Calibri" w:hAnsi="Arial" w:cs="Arial"/>
        </w:rPr>
        <w:t xml:space="preserve"> (World Health Organization, 2018, cited in </w:t>
      </w:r>
      <w:proofErr w:type="spellStart"/>
      <w:r w:rsidRPr="00C8561B">
        <w:rPr>
          <w:rFonts w:ascii="Arial" w:eastAsia="Calibri" w:hAnsi="Arial" w:cs="Arial"/>
        </w:rPr>
        <w:t>Tromans</w:t>
      </w:r>
      <w:proofErr w:type="spellEnd"/>
      <w:r w:rsidRPr="00C8561B">
        <w:rPr>
          <w:rFonts w:ascii="Arial" w:eastAsia="Calibri" w:hAnsi="Arial" w:cs="Arial"/>
        </w:rPr>
        <w:t xml:space="preserve"> et al., 2024). Around 1.5 million people in England are estimated to have a learning disability, although only a fraction are formally recorded on general practice learning disability registers (</w:t>
      </w:r>
      <w:proofErr w:type="spellStart"/>
      <w:r w:rsidRPr="00C8561B">
        <w:rPr>
          <w:rFonts w:ascii="Arial" w:eastAsia="Calibri" w:hAnsi="Arial" w:cs="Arial"/>
        </w:rPr>
        <w:t>Tromans</w:t>
      </w:r>
      <w:proofErr w:type="spellEnd"/>
      <w:r w:rsidRPr="00C8561B">
        <w:rPr>
          <w:rFonts w:ascii="Arial" w:eastAsia="Calibri" w:hAnsi="Arial" w:cs="Arial"/>
        </w:rPr>
        <w:t xml:space="preserve"> et al., 2024). Adults with LD experience markedly poorer health outcomes than the general population, including higher rates of epilepsy, sensory impairment, and mental illness, and a life expectancy that is, on average, around two decades shorter (Heslop et al., 2014). Much of this excess morbidity and mortality is preventable and closely linked to the quality of care received in primary care, which is usually the first point of contact with the health system.</w:t>
      </w:r>
    </w:p>
    <w:p w14:paraId="52A6DF48"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Reasonable adjustments are changes that healthcare providers are legally required to make so that disabled people are not disadvantaged when using services (Equality Act 2010). For people with LD, these adjustments typically relate less to the physical environment and more to communication, information, appointment scheduling, and time (Public Health England, 2020). Examples include longer or double appointments, easy-read information, hospital passports, flagging systems on patient records, and the annual health check offered to those on a practice's LD register (NHS, 2019).</w:t>
      </w:r>
    </w:p>
    <w:p w14:paraId="66D0BC93"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Despite this legal framework, a substantial body of policy and academic literature suggests that reasonable adjustments are inconsistently applied. The 2008 Michael Inquiry (Michael, 2008) and Mencap's Death by Indifference campaign (Mencap, 2007; 2012) both documented cases in which failures to adjust care contributed directly to avoidable deaths. More recent evidence, including the ongoing national Learning Disabilities Mortality Review (</w:t>
      </w:r>
      <w:proofErr w:type="spellStart"/>
      <w:r w:rsidRPr="00C8561B">
        <w:rPr>
          <w:rFonts w:ascii="Arial" w:eastAsia="Calibri" w:hAnsi="Arial" w:cs="Arial"/>
        </w:rPr>
        <w:t>LeDeR</w:t>
      </w:r>
      <w:proofErr w:type="spellEnd"/>
      <w:r w:rsidRPr="00C8561B">
        <w:rPr>
          <w:rFonts w:ascii="Arial" w:eastAsia="Calibri" w:hAnsi="Arial" w:cs="Arial"/>
        </w:rPr>
        <w:t xml:space="preserve">) </w:t>
      </w:r>
      <w:proofErr w:type="spellStart"/>
      <w:r w:rsidRPr="00C8561B">
        <w:rPr>
          <w:rFonts w:ascii="Arial" w:eastAsia="Calibri" w:hAnsi="Arial" w:cs="Arial"/>
        </w:rPr>
        <w:t>programme</w:t>
      </w:r>
      <w:proofErr w:type="spellEnd"/>
      <w:r w:rsidRPr="00C8561B">
        <w:rPr>
          <w:rFonts w:ascii="Arial" w:eastAsia="Calibri" w:hAnsi="Arial" w:cs="Arial"/>
        </w:rPr>
        <w:t>, continues to identify diagnostic overshadowing, poor communication, and lack of staff training as recurring contributors to poor outcomes (White et al., 2023).</w:t>
      </w:r>
    </w:p>
    <w:p w14:paraId="70DF310F"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Understanding why reasonable adjustments are effective in some settings and not in others is therefore important for improving equity of access and reducing preventable harm. However, existing research is dispersed across qualitative studies, quantitative service evaluations, and policy reports, with no single review drawing together </w:t>
      </w:r>
      <w:r w:rsidRPr="00C8561B">
        <w:rPr>
          <w:rFonts w:ascii="Arial" w:eastAsia="Calibri" w:hAnsi="Arial" w:cs="Arial"/>
        </w:rPr>
        <w:lastRenderedPageBreak/>
        <w:t>primary-care-specific evidence on their effectiveness. A scoping review is well suited to mapping this heterogeneous and rapidly evolving evidence base.</w:t>
      </w:r>
    </w:p>
    <w:p w14:paraId="3D6A0E9A"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Aim: To evaluate the effectiveness of reasonable adjustments in improving healthcare experiences for adults with learning </w:t>
      </w:r>
      <w:proofErr w:type="gramStart"/>
      <w:r w:rsidRPr="00C8561B">
        <w:rPr>
          <w:rFonts w:ascii="Arial" w:eastAsia="Calibri" w:hAnsi="Arial" w:cs="Arial"/>
        </w:rPr>
        <w:t>disabilities</w:t>
      </w:r>
      <w:proofErr w:type="gramEnd"/>
      <w:r w:rsidRPr="00C8561B">
        <w:rPr>
          <w:rFonts w:ascii="Arial" w:eastAsia="Calibri" w:hAnsi="Arial" w:cs="Arial"/>
        </w:rPr>
        <w:t xml:space="preserve"> accessing UK primary care services.</w:t>
      </w:r>
    </w:p>
    <w:p w14:paraId="28BEF10E"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Review question: How effective are reasonable adjustments in improving healthcare experiences for adults with learning disabilities in UK primary care?</w:t>
      </w:r>
    </w:p>
    <w:p w14:paraId="40326806"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Objectives:</w:t>
      </w:r>
    </w:p>
    <w:p w14:paraId="68CD8206" w14:textId="77777777" w:rsidR="00C8561B" w:rsidRPr="00C8561B" w:rsidRDefault="00C8561B" w:rsidP="00C8561B">
      <w:pPr>
        <w:pStyle w:val="ListParagraph"/>
        <w:numPr>
          <w:ilvl w:val="0"/>
          <w:numId w:val="35"/>
        </w:numPr>
        <w:spacing w:after="120" w:line="240" w:lineRule="auto"/>
        <w:contextualSpacing w:val="0"/>
        <w:rPr>
          <w:rFonts w:ascii="Arial" w:hAnsi="Arial" w:cs="Arial"/>
        </w:rPr>
      </w:pPr>
      <w:r w:rsidRPr="00C8561B">
        <w:rPr>
          <w:rFonts w:ascii="Arial" w:eastAsia="Calibri" w:hAnsi="Arial" w:cs="Arial"/>
        </w:rPr>
        <w:t>To identify the range of reasonable adjustments currently used in UK primary care for adults with learning disabilities.</w:t>
      </w:r>
    </w:p>
    <w:p w14:paraId="2F0203D6" w14:textId="77777777" w:rsidR="00C8561B" w:rsidRPr="00C8561B" w:rsidRDefault="00C8561B" w:rsidP="00C8561B">
      <w:pPr>
        <w:pStyle w:val="ListParagraph"/>
        <w:numPr>
          <w:ilvl w:val="0"/>
          <w:numId w:val="35"/>
        </w:numPr>
        <w:spacing w:after="120" w:line="240" w:lineRule="auto"/>
        <w:contextualSpacing w:val="0"/>
        <w:rPr>
          <w:rFonts w:ascii="Arial" w:hAnsi="Arial" w:cs="Arial"/>
        </w:rPr>
      </w:pPr>
      <w:r w:rsidRPr="00C8561B">
        <w:rPr>
          <w:rFonts w:ascii="Arial" w:eastAsia="Calibri" w:hAnsi="Arial" w:cs="Arial"/>
        </w:rPr>
        <w:t>To examine how these adjustments influence patients' healthcare experiences and outcomes.</w:t>
      </w:r>
    </w:p>
    <w:p w14:paraId="7B59F28B" w14:textId="77777777" w:rsidR="00C8561B" w:rsidRPr="00C8561B" w:rsidRDefault="00C8561B" w:rsidP="00C8561B">
      <w:pPr>
        <w:pStyle w:val="ListParagraph"/>
        <w:numPr>
          <w:ilvl w:val="0"/>
          <w:numId w:val="35"/>
        </w:numPr>
        <w:spacing w:after="120" w:line="240" w:lineRule="auto"/>
        <w:contextualSpacing w:val="0"/>
        <w:rPr>
          <w:rFonts w:ascii="Arial" w:hAnsi="Arial" w:cs="Arial"/>
        </w:rPr>
      </w:pPr>
      <w:r w:rsidRPr="00C8561B">
        <w:rPr>
          <w:rFonts w:ascii="Arial" w:eastAsia="Calibri" w:hAnsi="Arial" w:cs="Arial"/>
        </w:rPr>
        <w:t>To identify barriers and facilitators affecting the implementation of reasonable adjustments.</w:t>
      </w:r>
    </w:p>
    <w:p w14:paraId="44BABB7A" w14:textId="77777777" w:rsidR="00C8561B" w:rsidRPr="00C8561B" w:rsidRDefault="00C8561B" w:rsidP="00C8561B">
      <w:pPr>
        <w:pStyle w:val="ListParagraph"/>
        <w:numPr>
          <w:ilvl w:val="0"/>
          <w:numId w:val="35"/>
        </w:numPr>
        <w:spacing w:after="120" w:line="240" w:lineRule="auto"/>
        <w:contextualSpacing w:val="0"/>
        <w:rPr>
          <w:rFonts w:ascii="Arial" w:hAnsi="Arial" w:cs="Arial"/>
        </w:rPr>
      </w:pPr>
      <w:proofErr w:type="gramStart"/>
      <w:r w:rsidRPr="00C8561B">
        <w:rPr>
          <w:rFonts w:ascii="Arial" w:eastAsia="Calibri" w:hAnsi="Arial" w:cs="Arial"/>
        </w:rPr>
        <w:t>To provide</w:t>
      </w:r>
      <w:proofErr w:type="gramEnd"/>
      <w:r w:rsidRPr="00C8561B">
        <w:rPr>
          <w:rFonts w:ascii="Arial" w:eastAsia="Calibri" w:hAnsi="Arial" w:cs="Arial"/>
        </w:rPr>
        <w:t xml:space="preserve"> recommendations for improving healthcare practice and policy.</w:t>
      </w:r>
    </w:p>
    <w:p w14:paraId="4AB71043" w14:textId="77777777" w:rsidR="00C8561B" w:rsidRPr="00C8561B" w:rsidRDefault="00C8561B" w:rsidP="00C8561B">
      <w:pPr>
        <w:pStyle w:val="Heading1"/>
        <w:spacing w:before="400" w:after="200"/>
        <w:rPr>
          <w:rFonts w:ascii="Arial" w:hAnsi="Arial" w:cs="Arial"/>
        </w:rPr>
      </w:pPr>
      <w:bookmarkStart w:id="4" w:name="_Toc236953278"/>
      <w:bookmarkStart w:id="5" w:name="_Toc236953657"/>
      <w:r w:rsidRPr="00C8561B">
        <w:rPr>
          <w:rFonts w:ascii="Arial" w:eastAsia="Calibri" w:hAnsi="Arial" w:cs="Arial"/>
          <w:b/>
          <w:bCs/>
          <w:sz w:val="30"/>
          <w:szCs w:val="30"/>
        </w:rPr>
        <w:t>2. Background</w:t>
      </w:r>
      <w:bookmarkEnd w:id="4"/>
      <w:bookmarkEnd w:id="5"/>
    </w:p>
    <w:p w14:paraId="6BF7A51E"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Health inequalities experienced by adults with LD are well documented. National survey data show that adults reporting a learning disability have significantly higher odds of every chronic condition measured, including sensory, neurodevelopmental, neurological, and mental health conditions, after adjusting for age, gender, ethnicity, and deprivation (</w:t>
      </w:r>
      <w:proofErr w:type="spellStart"/>
      <w:r w:rsidRPr="00C8561B">
        <w:rPr>
          <w:rFonts w:ascii="Arial" w:eastAsia="Calibri" w:hAnsi="Arial" w:cs="Arial"/>
        </w:rPr>
        <w:t>Tromans</w:t>
      </w:r>
      <w:proofErr w:type="spellEnd"/>
      <w:r w:rsidRPr="00C8561B">
        <w:rPr>
          <w:rFonts w:ascii="Arial" w:eastAsia="Calibri" w:hAnsi="Arial" w:cs="Arial"/>
        </w:rPr>
        <w:t xml:space="preserve"> et al., 2024). The same population is more likely to live in deprived </w:t>
      </w:r>
      <w:proofErr w:type="spellStart"/>
      <w:r w:rsidRPr="00C8561B">
        <w:rPr>
          <w:rFonts w:ascii="Arial" w:eastAsia="Calibri" w:hAnsi="Arial" w:cs="Arial"/>
        </w:rPr>
        <w:t>neighbourhoods</w:t>
      </w:r>
      <w:proofErr w:type="spellEnd"/>
      <w:r w:rsidRPr="00C8561B">
        <w:rPr>
          <w:rFonts w:ascii="Arial" w:eastAsia="Calibri" w:hAnsi="Arial" w:cs="Arial"/>
        </w:rPr>
        <w:t xml:space="preserve"> and less likely to be in full-time employment, compounding the social determinants of poor health (</w:t>
      </w:r>
      <w:proofErr w:type="spellStart"/>
      <w:r w:rsidRPr="00C8561B">
        <w:rPr>
          <w:rFonts w:ascii="Arial" w:eastAsia="Calibri" w:hAnsi="Arial" w:cs="Arial"/>
        </w:rPr>
        <w:t>Tromans</w:t>
      </w:r>
      <w:proofErr w:type="spellEnd"/>
      <w:r w:rsidRPr="00C8561B">
        <w:rPr>
          <w:rFonts w:ascii="Arial" w:eastAsia="Calibri" w:hAnsi="Arial" w:cs="Arial"/>
        </w:rPr>
        <w:t xml:space="preserve"> et al., 2024). These inequalities culminate in a stark mortality gap: the most recent </w:t>
      </w:r>
      <w:proofErr w:type="spellStart"/>
      <w:r w:rsidRPr="00C8561B">
        <w:rPr>
          <w:rFonts w:ascii="Arial" w:eastAsia="Calibri" w:hAnsi="Arial" w:cs="Arial"/>
        </w:rPr>
        <w:t>LeDeR</w:t>
      </w:r>
      <w:proofErr w:type="spellEnd"/>
      <w:r w:rsidRPr="00C8561B">
        <w:rPr>
          <w:rFonts w:ascii="Arial" w:eastAsia="Calibri" w:hAnsi="Arial" w:cs="Arial"/>
        </w:rPr>
        <w:t xml:space="preserve"> data show a median age of death of around 63 years for adults with LD, compared with over 80 years in the general population, with a substantial proportion of deaths judged avoidable (White et al., 2023).</w:t>
      </w:r>
    </w:p>
    <w:p w14:paraId="16865461"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UK legislation has, for over a decade, placed a clear duty on public bodies, including GP practices, to anticipate and make reasonable adjustments for disabled patients (Equality Act 2010). This duty is proactive rather than reactive: services should not wait for a person to encounter a barrier before adjusting practice. This is reinforced by the Accessible Information Standard, which requires health and social care </w:t>
      </w:r>
      <w:proofErr w:type="spellStart"/>
      <w:r w:rsidRPr="00C8561B">
        <w:rPr>
          <w:rFonts w:ascii="Arial" w:eastAsia="Calibri" w:hAnsi="Arial" w:cs="Arial"/>
        </w:rPr>
        <w:lastRenderedPageBreak/>
        <w:t>organisations</w:t>
      </w:r>
      <w:proofErr w:type="spellEnd"/>
      <w:r w:rsidRPr="00C8561B">
        <w:rPr>
          <w:rFonts w:ascii="Arial" w:eastAsia="Calibri" w:hAnsi="Arial" w:cs="Arial"/>
        </w:rPr>
        <w:t xml:space="preserve"> to identify, record, and act upon people's information and communication needs (Public Health England, 2020). More recently, the Health and Care Act 2022 placed the Oliver McGowan Mandatory Training on a statutory footing, requiring all health and social care staff to undertake training in learning disability and autism, named in memory of Oliver McGowan, whose death followed the administration of medication against his and his family's wishes because staff did not understand his needs (Health and Care Act 2022).</w:t>
      </w:r>
    </w:p>
    <w:p w14:paraId="3A5FD70B"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NHS policy has increasingly </w:t>
      </w:r>
      <w:proofErr w:type="spellStart"/>
      <w:r w:rsidRPr="00C8561B">
        <w:rPr>
          <w:rFonts w:ascii="Arial" w:eastAsia="Calibri" w:hAnsi="Arial" w:cs="Arial"/>
        </w:rPr>
        <w:t>prioritised</w:t>
      </w:r>
      <w:proofErr w:type="spellEnd"/>
      <w:r w:rsidRPr="00C8561B">
        <w:rPr>
          <w:rFonts w:ascii="Arial" w:eastAsia="Calibri" w:hAnsi="Arial" w:cs="Arial"/>
        </w:rPr>
        <w:t xml:space="preserve"> this population. The NHS Long Term Plan (NHS, 2019) commits to improving the health of people with LD, including expanding uptake of the annual health check, a structured review offered to everyone aged 14 and over on a practice's LD register, intended to identify unmet health needs before they become life-threatening. Evaluations using large primary care databases suggest that health checks can identify substantial numbers of previously undiagnosed conditions, although uptake and quality vary considerably between practices (Carey et al., 2017).</w:t>
      </w:r>
    </w:p>
    <w:p w14:paraId="09C9979E"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Despite this policy attention, several major inquiries have found that failures of reasonable adjustment persist. The Michael Inquiry concluded that people with LD 'receive less effective care' than the general population, leading to avoidable suffering and death, and recommended systemic changes to training, information-sharing, and monitoring (Michael, 2008). Mencap's Death by Indifference reports similarly catalogued cases in which staff failed to communicate accessibly, involve family carers appropriately, or </w:t>
      </w:r>
      <w:proofErr w:type="spellStart"/>
      <w:r w:rsidRPr="00C8561B">
        <w:rPr>
          <w:rFonts w:ascii="Arial" w:eastAsia="Calibri" w:hAnsi="Arial" w:cs="Arial"/>
        </w:rPr>
        <w:t>recognise</w:t>
      </w:r>
      <w:proofErr w:type="spellEnd"/>
      <w:r w:rsidRPr="00C8561B">
        <w:rPr>
          <w:rFonts w:ascii="Arial" w:eastAsia="Calibri" w:hAnsi="Arial" w:cs="Arial"/>
        </w:rPr>
        <w:t xml:space="preserve"> deteriorating health, a phenomenon often described as diagnostic overshadowing (Mencap, 2007; 2012). The Confidential Inquiry into Premature Deaths of People with Intellectual Disabilities found that 37% of deaths among adults with LD were avoidable, compared with 13% in the general population, and identified failures to make reasonable adjustments, including inadequate communication and poor coordination between primary and secondary care, as a recurring theme (Heslop et al., 2014).</w:t>
      </w:r>
    </w:p>
    <w:p w14:paraId="15CA3AFA"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More recent qualitative work continues to highlight gaps between policy and practice. A multistakeholder study involving people with LD, family carers, and primary care staff found that improving access required proactive, </w:t>
      </w:r>
      <w:proofErr w:type="spellStart"/>
      <w:r w:rsidRPr="00C8561B">
        <w:rPr>
          <w:rFonts w:ascii="Arial" w:eastAsia="Calibri" w:hAnsi="Arial" w:cs="Arial"/>
        </w:rPr>
        <w:t>personalised</w:t>
      </w:r>
      <w:proofErr w:type="spellEnd"/>
      <w:r w:rsidRPr="00C8561B">
        <w:rPr>
          <w:rFonts w:ascii="Arial" w:eastAsia="Calibri" w:hAnsi="Arial" w:cs="Arial"/>
        </w:rPr>
        <w:t xml:space="preserve"> approaches, but that many practices still lacked systems to flag needs or provide continuity of care </w:t>
      </w:r>
      <w:r w:rsidRPr="00C8561B">
        <w:rPr>
          <w:rFonts w:ascii="Arial" w:eastAsia="Calibri" w:hAnsi="Arial" w:cs="Arial"/>
        </w:rPr>
        <w:lastRenderedPageBreak/>
        <w:t>(Wigham et al., 2022). An integrative review of barriers and facilitators to primary care access found that poor staff attitudes and communication difficulties were recurring themes across the literature, often stemming from a lack of specific training (Doherty et al., 2020).</w:t>
      </w:r>
    </w:p>
    <w:p w14:paraId="0A45539A"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Existing reviews tend to describe barriers to access in broad terms, spanning multiple disability groups and healthcare settings, rather than focusing on the primary care pathway for people with LD in the UK context (Doherty et al., 2020; Moloney et al., 2021). Much research also relies on staff-reported attitudes rather than patient-reported experience, so the link between a specific adjustment and an improved patient outcome is rarely demonstrated empirically (Garvey et al., 2010; Onwuchekwa et al., 2022). This review therefore also considers whether current evidence is strong enough to identify which adjustments have the clearest effect on patient experience.</w:t>
      </w:r>
    </w:p>
    <w:p w14:paraId="20A4F910" w14:textId="77777777" w:rsidR="00C8561B" w:rsidRPr="00C8561B" w:rsidRDefault="00C8561B" w:rsidP="00C8561B">
      <w:pPr>
        <w:pStyle w:val="Heading1"/>
        <w:spacing w:before="400" w:after="200"/>
        <w:rPr>
          <w:rFonts w:ascii="Arial" w:hAnsi="Arial" w:cs="Arial"/>
        </w:rPr>
      </w:pPr>
      <w:bookmarkStart w:id="6" w:name="_Toc236953279"/>
      <w:bookmarkStart w:id="7" w:name="_Toc236953658"/>
      <w:r w:rsidRPr="00C8561B">
        <w:rPr>
          <w:rFonts w:ascii="Arial" w:eastAsia="Calibri" w:hAnsi="Arial" w:cs="Arial"/>
          <w:b/>
          <w:bCs/>
          <w:sz w:val="30"/>
          <w:szCs w:val="30"/>
        </w:rPr>
        <w:t>3. Methods</w:t>
      </w:r>
      <w:bookmarkEnd w:id="6"/>
      <w:bookmarkEnd w:id="7"/>
    </w:p>
    <w:p w14:paraId="73F3A48A" w14:textId="77777777" w:rsidR="00C8561B" w:rsidRPr="00C8561B" w:rsidRDefault="00C8561B" w:rsidP="00C8561B">
      <w:pPr>
        <w:pStyle w:val="Heading2"/>
        <w:spacing w:before="300" w:after="150"/>
        <w:rPr>
          <w:rFonts w:ascii="Arial" w:hAnsi="Arial" w:cs="Arial"/>
        </w:rPr>
      </w:pPr>
      <w:bookmarkStart w:id="8" w:name="_Toc236953280"/>
      <w:r w:rsidRPr="00C8561B">
        <w:rPr>
          <w:rFonts w:ascii="Arial" w:eastAsia="Calibri" w:hAnsi="Arial" w:cs="Arial"/>
          <w:b/>
          <w:bCs/>
          <w:sz w:val="26"/>
          <w:szCs w:val="26"/>
        </w:rPr>
        <w:t>Research Design</w:t>
      </w:r>
      <w:bookmarkEnd w:id="8"/>
    </w:p>
    <w:p w14:paraId="64FC3825"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A scoping review methodology was selected to map the breadth of existing evidence on reasonable adjustments in UK primary care, rather than to answer a narrow effectiveness question suited to a systematic review (Arksey and O'Malley, 2005). The review followed the five-stage framework proposed by Arksey and O'Malley (2005), refined by Levac et al. (2010), and was reported in line with the PRISMA extension for scoping reviews (PRISMA-</w:t>
      </w:r>
      <w:proofErr w:type="spellStart"/>
      <w:r w:rsidRPr="00C8561B">
        <w:rPr>
          <w:rFonts w:ascii="Arial" w:eastAsia="Calibri" w:hAnsi="Arial" w:cs="Arial"/>
        </w:rPr>
        <w:t>ScR</w:t>
      </w:r>
      <w:proofErr w:type="spellEnd"/>
      <w:r w:rsidRPr="00C8561B">
        <w:rPr>
          <w:rFonts w:ascii="Arial" w:eastAsia="Calibri" w:hAnsi="Arial" w:cs="Arial"/>
        </w:rPr>
        <w:t>) checklist (</w:t>
      </w:r>
      <w:proofErr w:type="spellStart"/>
      <w:r w:rsidRPr="00C8561B">
        <w:rPr>
          <w:rFonts w:ascii="Arial" w:eastAsia="Calibri" w:hAnsi="Arial" w:cs="Arial"/>
        </w:rPr>
        <w:t>Tricco</w:t>
      </w:r>
      <w:proofErr w:type="spellEnd"/>
      <w:r w:rsidRPr="00C8561B">
        <w:rPr>
          <w:rFonts w:ascii="Arial" w:eastAsia="Calibri" w:hAnsi="Arial" w:cs="Arial"/>
        </w:rPr>
        <w:t xml:space="preserve"> et al., 2018).</w:t>
      </w:r>
    </w:p>
    <w:p w14:paraId="3B02C094" w14:textId="77777777" w:rsidR="00C8561B" w:rsidRPr="00C8561B" w:rsidRDefault="00C8561B" w:rsidP="00C8561B">
      <w:pPr>
        <w:pStyle w:val="Heading2"/>
        <w:spacing w:before="300" w:after="150"/>
        <w:rPr>
          <w:rFonts w:ascii="Arial" w:hAnsi="Arial" w:cs="Arial"/>
        </w:rPr>
      </w:pPr>
      <w:bookmarkStart w:id="9" w:name="_Toc236953281"/>
      <w:r w:rsidRPr="00C8561B">
        <w:rPr>
          <w:rFonts w:ascii="Arial" w:eastAsia="Calibri" w:hAnsi="Arial" w:cs="Arial"/>
          <w:b/>
          <w:bCs/>
          <w:sz w:val="26"/>
          <w:szCs w:val="26"/>
        </w:rPr>
        <w:t>Search Strategy</w:t>
      </w:r>
      <w:bookmarkEnd w:id="9"/>
    </w:p>
    <w:p w14:paraId="73A2BF23"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A systematic search was conducted across PubMed, CINAHL, EBSCOhost, and SAGE Journals, supplemented by the UWTSD Library discovery service and grey literature searching of NHS England, Mencap, and the </w:t>
      </w:r>
      <w:proofErr w:type="spellStart"/>
      <w:r w:rsidRPr="00C8561B">
        <w:rPr>
          <w:rFonts w:ascii="Arial" w:eastAsia="Calibri" w:hAnsi="Arial" w:cs="Arial"/>
        </w:rPr>
        <w:t>LeDeR</w:t>
      </w:r>
      <w:proofErr w:type="spellEnd"/>
      <w:r w:rsidRPr="00C8561B">
        <w:rPr>
          <w:rFonts w:ascii="Arial" w:eastAsia="Calibri" w:hAnsi="Arial" w:cs="Arial"/>
        </w:rPr>
        <w:t xml:space="preserve"> </w:t>
      </w:r>
      <w:proofErr w:type="spellStart"/>
      <w:r w:rsidRPr="00C8561B">
        <w:rPr>
          <w:rFonts w:ascii="Arial" w:eastAsia="Calibri" w:hAnsi="Arial" w:cs="Arial"/>
        </w:rPr>
        <w:t>programme</w:t>
      </w:r>
      <w:proofErr w:type="spellEnd"/>
      <w:r w:rsidRPr="00C8561B">
        <w:rPr>
          <w:rFonts w:ascii="Arial" w:eastAsia="Calibri" w:hAnsi="Arial" w:cs="Arial"/>
        </w:rPr>
        <w:t xml:space="preserve">. Search terms combined population, intervention, and setting concepts using Boolean operators and truncation, for example: ("learning </w:t>
      </w:r>
      <w:proofErr w:type="spellStart"/>
      <w:r w:rsidRPr="00C8561B">
        <w:rPr>
          <w:rFonts w:ascii="Arial" w:eastAsia="Calibri" w:hAnsi="Arial" w:cs="Arial"/>
        </w:rPr>
        <w:t>disabilit</w:t>
      </w:r>
      <w:proofErr w:type="spellEnd"/>
      <w:r w:rsidRPr="00C8561B">
        <w:rPr>
          <w:rFonts w:ascii="Arial" w:eastAsia="Calibri" w:hAnsi="Arial" w:cs="Arial"/>
        </w:rPr>
        <w:t xml:space="preserve">*" OR "intellectual </w:t>
      </w:r>
      <w:proofErr w:type="spellStart"/>
      <w:r w:rsidRPr="00C8561B">
        <w:rPr>
          <w:rFonts w:ascii="Arial" w:eastAsia="Calibri" w:hAnsi="Arial" w:cs="Arial"/>
        </w:rPr>
        <w:t>disabilit</w:t>
      </w:r>
      <w:proofErr w:type="spellEnd"/>
      <w:r w:rsidRPr="00C8561B">
        <w:rPr>
          <w:rFonts w:ascii="Arial" w:eastAsia="Calibri" w:hAnsi="Arial" w:cs="Arial"/>
        </w:rPr>
        <w:t xml:space="preserve">*") AND ("reasonable adjustment*" OR "annual health check*" OR "accessible communication") AND ("primary care" OR "general practice" OR "GP"). Searches were limited to English-language sources published from January 2010 (reflecting the </w:t>
      </w:r>
      <w:r w:rsidRPr="00C8561B">
        <w:rPr>
          <w:rFonts w:ascii="Arial" w:eastAsia="Calibri" w:hAnsi="Arial" w:cs="Arial"/>
        </w:rPr>
        <w:lastRenderedPageBreak/>
        <w:t>Equality Act 2010) onwards, with a small number of seminal earlier reports included by hand-search. Full search terms are provided in Appendix A.</w:t>
      </w:r>
    </w:p>
    <w:p w14:paraId="458B8598" w14:textId="77777777" w:rsidR="00C8561B" w:rsidRPr="00C8561B" w:rsidRDefault="00C8561B" w:rsidP="00C8561B">
      <w:pPr>
        <w:pStyle w:val="Heading2"/>
        <w:spacing w:before="300" w:after="150"/>
        <w:rPr>
          <w:rFonts w:ascii="Arial" w:hAnsi="Arial" w:cs="Arial"/>
        </w:rPr>
      </w:pPr>
      <w:bookmarkStart w:id="10" w:name="_Toc236953282"/>
      <w:r w:rsidRPr="00C8561B">
        <w:rPr>
          <w:rFonts w:ascii="Arial" w:eastAsia="Calibri" w:hAnsi="Arial" w:cs="Arial"/>
          <w:b/>
          <w:bCs/>
          <w:sz w:val="26"/>
          <w:szCs w:val="26"/>
        </w:rPr>
        <w:t>Inclusion Criteria</w:t>
      </w:r>
      <w:bookmarkEnd w:id="10"/>
    </w:p>
    <w:p w14:paraId="1490F702"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Sources were included if they: focused on adults (aged 18 and over) with a learning disability; related specifically to UK primary care or general practice settings, or UK national policy directly governing that setting; discussed reasonable adjustments, accessible communication, annual health checks, or related interventions; and were published in English from 2008 onwards. Both peer-reviewed research and relevant grey literature (NHS, government, and third-sector reports) were eligible, in keeping with the exploratory nature of scoping review methodology.</w:t>
      </w:r>
    </w:p>
    <w:p w14:paraId="1860B297" w14:textId="77777777" w:rsidR="00C8561B" w:rsidRPr="00C8561B" w:rsidRDefault="00C8561B" w:rsidP="00C8561B">
      <w:pPr>
        <w:pStyle w:val="Heading2"/>
        <w:spacing w:before="300" w:after="150"/>
        <w:rPr>
          <w:rFonts w:ascii="Arial" w:hAnsi="Arial" w:cs="Arial"/>
        </w:rPr>
      </w:pPr>
      <w:bookmarkStart w:id="11" w:name="_Toc236953283"/>
      <w:r w:rsidRPr="00C8561B">
        <w:rPr>
          <w:rFonts w:ascii="Arial" w:eastAsia="Calibri" w:hAnsi="Arial" w:cs="Arial"/>
          <w:b/>
          <w:bCs/>
          <w:sz w:val="26"/>
          <w:szCs w:val="26"/>
        </w:rPr>
        <w:t>Exclusion Criteria</w:t>
      </w:r>
      <w:bookmarkEnd w:id="11"/>
    </w:p>
    <w:p w14:paraId="50AFFA6F"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Sources were excluded if they: focused exclusively on children; concerned acute or hospital settings with no primary care relevance; related to countries outside the UK; addressed physical disability alone without reference to learning disability; or were opinion pieces, blogs, or non-peer-reviewed commentary without an underlying evidence base.</w:t>
      </w:r>
    </w:p>
    <w:p w14:paraId="0A275B48" w14:textId="77777777" w:rsidR="00C8561B" w:rsidRPr="00C8561B" w:rsidRDefault="00C8561B" w:rsidP="00C8561B">
      <w:pPr>
        <w:pStyle w:val="Heading2"/>
        <w:spacing w:before="300" w:after="150"/>
        <w:rPr>
          <w:rFonts w:ascii="Arial" w:hAnsi="Arial" w:cs="Arial"/>
        </w:rPr>
      </w:pPr>
      <w:bookmarkStart w:id="12" w:name="_Toc236953284"/>
      <w:r w:rsidRPr="00C8561B">
        <w:rPr>
          <w:rFonts w:ascii="Arial" w:eastAsia="Calibri" w:hAnsi="Arial" w:cs="Arial"/>
          <w:b/>
          <w:bCs/>
          <w:sz w:val="26"/>
          <w:szCs w:val="26"/>
        </w:rPr>
        <w:t>Study Selection</w:t>
      </w:r>
      <w:bookmarkEnd w:id="12"/>
    </w:p>
    <w:p w14:paraId="22E57C4D"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Titles and abstracts were screened against the inclusion and exclusion criteria, followed by full-text review of potentially eligible sources. Reference lists of included sources were hand-searched to identify further relevant literature, consistent with the iterative process recommended by Levac et al. (2010). The study selection process is </w:t>
      </w:r>
      <w:proofErr w:type="spellStart"/>
      <w:r w:rsidRPr="00C8561B">
        <w:rPr>
          <w:rFonts w:ascii="Arial" w:eastAsia="Calibri" w:hAnsi="Arial" w:cs="Arial"/>
        </w:rPr>
        <w:t>summarised</w:t>
      </w:r>
      <w:proofErr w:type="spellEnd"/>
      <w:r w:rsidRPr="00C8561B">
        <w:rPr>
          <w:rFonts w:ascii="Arial" w:eastAsia="Calibri" w:hAnsi="Arial" w:cs="Arial"/>
        </w:rPr>
        <w:t xml:space="preserve"> in the PRISMA flow diagram presented in the Results section.</w:t>
      </w:r>
    </w:p>
    <w:p w14:paraId="58DE50B7" w14:textId="77777777" w:rsidR="00C8561B" w:rsidRPr="00C8561B" w:rsidRDefault="00C8561B" w:rsidP="00C8561B">
      <w:pPr>
        <w:pStyle w:val="Heading2"/>
        <w:spacing w:before="300" w:after="150"/>
        <w:rPr>
          <w:rFonts w:ascii="Arial" w:hAnsi="Arial" w:cs="Arial"/>
        </w:rPr>
      </w:pPr>
      <w:bookmarkStart w:id="13" w:name="_Toc236953285"/>
      <w:r w:rsidRPr="00C8561B">
        <w:rPr>
          <w:rFonts w:ascii="Arial" w:eastAsia="Calibri" w:hAnsi="Arial" w:cs="Arial"/>
          <w:b/>
          <w:bCs/>
          <w:sz w:val="26"/>
          <w:szCs w:val="26"/>
        </w:rPr>
        <w:t>Data Extraction</w:t>
      </w:r>
      <w:bookmarkEnd w:id="13"/>
    </w:p>
    <w:p w14:paraId="63CB65E7"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For each included source, the following information was extracted and charted using a </w:t>
      </w:r>
      <w:proofErr w:type="spellStart"/>
      <w:r w:rsidRPr="00C8561B">
        <w:rPr>
          <w:rFonts w:ascii="Arial" w:eastAsia="Calibri" w:hAnsi="Arial" w:cs="Arial"/>
        </w:rPr>
        <w:t>standardised</w:t>
      </w:r>
      <w:proofErr w:type="spellEnd"/>
      <w:r w:rsidRPr="00C8561B">
        <w:rPr>
          <w:rFonts w:ascii="Arial" w:eastAsia="Calibri" w:hAnsi="Arial" w:cs="Arial"/>
        </w:rPr>
        <w:t xml:space="preserve"> table: author(s), year, study design, population/participants, setting, and main findings relevant to reasonable adjustments in primary care.</w:t>
      </w:r>
    </w:p>
    <w:p w14:paraId="0D113E91" w14:textId="77777777" w:rsidR="00C8561B" w:rsidRPr="00C8561B" w:rsidRDefault="00C8561B" w:rsidP="00C8561B">
      <w:pPr>
        <w:pStyle w:val="Heading2"/>
        <w:spacing w:before="300" w:after="150"/>
        <w:rPr>
          <w:rFonts w:ascii="Arial" w:hAnsi="Arial" w:cs="Arial"/>
        </w:rPr>
      </w:pPr>
      <w:bookmarkStart w:id="14" w:name="_Toc236953286"/>
      <w:r w:rsidRPr="00C8561B">
        <w:rPr>
          <w:rFonts w:ascii="Arial" w:eastAsia="Calibri" w:hAnsi="Arial" w:cs="Arial"/>
          <w:b/>
          <w:bCs/>
          <w:sz w:val="26"/>
          <w:szCs w:val="26"/>
        </w:rPr>
        <w:t>Data Analysis</w:t>
      </w:r>
      <w:bookmarkEnd w:id="14"/>
    </w:p>
    <w:p w14:paraId="6999E683"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Findings were </w:t>
      </w:r>
      <w:proofErr w:type="spellStart"/>
      <w:r w:rsidRPr="00C8561B">
        <w:rPr>
          <w:rFonts w:ascii="Arial" w:eastAsia="Calibri" w:hAnsi="Arial" w:cs="Arial"/>
        </w:rPr>
        <w:t>analysed</w:t>
      </w:r>
      <w:proofErr w:type="spellEnd"/>
      <w:r w:rsidRPr="00C8561B">
        <w:rPr>
          <w:rFonts w:ascii="Arial" w:eastAsia="Calibri" w:hAnsi="Arial" w:cs="Arial"/>
        </w:rPr>
        <w:t xml:space="preserve"> using a thematic approach, in which recurring concepts across the charted data were grouped into descriptive themes. This is consistent with </w:t>
      </w:r>
      <w:r w:rsidRPr="00C8561B">
        <w:rPr>
          <w:rFonts w:ascii="Arial" w:eastAsia="Calibri" w:hAnsi="Arial" w:cs="Arial"/>
        </w:rPr>
        <w:lastRenderedPageBreak/>
        <w:t>scoping review guidance, which recommends numerical and thematic summary rather than statistical synthesis (Levac et al., 2010). Four overarching themes were identified inductively and are presented in the Results section.</w:t>
      </w:r>
    </w:p>
    <w:p w14:paraId="502D2560" w14:textId="77777777" w:rsidR="00C8561B" w:rsidRPr="00C8561B" w:rsidRDefault="00C8561B" w:rsidP="00C8561B">
      <w:pPr>
        <w:pStyle w:val="Heading2"/>
        <w:spacing w:before="300" w:after="150"/>
        <w:rPr>
          <w:rFonts w:ascii="Arial" w:hAnsi="Arial" w:cs="Arial"/>
        </w:rPr>
      </w:pPr>
      <w:bookmarkStart w:id="15" w:name="_Toc236953287"/>
      <w:r w:rsidRPr="00C8561B">
        <w:rPr>
          <w:rFonts w:ascii="Arial" w:eastAsia="Calibri" w:hAnsi="Arial" w:cs="Arial"/>
          <w:b/>
          <w:bCs/>
          <w:sz w:val="26"/>
          <w:szCs w:val="26"/>
        </w:rPr>
        <w:t>Ethical Considerations</w:t>
      </w:r>
      <w:bookmarkEnd w:id="15"/>
    </w:p>
    <w:p w14:paraId="6EFFC264"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As this review </w:t>
      </w:r>
      <w:proofErr w:type="spellStart"/>
      <w:r w:rsidRPr="00C8561B">
        <w:rPr>
          <w:rFonts w:ascii="Arial" w:eastAsia="Calibri" w:hAnsi="Arial" w:cs="Arial"/>
        </w:rPr>
        <w:t>synthesised</w:t>
      </w:r>
      <w:proofErr w:type="spellEnd"/>
      <w:r w:rsidRPr="00C8561B">
        <w:rPr>
          <w:rFonts w:ascii="Arial" w:eastAsia="Calibri" w:hAnsi="Arial" w:cs="Arial"/>
        </w:rPr>
        <w:t xml:space="preserve"> existing published and publicly available literature and did not involve direct contact with human participants, no ethical approval was required. All sources are appropriately referenced to acknowledge original authorship, in accordance with academic integrity requirements.</w:t>
      </w:r>
    </w:p>
    <w:p w14:paraId="64D17375" w14:textId="77777777" w:rsidR="00C8561B" w:rsidRPr="00C8561B" w:rsidRDefault="00C8561B" w:rsidP="00C8561B">
      <w:pPr>
        <w:pStyle w:val="Heading2"/>
        <w:spacing w:before="300" w:after="150"/>
        <w:rPr>
          <w:rFonts w:ascii="Arial" w:hAnsi="Arial" w:cs="Arial"/>
        </w:rPr>
      </w:pPr>
      <w:bookmarkStart w:id="16" w:name="_Toc236953288"/>
      <w:r w:rsidRPr="00C8561B">
        <w:rPr>
          <w:rFonts w:ascii="Arial" w:eastAsia="Calibri" w:hAnsi="Arial" w:cs="Arial"/>
          <w:b/>
          <w:bCs/>
          <w:sz w:val="26"/>
          <w:szCs w:val="26"/>
        </w:rPr>
        <w:t>Strengths and Limitations</w:t>
      </w:r>
      <w:bookmarkEnd w:id="16"/>
    </w:p>
    <w:p w14:paraId="52473688"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This review's main strength is its specific focus on UK primary care, keeping findings directly relevant to practice and policy; combining peer-reviewed and grey literature also captures perspectives, such as lived experience reported by Mencap, that a conventional systematic review might exclude. However, the review is limited by its reliance on English-language sources, and study-design heterogeneity makes direct comparison of effectiveness difficult. As with any scoping review, no formal quality appraisal was undertaken. A further limitation is the small number of studies identified through database searching (n = 5); strict application of UK primary-care-specific criteria excluded related evidence from acute and mental health settings, drawn on instead narratively for context.</w:t>
      </w:r>
    </w:p>
    <w:p w14:paraId="1103CFE2" w14:textId="77777777" w:rsidR="00C8561B" w:rsidRPr="00C8561B" w:rsidRDefault="00C8561B" w:rsidP="00C8561B">
      <w:pPr>
        <w:pStyle w:val="Heading1"/>
        <w:spacing w:before="400" w:after="200"/>
        <w:rPr>
          <w:rFonts w:ascii="Arial" w:hAnsi="Arial" w:cs="Arial"/>
        </w:rPr>
      </w:pPr>
      <w:bookmarkStart w:id="17" w:name="_Toc236953289"/>
      <w:bookmarkStart w:id="18" w:name="_Toc236953659"/>
      <w:r w:rsidRPr="00C8561B">
        <w:rPr>
          <w:rFonts w:ascii="Arial" w:eastAsia="Calibri" w:hAnsi="Arial" w:cs="Arial"/>
          <w:b/>
          <w:bCs/>
          <w:sz w:val="30"/>
          <w:szCs w:val="30"/>
        </w:rPr>
        <w:t>4. Results</w:t>
      </w:r>
      <w:bookmarkEnd w:id="17"/>
      <w:bookmarkEnd w:id="18"/>
    </w:p>
    <w:p w14:paraId="5A4AC7B9" w14:textId="77777777" w:rsidR="00C8561B" w:rsidRPr="00C8561B" w:rsidRDefault="00C8561B" w:rsidP="00C8561B">
      <w:pPr>
        <w:pStyle w:val="Heading2"/>
        <w:spacing w:before="300" w:after="150"/>
        <w:rPr>
          <w:rFonts w:ascii="Arial" w:hAnsi="Arial" w:cs="Arial"/>
        </w:rPr>
      </w:pPr>
      <w:bookmarkStart w:id="19" w:name="_Toc236953290"/>
      <w:r w:rsidRPr="00C8561B">
        <w:rPr>
          <w:rFonts w:ascii="Arial" w:eastAsia="Calibri" w:hAnsi="Arial" w:cs="Arial"/>
          <w:b/>
          <w:bCs/>
          <w:sz w:val="26"/>
          <w:szCs w:val="26"/>
        </w:rPr>
        <w:t>PRISMA Flow Diagram</w:t>
      </w:r>
      <w:bookmarkEnd w:id="19"/>
    </w:p>
    <w:p w14:paraId="01DCEE03"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Database searches identified 245 records. After removing 35 duplicates, 210 records were screened by title and abstract and 182 were excluded as ineligible. The remaining 28 full-text articles were assessed; 23 were excluded, most commonly for lacking primary care relevance or findings on reasonable adjustments. Five studies met the inclusion criteria and </w:t>
      </w:r>
      <w:proofErr w:type="gramStart"/>
      <w:r w:rsidRPr="00C8561B">
        <w:rPr>
          <w:rFonts w:ascii="Arial" w:eastAsia="Calibri" w:hAnsi="Arial" w:cs="Arial"/>
        </w:rPr>
        <w:t>form</w:t>
      </w:r>
      <w:proofErr w:type="gramEnd"/>
      <w:r w:rsidRPr="00C8561B">
        <w:rPr>
          <w:rFonts w:ascii="Arial" w:eastAsia="Calibri" w:hAnsi="Arial" w:cs="Arial"/>
        </w:rPr>
        <w:t xml:space="preserve"> the primary evidence base for the thematic analysis below, supplemented narratively by UK legislation, NHS policy documents, and third-sector reports identified through grey literature and hand-searching (not shown in Figure 1). The selection process is detailed in Appendix B.</w:t>
      </w:r>
    </w:p>
    <w:p w14:paraId="13A3887D" w14:textId="77777777" w:rsidR="00C8561B" w:rsidRPr="00C8561B" w:rsidRDefault="00C8561B" w:rsidP="00C8561B">
      <w:pPr>
        <w:spacing w:after="200"/>
        <w:rPr>
          <w:rFonts w:ascii="Arial" w:hAnsi="Arial" w:cs="Arial"/>
        </w:rPr>
      </w:pPr>
      <w:r w:rsidRPr="00C8561B">
        <w:rPr>
          <w:rFonts w:ascii="Arial" w:eastAsia="Calibri" w:hAnsi="Arial" w:cs="Arial"/>
          <w:i/>
          <w:iCs/>
          <w:sz w:val="22"/>
          <w:szCs w:val="22"/>
        </w:rPr>
        <w:lastRenderedPageBreak/>
        <w:t>Figure 1. PRISMA-</w:t>
      </w:r>
      <w:proofErr w:type="spellStart"/>
      <w:r w:rsidRPr="00C8561B">
        <w:rPr>
          <w:rFonts w:ascii="Arial" w:eastAsia="Calibri" w:hAnsi="Arial" w:cs="Arial"/>
          <w:i/>
          <w:iCs/>
          <w:sz w:val="22"/>
          <w:szCs w:val="22"/>
        </w:rPr>
        <w:t>ScR</w:t>
      </w:r>
      <w:proofErr w:type="spellEnd"/>
      <w:r w:rsidRPr="00C8561B">
        <w:rPr>
          <w:rFonts w:ascii="Arial" w:eastAsia="Calibri" w:hAnsi="Arial" w:cs="Arial"/>
          <w:i/>
          <w:iCs/>
          <w:sz w:val="22"/>
          <w:szCs w:val="22"/>
        </w:rPr>
        <w:t xml:space="preserve"> study selection flow</w:t>
      </w:r>
    </w:p>
    <w:p w14:paraId="03B7DB03" w14:textId="77777777" w:rsidR="00C8561B" w:rsidRPr="00C8561B" w:rsidRDefault="00C8561B" w:rsidP="00C8561B">
      <w:pPr>
        <w:jc w:val="center"/>
        <w:rPr>
          <w:rFonts w:ascii="Arial" w:hAnsi="Arial" w:cs="Arial"/>
        </w:rPr>
      </w:pPr>
      <w:r w:rsidRPr="00C8561B">
        <w:rPr>
          <w:rFonts w:ascii="Arial" w:hAnsi="Arial" w:cs="Arial"/>
          <w:noProof/>
        </w:rPr>
        <w:drawing>
          <wp:inline distT="0" distB="0" distL="0" distR="0" wp14:anchorId="5D59CD42" wp14:editId="5924346B">
            <wp:extent cx="5029200" cy="4656457"/>
            <wp:effectExtent l="0" t="0" r="0" b="0"/>
            <wp:docPr id="1" name="PRISMA Flow Diagram" descr="PRISMA-ScR study selection flow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isma_flow.png"/>
                    <pic:cNvPicPr/>
                  </pic:nvPicPr>
                  <pic:blipFill>
                    <a:blip r:embed="rId9"/>
                    <a:stretch>
                      <a:fillRect/>
                    </a:stretch>
                  </pic:blipFill>
                  <pic:spPr>
                    <a:xfrm>
                      <a:off x="0" y="0"/>
                      <a:ext cx="5029200" cy="4656457"/>
                    </a:xfrm>
                    <a:prstGeom prst="rect">
                      <a:avLst/>
                    </a:prstGeom>
                  </pic:spPr>
                </pic:pic>
              </a:graphicData>
            </a:graphic>
          </wp:inline>
        </w:drawing>
      </w:r>
    </w:p>
    <w:p w14:paraId="3F59C407" w14:textId="77777777" w:rsidR="00C8561B" w:rsidRPr="00C8561B" w:rsidRDefault="00C8561B" w:rsidP="00C8561B">
      <w:pPr>
        <w:spacing w:after="300"/>
        <w:rPr>
          <w:rFonts w:ascii="Arial" w:hAnsi="Arial" w:cs="Arial"/>
        </w:rPr>
      </w:pPr>
    </w:p>
    <w:p w14:paraId="71C21463" w14:textId="77777777" w:rsidR="00C8561B" w:rsidRPr="00C8561B" w:rsidRDefault="00C8561B" w:rsidP="00C8561B">
      <w:pPr>
        <w:pStyle w:val="Heading2"/>
        <w:spacing w:before="300" w:after="150"/>
        <w:rPr>
          <w:rFonts w:ascii="Arial" w:hAnsi="Arial" w:cs="Arial"/>
        </w:rPr>
      </w:pPr>
      <w:bookmarkStart w:id="20" w:name="_Toc236953291"/>
      <w:r w:rsidRPr="00C8561B">
        <w:rPr>
          <w:rFonts w:ascii="Arial" w:eastAsia="Calibri" w:hAnsi="Arial" w:cs="Arial"/>
          <w:b/>
          <w:bCs/>
          <w:sz w:val="26"/>
          <w:szCs w:val="26"/>
        </w:rPr>
        <w:t>Characteristics of Included Studies</w:t>
      </w:r>
      <w:bookmarkEnd w:id="20"/>
    </w:p>
    <w:p w14:paraId="3D94FD9F"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The 5 studies identified through database searching comprised a national survey analysis, a qualitative multistakeholder study, an integrative review, and an NIHR-funded observational database study, together with a population-based inquiry into premature deaths. Table 1 </w:t>
      </w:r>
      <w:proofErr w:type="spellStart"/>
      <w:r w:rsidRPr="00C8561B">
        <w:rPr>
          <w:rFonts w:ascii="Arial" w:eastAsia="Calibri" w:hAnsi="Arial" w:cs="Arial"/>
        </w:rPr>
        <w:t>summarises</w:t>
      </w:r>
      <w:proofErr w:type="spellEnd"/>
      <w:r w:rsidRPr="00C8561B">
        <w:rPr>
          <w:rFonts w:ascii="Arial" w:eastAsia="Calibri" w:hAnsi="Arial" w:cs="Arial"/>
        </w:rPr>
        <w:t xml:space="preserve"> their characteristics. UK legislation, NHS policy documents, and third-sector reports (including Mencap) were identified through hand-searching and grey literature searching rather than the database screening </w:t>
      </w:r>
      <w:proofErr w:type="gramStart"/>
      <w:r w:rsidRPr="00C8561B">
        <w:rPr>
          <w:rFonts w:ascii="Arial" w:eastAsia="Calibri" w:hAnsi="Arial" w:cs="Arial"/>
        </w:rPr>
        <w:t>process, and</w:t>
      </w:r>
      <w:proofErr w:type="gramEnd"/>
      <w:r w:rsidRPr="00C8561B">
        <w:rPr>
          <w:rFonts w:ascii="Arial" w:eastAsia="Calibri" w:hAnsi="Arial" w:cs="Arial"/>
        </w:rPr>
        <w:t xml:space="preserve"> are referenced narratively throughout the themes below.</w:t>
      </w:r>
    </w:p>
    <w:p w14:paraId="17D286B8" w14:textId="77777777" w:rsidR="00C8561B" w:rsidRPr="00C8561B" w:rsidRDefault="00C8561B" w:rsidP="00C8561B">
      <w:pPr>
        <w:spacing w:after="200"/>
        <w:rPr>
          <w:rFonts w:ascii="Arial" w:hAnsi="Arial" w:cs="Arial"/>
        </w:rPr>
      </w:pPr>
      <w:r w:rsidRPr="00C8561B">
        <w:rPr>
          <w:rFonts w:ascii="Arial" w:eastAsia="Calibri" w:hAnsi="Arial" w:cs="Arial"/>
          <w:i/>
          <w:iCs/>
          <w:sz w:val="22"/>
          <w:szCs w:val="22"/>
        </w:rPr>
        <w:t>Table 1. Characteristics of included peer-reviewed studies</w:t>
      </w:r>
    </w:p>
    <w:tbl>
      <w:tblPr>
        <w:tblW w:w="9500" w:type="dxa"/>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CellMar>
          <w:left w:w="10" w:type="dxa"/>
          <w:right w:w="10" w:type="dxa"/>
        </w:tblCellMar>
        <w:tblLook w:val="0000" w:firstRow="0" w:lastRow="0" w:firstColumn="0" w:lastColumn="0" w:noHBand="0" w:noVBand="0"/>
      </w:tblPr>
      <w:tblGrid>
        <w:gridCol w:w="1330"/>
        <w:gridCol w:w="682"/>
        <w:gridCol w:w="1657"/>
        <w:gridCol w:w="1648"/>
        <w:gridCol w:w="1912"/>
        <w:gridCol w:w="2271"/>
      </w:tblGrid>
      <w:tr w:rsidR="00C8561B" w:rsidRPr="00C8561B" w14:paraId="69C5DC5E" w14:textId="77777777" w:rsidTr="00E0137F">
        <w:tblPrEx>
          <w:tblCellMar>
            <w:top w:w="0" w:type="dxa"/>
            <w:bottom w:w="0" w:type="dxa"/>
          </w:tblCellMar>
        </w:tblPrEx>
        <w:tc>
          <w:tcPr>
            <w:tcW w:w="1500" w:type="dxa"/>
            <w:shd w:val="clear" w:color="auto" w:fill="1F3864"/>
            <w:tcMar>
              <w:top w:w="80" w:type="dxa"/>
              <w:left w:w="100" w:type="dxa"/>
              <w:bottom w:w="80" w:type="dxa"/>
              <w:right w:w="100" w:type="dxa"/>
            </w:tcMar>
            <w:vAlign w:val="center"/>
          </w:tcPr>
          <w:p w14:paraId="0286FF0A" w14:textId="77777777" w:rsidR="00C8561B" w:rsidRPr="00C8561B" w:rsidRDefault="00C8561B" w:rsidP="00E0137F">
            <w:pPr>
              <w:rPr>
                <w:rFonts w:ascii="Arial" w:hAnsi="Arial" w:cs="Arial"/>
              </w:rPr>
            </w:pPr>
            <w:r w:rsidRPr="00C8561B">
              <w:rPr>
                <w:rFonts w:ascii="Arial" w:eastAsia="Calibri" w:hAnsi="Arial" w:cs="Arial"/>
                <w:b/>
                <w:bCs/>
                <w:color w:val="FFFFFF"/>
                <w:sz w:val="20"/>
                <w:szCs w:val="20"/>
              </w:rPr>
              <w:t>Author</w:t>
            </w:r>
          </w:p>
        </w:tc>
        <w:tc>
          <w:tcPr>
            <w:tcW w:w="700" w:type="dxa"/>
            <w:shd w:val="clear" w:color="auto" w:fill="1F3864"/>
            <w:tcMar>
              <w:top w:w="80" w:type="dxa"/>
              <w:left w:w="100" w:type="dxa"/>
              <w:bottom w:w="80" w:type="dxa"/>
              <w:right w:w="100" w:type="dxa"/>
            </w:tcMar>
            <w:vAlign w:val="center"/>
          </w:tcPr>
          <w:p w14:paraId="0FF2CCF8" w14:textId="77777777" w:rsidR="00C8561B" w:rsidRPr="00C8561B" w:rsidRDefault="00C8561B" w:rsidP="00E0137F">
            <w:pPr>
              <w:rPr>
                <w:rFonts w:ascii="Arial" w:hAnsi="Arial" w:cs="Arial"/>
              </w:rPr>
            </w:pPr>
            <w:r w:rsidRPr="00C8561B">
              <w:rPr>
                <w:rFonts w:ascii="Arial" w:eastAsia="Calibri" w:hAnsi="Arial" w:cs="Arial"/>
                <w:b/>
                <w:bCs/>
                <w:color w:val="FFFFFF"/>
                <w:sz w:val="20"/>
                <w:szCs w:val="20"/>
              </w:rPr>
              <w:t>Year</w:t>
            </w:r>
          </w:p>
        </w:tc>
        <w:tc>
          <w:tcPr>
            <w:tcW w:w="1500" w:type="dxa"/>
            <w:shd w:val="clear" w:color="auto" w:fill="1F3864"/>
            <w:tcMar>
              <w:top w:w="80" w:type="dxa"/>
              <w:left w:w="100" w:type="dxa"/>
              <w:bottom w:w="80" w:type="dxa"/>
              <w:right w:w="100" w:type="dxa"/>
            </w:tcMar>
            <w:vAlign w:val="center"/>
          </w:tcPr>
          <w:p w14:paraId="70AE119F" w14:textId="77777777" w:rsidR="00C8561B" w:rsidRPr="00C8561B" w:rsidRDefault="00C8561B" w:rsidP="00E0137F">
            <w:pPr>
              <w:rPr>
                <w:rFonts w:ascii="Arial" w:hAnsi="Arial" w:cs="Arial"/>
              </w:rPr>
            </w:pPr>
            <w:r w:rsidRPr="00C8561B">
              <w:rPr>
                <w:rFonts w:ascii="Arial" w:eastAsia="Calibri" w:hAnsi="Arial" w:cs="Arial"/>
                <w:b/>
                <w:bCs/>
                <w:color w:val="FFFFFF"/>
                <w:sz w:val="20"/>
                <w:szCs w:val="20"/>
              </w:rPr>
              <w:t>Study Design</w:t>
            </w:r>
          </w:p>
        </w:tc>
        <w:tc>
          <w:tcPr>
            <w:tcW w:w="1800" w:type="dxa"/>
            <w:shd w:val="clear" w:color="auto" w:fill="1F3864"/>
            <w:tcMar>
              <w:top w:w="80" w:type="dxa"/>
              <w:left w:w="100" w:type="dxa"/>
              <w:bottom w:w="80" w:type="dxa"/>
              <w:right w:w="100" w:type="dxa"/>
            </w:tcMar>
            <w:vAlign w:val="center"/>
          </w:tcPr>
          <w:p w14:paraId="60E6F533" w14:textId="77777777" w:rsidR="00C8561B" w:rsidRPr="00C8561B" w:rsidRDefault="00C8561B" w:rsidP="00E0137F">
            <w:pPr>
              <w:rPr>
                <w:rFonts w:ascii="Arial" w:hAnsi="Arial" w:cs="Arial"/>
              </w:rPr>
            </w:pPr>
            <w:r w:rsidRPr="00C8561B">
              <w:rPr>
                <w:rFonts w:ascii="Arial" w:eastAsia="Calibri" w:hAnsi="Arial" w:cs="Arial"/>
                <w:b/>
                <w:bCs/>
                <w:color w:val="FFFFFF"/>
                <w:sz w:val="20"/>
                <w:szCs w:val="20"/>
              </w:rPr>
              <w:t>Participants</w:t>
            </w:r>
          </w:p>
        </w:tc>
        <w:tc>
          <w:tcPr>
            <w:tcW w:w="1400" w:type="dxa"/>
            <w:shd w:val="clear" w:color="auto" w:fill="1F3864"/>
            <w:tcMar>
              <w:top w:w="80" w:type="dxa"/>
              <w:left w:w="100" w:type="dxa"/>
              <w:bottom w:w="80" w:type="dxa"/>
              <w:right w:w="100" w:type="dxa"/>
            </w:tcMar>
            <w:vAlign w:val="center"/>
          </w:tcPr>
          <w:p w14:paraId="175989DC" w14:textId="77777777" w:rsidR="00C8561B" w:rsidRPr="00C8561B" w:rsidRDefault="00C8561B" w:rsidP="00E0137F">
            <w:pPr>
              <w:rPr>
                <w:rFonts w:ascii="Arial" w:hAnsi="Arial" w:cs="Arial"/>
              </w:rPr>
            </w:pPr>
            <w:r w:rsidRPr="00C8561B">
              <w:rPr>
                <w:rFonts w:ascii="Arial" w:eastAsia="Calibri" w:hAnsi="Arial" w:cs="Arial"/>
                <w:b/>
                <w:bCs/>
                <w:color w:val="FFFFFF"/>
                <w:sz w:val="20"/>
                <w:szCs w:val="20"/>
              </w:rPr>
              <w:t>Setting</w:t>
            </w:r>
          </w:p>
        </w:tc>
        <w:tc>
          <w:tcPr>
            <w:tcW w:w="2600" w:type="dxa"/>
            <w:shd w:val="clear" w:color="auto" w:fill="1F3864"/>
            <w:tcMar>
              <w:top w:w="80" w:type="dxa"/>
              <w:left w:w="100" w:type="dxa"/>
              <w:bottom w:w="80" w:type="dxa"/>
              <w:right w:w="100" w:type="dxa"/>
            </w:tcMar>
            <w:vAlign w:val="center"/>
          </w:tcPr>
          <w:p w14:paraId="610A78B7" w14:textId="77777777" w:rsidR="00C8561B" w:rsidRPr="00C8561B" w:rsidRDefault="00C8561B" w:rsidP="00E0137F">
            <w:pPr>
              <w:rPr>
                <w:rFonts w:ascii="Arial" w:hAnsi="Arial" w:cs="Arial"/>
              </w:rPr>
            </w:pPr>
            <w:r w:rsidRPr="00C8561B">
              <w:rPr>
                <w:rFonts w:ascii="Arial" w:eastAsia="Calibri" w:hAnsi="Arial" w:cs="Arial"/>
                <w:b/>
                <w:bCs/>
                <w:color w:val="FFFFFF"/>
                <w:sz w:val="20"/>
                <w:szCs w:val="20"/>
              </w:rPr>
              <w:t>Main Findings</w:t>
            </w:r>
          </w:p>
        </w:tc>
      </w:tr>
      <w:tr w:rsidR="00C8561B" w:rsidRPr="00C8561B" w14:paraId="422F2822" w14:textId="77777777" w:rsidTr="00E0137F">
        <w:tblPrEx>
          <w:tblCellMar>
            <w:top w:w="0" w:type="dxa"/>
            <w:bottom w:w="0" w:type="dxa"/>
          </w:tblCellMar>
        </w:tblPrEx>
        <w:tc>
          <w:tcPr>
            <w:tcW w:w="1500" w:type="dxa"/>
            <w:tcMar>
              <w:top w:w="80" w:type="dxa"/>
              <w:left w:w="100" w:type="dxa"/>
              <w:bottom w:w="80" w:type="dxa"/>
              <w:right w:w="100" w:type="dxa"/>
            </w:tcMar>
            <w:vAlign w:val="center"/>
          </w:tcPr>
          <w:p w14:paraId="66A404D2" w14:textId="77777777" w:rsidR="00C8561B" w:rsidRPr="00C8561B" w:rsidRDefault="00C8561B" w:rsidP="00E0137F">
            <w:pPr>
              <w:rPr>
                <w:rFonts w:ascii="Arial" w:hAnsi="Arial" w:cs="Arial"/>
              </w:rPr>
            </w:pPr>
            <w:proofErr w:type="spellStart"/>
            <w:r w:rsidRPr="00C8561B">
              <w:rPr>
                <w:rFonts w:ascii="Arial" w:eastAsia="Calibri" w:hAnsi="Arial" w:cs="Arial"/>
                <w:color w:val="000000"/>
                <w:sz w:val="20"/>
                <w:szCs w:val="20"/>
              </w:rPr>
              <w:lastRenderedPageBreak/>
              <w:t>Tromans</w:t>
            </w:r>
            <w:proofErr w:type="spellEnd"/>
            <w:r w:rsidRPr="00C8561B">
              <w:rPr>
                <w:rFonts w:ascii="Arial" w:eastAsia="Calibri" w:hAnsi="Arial" w:cs="Arial"/>
                <w:color w:val="000000"/>
                <w:sz w:val="20"/>
                <w:szCs w:val="20"/>
              </w:rPr>
              <w:t xml:space="preserve"> et al.</w:t>
            </w:r>
          </w:p>
        </w:tc>
        <w:tc>
          <w:tcPr>
            <w:tcW w:w="700" w:type="dxa"/>
            <w:tcMar>
              <w:top w:w="80" w:type="dxa"/>
              <w:left w:w="100" w:type="dxa"/>
              <w:bottom w:w="80" w:type="dxa"/>
              <w:right w:w="100" w:type="dxa"/>
            </w:tcMar>
            <w:vAlign w:val="center"/>
          </w:tcPr>
          <w:p w14:paraId="3D59E41A"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2024</w:t>
            </w:r>
          </w:p>
        </w:tc>
        <w:tc>
          <w:tcPr>
            <w:tcW w:w="1500" w:type="dxa"/>
            <w:tcMar>
              <w:top w:w="80" w:type="dxa"/>
              <w:left w:w="100" w:type="dxa"/>
              <w:bottom w:w="80" w:type="dxa"/>
              <w:right w:w="100" w:type="dxa"/>
            </w:tcMar>
            <w:vAlign w:val="center"/>
          </w:tcPr>
          <w:p w14:paraId="3C907DEE"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National survey analysis</w:t>
            </w:r>
          </w:p>
        </w:tc>
        <w:tc>
          <w:tcPr>
            <w:tcW w:w="1800" w:type="dxa"/>
            <w:tcMar>
              <w:top w:w="80" w:type="dxa"/>
              <w:left w:w="100" w:type="dxa"/>
              <w:bottom w:w="80" w:type="dxa"/>
              <w:right w:w="100" w:type="dxa"/>
            </w:tcMar>
            <w:vAlign w:val="center"/>
          </w:tcPr>
          <w:p w14:paraId="0E3BEE0D"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623,157 adults (6,711 reporting LD)</w:t>
            </w:r>
          </w:p>
        </w:tc>
        <w:tc>
          <w:tcPr>
            <w:tcW w:w="1400" w:type="dxa"/>
            <w:tcMar>
              <w:top w:w="80" w:type="dxa"/>
              <w:left w:w="100" w:type="dxa"/>
              <w:bottom w:w="80" w:type="dxa"/>
              <w:right w:w="100" w:type="dxa"/>
            </w:tcMar>
            <w:vAlign w:val="center"/>
          </w:tcPr>
          <w:p w14:paraId="2C28335A"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UK primary care</w:t>
            </w:r>
          </w:p>
        </w:tc>
        <w:tc>
          <w:tcPr>
            <w:tcW w:w="2600" w:type="dxa"/>
            <w:tcMar>
              <w:top w:w="80" w:type="dxa"/>
              <w:left w:w="100" w:type="dxa"/>
              <w:bottom w:w="80" w:type="dxa"/>
              <w:right w:w="100" w:type="dxa"/>
            </w:tcMar>
            <w:vAlign w:val="center"/>
          </w:tcPr>
          <w:p w14:paraId="1D46DA3D"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Adults with LD report more chronic conditions and lower confidence/trust in GPs.</w:t>
            </w:r>
          </w:p>
        </w:tc>
      </w:tr>
      <w:tr w:rsidR="00C8561B" w:rsidRPr="00C8561B" w14:paraId="0E34105B" w14:textId="77777777" w:rsidTr="00E0137F">
        <w:tblPrEx>
          <w:tblCellMar>
            <w:top w:w="0" w:type="dxa"/>
            <w:bottom w:w="0" w:type="dxa"/>
          </w:tblCellMar>
        </w:tblPrEx>
        <w:tc>
          <w:tcPr>
            <w:tcW w:w="1500" w:type="dxa"/>
            <w:tcMar>
              <w:top w:w="80" w:type="dxa"/>
              <w:left w:w="100" w:type="dxa"/>
              <w:bottom w:w="80" w:type="dxa"/>
              <w:right w:w="100" w:type="dxa"/>
            </w:tcMar>
            <w:vAlign w:val="center"/>
          </w:tcPr>
          <w:p w14:paraId="26236F41"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Wigham et al.</w:t>
            </w:r>
          </w:p>
        </w:tc>
        <w:tc>
          <w:tcPr>
            <w:tcW w:w="700" w:type="dxa"/>
            <w:tcMar>
              <w:top w:w="80" w:type="dxa"/>
              <w:left w:w="100" w:type="dxa"/>
              <w:bottom w:w="80" w:type="dxa"/>
              <w:right w:w="100" w:type="dxa"/>
            </w:tcMar>
            <w:vAlign w:val="center"/>
          </w:tcPr>
          <w:p w14:paraId="386FCE5B"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2022</w:t>
            </w:r>
          </w:p>
        </w:tc>
        <w:tc>
          <w:tcPr>
            <w:tcW w:w="1500" w:type="dxa"/>
            <w:tcMar>
              <w:top w:w="80" w:type="dxa"/>
              <w:left w:w="100" w:type="dxa"/>
              <w:bottom w:w="80" w:type="dxa"/>
              <w:right w:w="100" w:type="dxa"/>
            </w:tcMar>
            <w:vAlign w:val="center"/>
          </w:tcPr>
          <w:p w14:paraId="344C4650"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Qualitative, multistakeholder</w:t>
            </w:r>
          </w:p>
        </w:tc>
        <w:tc>
          <w:tcPr>
            <w:tcW w:w="1800" w:type="dxa"/>
            <w:tcMar>
              <w:top w:w="80" w:type="dxa"/>
              <w:left w:w="100" w:type="dxa"/>
              <w:bottom w:w="80" w:type="dxa"/>
              <w:right w:w="100" w:type="dxa"/>
            </w:tcMar>
            <w:vAlign w:val="center"/>
          </w:tcPr>
          <w:p w14:paraId="6D3228F3"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16 participants (patients, carers, staff)</w:t>
            </w:r>
          </w:p>
        </w:tc>
        <w:tc>
          <w:tcPr>
            <w:tcW w:w="1400" w:type="dxa"/>
            <w:tcMar>
              <w:top w:w="80" w:type="dxa"/>
              <w:left w:w="100" w:type="dxa"/>
              <w:bottom w:w="80" w:type="dxa"/>
              <w:right w:w="100" w:type="dxa"/>
            </w:tcMar>
            <w:vAlign w:val="center"/>
          </w:tcPr>
          <w:p w14:paraId="3859F3D4"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UK primary care</w:t>
            </w:r>
          </w:p>
        </w:tc>
        <w:tc>
          <w:tcPr>
            <w:tcW w:w="2600" w:type="dxa"/>
            <w:tcMar>
              <w:top w:w="80" w:type="dxa"/>
              <w:left w:w="100" w:type="dxa"/>
              <w:bottom w:w="80" w:type="dxa"/>
              <w:right w:w="100" w:type="dxa"/>
            </w:tcMar>
            <w:vAlign w:val="center"/>
          </w:tcPr>
          <w:p w14:paraId="6DEBE81A"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 xml:space="preserve">Proactive, </w:t>
            </w:r>
            <w:proofErr w:type="spellStart"/>
            <w:r w:rsidRPr="00C8561B">
              <w:rPr>
                <w:rFonts w:ascii="Arial" w:eastAsia="Calibri" w:hAnsi="Arial" w:cs="Arial"/>
                <w:color w:val="000000"/>
                <w:sz w:val="20"/>
                <w:szCs w:val="20"/>
              </w:rPr>
              <w:t>personalised</w:t>
            </w:r>
            <w:proofErr w:type="spellEnd"/>
            <w:r w:rsidRPr="00C8561B">
              <w:rPr>
                <w:rFonts w:ascii="Arial" w:eastAsia="Calibri" w:hAnsi="Arial" w:cs="Arial"/>
                <w:color w:val="000000"/>
                <w:sz w:val="20"/>
                <w:szCs w:val="20"/>
              </w:rPr>
              <w:t xml:space="preserve"> approaches improve access; champions drive change.</w:t>
            </w:r>
          </w:p>
        </w:tc>
      </w:tr>
      <w:tr w:rsidR="00C8561B" w:rsidRPr="00C8561B" w14:paraId="6F9EB7D3" w14:textId="77777777" w:rsidTr="00E0137F">
        <w:tblPrEx>
          <w:tblCellMar>
            <w:top w:w="0" w:type="dxa"/>
            <w:bottom w:w="0" w:type="dxa"/>
          </w:tblCellMar>
        </w:tblPrEx>
        <w:tc>
          <w:tcPr>
            <w:tcW w:w="1500" w:type="dxa"/>
            <w:tcMar>
              <w:top w:w="80" w:type="dxa"/>
              <w:left w:w="100" w:type="dxa"/>
              <w:bottom w:w="80" w:type="dxa"/>
              <w:right w:w="100" w:type="dxa"/>
            </w:tcMar>
            <w:vAlign w:val="center"/>
          </w:tcPr>
          <w:p w14:paraId="7E641D8A"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Doherty et al.</w:t>
            </w:r>
          </w:p>
        </w:tc>
        <w:tc>
          <w:tcPr>
            <w:tcW w:w="700" w:type="dxa"/>
            <w:tcMar>
              <w:top w:w="80" w:type="dxa"/>
              <w:left w:w="100" w:type="dxa"/>
              <w:bottom w:w="80" w:type="dxa"/>
              <w:right w:w="100" w:type="dxa"/>
            </w:tcMar>
            <w:vAlign w:val="center"/>
          </w:tcPr>
          <w:p w14:paraId="61CE36F5"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2020</w:t>
            </w:r>
          </w:p>
        </w:tc>
        <w:tc>
          <w:tcPr>
            <w:tcW w:w="1500" w:type="dxa"/>
            <w:tcMar>
              <w:top w:w="80" w:type="dxa"/>
              <w:left w:w="100" w:type="dxa"/>
              <w:bottom w:w="80" w:type="dxa"/>
              <w:right w:w="100" w:type="dxa"/>
            </w:tcMar>
            <w:vAlign w:val="center"/>
          </w:tcPr>
          <w:p w14:paraId="3F1F50B6"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Integrative review</w:t>
            </w:r>
          </w:p>
        </w:tc>
        <w:tc>
          <w:tcPr>
            <w:tcW w:w="1800" w:type="dxa"/>
            <w:tcMar>
              <w:top w:w="80" w:type="dxa"/>
              <w:left w:w="100" w:type="dxa"/>
              <w:bottom w:w="80" w:type="dxa"/>
              <w:right w:w="100" w:type="dxa"/>
            </w:tcMar>
            <w:vAlign w:val="center"/>
          </w:tcPr>
          <w:p w14:paraId="2F682BB0"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45 studies</w:t>
            </w:r>
          </w:p>
        </w:tc>
        <w:tc>
          <w:tcPr>
            <w:tcW w:w="1400" w:type="dxa"/>
            <w:tcMar>
              <w:top w:w="80" w:type="dxa"/>
              <w:left w:w="100" w:type="dxa"/>
              <w:bottom w:w="80" w:type="dxa"/>
              <w:right w:w="100" w:type="dxa"/>
            </w:tcMar>
            <w:vAlign w:val="center"/>
          </w:tcPr>
          <w:p w14:paraId="4A60C30C"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Primary/community care</w:t>
            </w:r>
          </w:p>
        </w:tc>
        <w:tc>
          <w:tcPr>
            <w:tcW w:w="2600" w:type="dxa"/>
            <w:tcMar>
              <w:top w:w="80" w:type="dxa"/>
              <w:left w:w="100" w:type="dxa"/>
              <w:bottom w:w="80" w:type="dxa"/>
              <w:right w:w="100" w:type="dxa"/>
            </w:tcMar>
            <w:vAlign w:val="center"/>
          </w:tcPr>
          <w:p w14:paraId="7D278177"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Communication and staff attitudes are recurring barriers to access.</w:t>
            </w:r>
          </w:p>
        </w:tc>
      </w:tr>
      <w:tr w:rsidR="00C8561B" w:rsidRPr="00C8561B" w14:paraId="60015771" w14:textId="77777777" w:rsidTr="00E0137F">
        <w:tblPrEx>
          <w:tblCellMar>
            <w:top w:w="0" w:type="dxa"/>
            <w:bottom w:w="0" w:type="dxa"/>
          </w:tblCellMar>
        </w:tblPrEx>
        <w:tc>
          <w:tcPr>
            <w:tcW w:w="1500" w:type="dxa"/>
            <w:tcMar>
              <w:top w:w="80" w:type="dxa"/>
              <w:left w:w="100" w:type="dxa"/>
              <w:bottom w:w="80" w:type="dxa"/>
              <w:right w:w="100" w:type="dxa"/>
            </w:tcMar>
            <w:vAlign w:val="center"/>
          </w:tcPr>
          <w:p w14:paraId="36FF14C3"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Carey et al.</w:t>
            </w:r>
          </w:p>
        </w:tc>
        <w:tc>
          <w:tcPr>
            <w:tcW w:w="700" w:type="dxa"/>
            <w:tcMar>
              <w:top w:w="80" w:type="dxa"/>
              <w:left w:w="100" w:type="dxa"/>
              <w:bottom w:w="80" w:type="dxa"/>
              <w:right w:w="100" w:type="dxa"/>
            </w:tcMar>
            <w:vAlign w:val="center"/>
          </w:tcPr>
          <w:p w14:paraId="72CC4119"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2017</w:t>
            </w:r>
          </w:p>
        </w:tc>
        <w:tc>
          <w:tcPr>
            <w:tcW w:w="1500" w:type="dxa"/>
            <w:tcMar>
              <w:top w:w="80" w:type="dxa"/>
              <w:left w:w="100" w:type="dxa"/>
              <w:bottom w:w="80" w:type="dxa"/>
              <w:right w:w="100" w:type="dxa"/>
            </w:tcMar>
            <w:vAlign w:val="center"/>
          </w:tcPr>
          <w:p w14:paraId="20EA4822"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Observational database study</w:t>
            </w:r>
          </w:p>
        </w:tc>
        <w:tc>
          <w:tcPr>
            <w:tcW w:w="1800" w:type="dxa"/>
            <w:tcMar>
              <w:top w:w="80" w:type="dxa"/>
              <w:left w:w="100" w:type="dxa"/>
              <w:bottom w:w="80" w:type="dxa"/>
              <w:right w:w="100" w:type="dxa"/>
            </w:tcMar>
            <w:vAlign w:val="center"/>
          </w:tcPr>
          <w:p w14:paraId="56DDF121"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Primary care database (CPRD)</w:t>
            </w:r>
          </w:p>
        </w:tc>
        <w:tc>
          <w:tcPr>
            <w:tcW w:w="1400" w:type="dxa"/>
            <w:tcMar>
              <w:top w:w="80" w:type="dxa"/>
              <w:left w:w="100" w:type="dxa"/>
              <w:bottom w:w="80" w:type="dxa"/>
              <w:right w:w="100" w:type="dxa"/>
            </w:tcMar>
            <w:vAlign w:val="center"/>
          </w:tcPr>
          <w:p w14:paraId="1B786259"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UK primary care</w:t>
            </w:r>
          </w:p>
        </w:tc>
        <w:tc>
          <w:tcPr>
            <w:tcW w:w="2600" w:type="dxa"/>
            <w:tcMar>
              <w:top w:w="80" w:type="dxa"/>
              <w:left w:w="100" w:type="dxa"/>
              <w:bottom w:w="80" w:type="dxa"/>
              <w:right w:w="100" w:type="dxa"/>
            </w:tcMar>
            <w:vAlign w:val="center"/>
          </w:tcPr>
          <w:p w14:paraId="74619E43"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 xml:space="preserve">Annual health checks identify previously </w:t>
            </w:r>
            <w:proofErr w:type="spellStart"/>
            <w:r w:rsidRPr="00C8561B">
              <w:rPr>
                <w:rFonts w:ascii="Arial" w:eastAsia="Calibri" w:hAnsi="Arial" w:cs="Arial"/>
                <w:color w:val="000000"/>
                <w:sz w:val="20"/>
                <w:szCs w:val="20"/>
              </w:rPr>
              <w:t>unrecognised</w:t>
            </w:r>
            <w:proofErr w:type="spellEnd"/>
            <w:r w:rsidRPr="00C8561B">
              <w:rPr>
                <w:rFonts w:ascii="Arial" w:eastAsia="Calibri" w:hAnsi="Arial" w:cs="Arial"/>
                <w:color w:val="000000"/>
                <w:sz w:val="20"/>
                <w:szCs w:val="20"/>
              </w:rPr>
              <w:t xml:space="preserve"> health needs.</w:t>
            </w:r>
          </w:p>
        </w:tc>
      </w:tr>
      <w:tr w:rsidR="00C8561B" w:rsidRPr="00C8561B" w14:paraId="7AC60491" w14:textId="77777777" w:rsidTr="00E0137F">
        <w:tblPrEx>
          <w:tblCellMar>
            <w:top w:w="0" w:type="dxa"/>
            <w:bottom w:w="0" w:type="dxa"/>
          </w:tblCellMar>
        </w:tblPrEx>
        <w:tc>
          <w:tcPr>
            <w:tcW w:w="1500" w:type="dxa"/>
            <w:tcMar>
              <w:top w:w="80" w:type="dxa"/>
              <w:left w:w="100" w:type="dxa"/>
              <w:bottom w:w="80" w:type="dxa"/>
              <w:right w:w="100" w:type="dxa"/>
            </w:tcMar>
            <w:vAlign w:val="center"/>
          </w:tcPr>
          <w:p w14:paraId="2E84617E"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Heslop et al.</w:t>
            </w:r>
          </w:p>
        </w:tc>
        <w:tc>
          <w:tcPr>
            <w:tcW w:w="700" w:type="dxa"/>
            <w:tcMar>
              <w:top w:w="80" w:type="dxa"/>
              <w:left w:w="100" w:type="dxa"/>
              <w:bottom w:w="80" w:type="dxa"/>
              <w:right w:w="100" w:type="dxa"/>
            </w:tcMar>
            <w:vAlign w:val="center"/>
          </w:tcPr>
          <w:p w14:paraId="279CF7A4"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2014</w:t>
            </w:r>
          </w:p>
        </w:tc>
        <w:tc>
          <w:tcPr>
            <w:tcW w:w="1500" w:type="dxa"/>
            <w:tcMar>
              <w:top w:w="80" w:type="dxa"/>
              <w:left w:w="100" w:type="dxa"/>
              <w:bottom w:w="80" w:type="dxa"/>
              <w:right w:w="100" w:type="dxa"/>
            </w:tcMar>
            <w:vAlign w:val="center"/>
          </w:tcPr>
          <w:p w14:paraId="4BD51263"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Population-based inquiry (CIPOLD)</w:t>
            </w:r>
          </w:p>
        </w:tc>
        <w:tc>
          <w:tcPr>
            <w:tcW w:w="1800" w:type="dxa"/>
            <w:tcMar>
              <w:top w:w="80" w:type="dxa"/>
              <w:left w:w="100" w:type="dxa"/>
              <w:bottom w:w="80" w:type="dxa"/>
              <w:right w:w="100" w:type="dxa"/>
            </w:tcMar>
            <w:vAlign w:val="center"/>
          </w:tcPr>
          <w:p w14:paraId="482F4891"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247 deaths reviewed</w:t>
            </w:r>
          </w:p>
        </w:tc>
        <w:tc>
          <w:tcPr>
            <w:tcW w:w="1400" w:type="dxa"/>
            <w:tcMar>
              <w:top w:w="80" w:type="dxa"/>
              <w:left w:w="100" w:type="dxa"/>
              <w:bottom w:w="80" w:type="dxa"/>
              <w:right w:w="100" w:type="dxa"/>
            </w:tcMar>
            <w:vAlign w:val="center"/>
          </w:tcPr>
          <w:p w14:paraId="58FFAC08"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UK health and social care</w:t>
            </w:r>
          </w:p>
        </w:tc>
        <w:tc>
          <w:tcPr>
            <w:tcW w:w="2600" w:type="dxa"/>
            <w:tcMar>
              <w:top w:w="80" w:type="dxa"/>
              <w:left w:w="100" w:type="dxa"/>
              <w:bottom w:w="80" w:type="dxa"/>
              <w:right w:w="100" w:type="dxa"/>
            </w:tcMar>
            <w:vAlign w:val="center"/>
          </w:tcPr>
          <w:p w14:paraId="63778213" w14:textId="77777777" w:rsidR="00C8561B" w:rsidRPr="00C8561B" w:rsidRDefault="00C8561B" w:rsidP="00E0137F">
            <w:pPr>
              <w:rPr>
                <w:rFonts w:ascii="Arial" w:hAnsi="Arial" w:cs="Arial"/>
              </w:rPr>
            </w:pPr>
            <w:r w:rsidRPr="00C8561B">
              <w:rPr>
                <w:rFonts w:ascii="Arial" w:eastAsia="Calibri" w:hAnsi="Arial" w:cs="Arial"/>
                <w:color w:val="000000"/>
                <w:sz w:val="20"/>
                <w:szCs w:val="20"/>
              </w:rPr>
              <w:t>37% of deaths among adults with LD were avoidable; adjustment failures identified.</w:t>
            </w:r>
          </w:p>
        </w:tc>
      </w:tr>
    </w:tbl>
    <w:p w14:paraId="19AA1D93" w14:textId="77777777" w:rsidR="00C8561B" w:rsidRPr="00C8561B" w:rsidRDefault="00C8561B" w:rsidP="00C8561B">
      <w:pPr>
        <w:spacing w:after="300"/>
        <w:rPr>
          <w:rFonts w:ascii="Arial" w:hAnsi="Arial" w:cs="Arial"/>
        </w:rPr>
      </w:pPr>
    </w:p>
    <w:p w14:paraId="2E3D3D49" w14:textId="77777777" w:rsidR="00C8561B" w:rsidRPr="00C8561B" w:rsidRDefault="00C8561B" w:rsidP="00C8561B">
      <w:pPr>
        <w:pStyle w:val="Heading2"/>
        <w:spacing w:before="300" w:after="150"/>
        <w:rPr>
          <w:rFonts w:ascii="Arial" w:hAnsi="Arial" w:cs="Arial"/>
        </w:rPr>
      </w:pPr>
      <w:bookmarkStart w:id="21" w:name="_Toc236953292"/>
      <w:r w:rsidRPr="00C8561B">
        <w:rPr>
          <w:rFonts w:ascii="Arial" w:eastAsia="Calibri" w:hAnsi="Arial" w:cs="Arial"/>
          <w:b/>
          <w:bCs/>
          <w:sz w:val="26"/>
          <w:szCs w:val="26"/>
        </w:rPr>
        <w:t>Thematic Analysis</w:t>
      </w:r>
      <w:bookmarkEnd w:id="21"/>
    </w:p>
    <w:p w14:paraId="7E64EBCA"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Four themes were identified across the included literature.</w:t>
      </w:r>
    </w:p>
    <w:p w14:paraId="00B68F29" w14:textId="77777777" w:rsidR="00C8561B" w:rsidRPr="00C8561B" w:rsidRDefault="00C8561B" w:rsidP="00C8561B">
      <w:pPr>
        <w:spacing w:before="200" w:after="100"/>
        <w:rPr>
          <w:rFonts w:ascii="Arial" w:hAnsi="Arial" w:cs="Arial"/>
        </w:rPr>
      </w:pPr>
      <w:r w:rsidRPr="00C8561B">
        <w:rPr>
          <w:rFonts w:ascii="Arial" w:eastAsia="Calibri" w:hAnsi="Arial" w:cs="Arial"/>
          <w:b/>
          <w:bCs/>
        </w:rPr>
        <w:t>Theme 1: Accessible communication</w:t>
      </w:r>
    </w:p>
    <w:p w14:paraId="769EC539"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Communication difficulties were the most frequently cited barrier to effective primary care for people with LD. Adults with LD were significantly less likely to report confidence and trust in their healthcare </w:t>
      </w:r>
      <w:proofErr w:type="gramStart"/>
      <w:r w:rsidRPr="00C8561B">
        <w:rPr>
          <w:rFonts w:ascii="Arial" w:eastAsia="Calibri" w:hAnsi="Arial" w:cs="Arial"/>
        </w:rPr>
        <w:t>professional</w:t>
      </w:r>
      <w:proofErr w:type="gramEnd"/>
      <w:r w:rsidRPr="00C8561B">
        <w:rPr>
          <w:rFonts w:ascii="Arial" w:eastAsia="Calibri" w:hAnsi="Arial" w:cs="Arial"/>
        </w:rPr>
        <w:t xml:space="preserve"> or feel their needs were met, despite more positive experiences of practical access such as receptionist helpfulness (</w:t>
      </w:r>
      <w:proofErr w:type="spellStart"/>
      <w:r w:rsidRPr="00C8561B">
        <w:rPr>
          <w:rFonts w:ascii="Arial" w:eastAsia="Calibri" w:hAnsi="Arial" w:cs="Arial"/>
        </w:rPr>
        <w:t>Tromans</w:t>
      </w:r>
      <w:proofErr w:type="spellEnd"/>
      <w:r w:rsidRPr="00C8561B">
        <w:rPr>
          <w:rFonts w:ascii="Arial" w:eastAsia="Calibri" w:hAnsi="Arial" w:cs="Arial"/>
        </w:rPr>
        <w:t xml:space="preserve"> et al., 2024). GP practice websites and appointment systems were frequently misaligned with patients' needs (Wigham et al., 2022), while accessible information, including easy-read materials and communication passports, was consistently identified as a facilitator of better experience, though its use remained inconsistent across practices (Doherty et al., 2020).</w:t>
      </w:r>
    </w:p>
    <w:p w14:paraId="440117CA" w14:textId="77777777" w:rsidR="00C8561B" w:rsidRPr="00C8561B" w:rsidRDefault="00C8561B" w:rsidP="00C8561B">
      <w:pPr>
        <w:spacing w:before="200" w:after="100"/>
        <w:rPr>
          <w:rFonts w:ascii="Arial" w:hAnsi="Arial" w:cs="Arial"/>
        </w:rPr>
      </w:pPr>
      <w:r w:rsidRPr="00C8561B">
        <w:rPr>
          <w:rFonts w:ascii="Arial" w:eastAsia="Calibri" w:hAnsi="Arial" w:cs="Arial"/>
          <w:b/>
          <w:bCs/>
        </w:rPr>
        <w:t>Theme 2: Annual health checks</w:t>
      </w:r>
    </w:p>
    <w:p w14:paraId="78FA7DF7"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lastRenderedPageBreak/>
        <w:t xml:space="preserve">The annual LD health check was identified as one of the most tangible and evaluable reasonable adjustments available in UK primary care. Observational analysis of a large primary care database found that health checks could identify previously undetected conditions and improve monitoring of long-term illness (Carey et al., 2017). However, uptake was found to vary between practices and to depend heavily on individual GP or practice-level champions who </w:t>
      </w:r>
      <w:proofErr w:type="spellStart"/>
      <w:r w:rsidRPr="00C8561B">
        <w:rPr>
          <w:rFonts w:ascii="Arial" w:eastAsia="Calibri" w:hAnsi="Arial" w:cs="Arial"/>
        </w:rPr>
        <w:t>prioritised</w:t>
      </w:r>
      <w:proofErr w:type="spellEnd"/>
      <w:r w:rsidRPr="00C8561B">
        <w:rPr>
          <w:rFonts w:ascii="Arial" w:eastAsia="Calibri" w:hAnsi="Arial" w:cs="Arial"/>
        </w:rPr>
        <w:t xml:space="preserve"> and </w:t>
      </w:r>
      <w:proofErr w:type="spellStart"/>
      <w:r w:rsidRPr="00C8561B">
        <w:rPr>
          <w:rFonts w:ascii="Arial" w:eastAsia="Calibri" w:hAnsi="Arial" w:cs="Arial"/>
        </w:rPr>
        <w:t>organised</w:t>
      </w:r>
      <w:proofErr w:type="spellEnd"/>
      <w:r w:rsidRPr="00C8561B">
        <w:rPr>
          <w:rFonts w:ascii="Arial" w:eastAsia="Calibri" w:hAnsi="Arial" w:cs="Arial"/>
        </w:rPr>
        <w:t xml:space="preserve"> checks proactively (Wigham et al., 2022).</w:t>
      </w:r>
    </w:p>
    <w:p w14:paraId="3CBF67EA" w14:textId="77777777" w:rsidR="00C8561B" w:rsidRPr="00C8561B" w:rsidRDefault="00C8561B" w:rsidP="00C8561B">
      <w:pPr>
        <w:spacing w:before="200" w:after="100"/>
        <w:rPr>
          <w:rFonts w:ascii="Arial" w:hAnsi="Arial" w:cs="Arial"/>
        </w:rPr>
      </w:pPr>
      <w:r w:rsidRPr="00C8561B">
        <w:rPr>
          <w:rFonts w:ascii="Arial" w:eastAsia="Calibri" w:hAnsi="Arial" w:cs="Arial"/>
          <w:b/>
          <w:bCs/>
        </w:rPr>
        <w:t>Theme 3: Staff education and training</w:t>
      </w:r>
    </w:p>
    <w:p w14:paraId="1602472A"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The included studies consistently linked the effectiveness of reasonable adjustments to staff knowledge, confidence, and attitudes. The integrative review found that poor staff attitudes and communication difficulties were recurring barriers to primary care </w:t>
      </w:r>
      <w:proofErr w:type="gramStart"/>
      <w:r w:rsidRPr="00C8561B">
        <w:rPr>
          <w:rFonts w:ascii="Arial" w:eastAsia="Calibri" w:hAnsi="Arial" w:cs="Arial"/>
        </w:rPr>
        <w:t>access, and</w:t>
      </w:r>
      <w:proofErr w:type="gramEnd"/>
      <w:r w:rsidRPr="00C8561B">
        <w:rPr>
          <w:rFonts w:ascii="Arial" w:eastAsia="Calibri" w:hAnsi="Arial" w:cs="Arial"/>
        </w:rPr>
        <w:t xml:space="preserve"> traced these largely to a lack of specific training in learning disability (Doherty et al., 2020). This mirrors the population-based inquiry into premature deaths, which identified inadequate staff understanding and poor communication as recurring contributors to avoidable harm (Heslop et al., 2014). The statutory introduction of the Oliver McGowan Mandatory Training reflects direct policy recognition of this training gap (Health and Care Act 2022).</w:t>
      </w:r>
    </w:p>
    <w:p w14:paraId="7070D0D9" w14:textId="77777777" w:rsidR="00C8561B" w:rsidRPr="00C8561B" w:rsidRDefault="00C8561B" w:rsidP="00C8561B">
      <w:pPr>
        <w:spacing w:before="200" w:after="100"/>
        <w:rPr>
          <w:rFonts w:ascii="Arial" w:hAnsi="Arial" w:cs="Arial"/>
        </w:rPr>
      </w:pPr>
      <w:r w:rsidRPr="00C8561B">
        <w:rPr>
          <w:rFonts w:ascii="Arial" w:eastAsia="Calibri" w:hAnsi="Arial" w:cs="Arial"/>
          <w:b/>
          <w:bCs/>
        </w:rPr>
        <w:t xml:space="preserve">Theme 4: </w:t>
      </w:r>
      <w:proofErr w:type="spellStart"/>
      <w:r w:rsidRPr="00C8561B">
        <w:rPr>
          <w:rFonts w:ascii="Arial" w:eastAsia="Calibri" w:hAnsi="Arial" w:cs="Arial"/>
          <w:b/>
          <w:bCs/>
        </w:rPr>
        <w:t>Organisational</w:t>
      </w:r>
      <w:proofErr w:type="spellEnd"/>
      <w:r w:rsidRPr="00C8561B">
        <w:rPr>
          <w:rFonts w:ascii="Arial" w:eastAsia="Calibri" w:hAnsi="Arial" w:cs="Arial"/>
          <w:b/>
          <w:bCs/>
        </w:rPr>
        <w:t xml:space="preserve"> barriers</w:t>
      </w:r>
    </w:p>
    <w:p w14:paraId="330916AF"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Even where individual staff were well-intentioned, </w:t>
      </w:r>
      <w:proofErr w:type="spellStart"/>
      <w:r w:rsidRPr="00C8561B">
        <w:rPr>
          <w:rFonts w:ascii="Arial" w:eastAsia="Calibri" w:hAnsi="Arial" w:cs="Arial"/>
        </w:rPr>
        <w:t>organisational</w:t>
      </w:r>
      <w:proofErr w:type="spellEnd"/>
      <w:r w:rsidRPr="00C8561B">
        <w:rPr>
          <w:rFonts w:ascii="Arial" w:eastAsia="Calibri" w:hAnsi="Arial" w:cs="Arial"/>
        </w:rPr>
        <w:t xml:space="preserve"> and systemic barriers frequently limited the effectiveness of reasonable adjustments. These included the absence of reliable systems for flagging LD status and recorded adjustments, poor continuity of care, and limited capacity for the longer appointment times that many patients required (Michael, 2008; Heslop et al., 2014). National mortality review data </w:t>
      </w:r>
      <w:proofErr w:type="gramStart"/>
      <w:r w:rsidRPr="00C8561B">
        <w:rPr>
          <w:rFonts w:ascii="Arial" w:eastAsia="Calibri" w:hAnsi="Arial" w:cs="Arial"/>
        </w:rPr>
        <w:t>continue</w:t>
      </w:r>
      <w:proofErr w:type="gramEnd"/>
      <w:r w:rsidRPr="00C8561B">
        <w:rPr>
          <w:rFonts w:ascii="Arial" w:eastAsia="Calibri" w:hAnsi="Arial" w:cs="Arial"/>
        </w:rPr>
        <w:t xml:space="preserve"> to identify these systemic gaps as contributing factors in avoidable deaths (White et al., 2023).</w:t>
      </w:r>
    </w:p>
    <w:p w14:paraId="7EB8092B" w14:textId="77777777" w:rsidR="00C8561B" w:rsidRPr="00C8561B" w:rsidRDefault="00C8561B" w:rsidP="00C8561B">
      <w:pPr>
        <w:pStyle w:val="Heading1"/>
        <w:spacing w:before="400" w:after="200"/>
        <w:rPr>
          <w:rFonts w:ascii="Arial" w:hAnsi="Arial" w:cs="Arial"/>
        </w:rPr>
      </w:pPr>
      <w:bookmarkStart w:id="22" w:name="_Toc236953293"/>
      <w:bookmarkStart w:id="23" w:name="_Toc236953660"/>
      <w:r w:rsidRPr="00C8561B">
        <w:rPr>
          <w:rFonts w:ascii="Arial" w:eastAsia="Calibri" w:hAnsi="Arial" w:cs="Arial"/>
          <w:b/>
          <w:bCs/>
          <w:sz w:val="30"/>
          <w:szCs w:val="30"/>
        </w:rPr>
        <w:t>5. Discussion</w:t>
      </w:r>
      <w:bookmarkEnd w:id="22"/>
      <w:bookmarkEnd w:id="23"/>
    </w:p>
    <w:p w14:paraId="7544AF67" w14:textId="77777777" w:rsidR="00C8561B" w:rsidRPr="00C8561B" w:rsidRDefault="00C8561B" w:rsidP="00C8561B">
      <w:pPr>
        <w:pStyle w:val="Heading2"/>
        <w:spacing w:before="300" w:after="150"/>
        <w:rPr>
          <w:rFonts w:ascii="Arial" w:hAnsi="Arial" w:cs="Arial"/>
        </w:rPr>
      </w:pPr>
      <w:bookmarkStart w:id="24" w:name="_Toc236953294"/>
      <w:r w:rsidRPr="00C8561B">
        <w:rPr>
          <w:rFonts w:ascii="Arial" w:eastAsia="Calibri" w:hAnsi="Arial" w:cs="Arial"/>
          <w:b/>
          <w:bCs/>
          <w:sz w:val="26"/>
          <w:szCs w:val="26"/>
        </w:rPr>
        <w:t>Interpretation of Findings</w:t>
      </w:r>
      <w:bookmarkEnd w:id="24"/>
    </w:p>
    <w:p w14:paraId="6709FB20" w14:textId="6307E855"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The evidence mapped in this review suggests that reasonable adjustments can improve healthcare experiences for adults with LD in UK primary care, but that their effectiveness is highly dependent on consistent implementation rather than adjustments being available in principle. Structural adjustments such as the annual </w:t>
      </w:r>
      <w:r w:rsidRPr="00C8561B">
        <w:rPr>
          <w:rFonts w:ascii="Arial" w:eastAsia="Calibri" w:hAnsi="Arial" w:cs="Arial"/>
        </w:rPr>
        <w:lastRenderedPageBreak/>
        <w:t>health check demonstrate a measurable benefit when delivered proactively (Carey et al., 2017), yet communication-related adjustments, which patients themselves identify as most important to their trust and confidence in care, remain the most inconsistently applied (</w:t>
      </w:r>
      <w:proofErr w:type="spellStart"/>
      <w:r w:rsidRPr="00C8561B">
        <w:rPr>
          <w:rFonts w:ascii="Arial" w:eastAsia="Calibri" w:hAnsi="Arial" w:cs="Arial"/>
        </w:rPr>
        <w:t>Tromans</w:t>
      </w:r>
      <w:proofErr w:type="spellEnd"/>
      <w:r w:rsidRPr="00C8561B">
        <w:rPr>
          <w:rFonts w:ascii="Arial" w:eastAsia="Calibri" w:hAnsi="Arial" w:cs="Arial"/>
        </w:rPr>
        <w:t xml:space="preserve"> et al., 2024). This pattern suggests that primary care has been more successful at introducing adjustments that can be delivered through discrete clinical activities, such as a health check appointment, than at embedding adjustments that require sustained </w:t>
      </w:r>
      <w:r w:rsidR="00EB7F04" w:rsidRPr="00C8561B">
        <w:rPr>
          <w:rFonts w:ascii="Arial" w:eastAsia="Calibri" w:hAnsi="Arial" w:cs="Arial"/>
        </w:rPr>
        <w:t>behavioral</w:t>
      </w:r>
      <w:r w:rsidRPr="00C8561B">
        <w:rPr>
          <w:rFonts w:ascii="Arial" w:eastAsia="Calibri" w:hAnsi="Arial" w:cs="Arial"/>
        </w:rPr>
        <w:t xml:space="preserve"> and cultural change, such as accessible, patient-</w:t>
      </w:r>
      <w:proofErr w:type="spellStart"/>
      <w:r w:rsidRPr="00C8561B">
        <w:rPr>
          <w:rFonts w:ascii="Arial" w:eastAsia="Calibri" w:hAnsi="Arial" w:cs="Arial"/>
        </w:rPr>
        <w:t>centred</w:t>
      </w:r>
      <w:proofErr w:type="spellEnd"/>
      <w:r w:rsidRPr="00C8561B">
        <w:rPr>
          <w:rFonts w:ascii="Arial" w:eastAsia="Calibri" w:hAnsi="Arial" w:cs="Arial"/>
        </w:rPr>
        <w:t xml:space="preserve"> communication.</w:t>
      </w:r>
    </w:p>
    <w:p w14:paraId="04F3EC72" w14:textId="77777777" w:rsidR="00C8561B" w:rsidRPr="00C8561B" w:rsidRDefault="00C8561B" w:rsidP="00C8561B">
      <w:pPr>
        <w:pStyle w:val="Heading2"/>
        <w:spacing w:before="300" w:after="150"/>
        <w:rPr>
          <w:rFonts w:ascii="Arial" w:hAnsi="Arial" w:cs="Arial"/>
        </w:rPr>
      </w:pPr>
      <w:bookmarkStart w:id="25" w:name="_Toc236953295"/>
      <w:r w:rsidRPr="00C8561B">
        <w:rPr>
          <w:rFonts w:ascii="Arial" w:eastAsia="Calibri" w:hAnsi="Arial" w:cs="Arial"/>
          <w:b/>
          <w:bCs/>
          <w:sz w:val="26"/>
          <w:szCs w:val="26"/>
        </w:rPr>
        <w:t>Comparison with Previous Research</w:t>
      </w:r>
      <w:bookmarkEnd w:id="25"/>
    </w:p>
    <w:p w14:paraId="1CC28185"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These findings are broadly consistent with earlier inquiries. The Michael Inquiry (2008) and subsequent Mencap reports (2007; 2012) identified communication failure and diagnostic overshadowing as central causes of substandard care over fifteen years ago, and the persistence of these same themes in more recent qualitative and survey-based research (Wigham et al., 2022; </w:t>
      </w:r>
      <w:proofErr w:type="spellStart"/>
      <w:r w:rsidRPr="00C8561B">
        <w:rPr>
          <w:rFonts w:ascii="Arial" w:eastAsia="Calibri" w:hAnsi="Arial" w:cs="Arial"/>
        </w:rPr>
        <w:t>Tromans</w:t>
      </w:r>
      <w:proofErr w:type="spellEnd"/>
      <w:r w:rsidRPr="00C8561B">
        <w:rPr>
          <w:rFonts w:ascii="Arial" w:eastAsia="Calibri" w:hAnsi="Arial" w:cs="Arial"/>
        </w:rPr>
        <w:t xml:space="preserve"> et al., 2024) suggests that policy commitments have not yet translated into uniformly improved frontline practice. This mirrors findings from acute and mental health settings outside this review's primary care inclusion criteria, where reasonable adjustments are similarly described conceptually far more often than they are implemented (Moloney et al., 2021; </w:t>
      </w:r>
      <w:proofErr w:type="spellStart"/>
      <w:r w:rsidRPr="00C8561B">
        <w:rPr>
          <w:rFonts w:ascii="Arial" w:eastAsia="Calibri" w:hAnsi="Arial" w:cs="Arial"/>
        </w:rPr>
        <w:t>Tuffrey-Wijne</w:t>
      </w:r>
      <w:proofErr w:type="spellEnd"/>
      <w:r w:rsidRPr="00C8561B">
        <w:rPr>
          <w:rFonts w:ascii="Arial" w:eastAsia="Calibri" w:hAnsi="Arial" w:cs="Arial"/>
        </w:rPr>
        <w:t xml:space="preserve"> et al., 2014), and where staff report awareness of the concept but limited knowledge of how to record it for a specific patient (Garvey et al., 2010; Onwuchekwa et al., 2022). Together, this suggests that awareness of </w:t>
      </w:r>
      <w:proofErr w:type="gramStart"/>
      <w:r w:rsidRPr="00C8561B">
        <w:rPr>
          <w:rFonts w:ascii="Arial" w:eastAsia="Calibri" w:hAnsi="Arial" w:cs="Arial"/>
        </w:rPr>
        <w:t>the duty</w:t>
      </w:r>
      <w:proofErr w:type="gramEnd"/>
      <w:r w:rsidRPr="00C8561B">
        <w:rPr>
          <w:rFonts w:ascii="Arial" w:eastAsia="Calibri" w:hAnsi="Arial" w:cs="Arial"/>
        </w:rPr>
        <w:t xml:space="preserve"> is not the limiting factor; translating it into recorded, </w:t>
      </w:r>
      <w:proofErr w:type="spellStart"/>
      <w:r w:rsidRPr="00C8561B">
        <w:rPr>
          <w:rFonts w:ascii="Arial" w:eastAsia="Calibri" w:hAnsi="Arial" w:cs="Arial"/>
        </w:rPr>
        <w:t>individualised</w:t>
      </w:r>
      <w:proofErr w:type="spellEnd"/>
      <w:r w:rsidRPr="00C8561B">
        <w:rPr>
          <w:rFonts w:ascii="Arial" w:eastAsia="Calibri" w:hAnsi="Arial" w:cs="Arial"/>
        </w:rPr>
        <w:t xml:space="preserve"> practice is, and this gap is not unique to general practice.</w:t>
      </w:r>
    </w:p>
    <w:p w14:paraId="6CEF9651" w14:textId="77777777" w:rsidR="00C8561B" w:rsidRPr="00C8561B" w:rsidRDefault="00C8561B" w:rsidP="00C8561B">
      <w:pPr>
        <w:pStyle w:val="Heading2"/>
        <w:spacing w:before="300" w:after="150"/>
        <w:rPr>
          <w:rFonts w:ascii="Arial" w:hAnsi="Arial" w:cs="Arial"/>
        </w:rPr>
      </w:pPr>
      <w:bookmarkStart w:id="26" w:name="_Toc236953296"/>
      <w:proofErr w:type="gramStart"/>
      <w:r w:rsidRPr="00C8561B">
        <w:rPr>
          <w:rFonts w:ascii="Arial" w:eastAsia="Calibri" w:hAnsi="Arial" w:cs="Arial"/>
          <w:b/>
          <w:bCs/>
          <w:sz w:val="26"/>
          <w:szCs w:val="26"/>
        </w:rPr>
        <w:t>Relation</w:t>
      </w:r>
      <w:proofErr w:type="gramEnd"/>
      <w:r w:rsidRPr="00C8561B">
        <w:rPr>
          <w:rFonts w:ascii="Arial" w:eastAsia="Calibri" w:hAnsi="Arial" w:cs="Arial"/>
          <w:b/>
          <w:bCs/>
          <w:sz w:val="26"/>
          <w:szCs w:val="26"/>
        </w:rPr>
        <w:t xml:space="preserve"> to Legislation and Policy</w:t>
      </w:r>
      <w:bookmarkEnd w:id="26"/>
    </w:p>
    <w:p w14:paraId="3E669ACF"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The statutory basis for reasonable adjustments under the Equality Act 2010 is unambiguous, and the mandatory Oliver McGowan Training under the Health and Care Act 2022 is a significant policy response to the training gaps identified throughout this review. However, legislation and training requirements alone do not guarantee consistent practice; wider evidence shows that awareness of reasonable adjustments rarely translates into recorded, </w:t>
      </w:r>
      <w:proofErr w:type="spellStart"/>
      <w:r w:rsidRPr="00C8561B">
        <w:rPr>
          <w:rFonts w:ascii="Arial" w:eastAsia="Calibri" w:hAnsi="Arial" w:cs="Arial"/>
        </w:rPr>
        <w:t>individualised</w:t>
      </w:r>
      <w:proofErr w:type="spellEnd"/>
      <w:r w:rsidRPr="00C8561B">
        <w:rPr>
          <w:rFonts w:ascii="Arial" w:eastAsia="Calibri" w:hAnsi="Arial" w:cs="Arial"/>
        </w:rPr>
        <w:t xml:space="preserve"> action for a specific patient (Onwuchekwa et al., 2022). Policy attention may therefore need to shift from awareness-raising toward practical systems, such as accessible flagging on patient </w:t>
      </w:r>
      <w:r w:rsidRPr="00C8561B">
        <w:rPr>
          <w:rFonts w:ascii="Arial" w:eastAsia="Calibri" w:hAnsi="Arial" w:cs="Arial"/>
        </w:rPr>
        <w:lastRenderedPageBreak/>
        <w:t xml:space="preserve">records, protocols for extended appointments, and auditing whether recorded adjustments are </w:t>
      </w:r>
      <w:proofErr w:type="gramStart"/>
      <w:r w:rsidRPr="00C8561B">
        <w:rPr>
          <w:rFonts w:ascii="Arial" w:eastAsia="Calibri" w:hAnsi="Arial" w:cs="Arial"/>
        </w:rPr>
        <w:t>actually delivered</w:t>
      </w:r>
      <w:proofErr w:type="gramEnd"/>
      <w:r w:rsidRPr="00C8561B">
        <w:rPr>
          <w:rFonts w:ascii="Arial" w:eastAsia="Calibri" w:hAnsi="Arial" w:cs="Arial"/>
        </w:rPr>
        <w:t>.</w:t>
      </w:r>
    </w:p>
    <w:p w14:paraId="014DDAEF" w14:textId="77777777" w:rsidR="00C8561B" w:rsidRPr="00C8561B" w:rsidRDefault="00C8561B" w:rsidP="00C8561B">
      <w:pPr>
        <w:pStyle w:val="Heading2"/>
        <w:spacing w:before="300" w:after="150"/>
        <w:rPr>
          <w:rFonts w:ascii="Arial" w:hAnsi="Arial" w:cs="Arial"/>
        </w:rPr>
      </w:pPr>
      <w:bookmarkStart w:id="27" w:name="_Toc236953297"/>
      <w:r w:rsidRPr="00C8561B">
        <w:rPr>
          <w:rFonts w:ascii="Arial" w:eastAsia="Calibri" w:hAnsi="Arial" w:cs="Arial"/>
          <w:b/>
          <w:bCs/>
          <w:sz w:val="26"/>
          <w:szCs w:val="26"/>
        </w:rPr>
        <w:t>Implications for Practice</w:t>
      </w:r>
      <w:bookmarkEnd w:id="27"/>
    </w:p>
    <w:p w14:paraId="22D4AD3C"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For </w:t>
      </w:r>
      <w:proofErr w:type="spellStart"/>
      <w:r w:rsidRPr="00C8561B">
        <w:rPr>
          <w:rFonts w:ascii="Arial" w:eastAsia="Calibri" w:hAnsi="Arial" w:cs="Arial"/>
        </w:rPr>
        <w:t>practising</w:t>
      </w:r>
      <w:proofErr w:type="spellEnd"/>
      <w:r w:rsidRPr="00C8561B">
        <w:rPr>
          <w:rFonts w:ascii="Arial" w:eastAsia="Calibri" w:hAnsi="Arial" w:cs="Arial"/>
        </w:rPr>
        <w:t xml:space="preserve"> clinicians and practice managers, the findings suggest concrete opportunities: continuity with a preferred GP supports engagement with annual health checks (</w:t>
      </w:r>
      <w:proofErr w:type="spellStart"/>
      <w:r w:rsidRPr="00C8561B">
        <w:rPr>
          <w:rFonts w:ascii="Arial" w:eastAsia="Calibri" w:hAnsi="Arial" w:cs="Arial"/>
        </w:rPr>
        <w:t>Tromans</w:t>
      </w:r>
      <w:proofErr w:type="spellEnd"/>
      <w:r w:rsidRPr="00C8561B">
        <w:rPr>
          <w:rFonts w:ascii="Arial" w:eastAsia="Calibri" w:hAnsi="Arial" w:cs="Arial"/>
        </w:rPr>
        <w:t xml:space="preserve"> et al., 2024); a nominated LD champion within a practice drives proactive rather than reactive adjustment (Wigham et al., 2022); and recording adjustments in a structured, retrievable way, rather than relying on informal staff knowledge, reduces the risk of adjustments being lost when a familiar staff member is unavailable.</w:t>
      </w:r>
    </w:p>
    <w:p w14:paraId="5406A94B" w14:textId="77777777" w:rsidR="00C8561B" w:rsidRPr="00C8561B" w:rsidRDefault="00C8561B" w:rsidP="00C8561B">
      <w:pPr>
        <w:pStyle w:val="Heading2"/>
        <w:spacing w:before="300" w:after="150"/>
        <w:rPr>
          <w:rFonts w:ascii="Arial" w:hAnsi="Arial" w:cs="Arial"/>
        </w:rPr>
      </w:pPr>
      <w:bookmarkStart w:id="28" w:name="_Toc236953298"/>
      <w:r w:rsidRPr="00C8561B">
        <w:rPr>
          <w:rFonts w:ascii="Arial" w:eastAsia="Calibri" w:hAnsi="Arial" w:cs="Arial"/>
          <w:b/>
          <w:bCs/>
          <w:sz w:val="26"/>
          <w:szCs w:val="26"/>
        </w:rPr>
        <w:t>Strengths and Limitations of the Review</w:t>
      </w:r>
      <w:bookmarkEnd w:id="28"/>
    </w:p>
    <w:p w14:paraId="1E998711"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This review's principal strength is its specific, primary-care-focused synthesis of a currently dispersed evidence base, drawing together quantitative, qualitative, and policy literature that is rarely considered together. Its principal limitation is the absence of formal quality appraisal, meaning the relative strength of evidence behind each theme has not been statistically weighted; some themes rely more heavily on staff-reported perceptions than on patient-reported outcomes. Additionally, because many studies used self-report or proxy-report data, the objective clinical impact of specific adjustments, for example whether communication passports demonstrably reduce misdiagnosis, remains difficult to establish from the current literature.</w:t>
      </w:r>
    </w:p>
    <w:p w14:paraId="02DF46AF" w14:textId="77777777" w:rsidR="00C8561B" w:rsidRPr="00C8561B" w:rsidRDefault="00C8561B" w:rsidP="00C8561B">
      <w:pPr>
        <w:pStyle w:val="Heading2"/>
        <w:spacing w:before="300" w:after="150"/>
        <w:rPr>
          <w:rFonts w:ascii="Arial" w:hAnsi="Arial" w:cs="Arial"/>
        </w:rPr>
      </w:pPr>
      <w:bookmarkStart w:id="29" w:name="_Toc236953299"/>
      <w:r w:rsidRPr="00C8561B">
        <w:rPr>
          <w:rFonts w:ascii="Arial" w:eastAsia="Calibri" w:hAnsi="Arial" w:cs="Arial"/>
          <w:b/>
          <w:bCs/>
          <w:sz w:val="26"/>
          <w:szCs w:val="26"/>
        </w:rPr>
        <w:t>Future Research</w:t>
      </w:r>
      <w:bookmarkEnd w:id="29"/>
    </w:p>
    <w:p w14:paraId="4AA76132"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Future research would benefit from primary-care-specific, patient-reported outcome studies that directly link individual reasonable adjustments to measurable changes in experience or clinical outcome, rather than describing barriers in general terms. Longitudinal evaluation of the impact of the Oliver McGowan Mandatory Training on recorded reasonable adjustments and patient experience would also help clarify whether recent policy investment is translating into practice change.</w:t>
      </w:r>
    </w:p>
    <w:p w14:paraId="124888CC" w14:textId="77777777" w:rsidR="00C8561B" w:rsidRPr="00C8561B" w:rsidRDefault="00C8561B" w:rsidP="00C8561B">
      <w:pPr>
        <w:pStyle w:val="Heading1"/>
        <w:spacing w:before="400" w:after="200"/>
        <w:rPr>
          <w:rFonts w:ascii="Arial" w:hAnsi="Arial" w:cs="Arial"/>
        </w:rPr>
      </w:pPr>
      <w:bookmarkStart w:id="30" w:name="_Toc236953300"/>
      <w:bookmarkStart w:id="31" w:name="_Toc236953661"/>
      <w:r w:rsidRPr="00C8561B">
        <w:rPr>
          <w:rFonts w:ascii="Arial" w:eastAsia="Calibri" w:hAnsi="Arial" w:cs="Arial"/>
          <w:b/>
          <w:bCs/>
          <w:sz w:val="30"/>
          <w:szCs w:val="30"/>
        </w:rPr>
        <w:lastRenderedPageBreak/>
        <w:t>6. Conclusion and Recommendations</w:t>
      </w:r>
      <w:bookmarkEnd w:id="30"/>
      <w:bookmarkEnd w:id="31"/>
    </w:p>
    <w:p w14:paraId="03B4A51F" w14:textId="77777777" w:rsidR="00C8561B" w:rsidRPr="00C8561B" w:rsidRDefault="00C8561B" w:rsidP="00C8561B">
      <w:pPr>
        <w:pStyle w:val="Heading2"/>
        <w:spacing w:before="300" w:after="150"/>
        <w:rPr>
          <w:rFonts w:ascii="Arial" w:hAnsi="Arial" w:cs="Arial"/>
        </w:rPr>
      </w:pPr>
      <w:bookmarkStart w:id="32" w:name="_Toc236953301"/>
      <w:r w:rsidRPr="00C8561B">
        <w:rPr>
          <w:rFonts w:ascii="Arial" w:eastAsia="Calibri" w:hAnsi="Arial" w:cs="Arial"/>
          <w:b/>
          <w:bCs/>
          <w:sz w:val="26"/>
          <w:szCs w:val="26"/>
        </w:rPr>
        <w:t>Conclusion</w:t>
      </w:r>
      <w:bookmarkEnd w:id="32"/>
    </w:p>
    <w:p w14:paraId="442F53C7"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This scoping review </w:t>
      </w:r>
      <w:proofErr w:type="gramStart"/>
      <w:r w:rsidRPr="00C8561B">
        <w:rPr>
          <w:rFonts w:ascii="Arial" w:eastAsia="Calibri" w:hAnsi="Arial" w:cs="Arial"/>
        </w:rPr>
        <w:t>set</w:t>
      </w:r>
      <w:proofErr w:type="gramEnd"/>
      <w:r w:rsidRPr="00C8561B">
        <w:rPr>
          <w:rFonts w:ascii="Arial" w:eastAsia="Calibri" w:hAnsi="Arial" w:cs="Arial"/>
        </w:rPr>
        <w:t xml:space="preserve"> out to evaluate the effectiveness of reasonable adjustments in improving healthcare experiences for adults with learning disabilities in UK primary care. The evidence indicates that reasonable adjustments, where implemented consistently and proactively, are associated with improved access, earlier identification of health needs, and greater patient confidence. However, effectiveness is undermined by variable staff training, weak systems for recording and monitoring adjustments, and </w:t>
      </w:r>
      <w:proofErr w:type="spellStart"/>
      <w:r w:rsidRPr="00C8561B">
        <w:rPr>
          <w:rFonts w:ascii="Arial" w:eastAsia="Calibri" w:hAnsi="Arial" w:cs="Arial"/>
        </w:rPr>
        <w:t>organisational</w:t>
      </w:r>
      <w:proofErr w:type="spellEnd"/>
      <w:r w:rsidRPr="00C8561B">
        <w:rPr>
          <w:rFonts w:ascii="Arial" w:eastAsia="Calibri" w:hAnsi="Arial" w:cs="Arial"/>
        </w:rPr>
        <w:t xml:space="preserve"> barriers such as limited appointment time and poor continuity of care. In answer to the review question, reasonable adjustments can be highly effective, but their impact in practice depends more on </w:t>
      </w:r>
      <w:proofErr w:type="spellStart"/>
      <w:r w:rsidRPr="00C8561B">
        <w:rPr>
          <w:rFonts w:ascii="Arial" w:eastAsia="Calibri" w:hAnsi="Arial" w:cs="Arial"/>
        </w:rPr>
        <w:t>organisational</w:t>
      </w:r>
      <w:proofErr w:type="spellEnd"/>
      <w:r w:rsidRPr="00C8561B">
        <w:rPr>
          <w:rFonts w:ascii="Arial" w:eastAsia="Calibri" w:hAnsi="Arial" w:cs="Arial"/>
        </w:rPr>
        <w:t xml:space="preserve"> implementation than on the existence of </w:t>
      </w:r>
      <w:proofErr w:type="gramStart"/>
      <w:r w:rsidRPr="00C8561B">
        <w:rPr>
          <w:rFonts w:ascii="Arial" w:eastAsia="Calibri" w:hAnsi="Arial" w:cs="Arial"/>
        </w:rPr>
        <w:t>the legal</w:t>
      </w:r>
      <w:proofErr w:type="gramEnd"/>
      <w:r w:rsidRPr="00C8561B">
        <w:rPr>
          <w:rFonts w:ascii="Arial" w:eastAsia="Calibri" w:hAnsi="Arial" w:cs="Arial"/>
        </w:rPr>
        <w:t xml:space="preserve"> duty itself. These findings, drawn from a small but focused set of primary-care-specific studies alongside wider legislative, policy, and comparative evidence, carry clear implications for primary care policy, training, and service design if the persistent health inequalities faced by this population are to be reduced.</w:t>
      </w:r>
    </w:p>
    <w:p w14:paraId="66ADD800" w14:textId="77777777" w:rsidR="00C8561B" w:rsidRPr="00C8561B" w:rsidRDefault="00C8561B" w:rsidP="00C8561B">
      <w:pPr>
        <w:pStyle w:val="Heading2"/>
        <w:spacing w:before="300" w:after="150"/>
        <w:rPr>
          <w:rFonts w:ascii="Arial" w:hAnsi="Arial" w:cs="Arial"/>
        </w:rPr>
      </w:pPr>
      <w:bookmarkStart w:id="33" w:name="_Toc236953302"/>
      <w:r w:rsidRPr="00C8561B">
        <w:rPr>
          <w:rFonts w:ascii="Arial" w:eastAsia="Calibri" w:hAnsi="Arial" w:cs="Arial"/>
          <w:b/>
          <w:bCs/>
          <w:sz w:val="26"/>
          <w:szCs w:val="26"/>
        </w:rPr>
        <w:t>Recommendations</w:t>
      </w:r>
      <w:bookmarkEnd w:id="33"/>
    </w:p>
    <w:p w14:paraId="3644689E" w14:textId="77777777" w:rsidR="00C8561B" w:rsidRPr="00C8561B" w:rsidRDefault="00C8561B" w:rsidP="00C8561B">
      <w:pPr>
        <w:pStyle w:val="ListParagraph"/>
        <w:numPr>
          <w:ilvl w:val="0"/>
          <w:numId w:val="35"/>
        </w:numPr>
        <w:spacing w:after="120" w:line="240" w:lineRule="auto"/>
        <w:contextualSpacing w:val="0"/>
        <w:rPr>
          <w:rFonts w:ascii="Arial" w:hAnsi="Arial" w:cs="Arial"/>
        </w:rPr>
      </w:pPr>
      <w:r w:rsidRPr="00C8561B">
        <w:rPr>
          <w:rFonts w:ascii="Arial" w:eastAsia="Calibri" w:hAnsi="Arial" w:cs="Arial"/>
        </w:rPr>
        <w:t>Provide regular, practical staff education, building on the Oliver McGowan Mandatory Training, with specific guidance on recording and delivering individual reasonable adjustments.</w:t>
      </w:r>
    </w:p>
    <w:p w14:paraId="796E4F76" w14:textId="77777777" w:rsidR="00C8561B" w:rsidRPr="00C8561B" w:rsidRDefault="00C8561B" w:rsidP="00C8561B">
      <w:pPr>
        <w:pStyle w:val="ListParagraph"/>
        <w:numPr>
          <w:ilvl w:val="0"/>
          <w:numId w:val="35"/>
        </w:numPr>
        <w:spacing w:after="120" w:line="240" w:lineRule="auto"/>
        <w:contextualSpacing w:val="0"/>
        <w:rPr>
          <w:rFonts w:ascii="Arial" w:hAnsi="Arial" w:cs="Arial"/>
        </w:rPr>
      </w:pPr>
      <w:r w:rsidRPr="00C8561B">
        <w:rPr>
          <w:rFonts w:ascii="Arial" w:eastAsia="Calibri" w:hAnsi="Arial" w:cs="Arial"/>
        </w:rPr>
        <w:t>Strengthen communication with patients through routine use of accessible information, easy-read materials, and communication or hospital passports.</w:t>
      </w:r>
    </w:p>
    <w:p w14:paraId="17EB4872" w14:textId="77777777" w:rsidR="00C8561B" w:rsidRPr="00C8561B" w:rsidRDefault="00C8561B" w:rsidP="00C8561B">
      <w:pPr>
        <w:pStyle w:val="ListParagraph"/>
        <w:numPr>
          <w:ilvl w:val="0"/>
          <w:numId w:val="35"/>
        </w:numPr>
        <w:spacing w:after="120" w:line="240" w:lineRule="auto"/>
        <w:contextualSpacing w:val="0"/>
        <w:rPr>
          <w:rFonts w:ascii="Arial" w:hAnsi="Arial" w:cs="Arial"/>
        </w:rPr>
      </w:pPr>
      <w:r w:rsidRPr="00C8561B">
        <w:rPr>
          <w:rFonts w:ascii="Arial" w:eastAsia="Calibri" w:hAnsi="Arial" w:cs="Arial"/>
        </w:rPr>
        <w:t>Increase proactive uptake of annual health checks, supported by continuity with a preferred GP and practice-level LD champions.</w:t>
      </w:r>
    </w:p>
    <w:p w14:paraId="38470A84" w14:textId="77777777" w:rsidR="00C8561B" w:rsidRPr="00C8561B" w:rsidRDefault="00C8561B" w:rsidP="00C8561B">
      <w:pPr>
        <w:pStyle w:val="ListParagraph"/>
        <w:numPr>
          <w:ilvl w:val="0"/>
          <w:numId w:val="35"/>
        </w:numPr>
        <w:spacing w:after="120" w:line="240" w:lineRule="auto"/>
        <w:contextualSpacing w:val="0"/>
        <w:rPr>
          <w:rFonts w:ascii="Arial" w:hAnsi="Arial" w:cs="Arial"/>
        </w:rPr>
      </w:pPr>
      <w:r w:rsidRPr="00C8561B">
        <w:rPr>
          <w:rFonts w:ascii="Arial" w:eastAsia="Calibri" w:hAnsi="Arial" w:cs="Arial"/>
        </w:rPr>
        <w:t xml:space="preserve">Establish reliable, structured systems for recording reasonable adjustments on patient records, so that adjustments are </w:t>
      </w:r>
      <w:proofErr w:type="gramStart"/>
      <w:r w:rsidRPr="00C8561B">
        <w:rPr>
          <w:rFonts w:ascii="Arial" w:eastAsia="Calibri" w:hAnsi="Arial" w:cs="Arial"/>
        </w:rPr>
        <w:t>retained</w:t>
      </w:r>
      <w:proofErr w:type="gramEnd"/>
      <w:r w:rsidRPr="00C8561B">
        <w:rPr>
          <w:rFonts w:ascii="Arial" w:eastAsia="Calibri" w:hAnsi="Arial" w:cs="Arial"/>
        </w:rPr>
        <w:t xml:space="preserve"> regardless of staff turnover.</w:t>
      </w:r>
    </w:p>
    <w:p w14:paraId="186B4046" w14:textId="77777777" w:rsidR="00C8561B" w:rsidRPr="00C8561B" w:rsidRDefault="00C8561B" w:rsidP="00C8561B">
      <w:pPr>
        <w:pStyle w:val="ListParagraph"/>
        <w:numPr>
          <w:ilvl w:val="0"/>
          <w:numId w:val="35"/>
        </w:numPr>
        <w:spacing w:after="120" w:line="240" w:lineRule="auto"/>
        <w:contextualSpacing w:val="0"/>
        <w:rPr>
          <w:rFonts w:ascii="Arial" w:hAnsi="Arial" w:cs="Arial"/>
        </w:rPr>
      </w:pPr>
      <w:r w:rsidRPr="00C8561B">
        <w:rPr>
          <w:rFonts w:ascii="Arial" w:eastAsia="Calibri" w:hAnsi="Arial" w:cs="Arial"/>
        </w:rPr>
        <w:t xml:space="preserve">Introduce routine </w:t>
      </w:r>
      <w:proofErr w:type="spellStart"/>
      <w:r w:rsidRPr="00C8561B">
        <w:rPr>
          <w:rFonts w:ascii="Arial" w:eastAsia="Calibri" w:hAnsi="Arial" w:cs="Arial"/>
        </w:rPr>
        <w:t>organisational</w:t>
      </w:r>
      <w:proofErr w:type="spellEnd"/>
      <w:r w:rsidRPr="00C8561B">
        <w:rPr>
          <w:rFonts w:ascii="Arial" w:eastAsia="Calibri" w:hAnsi="Arial" w:cs="Arial"/>
        </w:rPr>
        <w:t xml:space="preserve"> monitoring and audit of reasonable adjustment delivery, rather than relying solely on staff self-report.</w:t>
      </w:r>
    </w:p>
    <w:p w14:paraId="658D7A7F" w14:textId="77777777" w:rsidR="00C8561B" w:rsidRPr="00C8561B" w:rsidRDefault="00C8561B" w:rsidP="00C8561B">
      <w:pPr>
        <w:pStyle w:val="ListParagraph"/>
        <w:numPr>
          <w:ilvl w:val="0"/>
          <w:numId w:val="35"/>
        </w:numPr>
        <w:spacing w:after="120" w:line="240" w:lineRule="auto"/>
        <w:contextualSpacing w:val="0"/>
        <w:rPr>
          <w:rFonts w:ascii="Arial" w:hAnsi="Arial" w:cs="Arial"/>
        </w:rPr>
      </w:pPr>
      <w:r w:rsidRPr="00C8561B">
        <w:rPr>
          <w:rFonts w:ascii="Arial" w:eastAsia="Calibri" w:hAnsi="Arial" w:cs="Arial"/>
        </w:rPr>
        <w:t>Conduct further primary-care-specific research directly linking individual adjustments to measurable patient outcomes.</w:t>
      </w:r>
    </w:p>
    <w:p w14:paraId="7FA13565" w14:textId="77777777" w:rsidR="00C8561B" w:rsidRPr="00C8561B" w:rsidRDefault="00C8561B" w:rsidP="00C8561B">
      <w:pPr>
        <w:pStyle w:val="Heading1"/>
        <w:spacing w:before="400" w:after="200"/>
        <w:rPr>
          <w:rFonts w:ascii="Arial" w:hAnsi="Arial" w:cs="Arial"/>
        </w:rPr>
      </w:pPr>
      <w:bookmarkStart w:id="34" w:name="_Toc236953303"/>
      <w:bookmarkStart w:id="35" w:name="_Toc236953662"/>
      <w:r w:rsidRPr="00C8561B">
        <w:rPr>
          <w:rFonts w:ascii="Arial" w:eastAsia="Calibri" w:hAnsi="Arial" w:cs="Arial"/>
          <w:b/>
          <w:bCs/>
          <w:sz w:val="30"/>
          <w:szCs w:val="30"/>
        </w:rPr>
        <w:t>References</w:t>
      </w:r>
      <w:bookmarkEnd w:id="34"/>
      <w:bookmarkEnd w:id="35"/>
    </w:p>
    <w:p w14:paraId="668A6D08"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Arksey, H. and O'Malley, L. (2005) 'Scoping studies: towards a methodological framework', International Journal of Social Research Methodology, 8(1), pp.19-32.</w:t>
      </w:r>
    </w:p>
    <w:p w14:paraId="6785CA29"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lastRenderedPageBreak/>
        <w:t>Carey, I.M., Hosking, F.J., Harris, T., DeWilde, S., Beighton, C. and Cook, D.G. (2017) An Evaluation of the Effectiveness of Annual Health Checks and Quality of Health Care for Adults with Intellectual Disability: An Observational Study Using a Primary Care Database. Southampton: NIHR Journals Library, Health Services and Delivery Research, No.5.25.</w:t>
      </w:r>
    </w:p>
    <w:p w14:paraId="12A96336"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Doherty, A.J., Atherton, H., Boland, P., Hastings, R., Hives, L., Hood, K., James-Jenkinson, L., Leavey, R., Randell, E., Reed, J., Taggart, L., Wilson, N. and Chauhan, U. (2020) 'Barriers and facilitators to primary health care for people with intellectual disabilities and/or autism: an integrative review', BJGP Open, 4(3), bjgpopen20X101030.</w:t>
      </w:r>
    </w:p>
    <w:p w14:paraId="074FB9B4"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Equality Act 2010, c.15. London: The Stationery Office.</w:t>
      </w:r>
    </w:p>
    <w:p w14:paraId="1893F2E1"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Garvey, F., Wigram, T. and Balakumar, T. (2010) 'Measuring general hospital staff attitudes towards people with learning disabilities', Nursing Times, 106(31), pp.10-12.</w:t>
      </w:r>
    </w:p>
    <w:p w14:paraId="7ED955F6"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Health and Care Act 2022, c.31. London: The Stationery Office.</w:t>
      </w:r>
    </w:p>
    <w:p w14:paraId="72C3AF5B"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Heslop, P., Blair, P.S., Fleming, P., Hoghton, M., Marriott, A. and Russ, L. (2014) 'The Confidential Inquiry into premature deaths of people with intellectual disabilities in the UK: a population-based study', The Lancet, 383(9920), pp.889-895.</w:t>
      </w:r>
    </w:p>
    <w:p w14:paraId="582B32F7"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Levac, D., Colquhoun, H. and O'Brien, K.K. (2010) 'Scoping studies: advancing the methodology', Implementation Science, 5, 69.</w:t>
      </w:r>
    </w:p>
    <w:p w14:paraId="0C4EFFC8"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Mencap (2007) Death by Indifference. London: Mencap.</w:t>
      </w:r>
    </w:p>
    <w:p w14:paraId="4DB74B29"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Mencap (2012) Death by Indifference: 74 Deaths and Counting. London: Mencap.</w:t>
      </w:r>
    </w:p>
    <w:p w14:paraId="0BCB43E2"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Michael, J. (2008) Healthcare for All: Report of the Independent Inquiry into Access to Healthcare for People with Learning Disabilities. London: Department of Health.</w:t>
      </w:r>
    </w:p>
    <w:p w14:paraId="0FF7DC5E"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Moloney, M., Hennessy, T. and Doody, O. (2021) 'Reasonable adjustments for people with intellectual disability in acute care: a scoping review of the evidence', BMJ Open, 11(2), e039647.</w:t>
      </w:r>
    </w:p>
    <w:p w14:paraId="32CDBC85"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NHS (2019) The NHS Long Term Plan. London: NHS England.</w:t>
      </w:r>
    </w:p>
    <w:p w14:paraId="19C600E7"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 xml:space="preserve">Onwuchekwa, O., Davidson, C. and Sharma, V. (2022) 'Attitudes and experience of autism and learning disability (LD): a survey of mental healthcare staff', </w:t>
      </w:r>
      <w:proofErr w:type="spellStart"/>
      <w:r w:rsidRPr="00C8561B">
        <w:rPr>
          <w:rFonts w:ascii="Arial" w:eastAsia="Calibri" w:hAnsi="Arial" w:cs="Arial"/>
          <w:sz w:val="22"/>
          <w:szCs w:val="22"/>
        </w:rPr>
        <w:t>BJPsych</w:t>
      </w:r>
      <w:proofErr w:type="spellEnd"/>
      <w:r w:rsidRPr="00C8561B">
        <w:rPr>
          <w:rFonts w:ascii="Arial" w:eastAsia="Calibri" w:hAnsi="Arial" w:cs="Arial"/>
          <w:sz w:val="22"/>
          <w:szCs w:val="22"/>
        </w:rPr>
        <w:t xml:space="preserve"> Open, 8(Suppl.1), </w:t>
      </w:r>
      <w:proofErr w:type="gramStart"/>
      <w:r w:rsidRPr="00C8561B">
        <w:rPr>
          <w:rFonts w:ascii="Arial" w:eastAsia="Calibri" w:hAnsi="Arial" w:cs="Arial"/>
          <w:sz w:val="22"/>
          <w:szCs w:val="22"/>
        </w:rPr>
        <w:t>pp.S</w:t>
      </w:r>
      <w:proofErr w:type="gramEnd"/>
      <w:r w:rsidRPr="00C8561B">
        <w:rPr>
          <w:rFonts w:ascii="Arial" w:eastAsia="Calibri" w:hAnsi="Arial" w:cs="Arial"/>
          <w:sz w:val="22"/>
          <w:szCs w:val="22"/>
        </w:rPr>
        <w:t>105-S106.</w:t>
      </w:r>
    </w:p>
    <w:p w14:paraId="5C1D5570"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Public Health England (2020) Reasonable Adjustments: A Legal Duty. London: Public Health England.</w:t>
      </w:r>
    </w:p>
    <w:p w14:paraId="6C639A61" w14:textId="77777777" w:rsidR="00C8561B" w:rsidRPr="00C8561B" w:rsidRDefault="00C8561B" w:rsidP="00C8561B">
      <w:pPr>
        <w:spacing w:after="200" w:line="300" w:lineRule="auto"/>
        <w:ind w:left="720" w:hanging="720"/>
        <w:rPr>
          <w:rFonts w:ascii="Arial" w:hAnsi="Arial" w:cs="Arial"/>
        </w:rPr>
      </w:pPr>
      <w:proofErr w:type="spellStart"/>
      <w:r w:rsidRPr="00C8561B">
        <w:rPr>
          <w:rFonts w:ascii="Arial" w:eastAsia="Calibri" w:hAnsi="Arial" w:cs="Arial"/>
          <w:sz w:val="22"/>
          <w:szCs w:val="22"/>
        </w:rPr>
        <w:t>Tricco</w:t>
      </w:r>
      <w:proofErr w:type="spellEnd"/>
      <w:r w:rsidRPr="00C8561B">
        <w:rPr>
          <w:rFonts w:ascii="Arial" w:eastAsia="Calibri" w:hAnsi="Arial" w:cs="Arial"/>
          <w:sz w:val="22"/>
          <w:szCs w:val="22"/>
        </w:rPr>
        <w:t xml:space="preserve">, A.C., Lillie, E., Zarin, W., O'Brien, K.K., Colquhoun, H., Levac, D., Moher, D., Peters, M.D.J., Horsley, T., Weeks, L., Hempel, S., Akl, E.A., Chang, C., McGowan, J., Stewart, L., Hartling, L., </w:t>
      </w:r>
      <w:proofErr w:type="spellStart"/>
      <w:r w:rsidRPr="00C8561B">
        <w:rPr>
          <w:rFonts w:ascii="Arial" w:eastAsia="Calibri" w:hAnsi="Arial" w:cs="Arial"/>
          <w:sz w:val="22"/>
          <w:szCs w:val="22"/>
        </w:rPr>
        <w:t>Aldcroft</w:t>
      </w:r>
      <w:proofErr w:type="spellEnd"/>
      <w:r w:rsidRPr="00C8561B">
        <w:rPr>
          <w:rFonts w:ascii="Arial" w:eastAsia="Calibri" w:hAnsi="Arial" w:cs="Arial"/>
          <w:sz w:val="22"/>
          <w:szCs w:val="22"/>
        </w:rPr>
        <w:t xml:space="preserve">, A., Wilson, M.G., </w:t>
      </w:r>
      <w:proofErr w:type="spellStart"/>
      <w:r w:rsidRPr="00C8561B">
        <w:rPr>
          <w:rFonts w:ascii="Arial" w:eastAsia="Calibri" w:hAnsi="Arial" w:cs="Arial"/>
          <w:sz w:val="22"/>
          <w:szCs w:val="22"/>
        </w:rPr>
        <w:t>Garritty</w:t>
      </w:r>
      <w:proofErr w:type="spellEnd"/>
      <w:r w:rsidRPr="00C8561B">
        <w:rPr>
          <w:rFonts w:ascii="Arial" w:eastAsia="Calibri" w:hAnsi="Arial" w:cs="Arial"/>
          <w:sz w:val="22"/>
          <w:szCs w:val="22"/>
        </w:rPr>
        <w:t xml:space="preserve">, C., Lewin, S., Godfrey, C.M., Macdonald, M.T., Langlois, E.V., Soares-Weiser, K., Moriarty, J., Clifford, T., </w:t>
      </w:r>
      <w:proofErr w:type="spellStart"/>
      <w:r w:rsidRPr="00C8561B">
        <w:rPr>
          <w:rFonts w:ascii="Arial" w:eastAsia="Calibri" w:hAnsi="Arial" w:cs="Arial"/>
          <w:sz w:val="22"/>
          <w:szCs w:val="22"/>
        </w:rPr>
        <w:lastRenderedPageBreak/>
        <w:t>Tunçalp</w:t>
      </w:r>
      <w:proofErr w:type="spellEnd"/>
      <w:r w:rsidRPr="00C8561B">
        <w:rPr>
          <w:rFonts w:ascii="Arial" w:eastAsia="Calibri" w:hAnsi="Arial" w:cs="Arial"/>
          <w:sz w:val="22"/>
          <w:szCs w:val="22"/>
        </w:rPr>
        <w:t>, O. and Straus, S.E. (2018) 'PRISMA extension for scoping reviews (PRISMA-</w:t>
      </w:r>
      <w:proofErr w:type="spellStart"/>
      <w:r w:rsidRPr="00C8561B">
        <w:rPr>
          <w:rFonts w:ascii="Arial" w:eastAsia="Calibri" w:hAnsi="Arial" w:cs="Arial"/>
          <w:sz w:val="22"/>
          <w:szCs w:val="22"/>
        </w:rPr>
        <w:t>ScR</w:t>
      </w:r>
      <w:proofErr w:type="spellEnd"/>
      <w:r w:rsidRPr="00C8561B">
        <w:rPr>
          <w:rFonts w:ascii="Arial" w:eastAsia="Calibri" w:hAnsi="Arial" w:cs="Arial"/>
          <w:sz w:val="22"/>
          <w:szCs w:val="22"/>
        </w:rPr>
        <w:t>): checklist and explanation', Annals of Internal Medicine, 169(7), pp.467-473.</w:t>
      </w:r>
    </w:p>
    <w:p w14:paraId="44265C45" w14:textId="77777777" w:rsidR="00C8561B" w:rsidRPr="00C8561B" w:rsidRDefault="00C8561B" w:rsidP="00C8561B">
      <w:pPr>
        <w:spacing w:after="200" w:line="300" w:lineRule="auto"/>
        <w:ind w:left="720" w:hanging="720"/>
        <w:rPr>
          <w:rFonts w:ascii="Arial" w:hAnsi="Arial" w:cs="Arial"/>
        </w:rPr>
      </w:pPr>
      <w:proofErr w:type="spellStart"/>
      <w:r w:rsidRPr="00C8561B">
        <w:rPr>
          <w:rFonts w:ascii="Arial" w:eastAsia="Calibri" w:hAnsi="Arial" w:cs="Arial"/>
          <w:sz w:val="22"/>
          <w:szCs w:val="22"/>
        </w:rPr>
        <w:t>Tromans</w:t>
      </w:r>
      <w:proofErr w:type="spellEnd"/>
      <w:r w:rsidRPr="00C8561B">
        <w:rPr>
          <w:rFonts w:ascii="Arial" w:eastAsia="Calibri" w:hAnsi="Arial" w:cs="Arial"/>
          <w:sz w:val="22"/>
          <w:szCs w:val="22"/>
        </w:rPr>
        <w:t xml:space="preserve">, S.J., Teece, L., Shankar, R., </w:t>
      </w:r>
      <w:proofErr w:type="spellStart"/>
      <w:r w:rsidRPr="00C8561B">
        <w:rPr>
          <w:rFonts w:ascii="Arial" w:eastAsia="Calibri" w:hAnsi="Arial" w:cs="Arial"/>
          <w:sz w:val="22"/>
          <w:szCs w:val="22"/>
        </w:rPr>
        <w:t>Hassiotis</w:t>
      </w:r>
      <w:proofErr w:type="spellEnd"/>
      <w:r w:rsidRPr="00C8561B">
        <w:rPr>
          <w:rFonts w:ascii="Arial" w:eastAsia="Calibri" w:hAnsi="Arial" w:cs="Arial"/>
          <w:sz w:val="22"/>
          <w:szCs w:val="22"/>
        </w:rPr>
        <w:t xml:space="preserve">, A., </w:t>
      </w:r>
      <w:proofErr w:type="spellStart"/>
      <w:r w:rsidRPr="00C8561B">
        <w:rPr>
          <w:rFonts w:ascii="Arial" w:eastAsia="Calibri" w:hAnsi="Arial" w:cs="Arial"/>
          <w:sz w:val="22"/>
          <w:szCs w:val="22"/>
        </w:rPr>
        <w:t>Brugha</w:t>
      </w:r>
      <w:proofErr w:type="spellEnd"/>
      <w:r w:rsidRPr="00C8561B">
        <w:rPr>
          <w:rFonts w:ascii="Arial" w:eastAsia="Calibri" w:hAnsi="Arial" w:cs="Arial"/>
          <w:sz w:val="22"/>
          <w:szCs w:val="22"/>
        </w:rPr>
        <w:t xml:space="preserve">, T. and McManus, S. (2024) 'Primary care experiences of adults reporting learning disability: a probability sample survey', British Journal of General Practice, 74(749), </w:t>
      </w:r>
      <w:proofErr w:type="gramStart"/>
      <w:r w:rsidRPr="00C8561B">
        <w:rPr>
          <w:rFonts w:ascii="Arial" w:eastAsia="Calibri" w:hAnsi="Arial" w:cs="Arial"/>
          <w:sz w:val="22"/>
          <w:szCs w:val="22"/>
        </w:rPr>
        <w:t>pp.e</w:t>
      </w:r>
      <w:proofErr w:type="gramEnd"/>
      <w:r w:rsidRPr="00C8561B">
        <w:rPr>
          <w:rFonts w:ascii="Arial" w:eastAsia="Calibri" w:hAnsi="Arial" w:cs="Arial"/>
          <w:sz w:val="22"/>
          <w:szCs w:val="22"/>
        </w:rPr>
        <w:t>845-e853.</w:t>
      </w:r>
    </w:p>
    <w:p w14:paraId="0EAEA59A"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 xml:space="preserve">Tuffrey-Wijne, I., Goulding, L., </w:t>
      </w:r>
      <w:proofErr w:type="spellStart"/>
      <w:r w:rsidRPr="00C8561B">
        <w:rPr>
          <w:rFonts w:ascii="Arial" w:eastAsia="Calibri" w:hAnsi="Arial" w:cs="Arial"/>
          <w:sz w:val="22"/>
          <w:szCs w:val="22"/>
        </w:rPr>
        <w:t>Giatras</w:t>
      </w:r>
      <w:proofErr w:type="spellEnd"/>
      <w:r w:rsidRPr="00C8561B">
        <w:rPr>
          <w:rFonts w:ascii="Arial" w:eastAsia="Calibri" w:hAnsi="Arial" w:cs="Arial"/>
          <w:sz w:val="22"/>
          <w:szCs w:val="22"/>
        </w:rPr>
        <w:t>, N., Abraham, E., Gillard, S., White, S., Edwards, C. and Hollins, S. (2014) 'The barriers to and enablers of providing reasonably adjusted health services to people with intellectual disabilities in acute hospitals: evidence from a mixed-methods study', BMJ Open, 4(4), e004606.</w:t>
      </w:r>
    </w:p>
    <w:p w14:paraId="5D13B2F3"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 xml:space="preserve">White, A., Sheehan, R., Ding, J., Roberts, C., Magill, N., Keagan-Bull, R., Carter, B., Chauhan, U., </w:t>
      </w:r>
      <w:proofErr w:type="spellStart"/>
      <w:r w:rsidRPr="00C8561B">
        <w:rPr>
          <w:rFonts w:ascii="Arial" w:eastAsia="Calibri" w:hAnsi="Arial" w:cs="Arial"/>
          <w:sz w:val="22"/>
          <w:szCs w:val="22"/>
        </w:rPr>
        <w:t>Tuffrey-Wijne</w:t>
      </w:r>
      <w:proofErr w:type="spellEnd"/>
      <w:r w:rsidRPr="00C8561B">
        <w:rPr>
          <w:rFonts w:ascii="Arial" w:eastAsia="Calibri" w:hAnsi="Arial" w:cs="Arial"/>
          <w:sz w:val="22"/>
          <w:szCs w:val="22"/>
        </w:rPr>
        <w:t>, I. and Strydom, A. (2023) Learning from Lives and Deaths: People with a Learning Disability and Autistic People (</w:t>
      </w:r>
      <w:proofErr w:type="spellStart"/>
      <w:r w:rsidRPr="00C8561B">
        <w:rPr>
          <w:rFonts w:ascii="Arial" w:eastAsia="Calibri" w:hAnsi="Arial" w:cs="Arial"/>
          <w:sz w:val="22"/>
          <w:szCs w:val="22"/>
        </w:rPr>
        <w:t>LeDeR</w:t>
      </w:r>
      <w:proofErr w:type="spellEnd"/>
      <w:r w:rsidRPr="00C8561B">
        <w:rPr>
          <w:rFonts w:ascii="Arial" w:eastAsia="Calibri" w:hAnsi="Arial" w:cs="Arial"/>
          <w:sz w:val="22"/>
          <w:szCs w:val="22"/>
        </w:rPr>
        <w:t>) Report for 2022. London: Institute of Psychiatry, Psychology and Neuroscience, King's College London.</w:t>
      </w:r>
    </w:p>
    <w:p w14:paraId="57C50259" w14:textId="77777777" w:rsidR="00C8561B" w:rsidRPr="00C8561B" w:rsidRDefault="00C8561B" w:rsidP="00C8561B">
      <w:pPr>
        <w:spacing w:after="200" w:line="300" w:lineRule="auto"/>
        <w:ind w:left="720" w:hanging="720"/>
        <w:rPr>
          <w:rFonts w:ascii="Arial" w:hAnsi="Arial" w:cs="Arial"/>
        </w:rPr>
      </w:pPr>
      <w:r w:rsidRPr="00C8561B">
        <w:rPr>
          <w:rFonts w:ascii="Arial" w:eastAsia="Calibri" w:hAnsi="Arial" w:cs="Arial"/>
          <w:sz w:val="22"/>
          <w:szCs w:val="22"/>
        </w:rPr>
        <w:t>Wigham, S., Bourne, J., McKenzie, K., Rowlands, G., Petersen, K. and Hackett, S. (2022) 'Improving access to primary care and annual health checks for people who have a learning disability: a multistakeholder qualitative study', BMJ Open, 12(12), e065945.</w:t>
      </w:r>
    </w:p>
    <w:p w14:paraId="3BF7E3A7" w14:textId="77777777" w:rsidR="00C8561B" w:rsidRPr="00C8561B" w:rsidRDefault="00C8561B" w:rsidP="00C8561B">
      <w:pPr>
        <w:rPr>
          <w:rFonts w:ascii="Arial" w:hAnsi="Arial" w:cs="Arial"/>
        </w:rPr>
      </w:pPr>
      <w:r w:rsidRPr="00C8561B">
        <w:rPr>
          <w:rFonts w:ascii="Arial" w:hAnsi="Arial" w:cs="Arial"/>
        </w:rPr>
        <w:br w:type="page"/>
      </w:r>
    </w:p>
    <w:p w14:paraId="2FE556E9" w14:textId="77777777" w:rsidR="00C8561B" w:rsidRPr="00C8561B" w:rsidRDefault="00C8561B" w:rsidP="00C8561B">
      <w:pPr>
        <w:pStyle w:val="Heading1"/>
        <w:spacing w:before="400" w:after="200"/>
        <w:rPr>
          <w:rFonts w:ascii="Arial" w:hAnsi="Arial" w:cs="Arial"/>
        </w:rPr>
      </w:pPr>
      <w:bookmarkStart w:id="36" w:name="_Toc236953304"/>
      <w:bookmarkStart w:id="37" w:name="_Toc236953663"/>
      <w:r w:rsidRPr="00C8561B">
        <w:rPr>
          <w:rFonts w:ascii="Arial" w:eastAsia="Calibri" w:hAnsi="Arial" w:cs="Arial"/>
          <w:b/>
          <w:bCs/>
          <w:sz w:val="30"/>
          <w:szCs w:val="30"/>
        </w:rPr>
        <w:lastRenderedPageBreak/>
        <w:t>Appendix A: Search Strategy</w:t>
      </w:r>
      <w:bookmarkEnd w:id="36"/>
      <w:bookmarkEnd w:id="37"/>
    </w:p>
    <w:p w14:paraId="0C43E8F0"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Databases: PubMed, CINAHL, EBSCOhost, SAGE Journals; supplemented by the UWTSD Library discovery service and grey literature searches of NHS England, Mencap, and </w:t>
      </w:r>
      <w:proofErr w:type="spellStart"/>
      <w:r w:rsidRPr="00C8561B">
        <w:rPr>
          <w:rFonts w:ascii="Arial" w:eastAsia="Calibri" w:hAnsi="Arial" w:cs="Arial"/>
        </w:rPr>
        <w:t>LeDeR</w:t>
      </w:r>
      <w:proofErr w:type="spellEnd"/>
      <w:r w:rsidRPr="00C8561B">
        <w:rPr>
          <w:rFonts w:ascii="Arial" w:eastAsia="Calibri" w:hAnsi="Arial" w:cs="Arial"/>
        </w:rPr>
        <w:t xml:space="preserve"> publications.</w:t>
      </w:r>
    </w:p>
    <w:p w14:paraId="244BECD2"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 xml:space="preserve">Example search string: ("learning </w:t>
      </w:r>
      <w:proofErr w:type="spellStart"/>
      <w:r w:rsidRPr="00C8561B">
        <w:rPr>
          <w:rFonts w:ascii="Arial" w:eastAsia="Calibri" w:hAnsi="Arial" w:cs="Arial"/>
        </w:rPr>
        <w:t>disabilit</w:t>
      </w:r>
      <w:proofErr w:type="spellEnd"/>
      <w:r w:rsidRPr="00C8561B">
        <w:rPr>
          <w:rFonts w:ascii="Arial" w:eastAsia="Calibri" w:hAnsi="Arial" w:cs="Arial"/>
        </w:rPr>
        <w:t xml:space="preserve">*" OR "intellectual </w:t>
      </w:r>
      <w:proofErr w:type="spellStart"/>
      <w:r w:rsidRPr="00C8561B">
        <w:rPr>
          <w:rFonts w:ascii="Arial" w:eastAsia="Calibri" w:hAnsi="Arial" w:cs="Arial"/>
        </w:rPr>
        <w:t>disabilit</w:t>
      </w:r>
      <w:proofErr w:type="spellEnd"/>
      <w:r w:rsidRPr="00C8561B">
        <w:rPr>
          <w:rFonts w:ascii="Arial" w:eastAsia="Calibri" w:hAnsi="Arial" w:cs="Arial"/>
        </w:rPr>
        <w:t xml:space="preserve">*") AND ("reasonable adjustment*" OR "annual health </w:t>
      </w:r>
      <w:proofErr w:type="gramStart"/>
      <w:r w:rsidRPr="00C8561B">
        <w:rPr>
          <w:rFonts w:ascii="Arial" w:eastAsia="Calibri" w:hAnsi="Arial" w:cs="Arial"/>
        </w:rPr>
        <w:t>check*"</w:t>
      </w:r>
      <w:proofErr w:type="gramEnd"/>
      <w:r w:rsidRPr="00C8561B">
        <w:rPr>
          <w:rFonts w:ascii="Arial" w:eastAsia="Calibri" w:hAnsi="Arial" w:cs="Arial"/>
        </w:rPr>
        <w:t xml:space="preserve"> OR "accessible communication" OR "hospital passport") AND ("primary care" OR "general practice" OR "GP").</w:t>
      </w:r>
    </w:p>
    <w:p w14:paraId="0FC8FF85"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Limits applied: English language; publication date 2010 to present (with seminal earlier policy reports included by hand-search); UK setting; adults aged 18 and over.</w:t>
      </w:r>
    </w:p>
    <w:p w14:paraId="2CFF52E1" w14:textId="77777777" w:rsidR="00C8561B" w:rsidRPr="00C8561B" w:rsidRDefault="00C8561B" w:rsidP="00C8561B">
      <w:pPr>
        <w:rPr>
          <w:rFonts w:ascii="Arial" w:hAnsi="Arial" w:cs="Arial"/>
        </w:rPr>
      </w:pPr>
      <w:r w:rsidRPr="00C8561B">
        <w:rPr>
          <w:rFonts w:ascii="Arial" w:hAnsi="Arial" w:cs="Arial"/>
        </w:rPr>
        <w:br w:type="page"/>
      </w:r>
    </w:p>
    <w:p w14:paraId="5A1B591A" w14:textId="77777777" w:rsidR="00C8561B" w:rsidRPr="00C8561B" w:rsidRDefault="00C8561B" w:rsidP="00C8561B">
      <w:pPr>
        <w:pStyle w:val="Heading1"/>
        <w:spacing w:before="400" w:after="200"/>
        <w:rPr>
          <w:rFonts w:ascii="Arial" w:hAnsi="Arial" w:cs="Arial"/>
        </w:rPr>
      </w:pPr>
      <w:bookmarkStart w:id="38" w:name="_Toc236953305"/>
      <w:bookmarkStart w:id="39" w:name="_Toc236953664"/>
      <w:r w:rsidRPr="00C8561B">
        <w:rPr>
          <w:rFonts w:ascii="Arial" w:eastAsia="Calibri" w:hAnsi="Arial" w:cs="Arial"/>
          <w:b/>
          <w:bCs/>
          <w:sz w:val="30"/>
          <w:szCs w:val="30"/>
        </w:rPr>
        <w:lastRenderedPageBreak/>
        <w:t>Appendix B: PRISMA-</w:t>
      </w:r>
      <w:proofErr w:type="spellStart"/>
      <w:r w:rsidRPr="00C8561B">
        <w:rPr>
          <w:rFonts w:ascii="Arial" w:eastAsia="Calibri" w:hAnsi="Arial" w:cs="Arial"/>
          <w:b/>
          <w:bCs/>
          <w:sz w:val="30"/>
          <w:szCs w:val="30"/>
        </w:rPr>
        <w:t>ScR</w:t>
      </w:r>
      <w:proofErr w:type="spellEnd"/>
      <w:r w:rsidRPr="00C8561B">
        <w:rPr>
          <w:rFonts w:ascii="Arial" w:eastAsia="Calibri" w:hAnsi="Arial" w:cs="Arial"/>
          <w:b/>
          <w:bCs/>
          <w:sz w:val="30"/>
          <w:szCs w:val="30"/>
        </w:rPr>
        <w:t xml:space="preserve"> Flow Diagram Detail</w:t>
      </w:r>
      <w:bookmarkEnd w:id="38"/>
      <w:bookmarkEnd w:id="39"/>
    </w:p>
    <w:p w14:paraId="663632B4"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Identification: 245 records identified through database searching (PubMed, CINAHL, EBSCOhost, SAGE Journals).</w:t>
      </w:r>
    </w:p>
    <w:p w14:paraId="484411AF"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Screening: 35 duplicates removed; 210 records screened by title/abstract; 182 excluded as ineligible.</w:t>
      </w:r>
    </w:p>
    <w:p w14:paraId="76674ECC"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Eligibility: 28 full-text articles assessed; 23 excluded (no primary care relevance; no findings on reasonable adjustments; duplicate/superseded report; ineligible study design).</w:t>
      </w:r>
    </w:p>
    <w:p w14:paraId="7446DB59" w14:textId="77777777" w:rsidR="00C8561B" w:rsidRPr="00C8561B" w:rsidRDefault="00C8561B" w:rsidP="00C8561B">
      <w:pPr>
        <w:spacing w:after="200" w:line="360" w:lineRule="auto"/>
        <w:jc w:val="both"/>
        <w:rPr>
          <w:rFonts w:ascii="Arial" w:hAnsi="Arial" w:cs="Arial"/>
        </w:rPr>
      </w:pPr>
      <w:r w:rsidRPr="00C8561B">
        <w:rPr>
          <w:rFonts w:ascii="Arial" w:eastAsia="Calibri" w:hAnsi="Arial" w:cs="Arial"/>
        </w:rPr>
        <w:t>Included: 5 studies included in the final synthesis (see Table 1, Section 4), supplemented narratively by UK legislation, NHS policy documents, and third-sector reports identified through hand-searching and grey literature searching.</w:t>
      </w:r>
    </w:p>
    <w:p w14:paraId="2C2C8482" w14:textId="77777777" w:rsidR="008B39A0" w:rsidRPr="00C8561B" w:rsidRDefault="008B39A0" w:rsidP="008B39A0">
      <w:pPr>
        <w:rPr>
          <w:rFonts w:ascii="Arial" w:hAnsi="Arial" w:cs="Arial"/>
          <w:b/>
          <w:bCs/>
          <w:sz w:val="28"/>
          <w:szCs w:val="28"/>
        </w:rPr>
      </w:pPr>
    </w:p>
    <w:sectPr w:rsidR="008B39A0" w:rsidRPr="00C8561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800D8" w14:textId="77777777" w:rsidR="00333131" w:rsidRDefault="00333131" w:rsidP="00D86C92">
      <w:pPr>
        <w:spacing w:after="0" w:line="240" w:lineRule="auto"/>
      </w:pPr>
      <w:r>
        <w:separator/>
      </w:r>
    </w:p>
  </w:endnote>
  <w:endnote w:type="continuationSeparator" w:id="0">
    <w:p w14:paraId="11457BB8" w14:textId="77777777" w:rsidR="00333131" w:rsidRDefault="00333131" w:rsidP="00D86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613AF7" w14:textId="77777777" w:rsidR="00333131" w:rsidRDefault="00333131" w:rsidP="00D86C92">
      <w:pPr>
        <w:spacing w:after="0" w:line="240" w:lineRule="auto"/>
      </w:pPr>
      <w:r>
        <w:separator/>
      </w:r>
    </w:p>
  </w:footnote>
  <w:footnote w:type="continuationSeparator" w:id="0">
    <w:p w14:paraId="100D6DFA" w14:textId="77777777" w:rsidR="00333131" w:rsidRDefault="00333131" w:rsidP="00D86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66CE8"/>
    <w:multiLevelType w:val="multilevel"/>
    <w:tmpl w:val="922AF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D2E78"/>
    <w:multiLevelType w:val="multilevel"/>
    <w:tmpl w:val="F110A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D05DAA"/>
    <w:multiLevelType w:val="multilevel"/>
    <w:tmpl w:val="26D2C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8248ED"/>
    <w:multiLevelType w:val="multilevel"/>
    <w:tmpl w:val="C136B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E500D7"/>
    <w:multiLevelType w:val="multilevel"/>
    <w:tmpl w:val="E48C9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516F4F"/>
    <w:multiLevelType w:val="multilevel"/>
    <w:tmpl w:val="CEA62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D2022B"/>
    <w:multiLevelType w:val="multilevel"/>
    <w:tmpl w:val="D6B09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FC49D9"/>
    <w:multiLevelType w:val="multilevel"/>
    <w:tmpl w:val="B0983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B3542C"/>
    <w:multiLevelType w:val="multilevel"/>
    <w:tmpl w:val="D3B8B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C21B32"/>
    <w:multiLevelType w:val="multilevel"/>
    <w:tmpl w:val="FEB28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126EAF"/>
    <w:multiLevelType w:val="multilevel"/>
    <w:tmpl w:val="FDD21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2B27B8"/>
    <w:multiLevelType w:val="multilevel"/>
    <w:tmpl w:val="FF668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C85984"/>
    <w:multiLevelType w:val="multilevel"/>
    <w:tmpl w:val="E132F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8D3BE3"/>
    <w:multiLevelType w:val="multilevel"/>
    <w:tmpl w:val="50F09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FA4304"/>
    <w:multiLevelType w:val="multilevel"/>
    <w:tmpl w:val="4EA21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CE1B13"/>
    <w:multiLevelType w:val="hybridMultilevel"/>
    <w:tmpl w:val="9BEAEEB4"/>
    <w:lvl w:ilvl="0" w:tplc="04B4A806">
      <w:start w:val="1"/>
      <w:numFmt w:val="bullet"/>
      <w:lvlText w:val="•"/>
      <w:lvlJc w:val="left"/>
      <w:pPr>
        <w:ind w:left="720" w:hanging="360"/>
      </w:pPr>
    </w:lvl>
    <w:lvl w:ilvl="1" w:tplc="887C9572">
      <w:numFmt w:val="decimal"/>
      <w:lvlText w:val=""/>
      <w:lvlJc w:val="left"/>
    </w:lvl>
    <w:lvl w:ilvl="2" w:tplc="DFA07A36">
      <w:numFmt w:val="decimal"/>
      <w:lvlText w:val=""/>
      <w:lvlJc w:val="left"/>
    </w:lvl>
    <w:lvl w:ilvl="3" w:tplc="D57ECFF6">
      <w:numFmt w:val="decimal"/>
      <w:lvlText w:val=""/>
      <w:lvlJc w:val="left"/>
    </w:lvl>
    <w:lvl w:ilvl="4" w:tplc="C35A10B8">
      <w:numFmt w:val="decimal"/>
      <w:lvlText w:val=""/>
      <w:lvlJc w:val="left"/>
    </w:lvl>
    <w:lvl w:ilvl="5" w:tplc="AF62EF24">
      <w:numFmt w:val="decimal"/>
      <w:lvlText w:val=""/>
      <w:lvlJc w:val="left"/>
    </w:lvl>
    <w:lvl w:ilvl="6" w:tplc="D8CEECD8">
      <w:numFmt w:val="decimal"/>
      <w:lvlText w:val=""/>
      <w:lvlJc w:val="left"/>
    </w:lvl>
    <w:lvl w:ilvl="7" w:tplc="B5F4C258">
      <w:numFmt w:val="decimal"/>
      <w:lvlText w:val=""/>
      <w:lvlJc w:val="left"/>
    </w:lvl>
    <w:lvl w:ilvl="8" w:tplc="441409C2">
      <w:numFmt w:val="decimal"/>
      <w:lvlText w:val=""/>
      <w:lvlJc w:val="left"/>
    </w:lvl>
  </w:abstractNum>
  <w:abstractNum w:abstractNumId="16" w15:restartNumberingAfterBreak="0">
    <w:nsid w:val="3C93087D"/>
    <w:multiLevelType w:val="multilevel"/>
    <w:tmpl w:val="B6F21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D2B6552"/>
    <w:multiLevelType w:val="multilevel"/>
    <w:tmpl w:val="694A9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497613"/>
    <w:multiLevelType w:val="multilevel"/>
    <w:tmpl w:val="001ED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104872"/>
    <w:multiLevelType w:val="multilevel"/>
    <w:tmpl w:val="F0D4B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225F16"/>
    <w:multiLevelType w:val="multilevel"/>
    <w:tmpl w:val="518E0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3442238"/>
    <w:multiLevelType w:val="multilevel"/>
    <w:tmpl w:val="07886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F32F67"/>
    <w:multiLevelType w:val="multilevel"/>
    <w:tmpl w:val="9B00E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2263BE"/>
    <w:multiLevelType w:val="multilevel"/>
    <w:tmpl w:val="8B4C5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9343B7"/>
    <w:multiLevelType w:val="multilevel"/>
    <w:tmpl w:val="273A5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096640"/>
    <w:multiLevelType w:val="multilevel"/>
    <w:tmpl w:val="0A70C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540C60"/>
    <w:multiLevelType w:val="multilevel"/>
    <w:tmpl w:val="E2569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2C09E3"/>
    <w:multiLevelType w:val="multilevel"/>
    <w:tmpl w:val="EC7E2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2D3088"/>
    <w:multiLevelType w:val="multilevel"/>
    <w:tmpl w:val="3F4A4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47622E"/>
    <w:multiLevelType w:val="multilevel"/>
    <w:tmpl w:val="A8460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C63E75"/>
    <w:multiLevelType w:val="multilevel"/>
    <w:tmpl w:val="9B661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374A13"/>
    <w:multiLevelType w:val="multilevel"/>
    <w:tmpl w:val="234E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D6613E7"/>
    <w:multiLevelType w:val="multilevel"/>
    <w:tmpl w:val="6860A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A025E5"/>
    <w:multiLevelType w:val="multilevel"/>
    <w:tmpl w:val="DDD4A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E2B1BC2"/>
    <w:multiLevelType w:val="multilevel"/>
    <w:tmpl w:val="4EA21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8851661">
    <w:abstractNumId w:val="31"/>
  </w:num>
  <w:num w:numId="2" w16cid:durableId="1460686188">
    <w:abstractNumId w:val="25"/>
  </w:num>
  <w:num w:numId="3" w16cid:durableId="1959291297">
    <w:abstractNumId w:val="33"/>
  </w:num>
  <w:num w:numId="4" w16cid:durableId="2095128214">
    <w:abstractNumId w:val="0"/>
  </w:num>
  <w:num w:numId="5" w16cid:durableId="364865789">
    <w:abstractNumId w:val="10"/>
  </w:num>
  <w:num w:numId="6" w16cid:durableId="1536886209">
    <w:abstractNumId w:val="30"/>
  </w:num>
  <w:num w:numId="7" w16cid:durableId="851839502">
    <w:abstractNumId w:val="7"/>
  </w:num>
  <w:num w:numId="8" w16cid:durableId="2103451837">
    <w:abstractNumId w:val="19"/>
  </w:num>
  <w:num w:numId="9" w16cid:durableId="2022970823">
    <w:abstractNumId w:val="32"/>
  </w:num>
  <w:num w:numId="10" w16cid:durableId="366806060">
    <w:abstractNumId w:val="6"/>
  </w:num>
  <w:num w:numId="11" w16cid:durableId="1485075991">
    <w:abstractNumId w:val="13"/>
  </w:num>
  <w:num w:numId="12" w16cid:durableId="577398134">
    <w:abstractNumId w:val="12"/>
  </w:num>
  <w:num w:numId="13" w16cid:durableId="1544638325">
    <w:abstractNumId w:val="24"/>
  </w:num>
  <w:num w:numId="14" w16cid:durableId="1211958101">
    <w:abstractNumId w:val="4"/>
  </w:num>
  <w:num w:numId="15" w16cid:durableId="214394211">
    <w:abstractNumId w:val="9"/>
  </w:num>
  <w:num w:numId="16" w16cid:durableId="1145589150">
    <w:abstractNumId w:val="26"/>
  </w:num>
  <w:num w:numId="17" w16cid:durableId="305819613">
    <w:abstractNumId w:val="27"/>
  </w:num>
  <w:num w:numId="18" w16cid:durableId="1975333628">
    <w:abstractNumId w:val="21"/>
  </w:num>
  <w:num w:numId="19" w16cid:durableId="1464537582">
    <w:abstractNumId w:val="11"/>
  </w:num>
  <w:num w:numId="20" w16cid:durableId="460542761">
    <w:abstractNumId w:val="1"/>
  </w:num>
  <w:num w:numId="21" w16cid:durableId="474181617">
    <w:abstractNumId w:val="3"/>
  </w:num>
  <w:num w:numId="22" w16cid:durableId="2142264348">
    <w:abstractNumId w:val="18"/>
  </w:num>
  <w:num w:numId="23" w16cid:durableId="1624386393">
    <w:abstractNumId w:val="23"/>
  </w:num>
  <w:num w:numId="24" w16cid:durableId="250629948">
    <w:abstractNumId w:val="16"/>
  </w:num>
  <w:num w:numId="25" w16cid:durableId="601376968">
    <w:abstractNumId w:val="28"/>
  </w:num>
  <w:num w:numId="26" w16cid:durableId="1880236591">
    <w:abstractNumId w:val="29"/>
  </w:num>
  <w:num w:numId="27" w16cid:durableId="1196383613">
    <w:abstractNumId w:val="8"/>
  </w:num>
  <w:num w:numId="28" w16cid:durableId="815874762">
    <w:abstractNumId w:val="2"/>
  </w:num>
  <w:num w:numId="29" w16cid:durableId="1610508522">
    <w:abstractNumId w:val="17"/>
  </w:num>
  <w:num w:numId="30" w16cid:durableId="457261295">
    <w:abstractNumId w:val="5"/>
  </w:num>
  <w:num w:numId="31" w16cid:durableId="740912703">
    <w:abstractNumId w:val="20"/>
  </w:num>
  <w:num w:numId="32" w16cid:durableId="2135707385">
    <w:abstractNumId w:val="22"/>
  </w:num>
  <w:num w:numId="33" w16cid:durableId="1413158944">
    <w:abstractNumId w:val="14"/>
  </w:num>
  <w:num w:numId="34" w16cid:durableId="493304390">
    <w:abstractNumId w:val="34"/>
  </w:num>
  <w:num w:numId="35" w16cid:durableId="1730809466">
    <w:abstractNumId w:val="15"/>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C87"/>
    <w:rsid w:val="00021748"/>
    <w:rsid w:val="000527DD"/>
    <w:rsid w:val="00053358"/>
    <w:rsid w:val="000E04B9"/>
    <w:rsid w:val="000F618B"/>
    <w:rsid w:val="0013355F"/>
    <w:rsid w:val="00160C50"/>
    <w:rsid w:val="001E2807"/>
    <w:rsid w:val="00204C87"/>
    <w:rsid w:val="00232963"/>
    <w:rsid w:val="002401ED"/>
    <w:rsid w:val="00260F07"/>
    <w:rsid w:val="002A59E7"/>
    <w:rsid w:val="002B74B5"/>
    <w:rsid w:val="002D0025"/>
    <w:rsid w:val="002E53BC"/>
    <w:rsid w:val="00321526"/>
    <w:rsid w:val="00326F2D"/>
    <w:rsid w:val="00333131"/>
    <w:rsid w:val="00344B99"/>
    <w:rsid w:val="00375F21"/>
    <w:rsid w:val="00392407"/>
    <w:rsid w:val="003B24AB"/>
    <w:rsid w:val="003C3234"/>
    <w:rsid w:val="0042499B"/>
    <w:rsid w:val="00424DBB"/>
    <w:rsid w:val="0054374B"/>
    <w:rsid w:val="00592C1C"/>
    <w:rsid w:val="005A5A5A"/>
    <w:rsid w:val="005D3FA9"/>
    <w:rsid w:val="005F4006"/>
    <w:rsid w:val="00631BCA"/>
    <w:rsid w:val="00634A43"/>
    <w:rsid w:val="00640903"/>
    <w:rsid w:val="00685B42"/>
    <w:rsid w:val="0069047B"/>
    <w:rsid w:val="006F188C"/>
    <w:rsid w:val="006F1B8F"/>
    <w:rsid w:val="0072371D"/>
    <w:rsid w:val="00724D45"/>
    <w:rsid w:val="007B72E0"/>
    <w:rsid w:val="007D323F"/>
    <w:rsid w:val="007F4152"/>
    <w:rsid w:val="008079B7"/>
    <w:rsid w:val="008A076A"/>
    <w:rsid w:val="008B39A0"/>
    <w:rsid w:val="008D0E68"/>
    <w:rsid w:val="0090678F"/>
    <w:rsid w:val="00934CF8"/>
    <w:rsid w:val="0095131A"/>
    <w:rsid w:val="00976BDE"/>
    <w:rsid w:val="009B73C2"/>
    <w:rsid w:val="009C77A3"/>
    <w:rsid w:val="009E7532"/>
    <w:rsid w:val="00A01A1F"/>
    <w:rsid w:val="00A25BDD"/>
    <w:rsid w:val="00A95D86"/>
    <w:rsid w:val="00B06C08"/>
    <w:rsid w:val="00B3494A"/>
    <w:rsid w:val="00B71F2C"/>
    <w:rsid w:val="00B83EAE"/>
    <w:rsid w:val="00B91C7E"/>
    <w:rsid w:val="00BC538F"/>
    <w:rsid w:val="00C05A64"/>
    <w:rsid w:val="00C2209D"/>
    <w:rsid w:val="00C31565"/>
    <w:rsid w:val="00C8561B"/>
    <w:rsid w:val="00CD76D4"/>
    <w:rsid w:val="00D51BAE"/>
    <w:rsid w:val="00D67FC7"/>
    <w:rsid w:val="00D86C92"/>
    <w:rsid w:val="00D97632"/>
    <w:rsid w:val="00DF3D2F"/>
    <w:rsid w:val="00E12771"/>
    <w:rsid w:val="00E358D4"/>
    <w:rsid w:val="00EB3625"/>
    <w:rsid w:val="00EB7F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AE1FF"/>
  <w15:chartTrackingRefBased/>
  <w15:docId w15:val="{51285D8C-8E55-451F-A3AC-88745D666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C87"/>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204C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4C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4C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4C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4C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4C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4C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4C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4C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C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4C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4C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4C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4C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4C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4C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4C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4C87"/>
    <w:rPr>
      <w:rFonts w:eastAsiaTheme="majorEastAsia" w:cstheme="majorBidi"/>
      <w:color w:val="272727" w:themeColor="text1" w:themeTint="D8"/>
    </w:rPr>
  </w:style>
  <w:style w:type="paragraph" w:styleId="Title">
    <w:name w:val="Title"/>
    <w:basedOn w:val="Normal"/>
    <w:next w:val="Normal"/>
    <w:link w:val="TitleChar"/>
    <w:uiPriority w:val="10"/>
    <w:qFormat/>
    <w:rsid w:val="00204C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C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4C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4C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4C87"/>
    <w:pPr>
      <w:spacing w:before="160"/>
      <w:jc w:val="center"/>
    </w:pPr>
    <w:rPr>
      <w:i/>
      <w:iCs/>
      <w:color w:val="404040" w:themeColor="text1" w:themeTint="BF"/>
    </w:rPr>
  </w:style>
  <w:style w:type="character" w:customStyle="1" w:styleId="QuoteChar">
    <w:name w:val="Quote Char"/>
    <w:basedOn w:val="DefaultParagraphFont"/>
    <w:link w:val="Quote"/>
    <w:uiPriority w:val="29"/>
    <w:rsid w:val="00204C87"/>
    <w:rPr>
      <w:i/>
      <w:iCs/>
      <w:color w:val="404040" w:themeColor="text1" w:themeTint="BF"/>
    </w:rPr>
  </w:style>
  <w:style w:type="paragraph" w:styleId="ListParagraph">
    <w:name w:val="List Paragraph"/>
    <w:basedOn w:val="Normal"/>
    <w:qFormat/>
    <w:rsid w:val="00204C87"/>
    <w:pPr>
      <w:ind w:left="720"/>
      <w:contextualSpacing/>
    </w:pPr>
  </w:style>
  <w:style w:type="character" w:styleId="IntenseEmphasis">
    <w:name w:val="Intense Emphasis"/>
    <w:basedOn w:val="DefaultParagraphFont"/>
    <w:uiPriority w:val="21"/>
    <w:qFormat/>
    <w:rsid w:val="00204C87"/>
    <w:rPr>
      <w:i/>
      <w:iCs/>
      <w:color w:val="0F4761" w:themeColor="accent1" w:themeShade="BF"/>
    </w:rPr>
  </w:style>
  <w:style w:type="paragraph" w:styleId="IntenseQuote">
    <w:name w:val="Intense Quote"/>
    <w:basedOn w:val="Normal"/>
    <w:next w:val="Normal"/>
    <w:link w:val="IntenseQuoteChar"/>
    <w:uiPriority w:val="30"/>
    <w:qFormat/>
    <w:rsid w:val="00204C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4C87"/>
    <w:rPr>
      <w:i/>
      <w:iCs/>
      <w:color w:val="0F4761" w:themeColor="accent1" w:themeShade="BF"/>
    </w:rPr>
  </w:style>
  <w:style w:type="character" w:styleId="IntenseReference">
    <w:name w:val="Intense Reference"/>
    <w:basedOn w:val="DefaultParagraphFont"/>
    <w:uiPriority w:val="32"/>
    <w:qFormat/>
    <w:rsid w:val="00204C87"/>
    <w:rPr>
      <w:b/>
      <w:bCs/>
      <w:smallCaps/>
      <w:color w:val="0F4761" w:themeColor="accent1" w:themeShade="BF"/>
      <w:spacing w:val="5"/>
    </w:rPr>
  </w:style>
  <w:style w:type="character" w:styleId="Strong">
    <w:name w:val="Strong"/>
    <w:basedOn w:val="DefaultParagraphFont"/>
    <w:uiPriority w:val="22"/>
    <w:qFormat/>
    <w:rsid w:val="00204C87"/>
    <w:rPr>
      <w:b/>
      <w:bCs/>
    </w:rPr>
  </w:style>
  <w:style w:type="paragraph" w:styleId="NormalWeb">
    <w:name w:val="Normal (Web)"/>
    <w:basedOn w:val="Normal"/>
    <w:uiPriority w:val="99"/>
    <w:unhideWhenUsed/>
    <w:rsid w:val="00D97632"/>
    <w:pPr>
      <w:spacing w:before="100" w:beforeAutospacing="1" w:after="100" w:afterAutospacing="1" w:line="240" w:lineRule="auto"/>
    </w:pPr>
    <w:rPr>
      <w:rFonts w:ascii="Times New Roman" w:eastAsia="Times New Roman" w:hAnsi="Times New Roman" w:cs="Times New Roman"/>
      <w:lang w:val="en-GB" w:eastAsia="en-GB"/>
    </w:rPr>
  </w:style>
  <w:style w:type="paragraph" w:styleId="TOC1">
    <w:name w:val="toc 1"/>
    <w:basedOn w:val="Normal"/>
    <w:next w:val="Normal"/>
    <w:autoRedefine/>
    <w:uiPriority w:val="39"/>
    <w:unhideWhenUsed/>
    <w:rsid w:val="00C31565"/>
    <w:pPr>
      <w:tabs>
        <w:tab w:val="right" w:leader="dot" w:pos="9016"/>
      </w:tabs>
      <w:spacing w:after="100"/>
    </w:pPr>
  </w:style>
  <w:style w:type="paragraph" w:styleId="TOC3">
    <w:name w:val="toc 3"/>
    <w:basedOn w:val="Normal"/>
    <w:next w:val="Normal"/>
    <w:autoRedefine/>
    <w:uiPriority w:val="39"/>
    <w:unhideWhenUsed/>
    <w:rsid w:val="00375F21"/>
    <w:pPr>
      <w:spacing w:after="100"/>
      <w:ind w:left="480"/>
    </w:pPr>
  </w:style>
  <w:style w:type="paragraph" w:styleId="TOC2">
    <w:name w:val="toc 2"/>
    <w:basedOn w:val="Normal"/>
    <w:next w:val="Normal"/>
    <w:autoRedefine/>
    <w:uiPriority w:val="39"/>
    <w:unhideWhenUsed/>
    <w:rsid w:val="00375F21"/>
    <w:pPr>
      <w:spacing w:after="100"/>
      <w:ind w:left="240"/>
    </w:pPr>
  </w:style>
  <w:style w:type="character" w:styleId="Hyperlink">
    <w:name w:val="Hyperlink"/>
    <w:basedOn w:val="DefaultParagraphFont"/>
    <w:uiPriority w:val="99"/>
    <w:unhideWhenUsed/>
    <w:rsid w:val="00375F21"/>
    <w:rPr>
      <w:color w:val="467886" w:themeColor="hyperlink"/>
      <w:u w:val="single"/>
    </w:rPr>
  </w:style>
  <w:style w:type="paragraph" w:styleId="Header">
    <w:name w:val="header"/>
    <w:basedOn w:val="Normal"/>
    <w:link w:val="HeaderChar"/>
    <w:uiPriority w:val="99"/>
    <w:unhideWhenUsed/>
    <w:rsid w:val="00D86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C92"/>
    <w:rPr>
      <w:rFonts w:eastAsiaTheme="minorEastAsia"/>
      <w:kern w:val="0"/>
      <w:lang w:val="en-US" w:eastAsia="ja-JP"/>
      <w14:ligatures w14:val="none"/>
    </w:rPr>
  </w:style>
  <w:style w:type="paragraph" w:styleId="Footer">
    <w:name w:val="footer"/>
    <w:basedOn w:val="Normal"/>
    <w:link w:val="FooterChar"/>
    <w:uiPriority w:val="99"/>
    <w:unhideWhenUsed/>
    <w:rsid w:val="00D86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C92"/>
    <w:rPr>
      <w:rFonts w:eastAsiaTheme="minorEastAsia"/>
      <w:kern w:val="0"/>
      <w:lang w:val="en-US" w:eastAsia="ja-JP"/>
      <w14:ligatures w14:val="none"/>
    </w:rPr>
  </w:style>
  <w:style w:type="paragraph" w:styleId="TOCHeading">
    <w:name w:val="TOC Heading"/>
    <w:basedOn w:val="Heading1"/>
    <w:next w:val="Normal"/>
    <w:uiPriority w:val="39"/>
    <w:unhideWhenUsed/>
    <w:qFormat/>
    <w:rsid w:val="00C2209D"/>
    <w:pPr>
      <w:spacing w:before="240" w:after="0" w:line="259" w:lineRule="auto"/>
      <w:outlineLvl w:val="9"/>
    </w:pPr>
    <w:rPr>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5679E1-72A7-4017-B5BD-285A333E7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4800</Words>
  <Characters>27360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 chiova</dc:creator>
  <cp:keywords/>
  <dc:description/>
  <cp:lastModifiedBy>rama chiova</cp:lastModifiedBy>
  <cp:revision>2</cp:revision>
  <dcterms:created xsi:type="dcterms:W3CDTF">2026-08-06T23:09:00Z</dcterms:created>
  <dcterms:modified xsi:type="dcterms:W3CDTF">2026-08-06T23:09:00Z</dcterms:modified>
</cp:coreProperties>
</file>