
<file path=[Content_Types].xml><?xml version="1.0" encoding="utf-8"?>
<Types xmlns="http://schemas.openxmlformats.org/package/2006/content-types">
  <Override PartName="/word/footnotes.xml" ContentType="application/vnd.openxmlformats-officedocument.wordprocessingml.footnotes+xml"/>
  <Default Extension="png" ContentType="image/png"/>
  <Override PartName="/customXml/itemProps1.xml" ContentType="application/vnd.openxmlformats-officedocument.customXmlProperties+xml"/>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tylesWithEffects.xml" ContentType="application/vnd.ms-word.stylesWithEffect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6858DE" w:rsidRDefault="00C06DFE" w:rsidP="00C06DFE">
      <w:pPr>
        <w:pStyle w:val="Title"/>
      </w:pPr>
      <w:r>
        <w:rPr>
          <w:noProof/>
          <w:lang w:val="en-US"/>
        </w:rPr>
        <w:drawing>
          <wp:inline distT="0" distB="0" distL="0" distR="0">
            <wp:extent cx="5724525" cy="5733230"/>
            <wp:effectExtent l="19050" t="0" r="9525" b="0"/>
            <wp:docPr id="3" name="Picture 3" descr="C:\Users\Dell\AppData\Local\Microsoft\Windows\INetCache\Content.Word\poza coperta.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descr="C:\Users\Dell\AppData\Local\Microsoft\Windows\INetCache\Content.Word\poza coperta.png"/>
                    <pic:cNvPicPr>
                      <a:picLocks noChangeAspect="1" noChangeArrowheads="1"/>
                    </pic:cNvPicPr>
                  </pic:nvPicPr>
                  <pic:blipFill>
                    <a:blip r:embed="rId8"/>
                    <a:srcRect/>
                    <a:stretch>
                      <a:fillRect/>
                    </a:stretch>
                  </pic:blipFill>
                  <pic:spPr bwMode="auto">
                    <a:xfrm>
                      <a:off x="0" y="0"/>
                      <a:ext cx="5725228" cy="5733934"/>
                    </a:xfrm>
                    <a:prstGeom prst="rect">
                      <a:avLst/>
                    </a:prstGeom>
                    <a:noFill/>
                    <a:ln w="9525">
                      <a:noFill/>
                      <a:miter lim="800000"/>
                      <a:headEnd/>
                      <a:tailEnd/>
                    </a:ln>
                  </pic:spPr>
                </pic:pic>
              </a:graphicData>
            </a:graphic>
          </wp:inline>
        </w:drawing>
      </w:r>
    </w:p>
    <w:p w:rsidR="006858DE" w:rsidRDefault="006858DE" w:rsidP="006858DE">
      <w:pPr>
        <w:jc w:val="right"/>
      </w:pPr>
    </w:p>
    <w:p w:rsidR="006858DE" w:rsidRDefault="006858DE" w:rsidP="006858DE">
      <w:pPr>
        <w:jc w:val="right"/>
      </w:pPr>
    </w:p>
    <w:p w:rsidR="006858DE" w:rsidRDefault="006858DE" w:rsidP="006858DE">
      <w:pPr>
        <w:jc w:val="right"/>
      </w:pPr>
    </w:p>
    <w:p w:rsidR="00E7196F" w:rsidRDefault="00E7196F" w:rsidP="006858DE">
      <w:pPr>
        <w:jc w:val="right"/>
      </w:pPr>
    </w:p>
    <w:p w:rsidR="00E7196F" w:rsidRDefault="00E7196F" w:rsidP="006858DE">
      <w:pPr>
        <w:jc w:val="right"/>
      </w:pPr>
    </w:p>
    <w:p w:rsidR="00C06DFE" w:rsidRDefault="00C06DFE" w:rsidP="006858DE">
      <w:pPr>
        <w:jc w:val="right"/>
      </w:pPr>
    </w:p>
    <w:p w:rsidR="00C06DFE" w:rsidRDefault="00C06DFE">
      <w:pPr>
        <w:spacing w:after="200" w:line="276" w:lineRule="auto"/>
        <w:jc w:val="left"/>
      </w:pPr>
    </w:p>
    <w:p w:rsidR="006858DE" w:rsidRDefault="00C06DFE" w:rsidP="006858DE">
      <w:pPr>
        <w:jc w:val="right"/>
      </w:pPr>
      <w: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458.25pt;height:8in">
            <v:imagedata r:id="rId9" o:title="poza 1"/>
          </v:shape>
        </w:pict>
      </w:r>
    </w:p>
    <w:p w:rsidR="00C06DFE" w:rsidRDefault="00C06DFE" w:rsidP="00E7196F">
      <w:pPr>
        <w:tabs>
          <w:tab w:val="left" w:pos="1110"/>
        </w:tabs>
        <w:jc w:val="left"/>
        <w:rPr>
          <w:b/>
          <w:sz w:val="28"/>
          <w:szCs w:val="28"/>
        </w:rPr>
      </w:pPr>
    </w:p>
    <w:p w:rsidR="00C06DFE" w:rsidRDefault="00C06DFE">
      <w:pPr>
        <w:spacing w:after="200" w:line="276" w:lineRule="auto"/>
        <w:jc w:val="left"/>
        <w:rPr>
          <w:b/>
          <w:sz w:val="28"/>
          <w:szCs w:val="28"/>
        </w:rPr>
      </w:pPr>
    </w:p>
    <w:p w:rsidR="00C06DFE" w:rsidRDefault="00C06DFE">
      <w:pPr>
        <w:spacing w:after="200" w:line="276" w:lineRule="auto"/>
        <w:jc w:val="left"/>
        <w:rPr>
          <w:b/>
          <w:sz w:val="28"/>
          <w:szCs w:val="28"/>
        </w:rPr>
      </w:pPr>
    </w:p>
    <w:p w:rsidR="00C06DFE" w:rsidRDefault="00C06DFE">
      <w:pPr>
        <w:spacing w:after="200" w:line="276" w:lineRule="auto"/>
        <w:jc w:val="left"/>
        <w:rPr>
          <w:b/>
          <w:sz w:val="28"/>
          <w:szCs w:val="28"/>
        </w:rPr>
      </w:pPr>
    </w:p>
    <w:p w:rsidR="00C06DFE" w:rsidRDefault="00C06DFE">
      <w:pPr>
        <w:spacing w:after="200" w:line="276" w:lineRule="auto"/>
        <w:jc w:val="left"/>
        <w:rPr>
          <w:b/>
          <w:sz w:val="28"/>
          <w:szCs w:val="28"/>
        </w:rPr>
      </w:pPr>
      <w:r>
        <w:rPr>
          <w:b/>
          <w:sz w:val="28"/>
          <w:szCs w:val="28"/>
        </w:rPr>
        <w:pict>
          <v:shape id="_x0000_i1026" type="#_x0000_t75" style="width:407.25pt;height:553.5pt">
            <v:imagedata r:id="rId10" o:title="Poza 2"/>
          </v:shape>
        </w:pict>
      </w:r>
      <w:r>
        <w:rPr>
          <w:b/>
          <w:sz w:val="28"/>
          <w:szCs w:val="28"/>
        </w:rPr>
        <w:br w:type="page"/>
      </w:r>
    </w:p>
    <w:p w:rsidR="00C06DFE" w:rsidRDefault="00C06DFE" w:rsidP="00E7196F">
      <w:pPr>
        <w:tabs>
          <w:tab w:val="left" w:pos="1110"/>
        </w:tabs>
        <w:jc w:val="left"/>
        <w:rPr>
          <w:b/>
          <w:sz w:val="28"/>
          <w:szCs w:val="28"/>
        </w:rPr>
      </w:pPr>
    </w:p>
    <w:p w:rsidR="00C06DFE" w:rsidRDefault="00C06DFE">
      <w:pPr>
        <w:spacing w:after="200" w:line="276" w:lineRule="auto"/>
        <w:jc w:val="left"/>
        <w:rPr>
          <w:b/>
          <w:sz w:val="28"/>
          <w:szCs w:val="28"/>
        </w:rPr>
      </w:pPr>
    </w:p>
    <w:p w:rsidR="00E7196F" w:rsidRDefault="00C06DFE" w:rsidP="00E7196F">
      <w:pPr>
        <w:tabs>
          <w:tab w:val="left" w:pos="1110"/>
        </w:tabs>
        <w:jc w:val="left"/>
        <w:rPr>
          <w:b/>
          <w:sz w:val="28"/>
          <w:szCs w:val="28"/>
        </w:rPr>
      </w:pPr>
      <w:r>
        <w:rPr>
          <w:b/>
          <w:noProof/>
          <w:sz w:val="28"/>
          <w:szCs w:val="28"/>
          <w:lang w:val="en-US"/>
        </w:rPr>
        <w:drawing>
          <wp:inline distT="0" distB="0" distL="0" distR="0">
            <wp:extent cx="5363472" cy="7210425"/>
            <wp:effectExtent l="19050" t="0" r="8628" b="0"/>
            <wp:docPr id="1" name="Picture 0" descr="poza 3.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oza 3.png"/>
                    <pic:cNvPicPr/>
                  </pic:nvPicPr>
                  <pic:blipFill>
                    <a:blip r:embed="rId11"/>
                    <a:stretch>
                      <a:fillRect/>
                    </a:stretch>
                  </pic:blipFill>
                  <pic:spPr>
                    <a:xfrm>
                      <a:off x="0" y="0"/>
                      <a:ext cx="5364221" cy="7211432"/>
                    </a:xfrm>
                    <a:prstGeom prst="rect">
                      <a:avLst/>
                    </a:prstGeom>
                  </pic:spPr>
                </pic:pic>
              </a:graphicData>
            </a:graphic>
          </wp:inline>
        </w:drawing>
      </w:r>
    </w:p>
    <w:p w:rsidR="00C06DFE" w:rsidRDefault="00C06DFE">
      <w:pPr>
        <w:spacing w:after="200" w:line="276" w:lineRule="auto"/>
        <w:jc w:val="left"/>
        <w:rPr>
          <w:b/>
          <w:sz w:val="28"/>
          <w:szCs w:val="28"/>
        </w:rPr>
      </w:pPr>
      <w:r>
        <w:rPr>
          <w:b/>
          <w:sz w:val="28"/>
          <w:szCs w:val="28"/>
        </w:rPr>
        <w:br w:type="page"/>
      </w:r>
      <w:r w:rsidR="005021A2">
        <w:rPr>
          <w:b/>
          <w:noProof/>
          <w:sz w:val="28"/>
          <w:szCs w:val="28"/>
          <w:lang w:val="en-US"/>
        </w:rPr>
        <w:lastRenderedPageBreak/>
        <w:drawing>
          <wp:inline distT="0" distB="0" distL="0" distR="0">
            <wp:extent cx="5361551" cy="6677025"/>
            <wp:effectExtent l="19050" t="0" r="0" b="0"/>
            <wp:docPr id="2" name="Picture 1" descr="poza 4.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oza 4.png"/>
                    <pic:cNvPicPr/>
                  </pic:nvPicPr>
                  <pic:blipFill>
                    <a:blip r:embed="rId12"/>
                    <a:stretch>
                      <a:fillRect/>
                    </a:stretch>
                  </pic:blipFill>
                  <pic:spPr>
                    <a:xfrm>
                      <a:off x="0" y="0"/>
                      <a:ext cx="5362300" cy="6677958"/>
                    </a:xfrm>
                    <a:prstGeom prst="rect">
                      <a:avLst/>
                    </a:prstGeom>
                  </pic:spPr>
                </pic:pic>
              </a:graphicData>
            </a:graphic>
          </wp:inline>
        </w:drawing>
      </w:r>
    </w:p>
    <w:p w:rsidR="00E7196F" w:rsidRDefault="00E7196F" w:rsidP="00E7196F">
      <w:pPr>
        <w:tabs>
          <w:tab w:val="left" w:pos="1110"/>
        </w:tabs>
        <w:jc w:val="left"/>
        <w:rPr>
          <w:b/>
          <w:sz w:val="28"/>
          <w:szCs w:val="28"/>
        </w:rPr>
      </w:pPr>
    </w:p>
    <w:p w:rsidR="00E7196F" w:rsidRDefault="00E7196F" w:rsidP="00E7196F">
      <w:pPr>
        <w:tabs>
          <w:tab w:val="left" w:pos="1110"/>
        </w:tabs>
        <w:jc w:val="left"/>
        <w:rPr>
          <w:b/>
          <w:sz w:val="28"/>
          <w:szCs w:val="28"/>
        </w:rPr>
      </w:pPr>
    </w:p>
    <w:p w:rsidR="00E7196F" w:rsidRDefault="00E7196F" w:rsidP="00E7196F">
      <w:pPr>
        <w:tabs>
          <w:tab w:val="left" w:pos="1110"/>
        </w:tabs>
        <w:jc w:val="left"/>
        <w:rPr>
          <w:b/>
          <w:sz w:val="28"/>
          <w:szCs w:val="28"/>
        </w:rPr>
      </w:pPr>
    </w:p>
    <w:p w:rsidR="00E7196F" w:rsidRDefault="00E7196F" w:rsidP="00E7196F">
      <w:pPr>
        <w:tabs>
          <w:tab w:val="left" w:pos="1110"/>
        </w:tabs>
        <w:jc w:val="left"/>
        <w:rPr>
          <w:b/>
          <w:sz w:val="28"/>
          <w:szCs w:val="28"/>
        </w:rPr>
      </w:pPr>
    </w:p>
    <w:p w:rsidR="000E6DE7" w:rsidRDefault="005021A2" w:rsidP="000E6DE7">
      <w:r>
        <w:rPr>
          <w:noProof/>
          <w:lang w:val="en-US"/>
        </w:rPr>
        <w:drawing>
          <wp:inline distT="0" distB="0" distL="0" distR="0">
            <wp:extent cx="5849167" cy="5830114"/>
            <wp:effectExtent l="19050" t="0" r="0" b="0"/>
            <wp:docPr id="4" name="Picture 3" descr="poza 5.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oza 5.png"/>
                    <pic:cNvPicPr/>
                  </pic:nvPicPr>
                  <pic:blipFill>
                    <a:blip r:embed="rId13"/>
                    <a:stretch>
                      <a:fillRect/>
                    </a:stretch>
                  </pic:blipFill>
                  <pic:spPr>
                    <a:xfrm>
                      <a:off x="0" y="0"/>
                      <a:ext cx="5849167" cy="5830114"/>
                    </a:xfrm>
                    <a:prstGeom prst="rect">
                      <a:avLst/>
                    </a:prstGeom>
                  </pic:spPr>
                </pic:pic>
              </a:graphicData>
            </a:graphic>
          </wp:inline>
        </w:drawing>
      </w:r>
    </w:p>
    <w:p w:rsidR="00A13F5C" w:rsidRDefault="00A13F5C" w:rsidP="000E6DE7">
      <w:pPr>
        <w:rPr>
          <w:b/>
        </w:rPr>
      </w:pPr>
    </w:p>
    <w:p w:rsidR="005021A2" w:rsidRDefault="005021A2" w:rsidP="000E6DE7">
      <w:pPr>
        <w:rPr>
          <w:b/>
        </w:rPr>
      </w:pPr>
    </w:p>
    <w:p w:rsidR="00A13F5C" w:rsidRDefault="00A13F5C" w:rsidP="000E6DE7">
      <w:pPr>
        <w:rPr>
          <w:b/>
        </w:rPr>
      </w:pPr>
    </w:p>
    <w:p w:rsidR="000E6DE7" w:rsidRDefault="000E6DE7" w:rsidP="000E6DE7">
      <w:pPr>
        <w:rPr>
          <w:b/>
        </w:rPr>
      </w:pPr>
      <w:r w:rsidRPr="005662F4">
        <w:rPr>
          <w:b/>
        </w:rPr>
        <w:t xml:space="preserve"> </w:t>
      </w:r>
    </w:p>
    <w:p w:rsidR="000E6DE7" w:rsidRDefault="000E6DE7" w:rsidP="000E6DE7">
      <w:pPr>
        <w:rPr>
          <w:b/>
        </w:rPr>
      </w:pPr>
    </w:p>
    <w:p w:rsidR="000E6DE7" w:rsidRDefault="000E6DE7" w:rsidP="000E6DE7">
      <w:pPr>
        <w:spacing w:after="200" w:line="276" w:lineRule="auto"/>
        <w:jc w:val="left"/>
        <w:rPr>
          <w:b/>
        </w:rPr>
      </w:pPr>
      <w:r>
        <w:rPr>
          <w:b/>
        </w:rPr>
        <w:br w:type="page"/>
      </w:r>
      <w:r w:rsidR="005021A2">
        <w:rPr>
          <w:b/>
          <w:noProof/>
          <w:lang w:val="en-US"/>
        </w:rPr>
        <w:lastRenderedPageBreak/>
        <w:drawing>
          <wp:inline distT="0" distB="0" distL="0" distR="0">
            <wp:extent cx="5601482" cy="5058481"/>
            <wp:effectExtent l="19050" t="0" r="0" b="0"/>
            <wp:docPr id="5" name="Picture 4" descr="poza 6.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oza 6.png"/>
                    <pic:cNvPicPr/>
                  </pic:nvPicPr>
                  <pic:blipFill>
                    <a:blip r:embed="rId14"/>
                    <a:stretch>
                      <a:fillRect/>
                    </a:stretch>
                  </pic:blipFill>
                  <pic:spPr>
                    <a:xfrm>
                      <a:off x="0" y="0"/>
                      <a:ext cx="5601482" cy="5058481"/>
                    </a:xfrm>
                    <a:prstGeom prst="rect">
                      <a:avLst/>
                    </a:prstGeom>
                  </pic:spPr>
                </pic:pic>
              </a:graphicData>
            </a:graphic>
          </wp:inline>
        </w:drawing>
      </w:r>
    </w:p>
    <w:p w:rsidR="005021A2" w:rsidRDefault="005021A2" w:rsidP="000E6DE7">
      <w:pPr>
        <w:pStyle w:val="Heading1"/>
      </w:pPr>
    </w:p>
    <w:p w:rsidR="005021A2" w:rsidRDefault="005021A2" w:rsidP="000E6DE7">
      <w:pPr>
        <w:pStyle w:val="Heading1"/>
      </w:pPr>
    </w:p>
    <w:p w:rsidR="005021A2" w:rsidRDefault="005021A2" w:rsidP="000E6DE7">
      <w:pPr>
        <w:pStyle w:val="Heading1"/>
      </w:pPr>
      <w:r>
        <w:rPr>
          <w:noProof/>
          <w:lang w:val="en-US"/>
        </w:rPr>
        <w:drawing>
          <wp:inline distT="0" distB="0" distL="0" distR="0">
            <wp:extent cx="5687211" cy="4648200"/>
            <wp:effectExtent l="19050" t="0" r="8739" b="0"/>
            <wp:docPr id="7" name="Picture 6" descr="poza 7.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oza 7.png"/>
                    <pic:cNvPicPr/>
                  </pic:nvPicPr>
                  <pic:blipFill>
                    <a:blip r:embed="rId15"/>
                    <a:stretch>
                      <a:fillRect/>
                    </a:stretch>
                  </pic:blipFill>
                  <pic:spPr>
                    <a:xfrm>
                      <a:off x="0" y="0"/>
                      <a:ext cx="5688006" cy="4648849"/>
                    </a:xfrm>
                    <a:prstGeom prst="rect">
                      <a:avLst/>
                    </a:prstGeom>
                  </pic:spPr>
                </pic:pic>
              </a:graphicData>
            </a:graphic>
          </wp:inline>
        </w:drawing>
      </w:r>
    </w:p>
    <w:p w:rsidR="005021A2" w:rsidRDefault="005021A2" w:rsidP="000E6DE7">
      <w:pPr>
        <w:pStyle w:val="Heading1"/>
      </w:pPr>
    </w:p>
    <w:p w:rsidR="005021A2" w:rsidRDefault="005021A2" w:rsidP="000E6DE7">
      <w:pPr>
        <w:pStyle w:val="Heading1"/>
      </w:pPr>
    </w:p>
    <w:p w:rsidR="005021A2" w:rsidRDefault="005021A2" w:rsidP="000E6DE7">
      <w:pPr>
        <w:pStyle w:val="Heading1"/>
      </w:pPr>
    </w:p>
    <w:p w:rsidR="005021A2" w:rsidRDefault="005021A2" w:rsidP="000E6DE7">
      <w:pPr>
        <w:pStyle w:val="Heading1"/>
      </w:pPr>
    </w:p>
    <w:p w:rsidR="005021A2" w:rsidRDefault="005021A2" w:rsidP="000E6DE7">
      <w:pPr>
        <w:pStyle w:val="Heading1"/>
      </w:pPr>
    </w:p>
    <w:p w:rsidR="005021A2" w:rsidRDefault="005021A2" w:rsidP="000E6DE7">
      <w:pPr>
        <w:pStyle w:val="Heading1"/>
      </w:pPr>
      <w:r>
        <w:rPr>
          <w:noProof/>
          <w:lang w:val="en-US"/>
        </w:rPr>
        <w:drawing>
          <wp:inline distT="0" distB="0" distL="0" distR="0">
            <wp:extent cx="5191361" cy="6486525"/>
            <wp:effectExtent l="19050" t="0" r="9289" b="0"/>
            <wp:docPr id="8" name="Picture 7" descr="poza 8.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oza 8.png"/>
                    <pic:cNvPicPr/>
                  </pic:nvPicPr>
                  <pic:blipFill>
                    <a:blip r:embed="rId16"/>
                    <a:stretch>
                      <a:fillRect/>
                    </a:stretch>
                  </pic:blipFill>
                  <pic:spPr>
                    <a:xfrm>
                      <a:off x="0" y="0"/>
                      <a:ext cx="5192086" cy="6487431"/>
                    </a:xfrm>
                    <a:prstGeom prst="rect">
                      <a:avLst/>
                    </a:prstGeom>
                  </pic:spPr>
                </pic:pic>
              </a:graphicData>
            </a:graphic>
          </wp:inline>
        </w:drawing>
      </w:r>
    </w:p>
    <w:p w:rsidR="005021A2" w:rsidRDefault="005021A2" w:rsidP="000E6DE7">
      <w:pPr>
        <w:pStyle w:val="Heading1"/>
      </w:pPr>
    </w:p>
    <w:p w:rsidR="005021A2" w:rsidRDefault="005021A2" w:rsidP="000E6DE7">
      <w:pPr>
        <w:pStyle w:val="Heading1"/>
      </w:pPr>
      <w:r>
        <w:rPr>
          <w:noProof/>
          <w:lang w:val="en-US"/>
        </w:rPr>
        <w:drawing>
          <wp:inline distT="0" distB="0" distL="0" distR="0">
            <wp:extent cx="5981613" cy="5105400"/>
            <wp:effectExtent l="19050" t="0" r="87" b="0"/>
            <wp:docPr id="9" name="Picture 8" descr="poza 9.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oza 9.png"/>
                    <pic:cNvPicPr/>
                  </pic:nvPicPr>
                  <pic:blipFill>
                    <a:blip r:embed="rId17"/>
                    <a:stretch>
                      <a:fillRect/>
                    </a:stretch>
                  </pic:blipFill>
                  <pic:spPr>
                    <a:xfrm>
                      <a:off x="0" y="0"/>
                      <a:ext cx="5982448" cy="5106113"/>
                    </a:xfrm>
                    <a:prstGeom prst="rect">
                      <a:avLst/>
                    </a:prstGeom>
                  </pic:spPr>
                </pic:pic>
              </a:graphicData>
            </a:graphic>
          </wp:inline>
        </w:drawing>
      </w:r>
    </w:p>
    <w:p w:rsidR="005021A2" w:rsidRDefault="005021A2" w:rsidP="000E6DE7">
      <w:pPr>
        <w:pStyle w:val="Heading1"/>
      </w:pPr>
    </w:p>
    <w:p w:rsidR="005021A2" w:rsidRDefault="005021A2" w:rsidP="000E6DE7">
      <w:pPr>
        <w:pStyle w:val="Heading1"/>
      </w:pPr>
    </w:p>
    <w:p w:rsidR="005021A2" w:rsidRDefault="005021A2" w:rsidP="000E6DE7">
      <w:pPr>
        <w:pStyle w:val="Heading1"/>
      </w:pPr>
    </w:p>
    <w:p w:rsidR="005021A2" w:rsidRDefault="005021A2" w:rsidP="005021A2"/>
    <w:p w:rsidR="005021A2" w:rsidRDefault="005021A2" w:rsidP="005021A2"/>
    <w:p w:rsidR="006F277F" w:rsidRDefault="006F277F">
      <w:pPr>
        <w:rPr>
          <w:b/>
        </w:rPr>
      </w:pPr>
    </w:p>
    <w:p w:rsidR="006F277F" w:rsidRDefault="006F277F">
      <w:pPr>
        <w:rPr>
          <w:b/>
        </w:rPr>
      </w:pPr>
    </w:p>
    <w:p w:rsidR="00F770E8" w:rsidRDefault="006F277F">
      <w:r>
        <w:rPr>
          <w:b/>
        </w:rPr>
        <w:t xml:space="preserve"> (b)</w:t>
      </w:r>
      <w:r>
        <w:t xml:space="preserve"> </w:t>
      </w:r>
    </w:p>
    <w:p w:rsidR="000E6DE7" w:rsidRDefault="00F770E8">
      <w:r>
        <w:t>Return on capital employed ratio(ROCE) expresses the relation between operating profit acquired in a period and the average long term capital</w:t>
      </w:r>
      <w:r w:rsidR="00B24A33">
        <w:t xml:space="preserve"> invested in a business being an essential measure of business performance (Atrill and McLane</w:t>
      </w:r>
      <w:r w:rsidR="00D80E3A">
        <w:t>y</w:t>
      </w:r>
      <w:r w:rsidR="00B24A33">
        <w:t>,</w:t>
      </w:r>
      <w:r w:rsidR="00D80E3A">
        <w:t xml:space="preserve"> </w:t>
      </w:r>
      <w:r w:rsidR="00B24A33">
        <w:t>2017). For the year 2018</w:t>
      </w:r>
      <w:r w:rsidR="00905E1B">
        <w:t xml:space="preserve"> return on capital employed, ROCE </w:t>
      </w:r>
      <w:r w:rsidR="00B24A33">
        <w:t xml:space="preserve"> </w:t>
      </w:r>
      <w:r w:rsidR="00905E1B">
        <w:t xml:space="preserve">was 6.7% meaning that the company acquired 6.7% profit on capital in 2018, however in 2019 ROCE dropped to 5.3%, the company making less profit in 2019 than 2018. </w:t>
      </w:r>
    </w:p>
    <w:p w:rsidR="00F12DE7" w:rsidRDefault="00F24E43">
      <w:r>
        <w:t>Return on equity</w:t>
      </w:r>
      <w:r w:rsidR="001D27F2">
        <w:t>(ROE)</w:t>
      </w:r>
      <w:r>
        <w:t xml:space="preserve"> </w:t>
      </w:r>
      <w:r w:rsidR="002855ED">
        <w:t>is used to measure the company’s ability in generating return</w:t>
      </w:r>
      <w:r w:rsidR="00097C52">
        <w:t xml:space="preserve"> on its equity capital</w:t>
      </w:r>
      <w:r w:rsidR="004E75CE">
        <w:t xml:space="preserve"> (</w:t>
      </w:r>
      <w:r w:rsidR="004E75CE" w:rsidRPr="005F2CAB">
        <w:rPr>
          <w:lang w:val="en-US"/>
        </w:rPr>
        <w:t>Bilal2020</w:t>
      </w:r>
      <w:r w:rsidR="004E75CE">
        <w:rPr>
          <w:lang w:val="en-US"/>
        </w:rPr>
        <w:t>)</w:t>
      </w:r>
      <w:r w:rsidR="00097C52">
        <w:t xml:space="preserve">. </w:t>
      </w:r>
      <w:r w:rsidR="00DD0687">
        <w:t xml:space="preserve">Equity capital includes share capital, </w:t>
      </w:r>
      <w:r w:rsidR="00193F29">
        <w:t>reserve and surplus, share premium</w:t>
      </w:r>
      <w:r w:rsidR="00A55B63">
        <w:t xml:space="preserve"> and retained profits. </w:t>
      </w:r>
      <w:r w:rsidR="007B2668">
        <w:t xml:space="preserve">Company’s </w:t>
      </w:r>
      <w:r w:rsidR="00271DFD">
        <w:t>ROE</w:t>
      </w:r>
      <w:r w:rsidR="001D27F2">
        <w:t xml:space="preserve"> </w:t>
      </w:r>
      <w:r w:rsidR="007B2668">
        <w:t xml:space="preserve">for the year 2018 was </w:t>
      </w:r>
      <w:r w:rsidR="000E5E7D">
        <w:t>0.228</w:t>
      </w:r>
      <w:r w:rsidR="007B2668">
        <w:t xml:space="preserve"> or </w:t>
      </w:r>
      <w:r w:rsidR="000671A0">
        <w:t>22.8</w:t>
      </w:r>
      <w:r w:rsidR="007B2668">
        <w:t xml:space="preserve"> %, this means company generated 6.7 % profit on its capital in 2018 and in 2019 ROCE decreased to 0.</w:t>
      </w:r>
      <w:r w:rsidR="005811B0">
        <w:t>138</w:t>
      </w:r>
      <w:r w:rsidR="007B2668">
        <w:t xml:space="preserve"> or </w:t>
      </w:r>
      <w:r w:rsidR="005811B0">
        <w:t>13.8</w:t>
      </w:r>
      <w:r w:rsidR="007B2668">
        <w:t xml:space="preserve"> %, the reason behind this decline was that company made lower profit in 2019</w:t>
      </w:r>
      <w:r w:rsidR="0017614C">
        <w:t xml:space="preserve"> as compared to 2018.</w:t>
      </w:r>
      <w:r w:rsidR="008A35ED">
        <w:t xml:space="preserve"> This shows that in 2019 </w:t>
      </w:r>
      <w:r w:rsidR="00351C4D">
        <w:t xml:space="preserve">company provided lower return to its shareholders. </w:t>
      </w:r>
    </w:p>
    <w:p w:rsidR="00351C4D" w:rsidRDefault="00063BAF">
      <w:pPr>
        <w:rPr>
          <w:rFonts w:cs="Times New Roman"/>
        </w:rPr>
      </w:pPr>
      <w:r>
        <w:rPr>
          <w:rFonts w:cs="Times New Roman"/>
        </w:rPr>
        <w:t xml:space="preserve">According to Weetman(2013), </w:t>
      </w:r>
      <w:r w:rsidR="00364330">
        <w:rPr>
          <w:rFonts w:cs="Times New Roman"/>
        </w:rPr>
        <w:t>earning per share(EPS) is one of the most used ratio for measuring a company performance and progress and it helps investors who buy shares in a company to compare the returnings day received with the amount they have paid for they’re shares.</w:t>
      </w:r>
      <w:r w:rsidR="00AD08E6">
        <w:rPr>
          <w:rFonts w:cs="Times New Roman"/>
        </w:rPr>
        <w:t xml:space="preserve"> Company’s EPS in 2018 was higher being at </w:t>
      </w:r>
      <w:r w:rsidR="00AD08E6">
        <w:rPr>
          <w:rFonts w:cs="Times New Roman"/>
          <w:lang w:val="en-US"/>
        </w:rPr>
        <w:t>£ 1.028</w:t>
      </w:r>
      <w:r w:rsidR="004633E6">
        <w:rPr>
          <w:rFonts w:cs="Times New Roman"/>
          <w:lang w:val="en-US"/>
        </w:rPr>
        <w:t xml:space="preserve"> while in 2019 was at £ 0.725 , that indicates that company provided better returns for investors in 2018 compared to 2019.</w:t>
      </w:r>
    </w:p>
    <w:p w:rsidR="00CA0EF8" w:rsidRDefault="000A38F8">
      <w:pPr>
        <w:rPr>
          <w:rFonts w:cs="Times New Roman"/>
        </w:rPr>
      </w:pPr>
      <w:r>
        <w:rPr>
          <w:rFonts w:cs="Times New Roman"/>
        </w:rPr>
        <w:t xml:space="preserve">Gross profit margin ratio is used </w:t>
      </w:r>
      <w:r w:rsidR="009B5804">
        <w:rPr>
          <w:rFonts w:cs="Times New Roman"/>
        </w:rPr>
        <w:t xml:space="preserve">identify the margin that has left with the company after deducting the cost of goods sold from </w:t>
      </w:r>
      <w:r w:rsidR="00D02305">
        <w:rPr>
          <w:rFonts w:cs="Times New Roman"/>
        </w:rPr>
        <w:t>revenue</w:t>
      </w:r>
      <w:r w:rsidR="00AA7889">
        <w:rPr>
          <w:rFonts w:cs="Times New Roman"/>
        </w:rPr>
        <w:t xml:space="preserve"> (</w:t>
      </w:r>
      <w:r w:rsidR="00F95E75">
        <w:rPr>
          <w:lang w:val="en-US"/>
        </w:rPr>
        <w:t>Andarsari</w:t>
      </w:r>
      <w:r w:rsidR="00AA7889" w:rsidRPr="00C53D9C">
        <w:rPr>
          <w:lang w:val="en-US"/>
        </w:rPr>
        <w:t>2019</w:t>
      </w:r>
      <w:r w:rsidR="00AA7889">
        <w:rPr>
          <w:lang w:val="en-US"/>
        </w:rPr>
        <w:t>)</w:t>
      </w:r>
      <w:r w:rsidR="00D02305">
        <w:rPr>
          <w:rFonts w:cs="Times New Roman"/>
        </w:rPr>
        <w:t xml:space="preserve">. It represents company’s ability in </w:t>
      </w:r>
      <w:r w:rsidR="00E33060">
        <w:rPr>
          <w:rFonts w:cs="Times New Roman"/>
        </w:rPr>
        <w:t xml:space="preserve">managing cost of production such as labour cost, material cost and other variable costs. </w:t>
      </w:r>
      <w:r w:rsidR="00E53C8F">
        <w:rPr>
          <w:rFonts w:cs="Times New Roman"/>
        </w:rPr>
        <w:t>Gross pr</w:t>
      </w:r>
      <w:r w:rsidR="00ED7702">
        <w:rPr>
          <w:rFonts w:cs="Times New Roman"/>
        </w:rPr>
        <w:t>ofit margin ratio of company for 2018 was 0.384 or 38.4 % and in 2019 it was 0.383 or</w:t>
      </w:r>
      <w:r w:rsidR="00F07C80">
        <w:rPr>
          <w:rFonts w:cs="Times New Roman"/>
        </w:rPr>
        <w:t xml:space="preserve"> 38.3 %</w:t>
      </w:r>
      <w:r w:rsidR="00ED7702">
        <w:rPr>
          <w:rFonts w:cs="Times New Roman"/>
        </w:rPr>
        <w:t>, company’s Gross profit ratio h</w:t>
      </w:r>
      <w:r w:rsidR="00F07C80">
        <w:rPr>
          <w:rFonts w:cs="Times New Roman"/>
        </w:rPr>
        <w:t xml:space="preserve">as been stable in last 2 years. </w:t>
      </w:r>
      <w:r w:rsidR="002E564C">
        <w:rPr>
          <w:rFonts w:cs="Times New Roman"/>
        </w:rPr>
        <w:t xml:space="preserve">This shows out of total revenue 62.6 % was </w:t>
      </w:r>
      <w:r w:rsidR="00A97BFD">
        <w:rPr>
          <w:rFonts w:cs="Times New Roman"/>
        </w:rPr>
        <w:t xml:space="preserve">Cost of sales. </w:t>
      </w:r>
    </w:p>
    <w:p w:rsidR="00576F73" w:rsidRDefault="006D0478">
      <w:r>
        <w:lastRenderedPageBreak/>
        <w:t xml:space="preserve">Asset turnover shows us how efficiently assets are used in order to generate profit before tax and interest(Weetman, 2013). </w:t>
      </w:r>
      <w:r w:rsidR="00A3064D">
        <w:t>In this case for 2018 asset turnover was lower than 2019, indicating a bigger revenue in  2019.</w:t>
      </w:r>
    </w:p>
    <w:p w:rsidR="00487370" w:rsidRDefault="006C2282">
      <w:r>
        <w:t>Debtor</w:t>
      </w:r>
      <w:r w:rsidR="00BF24CD">
        <w:t xml:space="preserve">collection period </w:t>
      </w:r>
      <w:r w:rsidR="00CF0B1A">
        <w:t>is used to identify the number of days required by company to collect from its debtors</w:t>
      </w:r>
      <w:r w:rsidR="008D3641">
        <w:t xml:space="preserve"> (</w:t>
      </w:r>
      <w:r w:rsidR="00EC3CC3">
        <w:rPr>
          <w:lang w:val="en-US"/>
        </w:rPr>
        <w:t>Ondiek</w:t>
      </w:r>
      <w:r w:rsidR="008D3641" w:rsidRPr="002145E4">
        <w:rPr>
          <w:lang w:val="en-US"/>
        </w:rPr>
        <w:t>2019</w:t>
      </w:r>
      <w:r w:rsidR="008D3641">
        <w:rPr>
          <w:lang w:val="en-US"/>
        </w:rPr>
        <w:t>)</w:t>
      </w:r>
      <w:r w:rsidR="00CF0B1A">
        <w:t xml:space="preserve">. </w:t>
      </w:r>
      <w:r w:rsidR="0084539E">
        <w:t xml:space="preserve">It is calculated by using the credit sales and average accounts receivables. </w:t>
      </w:r>
      <w:r w:rsidR="00F63357">
        <w:t xml:space="preserve">Company’s debtors collection period for year 2018 was </w:t>
      </w:r>
      <w:r w:rsidR="008A2527">
        <w:t>86</w:t>
      </w:r>
      <w:r w:rsidR="00F63357">
        <w:t>, this means company</w:t>
      </w:r>
      <w:r w:rsidR="008A2527">
        <w:t xml:space="preserve"> required 86 days forrecovering from its debtors, </w:t>
      </w:r>
      <w:r w:rsidR="00F63357">
        <w:t xml:space="preserve">it was </w:t>
      </w:r>
      <w:r w:rsidR="008A2527">
        <w:t>83.58 days</w:t>
      </w:r>
      <w:r w:rsidR="00F63357">
        <w:t xml:space="preserve"> in 2019, company’s </w:t>
      </w:r>
      <w:r w:rsidR="00C43EC8">
        <w:t>debtor collection period</w:t>
      </w:r>
      <w:r w:rsidR="00F63357">
        <w:t xml:space="preserve"> was </w:t>
      </w:r>
      <w:r w:rsidR="00821E3D">
        <w:t>lower</w:t>
      </w:r>
      <w:r w:rsidR="00F63357">
        <w:t xml:space="preserve"> in 2019 because </w:t>
      </w:r>
      <w:r w:rsidR="00C71567">
        <w:t>company had lower accounts receivable</w:t>
      </w:r>
      <w:r w:rsidR="00801552">
        <w:t>s</w:t>
      </w:r>
      <w:r w:rsidR="00F63357">
        <w:t xml:space="preserve"> in 2019</w:t>
      </w:r>
      <w:r w:rsidR="00C3729F">
        <w:t xml:space="preserve">. </w:t>
      </w:r>
    </w:p>
    <w:p w:rsidR="00EC34DE" w:rsidRDefault="000B471C">
      <w:r>
        <w:t xml:space="preserve">Current ratio is used to measure the company’s ability in paying back </w:t>
      </w:r>
      <w:r w:rsidR="00FB0142">
        <w:t>its short term liabilities or current liabi</w:t>
      </w:r>
      <w:r w:rsidR="00C95301">
        <w:t>lities</w:t>
      </w:r>
      <w:r w:rsidR="00C05918">
        <w:t xml:space="preserve"> (</w:t>
      </w:r>
      <w:r w:rsidR="00C05918" w:rsidRPr="0029069B">
        <w:rPr>
          <w:lang w:val="en-US"/>
        </w:rPr>
        <w:t>Agustina2018</w:t>
      </w:r>
      <w:r w:rsidR="00C05918">
        <w:rPr>
          <w:lang w:val="en-US"/>
        </w:rPr>
        <w:t>)</w:t>
      </w:r>
      <w:r w:rsidR="00C95301">
        <w:t xml:space="preserve">. </w:t>
      </w:r>
      <w:r w:rsidR="00916930">
        <w:t>It represents company’s liquid assets such as</w:t>
      </w:r>
      <w:r w:rsidR="004E5A7E">
        <w:t xml:space="preserve"> cash, debtors, and</w:t>
      </w:r>
      <w:r w:rsidR="00B32649">
        <w:t xml:space="preserve"> short term</w:t>
      </w:r>
      <w:r w:rsidR="004E5A7E">
        <w:t xml:space="preserve"> marketable assets. </w:t>
      </w:r>
      <w:r w:rsidR="00B33802">
        <w:t xml:space="preserve">Company’s current ratio for the year </w:t>
      </w:r>
      <w:r w:rsidR="00B32649">
        <w:t>2018 was 1.055 and in</w:t>
      </w:r>
      <w:r w:rsidR="00B22924">
        <w:t xml:space="preserve">2019 it was 1.019, </w:t>
      </w:r>
      <w:r w:rsidR="00EC311E">
        <w:t xml:space="preserve">for both years it was higher than </w:t>
      </w:r>
      <w:r w:rsidR="003004C8">
        <w:t xml:space="preserve">1 </w:t>
      </w:r>
      <w:r w:rsidR="00CF3EB4">
        <w:t xml:space="preserve">this means company is able to pay its short term liability through its current assets, </w:t>
      </w:r>
      <w:r w:rsidR="0035093D">
        <w:t xml:space="preserve">but is need to be improved. </w:t>
      </w:r>
    </w:p>
    <w:p w:rsidR="00FC3149" w:rsidRDefault="005A7201">
      <w:r>
        <w:t xml:space="preserve">Interest coverage ratio is used to identify the company’s ability in </w:t>
      </w:r>
      <w:r w:rsidR="008D445B">
        <w:t>raising funds from interest bearing liabilities</w:t>
      </w:r>
      <w:r w:rsidR="00715EBF">
        <w:t xml:space="preserve"> (</w:t>
      </w:r>
      <w:r w:rsidR="005B55BA">
        <w:rPr>
          <w:lang w:val="en-US"/>
        </w:rPr>
        <w:t xml:space="preserve">Choi </w:t>
      </w:r>
      <w:bookmarkStart w:id="0" w:name="_GoBack"/>
      <w:bookmarkEnd w:id="0"/>
      <w:r w:rsidR="00715EBF" w:rsidRPr="00F85188">
        <w:rPr>
          <w:lang w:val="en-US"/>
        </w:rPr>
        <w:t>2018</w:t>
      </w:r>
      <w:r w:rsidR="00715EBF">
        <w:rPr>
          <w:lang w:val="en-US"/>
        </w:rPr>
        <w:t>)</w:t>
      </w:r>
      <w:r w:rsidR="008D445B">
        <w:t xml:space="preserve">. </w:t>
      </w:r>
      <w:r w:rsidR="008A752B">
        <w:t xml:space="preserve">Company’s </w:t>
      </w:r>
      <w:r w:rsidR="00F76046">
        <w:t>interest coverage</w:t>
      </w:r>
      <w:r w:rsidR="00F55E64">
        <w:t xml:space="preserve"> ratio for year 2018 was 115</w:t>
      </w:r>
      <w:r w:rsidR="00161667">
        <w:t xml:space="preserve"> </w:t>
      </w:r>
      <w:r w:rsidR="008A752B">
        <w:t xml:space="preserve">and it decreased to </w:t>
      </w:r>
      <w:r w:rsidR="00101CEE">
        <w:t>8</w:t>
      </w:r>
      <w:r w:rsidR="00251D10">
        <w:t>.48</w:t>
      </w:r>
      <w:r w:rsidR="008A752B">
        <w:t xml:space="preserve"> in 2019, this shows </w:t>
      </w:r>
      <w:r w:rsidR="008C2A73">
        <w:t xml:space="preserve">company </w:t>
      </w:r>
      <w:r w:rsidR="005A5DF7">
        <w:t xml:space="preserve">raised funds from interest bearing liabilities in 2019. </w:t>
      </w:r>
    </w:p>
    <w:p w:rsidR="00DA6C81" w:rsidRDefault="00DA6C81">
      <w:pPr>
        <w:spacing w:after="200" w:line="276" w:lineRule="auto"/>
        <w:jc w:val="left"/>
      </w:pPr>
      <w:r>
        <w:br w:type="page"/>
      </w:r>
    </w:p>
    <w:p w:rsidR="00BD3D89" w:rsidRDefault="00BD3D89" w:rsidP="00BD3D89">
      <w:pPr>
        <w:pStyle w:val="Heading1"/>
      </w:pPr>
      <w:r>
        <w:lastRenderedPageBreak/>
        <w:t>Question 3</w:t>
      </w:r>
    </w:p>
    <w:p w:rsidR="00AB2F60" w:rsidRPr="00BD3D89" w:rsidRDefault="00BD3D89" w:rsidP="00BD3D89">
      <w:pPr>
        <w:rPr>
          <w:b/>
          <w:sz w:val="28"/>
        </w:rPr>
      </w:pPr>
      <w:r w:rsidRPr="00BD3D89">
        <w:rPr>
          <w:b/>
          <w:sz w:val="28"/>
        </w:rPr>
        <w:t>a.)</w:t>
      </w:r>
    </w:p>
    <w:p w:rsidR="00BD3D89" w:rsidRDefault="00BD3D89" w:rsidP="00BD3D89">
      <w:r>
        <w:t xml:space="preserve">     </w:t>
      </w:r>
      <w:r w:rsidRPr="00AB2F60">
        <w:rPr>
          <w:b/>
        </w:rPr>
        <w:t>There are many people who are interested in company’s financial statements e.g lenders, investors, internal management</w:t>
      </w:r>
      <w:r>
        <w:t>, all this different users  will use the financial  statements and ratio analysis which is of vital concern to them.(Wood and Sangster,2011)</w:t>
      </w:r>
    </w:p>
    <w:p w:rsidR="00BD3D89" w:rsidRDefault="00BD3D89" w:rsidP="00BD3D89">
      <w:r>
        <w:rPr>
          <w:b/>
        </w:rPr>
        <w:t xml:space="preserve">     </w:t>
      </w:r>
      <w:r w:rsidRPr="00364DB4">
        <w:rPr>
          <w:b/>
        </w:rPr>
        <w:t>Investors</w:t>
      </w:r>
      <w:r>
        <w:rPr>
          <w:b/>
        </w:rPr>
        <w:t xml:space="preserve"> </w:t>
      </w:r>
      <w:r>
        <w:t>assess the financial performance of the company in terms of profits or loss facing. Investors make the decision of whether to invest in company or not.</w:t>
      </w:r>
    </w:p>
    <w:p w:rsidR="00BD3D89" w:rsidRPr="00DB15DE" w:rsidRDefault="00BD3D89" w:rsidP="00BD3D89">
      <w:r>
        <w:rPr>
          <w:b/>
        </w:rPr>
        <w:t xml:space="preserve">    Lenders </w:t>
      </w:r>
      <w:r>
        <w:t>are the entities which lend the founds to company, lenders include banking organizations, investement banks etc .,  they use the company financial statement to assess the company ability of paying back the loan amount.</w:t>
      </w:r>
    </w:p>
    <w:p w:rsidR="005A703A" w:rsidRDefault="00BD3D89" w:rsidP="00BD3D89">
      <w:r>
        <w:rPr>
          <w:b/>
        </w:rPr>
        <w:t xml:space="preserve">    Management </w:t>
      </w:r>
      <w:r>
        <w:t xml:space="preserve"> -another user of financial statements  is internal management. Financial statements are assessed by financial managers for taking managerial decisions. Management set up financial key performance indicators with the help of financial statement.</w:t>
      </w:r>
      <w:r w:rsidR="00437BFF">
        <w:t xml:space="preserve"> </w:t>
      </w:r>
    </w:p>
    <w:p w:rsidR="00440DF0" w:rsidRPr="00440DF0" w:rsidRDefault="00440DF0" w:rsidP="00440DF0">
      <w:pPr>
        <w:rPr>
          <w:b/>
          <w:sz w:val="28"/>
        </w:rPr>
      </w:pPr>
      <w:r w:rsidRPr="00440DF0">
        <w:rPr>
          <w:b/>
          <w:sz w:val="28"/>
        </w:rPr>
        <w:t>b.)</w:t>
      </w:r>
    </w:p>
    <w:p w:rsidR="00440DF0" w:rsidRPr="00440DF0" w:rsidRDefault="00440DF0" w:rsidP="00440DF0">
      <w:pPr>
        <w:rPr>
          <w:b/>
        </w:rPr>
      </w:pPr>
      <w:r w:rsidRPr="00440DF0">
        <w:rPr>
          <w:b/>
        </w:rPr>
        <w:t xml:space="preserve">Financial report </w:t>
      </w:r>
    </w:p>
    <w:p w:rsidR="00440DF0" w:rsidRDefault="00440DF0" w:rsidP="00440DF0">
      <w:r>
        <w:t xml:space="preserve">     According to (Weetman,2013) external users of accounting have restricted day to day access to a company’s records, based on that, they rely on managerial judgement and integrity to reveal high quality information. Over the years it has been discovered  that regulation is needed for an accurate financial reporting.</w:t>
      </w:r>
    </w:p>
    <w:p w:rsidR="00440DF0" w:rsidRDefault="00440DF0" w:rsidP="00440DF0">
      <w:r>
        <w:t xml:space="preserve">     One of the main </w:t>
      </w:r>
      <w:r w:rsidRPr="00440DF0">
        <w:rPr>
          <w:b/>
        </w:rPr>
        <w:t>advantages</w:t>
      </w:r>
      <w:r>
        <w:t xml:space="preserve"> of having highly regulated report regime in finance is that it helps in certifying that financial statements are prepared by following appropriate accounting standards and it also helps in reducing errors and frauds, the risk related to manipulation  of financial accounts it’s minimized .</w:t>
      </w:r>
    </w:p>
    <w:p w:rsidR="00440DF0" w:rsidRDefault="00440DF0" w:rsidP="00440DF0">
      <w:r w:rsidRPr="00440DF0">
        <w:rPr>
          <w:b/>
        </w:rPr>
        <w:t>Disadvantages</w:t>
      </w:r>
      <w:r>
        <w:t xml:space="preserve"> of highly regulated report regime</w:t>
      </w:r>
    </w:p>
    <w:p w:rsidR="00E545E9" w:rsidRDefault="00440DF0" w:rsidP="00440DF0">
      <w:pPr>
        <w:spacing w:line="276" w:lineRule="auto"/>
        <w:jc w:val="left"/>
      </w:pPr>
      <w:r>
        <w:t xml:space="preserve">    Having highly regulated reporting regime in finance as we refer in the previous paragraph, helps certifying that financial statements are prepared by following appropriate accounting standards and it also helps in reducing errors and frauds but in some instances for a person who </w:t>
      </w:r>
      <w:r>
        <w:lastRenderedPageBreak/>
        <w:t>has less knowledge of finance it becomes difficult  to understand reports and financial statements because of financial statements complexity</w:t>
      </w:r>
      <w:r w:rsidR="00AB2F60">
        <w:t>.</w:t>
      </w:r>
    </w:p>
    <w:p w:rsidR="00AB2F60" w:rsidRDefault="00AB2F60" w:rsidP="00440DF0">
      <w:pPr>
        <w:spacing w:line="276" w:lineRule="auto"/>
        <w:jc w:val="left"/>
      </w:pPr>
    </w:p>
    <w:p w:rsidR="00E545E9" w:rsidRDefault="00E545E9" w:rsidP="00E545E9">
      <w:pPr>
        <w:rPr>
          <w:b/>
          <w:sz w:val="28"/>
        </w:rPr>
      </w:pPr>
      <w:r>
        <w:t xml:space="preserve">     </w:t>
      </w:r>
      <w:r>
        <w:rPr>
          <w:b/>
          <w:sz w:val="28"/>
        </w:rPr>
        <w:t>c</w:t>
      </w:r>
      <w:r w:rsidRPr="00440DF0">
        <w:rPr>
          <w:b/>
          <w:sz w:val="28"/>
        </w:rPr>
        <w:t>.)</w:t>
      </w:r>
    </w:p>
    <w:p w:rsidR="00AB2F60" w:rsidRPr="00AB2F60" w:rsidRDefault="00AB2F60" w:rsidP="00E545E9">
      <w:pPr>
        <w:rPr>
          <w:b/>
        </w:rPr>
      </w:pPr>
      <w:r w:rsidRPr="00AB2F60">
        <w:rPr>
          <w:b/>
        </w:rPr>
        <w:t>Limitation of Financial Statement</w:t>
      </w:r>
    </w:p>
    <w:p w:rsidR="00E545E9" w:rsidRDefault="00E545E9" w:rsidP="00E545E9">
      <w:r>
        <w:t xml:space="preserve">   According to Atrill and McLane(2016), financial accounting statements reveal  a picture of the performance and financial position of a business. For all users, financial statements dependency is on historical costs and data. The data that is recorded in financial statement is of historical nature, based on this result, financial statements  are unable to provide the current present value of assets and liabilities which might be affected by changes in market factors.</w:t>
      </w:r>
    </w:p>
    <w:p w:rsidR="00E545E9" w:rsidRDefault="00E545E9" w:rsidP="00E545E9">
      <w:r>
        <w:t xml:space="preserve">    Financial Statements can be largely informative and usefully applied to the needs of the users thanks to ratios  which are useful  if they are used and read appropriately, otherwise all the information can be misleading.( Wood and Sangster,2011)</w:t>
      </w:r>
    </w:p>
    <w:p w:rsidR="00E545E9" w:rsidRDefault="00E545E9" w:rsidP="00E545E9">
      <w:r>
        <w:t xml:space="preserve">      Reffering to Wood and Sangster(2011), financial statements should reveal information about the financial position, business achievement , data knowledge that is useful for a wide range of users in order to make decisions. To achieve this, financial statements are prepared on the basis of personal judgements of the company who is preparing the financial statements. Using different methods for calculating depreciation and amortization based on their personal decisions, financial  statements can be misleading. </w:t>
      </w:r>
    </w:p>
    <w:p w:rsidR="00056C01" w:rsidRDefault="00E545E9" w:rsidP="00E545E9">
      <w:pPr>
        <w:spacing w:line="276" w:lineRule="auto"/>
        <w:jc w:val="left"/>
      </w:pPr>
      <w:r>
        <w:t xml:space="preserve">    As discussed in previous point the financial statements are prepared on basis of personal judgement, fact that creates comparability issues based of the different standards followed by different companies</w:t>
      </w:r>
      <w:r w:rsidR="00AB2F60">
        <w:t>.</w:t>
      </w:r>
      <w:r w:rsidR="00056C01">
        <w:br w:type="page"/>
      </w:r>
    </w:p>
    <w:p w:rsidR="00056C01" w:rsidRDefault="00056C01" w:rsidP="00056C01">
      <w:pPr>
        <w:pStyle w:val="Heading1"/>
      </w:pPr>
      <w:r>
        <w:lastRenderedPageBreak/>
        <w:t>References</w:t>
      </w:r>
    </w:p>
    <w:p w:rsidR="00AF26A1" w:rsidRDefault="00AF26A1" w:rsidP="005F2CAB">
      <w:pPr>
        <w:rPr>
          <w:lang w:val="en-US"/>
        </w:rPr>
      </w:pPr>
      <w:r>
        <w:rPr>
          <w:lang w:val="en-US"/>
        </w:rPr>
        <w:t xml:space="preserve">Atrill, P. and McLaney, E. </w:t>
      </w:r>
      <w:r w:rsidR="00AB2F60">
        <w:rPr>
          <w:lang w:val="en-US"/>
        </w:rPr>
        <w:t xml:space="preserve">2016 </w:t>
      </w:r>
      <w:r>
        <w:rPr>
          <w:lang w:val="en-US"/>
        </w:rPr>
        <w:t xml:space="preserve">2017. </w:t>
      </w:r>
      <w:r w:rsidRPr="00AF26A1">
        <w:rPr>
          <w:i/>
          <w:lang w:val="en-US"/>
        </w:rPr>
        <w:t>Accountig and Finance for Non-Specialists</w:t>
      </w:r>
      <w:r>
        <w:rPr>
          <w:lang w:val="en-US"/>
        </w:rPr>
        <w:t>. 10</w:t>
      </w:r>
      <w:r w:rsidRPr="00AF26A1">
        <w:rPr>
          <w:vertAlign w:val="superscript"/>
          <w:lang w:val="en-US"/>
        </w:rPr>
        <w:t>th</w:t>
      </w:r>
      <w:r>
        <w:rPr>
          <w:lang w:val="en-US"/>
        </w:rPr>
        <w:t xml:space="preserve"> Ed. Harlow, England: Pearson, pp.204.</w:t>
      </w:r>
    </w:p>
    <w:p w:rsidR="005F2CAB" w:rsidRPr="005F2CAB" w:rsidRDefault="005F2CAB" w:rsidP="005F2CAB">
      <w:pPr>
        <w:rPr>
          <w:lang w:val="en-US"/>
        </w:rPr>
      </w:pPr>
      <w:r w:rsidRPr="005F2CAB">
        <w:rPr>
          <w:lang w:val="en-US"/>
        </w:rPr>
        <w:t xml:space="preserve">Raza, W., Hayat, K., Farooq, N. and Bilal, H., 2020. Corporate Governance and Return on Equity Evidence from Pakistan Stock Exchange. </w:t>
      </w:r>
      <w:r w:rsidRPr="005F2CAB">
        <w:rPr>
          <w:i/>
          <w:iCs/>
          <w:lang w:val="en-US"/>
        </w:rPr>
        <w:t>Journal of Accounting and Finance in Emerging Economies</w:t>
      </w:r>
      <w:r w:rsidRPr="005F2CAB">
        <w:rPr>
          <w:lang w:val="en-US"/>
        </w:rPr>
        <w:t xml:space="preserve">, </w:t>
      </w:r>
      <w:r w:rsidRPr="005F2CAB">
        <w:rPr>
          <w:i/>
          <w:iCs/>
          <w:lang w:val="en-US"/>
        </w:rPr>
        <w:t>6</w:t>
      </w:r>
      <w:r w:rsidRPr="005F2CAB">
        <w:rPr>
          <w:lang w:val="en-US"/>
        </w:rPr>
        <w:t>(1), pp.63-72.</w:t>
      </w:r>
    </w:p>
    <w:p w:rsidR="006B49E0" w:rsidRPr="00063BAF" w:rsidRDefault="00063BAF" w:rsidP="005A4FB5">
      <w:pPr>
        <w:rPr>
          <w:lang w:val="en-US"/>
        </w:rPr>
      </w:pPr>
      <w:r>
        <w:rPr>
          <w:lang w:val="en-US"/>
        </w:rPr>
        <w:t xml:space="preserve">Weetman, P., 2013. </w:t>
      </w:r>
      <w:r>
        <w:rPr>
          <w:i/>
          <w:lang w:val="en-US"/>
        </w:rPr>
        <w:t xml:space="preserve">Financial Accounting. </w:t>
      </w:r>
      <w:r>
        <w:rPr>
          <w:lang w:val="en-US"/>
        </w:rPr>
        <w:t>6</w:t>
      </w:r>
      <w:r w:rsidRPr="00063BAF">
        <w:rPr>
          <w:vertAlign w:val="superscript"/>
          <w:lang w:val="en-US"/>
        </w:rPr>
        <w:t>th</w:t>
      </w:r>
      <w:r>
        <w:rPr>
          <w:lang w:val="en-US"/>
        </w:rPr>
        <w:t xml:space="preserve"> Ed. Ha</w:t>
      </w:r>
      <w:r w:rsidR="00733210">
        <w:rPr>
          <w:lang w:val="en-US"/>
        </w:rPr>
        <w:t>rlo</w:t>
      </w:r>
      <w:r w:rsidR="00440DF0">
        <w:rPr>
          <w:lang w:val="en-US"/>
        </w:rPr>
        <w:t>w: Pearson Education, pp:347</w:t>
      </w:r>
    </w:p>
    <w:p w:rsidR="00C53D9C" w:rsidRDefault="00C53D9C" w:rsidP="00502C4D">
      <w:pPr>
        <w:rPr>
          <w:lang w:val="en-US"/>
        </w:rPr>
      </w:pPr>
      <w:r w:rsidRPr="00C53D9C">
        <w:rPr>
          <w:lang w:val="en-US"/>
        </w:rPr>
        <w:t xml:space="preserve">Andarsari, P.R., 2019. The Effect Of Firm Size, Gross Profit Margin And Institutional Ownership On Disclosure Of Corporate Social Responsibility (CSR). </w:t>
      </w:r>
      <w:r w:rsidRPr="00C53D9C">
        <w:rPr>
          <w:i/>
          <w:iCs/>
          <w:lang w:val="en-US"/>
        </w:rPr>
        <w:t>JurnalApresiasiEkonomi</w:t>
      </w:r>
      <w:r w:rsidRPr="00C53D9C">
        <w:rPr>
          <w:lang w:val="en-US"/>
        </w:rPr>
        <w:t xml:space="preserve">, </w:t>
      </w:r>
      <w:r w:rsidRPr="00C53D9C">
        <w:rPr>
          <w:i/>
          <w:iCs/>
          <w:lang w:val="en-US"/>
        </w:rPr>
        <w:t>7</w:t>
      </w:r>
      <w:r w:rsidRPr="00C53D9C">
        <w:rPr>
          <w:lang w:val="en-US"/>
        </w:rPr>
        <w:t>(3), pp.301-308.</w:t>
      </w:r>
    </w:p>
    <w:p w:rsidR="00440DF0" w:rsidRDefault="00440DF0" w:rsidP="00502C4D">
      <w:pPr>
        <w:rPr>
          <w:lang w:val="en-US"/>
        </w:rPr>
      </w:pPr>
      <w:r>
        <w:rPr>
          <w:lang w:val="en-US"/>
        </w:rPr>
        <w:t xml:space="preserve">Weetman, P., 2013. </w:t>
      </w:r>
      <w:r>
        <w:rPr>
          <w:i/>
          <w:lang w:val="en-US"/>
        </w:rPr>
        <w:t xml:space="preserve">Financial Accounting. </w:t>
      </w:r>
      <w:r>
        <w:rPr>
          <w:lang w:val="en-US"/>
        </w:rPr>
        <w:t>6</w:t>
      </w:r>
      <w:r w:rsidRPr="00063BAF">
        <w:rPr>
          <w:vertAlign w:val="superscript"/>
          <w:lang w:val="en-US"/>
        </w:rPr>
        <w:t>th</w:t>
      </w:r>
      <w:r>
        <w:rPr>
          <w:lang w:val="en-US"/>
        </w:rPr>
        <w:t xml:space="preserve"> Ed. Harlow: Pearson Education, pp:350</w:t>
      </w:r>
    </w:p>
    <w:p w:rsidR="002145E4" w:rsidRDefault="002145E4" w:rsidP="00740415">
      <w:pPr>
        <w:rPr>
          <w:lang w:val="en-US"/>
        </w:rPr>
      </w:pPr>
      <w:r w:rsidRPr="002145E4">
        <w:rPr>
          <w:lang w:val="en-US"/>
        </w:rPr>
        <w:t>Wafula, W.M., Tibbs, C.Y. and Ondiek, A.B., 2019. Average Collection Period and Financial Performance of Nzoia Water Services Company.</w:t>
      </w:r>
      <w:r w:rsidRPr="002145E4">
        <w:rPr>
          <w:i/>
          <w:iCs/>
          <w:lang w:val="en-US"/>
        </w:rPr>
        <w:t>Int. J. of Multidisciplinary and Current research</w:t>
      </w:r>
      <w:r w:rsidRPr="002145E4">
        <w:rPr>
          <w:lang w:val="en-US"/>
        </w:rPr>
        <w:t xml:space="preserve">, </w:t>
      </w:r>
      <w:r w:rsidRPr="002145E4">
        <w:rPr>
          <w:i/>
          <w:iCs/>
          <w:lang w:val="en-US"/>
        </w:rPr>
        <w:t>7</w:t>
      </w:r>
      <w:r w:rsidRPr="002145E4">
        <w:rPr>
          <w:lang w:val="en-US"/>
        </w:rPr>
        <w:t>.</w:t>
      </w:r>
    </w:p>
    <w:p w:rsidR="0029069B" w:rsidRDefault="0029069B" w:rsidP="00AE4AA9">
      <w:pPr>
        <w:rPr>
          <w:lang w:val="en-US"/>
        </w:rPr>
      </w:pPr>
      <w:r w:rsidRPr="0029069B">
        <w:rPr>
          <w:lang w:val="en-US"/>
        </w:rPr>
        <w:t xml:space="preserve">Restianti, T. and Agustina, L., 2018. The effect of financial ratios on financial distress conditions in sub industrial sector company. </w:t>
      </w:r>
      <w:r w:rsidRPr="0029069B">
        <w:rPr>
          <w:i/>
          <w:iCs/>
          <w:lang w:val="en-US"/>
        </w:rPr>
        <w:t>Accounting Analysis Journal</w:t>
      </w:r>
      <w:r w:rsidRPr="0029069B">
        <w:rPr>
          <w:lang w:val="en-US"/>
        </w:rPr>
        <w:t xml:space="preserve">, </w:t>
      </w:r>
      <w:r w:rsidRPr="0029069B">
        <w:rPr>
          <w:i/>
          <w:iCs/>
          <w:lang w:val="en-US"/>
        </w:rPr>
        <w:t>7</w:t>
      </w:r>
      <w:r w:rsidRPr="0029069B">
        <w:rPr>
          <w:lang w:val="en-US"/>
        </w:rPr>
        <w:t>(1), pp.25-33.</w:t>
      </w:r>
    </w:p>
    <w:p w:rsidR="00F85188" w:rsidRPr="00F85188" w:rsidRDefault="00F85188" w:rsidP="00F85188">
      <w:pPr>
        <w:rPr>
          <w:lang w:val="en-US"/>
        </w:rPr>
      </w:pPr>
      <w:r w:rsidRPr="00F85188">
        <w:rPr>
          <w:lang w:val="en-US"/>
        </w:rPr>
        <w:t xml:space="preserve">Choi, Y.J., 2018. The Effect of the Fast-Track Corporate Rehabilitation Program on the Interest Coverage Ratio of the Companies Under Court Receivership. </w:t>
      </w:r>
      <w:r w:rsidRPr="00F85188">
        <w:rPr>
          <w:i/>
          <w:iCs/>
          <w:lang w:val="en-US"/>
        </w:rPr>
        <w:t>Journal of Governance and Regulation</w:t>
      </w:r>
      <w:r w:rsidRPr="00F85188">
        <w:rPr>
          <w:lang w:val="en-US"/>
        </w:rPr>
        <w:t xml:space="preserve">, </w:t>
      </w:r>
      <w:r w:rsidRPr="00F85188">
        <w:rPr>
          <w:i/>
          <w:iCs/>
          <w:lang w:val="en-US"/>
        </w:rPr>
        <w:t>7</w:t>
      </w:r>
      <w:r w:rsidRPr="00F85188">
        <w:rPr>
          <w:lang w:val="en-US"/>
        </w:rPr>
        <w:t>(1).</w:t>
      </w:r>
    </w:p>
    <w:p w:rsidR="00BD3D89" w:rsidRDefault="00BD3D89" w:rsidP="00826D82">
      <w:pPr>
        <w:rPr>
          <w:lang w:val="en-US"/>
        </w:rPr>
      </w:pPr>
      <w:r>
        <w:rPr>
          <w:lang w:val="en-US"/>
        </w:rPr>
        <w:t xml:space="preserve">Wood, F. and Sangster, A., 2011. </w:t>
      </w:r>
      <w:r w:rsidRPr="00BD3D89">
        <w:rPr>
          <w:i/>
          <w:lang w:val="en-US"/>
        </w:rPr>
        <w:t>Frank Wood’s Business Accounting</w:t>
      </w:r>
      <w:r>
        <w:rPr>
          <w:lang w:val="en-US"/>
        </w:rPr>
        <w:t xml:space="preserve"> </w:t>
      </w:r>
      <w:r w:rsidRPr="00BD3D89">
        <w:rPr>
          <w:i/>
          <w:lang w:val="en-US"/>
        </w:rPr>
        <w:t>1</w:t>
      </w:r>
      <w:r>
        <w:rPr>
          <w:lang w:val="en-US"/>
        </w:rPr>
        <w:t>. 12</w:t>
      </w:r>
      <w:r w:rsidRPr="00BD3D89">
        <w:rPr>
          <w:vertAlign w:val="superscript"/>
          <w:lang w:val="en-US"/>
        </w:rPr>
        <w:t>th</w:t>
      </w:r>
      <w:r>
        <w:rPr>
          <w:lang w:val="en-US"/>
        </w:rPr>
        <w:t xml:space="preserve">  Ed. Financial Times Pretince Hall/Pearson</w:t>
      </w:r>
    </w:p>
    <w:p w:rsidR="00440DF0" w:rsidRDefault="00440DF0" w:rsidP="00826D82">
      <w:pPr>
        <w:rPr>
          <w:lang w:val="en-US"/>
        </w:rPr>
      </w:pPr>
      <w:r>
        <w:rPr>
          <w:lang w:val="en-US"/>
        </w:rPr>
        <w:t xml:space="preserve">Weetman, P., 2013. </w:t>
      </w:r>
      <w:r>
        <w:rPr>
          <w:i/>
          <w:lang w:val="en-US"/>
        </w:rPr>
        <w:t xml:space="preserve">Financial Accounting. </w:t>
      </w:r>
      <w:r>
        <w:rPr>
          <w:lang w:val="en-US"/>
        </w:rPr>
        <w:t>6</w:t>
      </w:r>
      <w:r w:rsidRPr="00063BAF">
        <w:rPr>
          <w:vertAlign w:val="superscript"/>
          <w:lang w:val="en-US"/>
        </w:rPr>
        <w:t>th</w:t>
      </w:r>
      <w:r>
        <w:rPr>
          <w:lang w:val="en-US"/>
        </w:rPr>
        <w:t xml:space="preserve"> Ed. Harlow: Pearson Education, pp:85 94 95.</w:t>
      </w:r>
    </w:p>
    <w:p w:rsidR="00364FFD" w:rsidRDefault="00AB2F60" w:rsidP="00AE4AA9">
      <w:pPr>
        <w:rPr>
          <w:lang w:val="en-US"/>
        </w:rPr>
      </w:pPr>
      <w:r>
        <w:rPr>
          <w:lang w:val="en-US"/>
        </w:rPr>
        <w:t xml:space="preserve">Atrill, P. and McLaney, E. 2016 2017. </w:t>
      </w:r>
      <w:r w:rsidRPr="00AF26A1">
        <w:rPr>
          <w:i/>
          <w:lang w:val="en-US"/>
        </w:rPr>
        <w:t>Accountig and Finance for Non-Specialists</w:t>
      </w:r>
      <w:r>
        <w:rPr>
          <w:lang w:val="en-US"/>
        </w:rPr>
        <w:t>. 10</w:t>
      </w:r>
      <w:r w:rsidRPr="00AF26A1">
        <w:rPr>
          <w:vertAlign w:val="superscript"/>
          <w:lang w:val="en-US"/>
        </w:rPr>
        <w:t>th</w:t>
      </w:r>
      <w:r>
        <w:rPr>
          <w:lang w:val="en-US"/>
        </w:rPr>
        <w:t xml:space="preserve"> Ed. Harlow, England: Pearson, pp.12 29.</w:t>
      </w:r>
    </w:p>
    <w:p w:rsidR="00056C01" w:rsidRPr="008043B3" w:rsidRDefault="009412AA" w:rsidP="00056C01">
      <w:pPr>
        <w:rPr>
          <w:lang w:val="en-US"/>
        </w:rPr>
      </w:pPr>
      <w:r>
        <w:rPr>
          <w:lang w:val="en-US"/>
        </w:rPr>
        <w:t xml:space="preserve">Wood, F. and Sangster, A., 2011. </w:t>
      </w:r>
      <w:r w:rsidRPr="00BD3D89">
        <w:rPr>
          <w:i/>
          <w:lang w:val="en-US"/>
        </w:rPr>
        <w:t>Frank Wood’s Business Accounting</w:t>
      </w:r>
      <w:r>
        <w:rPr>
          <w:lang w:val="en-US"/>
        </w:rPr>
        <w:t xml:space="preserve"> </w:t>
      </w:r>
      <w:r w:rsidRPr="00BD3D89">
        <w:rPr>
          <w:i/>
          <w:lang w:val="en-US"/>
        </w:rPr>
        <w:t>1</w:t>
      </w:r>
      <w:r>
        <w:rPr>
          <w:lang w:val="en-US"/>
        </w:rPr>
        <w:t>. 12</w:t>
      </w:r>
      <w:r w:rsidRPr="00BD3D89">
        <w:rPr>
          <w:vertAlign w:val="superscript"/>
          <w:lang w:val="en-US"/>
        </w:rPr>
        <w:t>th</w:t>
      </w:r>
      <w:r>
        <w:rPr>
          <w:lang w:val="en-US"/>
        </w:rPr>
        <w:t xml:space="preserve">  Ed. Financial Times Pretince Hall/Pearson pp.113 643 644. </w:t>
      </w:r>
    </w:p>
    <w:sectPr w:rsidR="00056C01" w:rsidRPr="008043B3" w:rsidSect="0047243B">
      <w:pgSz w:w="12240" w:h="15840"/>
      <w:pgMar w:top="1440" w:right="1440" w:bottom="1440" w:left="1440" w:header="720" w:footer="720" w:gutter="0"/>
      <w:pgBorders w:offsetFrom="page">
        <w:top w:val="single" w:sz="4" w:space="24" w:color="auto"/>
        <w:left w:val="single" w:sz="4" w:space="24" w:color="auto"/>
        <w:bottom w:val="single" w:sz="4" w:space="24" w:color="auto"/>
        <w:right w:val="single" w:sz="4" w:space="24" w:color="auto"/>
      </w:pgBorders>
      <w:cols w:space="720"/>
      <w:docGrid w:linePitch="360"/>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0">
    <w:p w:rsidR="00ED1F4A" w:rsidRDefault="00ED1F4A" w:rsidP="00F90D35">
      <w:pPr>
        <w:spacing w:after="0" w:line="240" w:lineRule="auto"/>
      </w:pPr>
      <w:r>
        <w:separator/>
      </w:r>
    </w:p>
  </w:endnote>
  <w:endnote w:type="continuationSeparator" w:id="1">
    <w:p w:rsidR="00ED1F4A" w:rsidRDefault="00ED1F4A" w:rsidP="00F90D35">
      <w:pPr>
        <w:spacing w:after="0" w:line="240" w:lineRule="auto"/>
      </w:pPr>
      <w:r>
        <w:continuationSeparator/>
      </w:r>
    </w:p>
  </w:endnote>
</w:endnotes>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Tahoma">
    <w:panose1 w:val="020B0604030504040204"/>
    <w:charset w:val="00"/>
    <w:family w:val="swiss"/>
    <w:pitch w:val="variable"/>
    <w:sig w:usb0="E1002EFF" w:usb1="C000605B" w:usb2="00000029" w:usb3="00000000" w:csb0="000101FF" w:csb1="00000000"/>
  </w:font>
  <w:font w:name="Cambria">
    <w:panose1 w:val="02040503050406030204"/>
    <w:charset w:val="00"/>
    <w:family w:val="roman"/>
    <w:pitch w:val="variable"/>
    <w:sig w:usb0="E00006FF" w:usb1="420024FF" w:usb2="02000000" w:usb3="00000000" w:csb0="0000019F" w:csb1="00000000"/>
  </w:font>
</w:fonts>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0">
    <w:p w:rsidR="00ED1F4A" w:rsidRDefault="00ED1F4A" w:rsidP="00F90D35">
      <w:pPr>
        <w:spacing w:after="0" w:line="240" w:lineRule="auto"/>
      </w:pPr>
      <w:r>
        <w:separator/>
      </w:r>
    </w:p>
  </w:footnote>
  <w:footnote w:type="continuationSeparator" w:id="1">
    <w:p w:rsidR="00ED1F4A" w:rsidRDefault="00ED1F4A" w:rsidP="00F90D35">
      <w:pPr>
        <w:spacing w:after="0" w:line="240" w:lineRule="auto"/>
      </w:pPr>
      <w:r>
        <w:continuationSeparator/>
      </w:r>
    </w:p>
  </w:footnote>
</w:footnote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22F07E65"/>
    <w:multiLevelType w:val="hybridMultilevel"/>
    <w:tmpl w:val="38624EF0"/>
    <w:lvl w:ilvl="0" w:tplc="D1369F8A">
      <w:start w:val="1"/>
      <w:numFmt w:val="lowerLetter"/>
      <w:lvlText w:val="%1.)"/>
      <w:lvlJc w:val="left"/>
      <w:pPr>
        <w:ind w:left="720" w:hanging="360"/>
      </w:pPr>
      <w:rPr>
        <w:rFonts w:hint="default"/>
        <w:sz w:val="32"/>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
    <w:nsid w:val="4576754B"/>
    <w:multiLevelType w:val="hybridMultilevel"/>
    <w:tmpl w:val="A3C6521C"/>
    <w:lvl w:ilvl="0" w:tplc="04090017">
      <w:start w:val="1"/>
      <w:numFmt w:val="lowerLetter"/>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num w:numId="1">
    <w:abstractNumId w:val="1"/>
  </w:num>
  <w:num w:numId="2">
    <w:abstractNumId w:val="0"/>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removePersonalInformation/>
  <w:removeDateAndTime/>
  <w:doNotDisplayPageBoundaries/>
  <w:defaultTabStop w:val="720"/>
  <w:characterSpacingControl w:val="doNotCompress"/>
  <w:hdrShapeDefaults>
    <o:shapedefaults v:ext="edit" spidmax="17410"/>
  </w:hdrShapeDefaults>
  <w:footnotePr>
    <w:footnote w:id="0"/>
    <w:footnote w:id="1"/>
  </w:footnotePr>
  <w:endnotePr>
    <w:endnote w:id="0"/>
    <w:endnote w:id="1"/>
  </w:endnotePr>
  <w:compat/>
  <w:rsids>
    <w:rsidRoot w:val="000E6DE7"/>
    <w:rsid w:val="000021AC"/>
    <w:rsid w:val="000036F3"/>
    <w:rsid w:val="0001445E"/>
    <w:rsid w:val="00027569"/>
    <w:rsid w:val="00041970"/>
    <w:rsid w:val="000464A7"/>
    <w:rsid w:val="00046CA8"/>
    <w:rsid w:val="00055BD8"/>
    <w:rsid w:val="00056C01"/>
    <w:rsid w:val="000621A5"/>
    <w:rsid w:val="00063BAF"/>
    <w:rsid w:val="000671A0"/>
    <w:rsid w:val="00077B70"/>
    <w:rsid w:val="00096E6E"/>
    <w:rsid w:val="00097C52"/>
    <w:rsid w:val="000A27EE"/>
    <w:rsid w:val="000A38F8"/>
    <w:rsid w:val="000A5EB4"/>
    <w:rsid w:val="000B21DD"/>
    <w:rsid w:val="000B471C"/>
    <w:rsid w:val="000C434D"/>
    <w:rsid w:val="000D276D"/>
    <w:rsid w:val="000D43FB"/>
    <w:rsid w:val="000E2559"/>
    <w:rsid w:val="000E5E7D"/>
    <w:rsid w:val="000E5ED7"/>
    <w:rsid w:val="000E6DE7"/>
    <w:rsid w:val="00101CEE"/>
    <w:rsid w:val="00101F88"/>
    <w:rsid w:val="00106EC9"/>
    <w:rsid w:val="00131FA8"/>
    <w:rsid w:val="00136D36"/>
    <w:rsid w:val="001415E0"/>
    <w:rsid w:val="00161667"/>
    <w:rsid w:val="001640E3"/>
    <w:rsid w:val="0017614C"/>
    <w:rsid w:val="0017690B"/>
    <w:rsid w:val="0018368B"/>
    <w:rsid w:val="00193F29"/>
    <w:rsid w:val="00194ABA"/>
    <w:rsid w:val="001B307A"/>
    <w:rsid w:val="001C7FF8"/>
    <w:rsid w:val="001D27F2"/>
    <w:rsid w:val="001D7B39"/>
    <w:rsid w:val="002145E4"/>
    <w:rsid w:val="002155F0"/>
    <w:rsid w:val="00215C85"/>
    <w:rsid w:val="002302A5"/>
    <w:rsid w:val="00243A45"/>
    <w:rsid w:val="00244C14"/>
    <w:rsid w:val="00251D10"/>
    <w:rsid w:val="002526F6"/>
    <w:rsid w:val="00264AEE"/>
    <w:rsid w:val="00271DFD"/>
    <w:rsid w:val="002855ED"/>
    <w:rsid w:val="0029069B"/>
    <w:rsid w:val="00293392"/>
    <w:rsid w:val="0029678E"/>
    <w:rsid w:val="002D2AA2"/>
    <w:rsid w:val="002D6FE2"/>
    <w:rsid w:val="002E0E52"/>
    <w:rsid w:val="002E564C"/>
    <w:rsid w:val="003004C8"/>
    <w:rsid w:val="003010F8"/>
    <w:rsid w:val="00302F2A"/>
    <w:rsid w:val="00306D50"/>
    <w:rsid w:val="003208F1"/>
    <w:rsid w:val="003212E4"/>
    <w:rsid w:val="0032450A"/>
    <w:rsid w:val="0033426B"/>
    <w:rsid w:val="0035093D"/>
    <w:rsid w:val="00351C4D"/>
    <w:rsid w:val="00364330"/>
    <w:rsid w:val="00364FFD"/>
    <w:rsid w:val="003A41E4"/>
    <w:rsid w:val="003B6C48"/>
    <w:rsid w:val="003C7315"/>
    <w:rsid w:val="003C797B"/>
    <w:rsid w:val="003D2056"/>
    <w:rsid w:val="003D760D"/>
    <w:rsid w:val="004145CA"/>
    <w:rsid w:val="00421A1C"/>
    <w:rsid w:val="004372A5"/>
    <w:rsid w:val="00437BFF"/>
    <w:rsid w:val="00440DF0"/>
    <w:rsid w:val="00451CE7"/>
    <w:rsid w:val="004633E6"/>
    <w:rsid w:val="004661D6"/>
    <w:rsid w:val="0047243B"/>
    <w:rsid w:val="004763A3"/>
    <w:rsid w:val="0048047C"/>
    <w:rsid w:val="0048651A"/>
    <w:rsid w:val="00486A27"/>
    <w:rsid w:val="00487370"/>
    <w:rsid w:val="00497C10"/>
    <w:rsid w:val="004A20CD"/>
    <w:rsid w:val="004A3441"/>
    <w:rsid w:val="004C2138"/>
    <w:rsid w:val="004E5A7E"/>
    <w:rsid w:val="004E75CE"/>
    <w:rsid w:val="004F0735"/>
    <w:rsid w:val="004F291D"/>
    <w:rsid w:val="004F4802"/>
    <w:rsid w:val="005021A2"/>
    <w:rsid w:val="00502C4D"/>
    <w:rsid w:val="00507E48"/>
    <w:rsid w:val="00513E94"/>
    <w:rsid w:val="00520385"/>
    <w:rsid w:val="00522214"/>
    <w:rsid w:val="00544FD1"/>
    <w:rsid w:val="00551F85"/>
    <w:rsid w:val="00570352"/>
    <w:rsid w:val="00576F73"/>
    <w:rsid w:val="0058062F"/>
    <w:rsid w:val="005811B0"/>
    <w:rsid w:val="00586FC8"/>
    <w:rsid w:val="00592C2F"/>
    <w:rsid w:val="005A4FB5"/>
    <w:rsid w:val="005A5DF7"/>
    <w:rsid w:val="005A703A"/>
    <w:rsid w:val="005A7201"/>
    <w:rsid w:val="005B1553"/>
    <w:rsid w:val="005B55BA"/>
    <w:rsid w:val="005C22AD"/>
    <w:rsid w:val="005F06EE"/>
    <w:rsid w:val="005F2CAB"/>
    <w:rsid w:val="00605AF2"/>
    <w:rsid w:val="0060603E"/>
    <w:rsid w:val="0062011E"/>
    <w:rsid w:val="00626B46"/>
    <w:rsid w:val="00631119"/>
    <w:rsid w:val="00656273"/>
    <w:rsid w:val="006627D9"/>
    <w:rsid w:val="006729AB"/>
    <w:rsid w:val="00673C01"/>
    <w:rsid w:val="00680790"/>
    <w:rsid w:val="006858DE"/>
    <w:rsid w:val="00687F00"/>
    <w:rsid w:val="006B49E0"/>
    <w:rsid w:val="006B4E3E"/>
    <w:rsid w:val="006C2282"/>
    <w:rsid w:val="006D0478"/>
    <w:rsid w:val="006F05F5"/>
    <w:rsid w:val="006F277F"/>
    <w:rsid w:val="006F4930"/>
    <w:rsid w:val="006F5C55"/>
    <w:rsid w:val="00714507"/>
    <w:rsid w:val="00715EBF"/>
    <w:rsid w:val="00727C6D"/>
    <w:rsid w:val="00727FAD"/>
    <w:rsid w:val="00733210"/>
    <w:rsid w:val="00740415"/>
    <w:rsid w:val="00766535"/>
    <w:rsid w:val="0078352F"/>
    <w:rsid w:val="00787A7D"/>
    <w:rsid w:val="007948AE"/>
    <w:rsid w:val="007B2668"/>
    <w:rsid w:val="007D1D85"/>
    <w:rsid w:val="007D4ED5"/>
    <w:rsid w:val="00801552"/>
    <w:rsid w:val="00804039"/>
    <w:rsid w:val="008043B3"/>
    <w:rsid w:val="00815060"/>
    <w:rsid w:val="00821E3D"/>
    <w:rsid w:val="00822EE4"/>
    <w:rsid w:val="00823AF9"/>
    <w:rsid w:val="00826D82"/>
    <w:rsid w:val="00827263"/>
    <w:rsid w:val="00831506"/>
    <w:rsid w:val="0084539E"/>
    <w:rsid w:val="00854815"/>
    <w:rsid w:val="0086013D"/>
    <w:rsid w:val="00861D01"/>
    <w:rsid w:val="00865A43"/>
    <w:rsid w:val="00876EB3"/>
    <w:rsid w:val="0088401A"/>
    <w:rsid w:val="00887CEA"/>
    <w:rsid w:val="00894B9D"/>
    <w:rsid w:val="008A2527"/>
    <w:rsid w:val="008A35ED"/>
    <w:rsid w:val="008A6379"/>
    <w:rsid w:val="008A752B"/>
    <w:rsid w:val="008B4EC1"/>
    <w:rsid w:val="008C2A73"/>
    <w:rsid w:val="008D3641"/>
    <w:rsid w:val="008D445B"/>
    <w:rsid w:val="008E2D9A"/>
    <w:rsid w:val="008E6EF9"/>
    <w:rsid w:val="008F0D6B"/>
    <w:rsid w:val="00905E1B"/>
    <w:rsid w:val="009105FA"/>
    <w:rsid w:val="00916930"/>
    <w:rsid w:val="00922433"/>
    <w:rsid w:val="009245DB"/>
    <w:rsid w:val="009412AA"/>
    <w:rsid w:val="009458AB"/>
    <w:rsid w:val="00961484"/>
    <w:rsid w:val="00962D36"/>
    <w:rsid w:val="00965804"/>
    <w:rsid w:val="00965F3C"/>
    <w:rsid w:val="009928D7"/>
    <w:rsid w:val="009A16F9"/>
    <w:rsid w:val="009A4670"/>
    <w:rsid w:val="009B33B0"/>
    <w:rsid w:val="009B44E1"/>
    <w:rsid w:val="009B5048"/>
    <w:rsid w:val="009B5804"/>
    <w:rsid w:val="009B69BB"/>
    <w:rsid w:val="009C0B88"/>
    <w:rsid w:val="009C1027"/>
    <w:rsid w:val="009D3303"/>
    <w:rsid w:val="009D6E06"/>
    <w:rsid w:val="009E0296"/>
    <w:rsid w:val="00A048CD"/>
    <w:rsid w:val="00A13F5C"/>
    <w:rsid w:val="00A3064D"/>
    <w:rsid w:val="00A3521F"/>
    <w:rsid w:val="00A55B63"/>
    <w:rsid w:val="00A77D3E"/>
    <w:rsid w:val="00A87FE1"/>
    <w:rsid w:val="00A97BFD"/>
    <w:rsid w:val="00AA7889"/>
    <w:rsid w:val="00AB2F60"/>
    <w:rsid w:val="00AD08E6"/>
    <w:rsid w:val="00AD08F7"/>
    <w:rsid w:val="00AE4AA9"/>
    <w:rsid w:val="00AE6261"/>
    <w:rsid w:val="00AE695D"/>
    <w:rsid w:val="00AF26A1"/>
    <w:rsid w:val="00B07D5D"/>
    <w:rsid w:val="00B22924"/>
    <w:rsid w:val="00B24A33"/>
    <w:rsid w:val="00B24D12"/>
    <w:rsid w:val="00B32649"/>
    <w:rsid w:val="00B33802"/>
    <w:rsid w:val="00B34893"/>
    <w:rsid w:val="00B36996"/>
    <w:rsid w:val="00B6080B"/>
    <w:rsid w:val="00B84712"/>
    <w:rsid w:val="00B91FCA"/>
    <w:rsid w:val="00BB18A4"/>
    <w:rsid w:val="00BB1A09"/>
    <w:rsid w:val="00BC3622"/>
    <w:rsid w:val="00BD27B3"/>
    <w:rsid w:val="00BD3D89"/>
    <w:rsid w:val="00BF24CD"/>
    <w:rsid w:val="00C05918"/>
    <w:rsid w:val="00C06DFE"/>
    <w:rsid w:val="00C07283"/>
    <w:rsid w:val="00C22D5E"/>
    <w:rsid w:val="00C240D4"/>
    <w:rsid w:val="00C3729F"/>
    <w:rsid w:val="00C43EC8"/>
    <w:rsid w:val="00C4519F"/>
    <w:rsid w:val="00C47E1F"/>
    <w:rsid w:val="00C53D9C"/>
    <w:rsid w:val="00C66454"/>
    <w:rsid w:val="00C71567"/>
    <w:rsid w:val="00C8501C"/>
    <w:rsid w:val="00C95301"/>
    <w:rsid w:val="00CA0EF8"/>
    <w:rsid w:val="00CA2CFB"/>
    <w:rsid w:val="00CA7719"/>
    <w:rsid w:val="00CC76B5"/>
    <w:rsid w:val="00CD3B4B"/>
    <w:rsid w:val="00CD6673"/>
    <w:rsid w:val="00CD7CEF"/>
    <w:rsid w:val="00CE5987"/>
    <w:rsid w:val="00CF0B1A"/>
    <w:rsid w:val="00CF3EB4"/>
    <w:rsid w:val="00D02305"/>
    <w:rsid w:val="00D0681E"/>
    <w:rsid w:val="00D115D7"/>
    <w:rsid w:val="00D1228A"/>
    <w:rsid w:val="00D160D9"/>
    <w:rsid w:val="00D43E98"/>
    <w:rsid w:val="00D57A85"/>
    <w:rsid w:val="00D70409"/>
    <w:rsid w:val="00D75D7D"/>
    <w:rsid w:val="00D76436"/>
    <w:rsid w:val="00D80E3A"/>
    <w:rsid w:val="00D87EC9"/>
    <w:rsid w:val="00D92B4B"/>
    <w:rsid w:val="00DA276D"/>
    <w:rsid w:val="00DA6C81"/>
    <w:rsid w:val="00DB06C7"/>
    <w:rsid w:val="00DB1E21"/>
    <w:rsid w:val="00DD0687"/>
    <w:rsid w:val="00E034B6"/>
    <w:rsid w:val="00E111EB"/>
    <w:rsid w:val="00E33060"/>
    <w:rsid w:val="00E3716A"/>
    <w:rsid w:val="00E430A5"/>
    <w:rsid w:val="00E45ED9"/>
    <w:rsid w:val="00E4616A"/>
    <w:rsid w:val="00E53C8F"/>
    <w:rsid w:val="00E545E9"/>
    <w:rsid w:val="00E56023"/>
    <w:rsid w:val="00E567A7"/>
    <w:rsid w:val="00E7196F"/>
    <w:rsid w:val="00E71DE7"/>
    <w:rsid w:val="00EA1EE4"/>
    <w:rsid w:val="00EC311E"/>
    <w:rsid w:val="00EC34DE"/>
    <w:rsid w:val="00EC3CC3"/>
    <w:rsid w:val="00EC65A7"/>
    <w:rsid w:val="00ED1F4A"/>
    <w:rsid w:val="00ED7702"/>
    <w:rsid w:val="00F0121E"/>
    <w:rsid w:val="00F07C80"/>
    <w:rsid w:val="00F12DE7"/>
    <w:rsid w:val="00F16FBA"/>
    <w:rsid w:val="00F24E43"/>
    <w:rsid w:val="00F325F6"/>
    <w:rsid w:val="00F33D35"/>
    <w:rsid w:val="00F4100D"/>
    <w:rsid w:val="00F55E64"/>
    <w:rsid w:val="00F6047E"/>
    <w:rsid w:val="00F6311B"/>
    <w:rsid w:val="00F63357"/>
    <w:rsid w:val="00F76046"/>
    <w:rsid w:val="00F770E8"/>
    <w:rsid w:val="00F850D1"/>
    <w:rsid w:val="00F85188"/>
    <w:rsid w:val="00F90D35"/>
    <w:rsid w:val="00F95E75"/>
    <w:rsid w:val="00FA396B"/>
    <w:rsid w:val="00FB0142"/>
    <w:rsid w:val="00FB4719"/>
    <w:rsid w:val="00FC3149"/>
    <w:rsid w:val="00FD3EFC"/>
    <w:rsid w:val="00FE1876"/>
    <w:rsid w:val="00FF4E1D"/>
    <w:rsid w:val="00FF6672"/>
  </w:rsids>
  <m:mathPr>
    <m:mathFont m:val="Cambria Math"/>
    <m:brkBin m:val="before"/>
    <m:brkBinSub m:val="--"/>
    <m:smallFrac/>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7410"/>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0E6DE7"/>
    <w:pPr>
      <w:spacing w:after="160" w:line="360" w:lineRule="auto"/>
      <w:jc w:val="both"/>
    </w:pPr>
    <w:rPr>
      <w:rFonts w:ascii="Times New Roman" w:hAnsi="Times New Roman"/>
      <w:sz w:val="24"/>
      <w:lang w:val="en-GB"/>
    </w:rPr>
  </w:style>
  <w:style w:type="paragraph" w:styleId="Heading1">
    <w:name w:val="heading 1"/>
    <w:basedOn w:val="Normal"/>
    <w:next w:val="Normal"/>
    <w:link w:val="Heading1Char"/>
    <w:autoRedefine/>
    <w:uiPriority w:val="9"/>
    <w:qFormat/>
    <w:rsid w:val="00680790"/>
    <w:pPr>
      <w:keepNext/>
      <w:keepLines/>
      <w:spacing w:before="480" w:after="0"/>
      <w:outlineLvl w:val="0"/>
    </w:pPr>
    <w:rPr>
      <w:rFonts w:eastAsiaTheme="majorEastAsia" w:cstheme="majorBidi"/>
      <w:b/>
      <w:bCs/>
      <w:sz w:val="28"/>
      <w:szCs w:val="28"/>
    </w:rPr>
  </w:style>
  <w:style w:type="paragraph" w:styleId="Heading2">
    <w:name w:val="heading 2"/>
    <w:basedOn w:val="Normal"/>
    <w:next w:val="Normal"/>
    <w:link w:val="Heading2Char"/>
    <w:uiPriority w:val="9"/>
    <w:unhideWhenUsed/>
    <w:qFormat/>
    <w:rsid w:val="006627D9"/>
    <w:pPr>
      <w:keepNext/>
      <w:keepLines/>
      <w:spacing w:before="200" w:after="0"/>
      <w:outlineLvl w:val="1"/>
    </w:pPr>
    <w:rPr>
      <w:rFonts w:eastAsiaTheme="majorEastAsia" w:cstheme="majorBidi"/>
      <w:b/>
      <w:bCs/>
      <w:sz w:val="26"/>
      <w:szCs w:val="26"/>
    </w:rPr>
  </w:style>
  <w:style w:type="character" w:default="1" w:styleId="DefaultParagraphFont">
    <w:name w:val="Default Paragraph Font"/>
    <w:uiPriority w:val="1"/>
    <w:semiHidden/>
    <w:unhideWhenUsed/>
  </w:style>
  <w:style w:type="table" w:default="1" w:styleId="TableNormal">
    <w:name w:val="Normal Table"/>
    <w:uiPriority w:val="99"/>
    <w:semiHidden/>
    <w:unhideWhenUsed/>
    <w:qFormat/>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Title">
    <w:name w:val="Title"/>
    <w:basedOn w:val="Normal"/>
    <w:next w:val="Normal"/>
    <w:link w:val="TitleChar"/>
    <w:uiPriority w:val="10"/>
    <w:qFormat/>
    <w:rsid w:val="006627D9"/>
    <w:pPr>
      <w:spacing w:after="100" w:afterAutospacing="1"/>
      <w:jc w:val="center"/>
    </w:pPr>
    <w:rPr>
      <w:rFonts w:eastAsiaTheme="majorEastAsia" w:cstheme="majorBidi"/>
      <w:b/>
      <w:spacing w:val="5"/>
      <w:kern w:val="28"/>
      <w:sz w:val="56"/>
      <w:szCs w:val="52"/>
    </w:rPr>
  </w:style>
  <w:style w:type="character" w:customStyle="1" w:styleId="TitleChar">
    <w:name w:val="Title Char"/>
    <w:basedOn w:val="DefaultParagraphFont"/>
    <w:link w:val="Title"/>
    <w:uiPriority w:val="10"/>
    <w:rsid w:val="006627D9"/>
    <w:rPr>
      <w:rFonts w:ascii="Times New Roman" w:eastAsiaTheme="majorEastAsia" w:hAnsi="Times New Roman" w:cstheme="majorBidi"/>
      <w:b/>
      <w:spacing w:val="5"/>
      <w:kern w:val="28"/>
      <w:sz w:val="56"/>
      <w:szCs w:val="52"/>
    </w:rPr>
  </w:style>
  <w:style w:type="character" w:customStyle="1" w:styleId="Heading2Char">
    <w:name w:val="Heading 2 Char"/>
    <w:basedOn w:val="DefaultParagraphFont"/>
    <w:link w:val="Heading2"/>
    <w:uiPriority w:val="9"/>
    <w:rsid w:val="006627D9"/>
    <w:rPr>
      <w:rFonts w:ascii="Times New Roman" w:eastAsiaTheme="majorEastAsia" w:hAnsi="Times New Roman" w:cstheme="majorBidi"/>
      <w:b/>
      <w:bCs/>
      <w:sz w:val="26"/>
      <w:szCs w:val="26"/>
    </w:rPr>
  </w:style>
  <w:style w:type="character" w:customStyle="1" w:styleId="Heading1Char">
    <w:name w:val="Heading 1 Char"/>
    <w:basedOn w:val="DefaultParagraphFont"/>
    <w:link w:val="Heading1"/>
    <w:uiPriority w:val="9"/>
    <w:rsid w:val="00680790"/>
    <w:rPr>
      <w:rFonts w:ascii="Times New Roman" w:eastAsiaTheme="majorEastAsia" w:hAnsi="Times New Roman" w:cstheme="majorBidi"/>
      <w:b/>
      <w:bCs/>
      <w:sz w:val="28"/>
      <w:szCs w:val="28"/>
      <w:lang w:val="en-GB"/>
    </w:rPr>
  </w:style>
  <w:style w:type="character" w:styleId="PlaceholderText">
    <w:name w:val="Placeholder Text"/>
    <w:basedOn w:val="DefaultParagraphFont"/>
    <w:uiPriority w:val="99"/>
    <w:semiHidden/>
    <w:rsid w:val="00E56023"/>
    <w:rPr>
      <w:color w:val="808080"/>
    </w:rPr>
  </w:style>
  <w:style w:type="paragraph" w:styleId="BalloonText">
    <w:name w:val="Balloon Text"/>
    <w:basedOn w:val="Normal"/>
    <w:link w:val="BalloonTextChar"/>
    <w:uiPriority w:val="99"/>
    <w:semiHidden/>
    <w:unhideWhenUsed/>
    <w:rsid w:val="00E56023"/>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E56023"/>
    <w:rPr>
      <w:rFonts w:ascii="Tahoma" w:hAnsi="Tahoma" w:cs="Tahoma"/>
      <w:sz w:val="16"/>
      <w:szCs w:val="16"/>
      <w:lang w:val="en-GB"/>
    </w:rPr>
  </w:style>
  <w:style w:type="paragraph" w:styleId="ListParagraph">
    <w:name w:val="List Paragraph"/>
    <w:basedOn w:val="Normal"/>
    <w:uiPriority w:val="34"/>
    <w:qFormat/>
    <w:rsid w:val="003C7315"/>
    <w:pPr>
      <w:ind w:left="720"/>
      <w:contextualSpacing/>
    </w:pPr>
  </w:style>
  <w:style w:type="paragraph" w:styleId="Header">
    <w:name w:val="header"/>
    <w:basedOn w:val="Normal"/>
    <w:link w:val="HeaderChar"/>
    <w:uiPriority w:val="99"/>
    <w:unhideWhenUsed/>
    <w:rsid w:val="00F90D35"/>
    <w:pPr>
      <w:tabs>
        <w:tab w:val="center" w:pos="4680"/>
        <w:tab w:val="right" w:pos="9360"/>
      </w:tabs>
      <w:spacing w:after="0" w:line="240" w:lineRule="auto"/>
    </w:pPr>
  </w:style>
  <w:style w:type="character" w:customStyle="1" w:styleId="HeaderChar">
    <w:name w:val="Header Char"/>
    <w:basedOn w:val="DefaultParagraphFont"/>
    <w:link w:val="Header"/>
    <w:uiPriority w:val="99"/>
    <w:rsid w:val="00F90D35"/>
    <w:rPr>
      <w:rFonts w:ascii="Times New Roman" w:hAnsi="Times New Roman"/>
      <w:sz w:val="24"/>
      <w:lang w:val="en-GB"/>
    </w:rPr>
  </w:style>
  <w:style w:type="paragraph" w:styleId="Footer">
    <w:name w:val="footer"/>
    <w:basedOn w:val="Normal"/>
    <w:link w:val="FooterChar"/>
    <w:uiPriority w:val="99"/>
    <w:unhideWhenUsed/>
    <w:rsid w:val="00F90D35"/>
    <w:pPr>
      <w:tabs>
        <w:tab w:val="center" w:pos="4680"/>
        <w:tab w:val="right" w:pos="9360"/>
      </w:tabs>
      <w:spacing w:after="0" w:line="240" w:lineRule="auto"/>
    </w:pPr>
  </w:style>
  <w:style w:type="character" w:customStyle="1" w:styleId="FooterChar">
    <w:name w:val="Footer Char"/>
    <w:basedOn w:val="DefaultParagraphFont"/>
    <w:link w:val="Footer"/>
    <w:uiPriority w:val="99"/>
    <w:rsid w:val="00F90D35"/>
    <w:rPr>
      <w:rFonts w:ascii="Times New Roman" w:hAnsi="Times New Roman"/>
      <w:sz w:val="24"/>
      <w:lang w:val="en-GB"/>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0E6DE7"/>
    <w:pPr>
      <w:spacing w:after="160" w:line="360" w:lineRule="auto"/>
      <w:jc w:val="both"/>
    </w:pPr>
    <w:rPr>
      <w:rFonts w:ascii="Times New Roman" w:hAnsi="Times New Roman"/>
      <w:sz w:val="24"/>
      <w:lang w:val="en-GB"/>
    </w:rPr>
  </w:style>
  <w:style w:type="paragraph" w:styleId="Heading1">
    <w:name w:val="heading 1"/>
    <w:basedOn w:val="Normal"/>
    <w:next w:val="Normal"/>
    <w:link w:val="Heading1Char"/>
    <w:autoRedefine/>
    <w:uiPriority w:val="9"/>
    <w:qFormat/>
    <w:rsid w:val="00680790"/>
    <w:pPr>
      <w:keepNext/>
      <w:keepLines/>
      <w:spacing w:before="480" w:after="0"/>
      <w:outlineLvl w:val="0"/>
    </w:pPr>
    <w:rPr>
      <w:rFonts w:eastAsiaTheme="majorEastAsia" w:cstheme="majorBidi"/>
      <w:b/>
      <w:bCs/>
      <w:sz w:val="28"/>
      <w:szCs w:val="28"/>
    </w:rPr>
  </w:style>
  <w:style w:type="paragraph" w:styleId="Heading2">
    <w:name w:val="heading 2"/>
    <w:basedOn w:val="Normal"/>
    <w:next w:val="Normal"/>
    <w:link w:val="Heading2Char"/>
    <w:uiPriority w:val="9"/>
    <w:unhideWhenUsed/>
    <w:qFormat/>
    <w:rsid w:val="006627D9"/>
    <w:pPr>
      <w:keepNext/>
      <w:keepLines/>
      <w:spacing w:before="200" w:after="0"/>
      <w:outlineLvl w:val="1"/>
    </w:pPr>
    <w:rPr>
      <w:rFonts w:eastAsiaTheme="majorEastAsia" w:cstheme="majorBidi"/>
      <w:b/>
      <w:bCs/>
      <w:sz w:val="26"/>
      <w:szCs w:val="26"/>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Title">
    <w:name w:val="Title"/>
    <w:basedOn w:val="Normal"/>
    <w:next w:val="Normal"/>
    <w:link w:val="TitleChar"/>
    <w:uiPriority w:val="10"/>
    <w:qFormat/>
    <w:rsid w:val="006627D9"/>
    <w:pPr>
      <w:spacing w:after="100" w:afterAutospacing="1"/>
      <w:jc w:val="center"/>
    </w:pPr>
    <w:rPr>
      <w:rFonts w:eastAsiaTheme="majorEastAsia" w:cstheme="majorBidi"/>
      <w:b/>
      <w:spacing w:val="5"/>
      <w:kern w:val="28"/>
      <w:sz w:val="56"/>
      <w:szCs w:val="52"/>
    </w:rPr>
  </w:style>
  <w:style w:type="character" w:customStyle="1" w:styleId="TitleChar">
    <w:name w:val="Title Char"/>
    <w:basedOn w:val="DefaultParagraphFont"/>
    <w:link w:val="Title"/>
    <w:uiPriority w:val="10"/>
    <w:rsid w:val="006627D9"/>
    <w:rPr>
      <w:rFonts w:ascii="Times New Roman" w:eastAsiaTheme="majorEastAsia" w:hAnsi="Times New Roman" w:cstheme="majorBidi"/>
      <w:b/>
      <w:spacing w:val="5"/>
      <w:kern w:val="28"/>
      <w:sz w:val="56"/>
      <w:szCs w:val="52"/>
    </w:rPr>
  </w:style>
  <w:style w:type="character" w:customStyle="1" w:styleId="Heading2Char">
    <w:name w:val="Heading 2 Char"/>
    <w:basedOn w:val="DefaultParagraphFont"/>
    <w:link w:val="Heading2"/>
    <w:uiPriority w:val="9"/>
    <w:rsid w:val="006627D9"/>
    <w:rPr>
      <w:rFonts w:ascii="Times New Roman" w:eastAsiaTheme="majorEastAsia" w:hAnsi="Times New Roman" w:cstheme="majorBidi"/>
      <w:b/>
      <w:bCs/>
      <w:sz w:val="26"/>
      <w:szCs w:val="26"/>
    </w:rPr>
  </w:style>
  <w:style w:type="character" w:customStyle="1" w:styleId="Heading1Char">
    <w:name w:val="Heading 1 Char"/>
    <w:basedOn w:val="DefaultParagraphFont"/>
    <w:link w:val="Heading1"/>
    <w:uiPriority w:val="9"/>
    <w:rsid w:val="00680790"/>
    <w:rPr>
      <w:rFonts w:ascii="Times New Roman" w:eastAsiaTheme="majorEastAsia" w:hAnsi="Times New Roman" w:cstheme="majorBidi"/>
      <w:b/>
      <w:bCs/>
      <w:sz w:val="28"/>
      <w:szCs w:val="28"/>
      <w:lang w:val="en-GB"/>
    </w:rPr>
  </w:style>
  <w:style w:type="character" w:styleId="PlaceholderText">
    <w:name w:val="Placeholder Text"/>
    <w:basedOn w:val="DefaultParagraphFont"/>
    <w:uiPriority w:val="99"/>
    <w:semiHidden/>
    <w:rsid w:val="00E56023"/>
    <w:rPr>
      <w:color w:val="808080"/>
    </w:rPr>
  </w:style>
  <w:style w:type="paragraph" w:styleId="BalloonText">
    <w:name w:val="Balloon Text"/>
    <w:basedOn w:val="Normal"/>
    <w:link w:val="BalloonTextChar"/>
    <w:uiPriority w:val="99"/>
    <w:semiHidden/>
    <w:unhideWhenUsed/>
    <w:rsid w:val="00E56023"/>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E56023"/>
    <w:rPr>
      <w:rFonts w:ascii="Tahoma" w:hAnsi="Tahoma" w:cs="Tahoma"/>
      <w:sz w:val="16"/>
      <w:szCs w:val="16"/>
      <w:lang w:val="en-GB"/>
    </w:rPr>
  </w:style>
  <w:style w:type="paragraph" w:styleId="ListParagraph">
    <w:name w:val="List Paragraph"/>
    <w:basedOn w:val="Normal"/>
    <w:uiPriority w:val="34"/>
    <w:qFormat/>
    <w:rsid w:val="003C7315"/>
    <w:pPr>
      <w:ind w:left="720"/>
      <w:contextualSpacing/>
    </w:pPr>
  </w:style>
  <w:style w:type="paragraph" w:styleId="Header">
    <w:name w:val="header"/>
    <w:basedOn w:val="Normal"/>
    <w:link w:val="HeaderChar"/>
    <w:uiPriority w:val="99"/>
    <w:unhideWhenUsed/>
    <w:rsid w:val="00F90D35"/>
    <w:pPr>
      <w:tabs>
        <w:tab w:val="center" w:pos="4680"/>
        <w:tab w:val="right" w:pos="9360"/>
      </w:tabs>
      <w:spacing w:after="0" w:line="240" w:lineRule="auto"/>
    </w:pPr>
  </w:style>
  <w:style w:type="character" w:customStyle="1" w:styleId="HeaderChar">
    <w:name w:val="Header Char"/>
    <w:basedOn w:val="DefaultParagraphFont"/>
    <w:link w:val="Header"/>
    <w:uiPriority w:val="99"/>
    <w:rsid w:val="00F90D35"/>
    <w:rPr>
      <w:rFonts w:ascii="Times New Roman" w:hAnsi="Times New Roman"/>
      <w:sz w:val="24"/>
      <w:lang w:val="en-GB"/>
    </w:rPr>
  </w:style>
  <w:style w:type="paragraph" w:styleId="Footer">
    <w:name w:val="footer"/>
    <w:basedOn w:val="Normal"/>
    <w:link w:val="FooterChar"/>
    <w:uiPriority w:val="99"/>
    <w:unhideWhenUsed/>
    <w:rsid w:val="00F90D35"/>
    <w:pPr>
      <w:tabs>
        <w:tab w:val="center" w:pos="4680"/>
        <w:tab w:val="right" w:pos="9360"/>
      </w:tabs>
      <w:spacing w:after="0" w:line="240" w:lineRule="auto"/>
    </w:pPr>
  </w:style>
  <w:style w:type="character" w:customStyle="1" w:styleId="FooterChar">
    <w:name w:val="Footer Char"/>
    <w:basedOn w:val="DefaultParagraphFont"/>
    <w:link w:val="Footer"/>
    <w:uiPriority w:val="99"/>
    <w:rsid w:val="00F90D35"/>
    <w:rPr>
      <w:rFonts w:ascii="Times New Roman" w:hAnsi="Times New Roman"/>
      <w:sz w:val="24"/>
      <w:lang w:val="en-GB"/>
    </w:rPr>
  </w:style>
</w:styles>
</file>

<file path=word/webSettings.xml><?xml version="1.0" encoding="utf-8"?>
<w:webSettings xmlns:r="http://schemas.openxmlformats.org/officeDocument/2006/relationships" xmlns:w="http://schemas.openxmlformats.org/wordprocessingml/2006/main">
  <w:divs>
    <w:div w:id="161556328">
      <w:bodyDiv w:val="1"/>
      <w:marLeft w:val="0"/>
      <w:marRight w:val="0"/>
      <w:marTop w:val="0"/>
      <w:marBottom w:val="0"/>
      <w:divBdr>
        <w:top w:val="none" w:sz="0" w:space="0" w:color="auto"/>
        <w:left w:val="none" w:sz="0" w:space="0" w:color="auto"/>
        <w:bottom w:val="none" w:sz="0" w:space="0" w:color="auto"/>
        <w:right w:val="none" w:sz="0" w:space="0" w:color="auto"/>
      </w:divBdr>
      <w:divsChild>
        <w:div w:id="2100832960">
          <w:marLeft w:val="0"/>
          <w:marRight w:val="0"/>
          <w:marTop w:val="0"/>
          <w:marBottom w:val="0"/>
          <w:divBdr>
            <w:top w:val="none" w:sz="0" w:space="0" w:color="auto"/>
            <w:left w:val="none" w:sz="0" w:space="0" w:color="auto"/>
            <w:bottom w:val="none" w:sz="0" w:space="0" w:color="auto"/>
            <w:right w:val="none" w:sz="0" w:space="0" w:color="auto"/>
          </w:divBdr>
        </w:div>
      </w:divsChild>
    </w:div>
    <w:div w:id="504979194">
      <w:bodyDiv w:val="1"/>
      <w:marLeft w:val="0"/>
      <w:marRight w:val="0"/>
      <w:marTop w:val="0"/>
      <w:marBottom w:val="0"/>
      <w:divBdr>
        <w:top w:val="none" w:sz="0" w:space="0" w:color="auto"/>
        <w:left w:val="none" w:sz="0" w:space="0" w:color="auto"/>
        <w:bottom w:val="none" w:sz="0" w:space="0" w:color="auto"/>
        <w:right w:val="none" w:sz="0" w:space="0" w:color="auto"/>
      </w:divBdr>
      <w:divsChild>
        <w:div w:id="1007366568">
          <w:marLeft w:val="0"/>
          <w:marRight w:val="0"/>
          <w:marTop w:val="0"/>
          <w:marBottom w:val="0"/>
          <w:divBdr>
            <w:top w:val="none" w:sz="0" w:space="0" w:color="auto"/>
            <w:left w:val="none" w:sz="0" w:space="0" w:color="auto"/>
            <w:bottom w:val="none" w:sz="0" w:space="0" w:color="auto"/>
            <w:right w:val="none" w:sz="0" w:space="0" w:color="auto"/>
          </w:divBdr>
        </w:div>
      </w:divsChild>
    </w:div>
    <w:div w:id="838890067">
      <w:bodyDiv w:val="1"/>
      <w:marLeft w:val="0"/>
      <w:marRight w:val="0"/>
      <w:marTop w:val="0"/>
      <w:marBottom w:val="0"/>
      <w:divBdr>
        <w:top w:val="none" w:sz="0" w:space="0" w:color="auto"/>
        <w:left w:val="none" w:sz="0" w:space="0" w:color="auto"/>
        <w:bottom w:val="none" w:sz="0" w:space="0" w:color="auto"/>
        <w:right w:val="none" w:sz="0" w:space="0" w:color="auto"/>
      </w:divBdr>
      <w:divsChild>
        <w:div w:id="1909876107">
          <w:marLeft w:val="0"/>
          <w:marRight w:val="0"/>
          <w:marTop w:val="0"/>
          <w:marBottom w:val="0"/>
          <w:divBdr>
            <w:top w:val="none" w:sz="0" w:space="0" w:color="auto"/>
            <w:left w:val="none" w:sz="0" w:space="0" w:color="auto"/>
            <w:bottom w:val="none" w:sz="0" w:space="0" w:color="auto"/>
            <w:right w:val="none" w:sz="0" w:space="0" w:color="auto"/>
          </w:divBdr>
        </w:div>
      </w:divsChild>
    </w:div>
    <w:div w:id="1070931473">
      <w:bodyDiv w:val="1"/>
      <w:marLeft w:val="0"/>
      <w:marRight w:val="0"/>
      <w:marTop w:val="0"/>
      <w:marBottom w:val="0"/>
      <w:divBdr>
        <w:top w:val="none" w:sz="0" w:space="0" w:color="auto"/>
        <w:left w:val="none" w:sz="0" w:space="0" w:color="auto"/>
        <w:bottom w:val="none" w:sz="0" w:space="0" w:color="auto"/>
        <w:right w:val="none" w:sz="0" w:space="0" w:color="auto"/>
      </w:divBdr>
      <w:divsChild>
        <w:div w:id="225650542">
          <w:marLeft w:val="0"/>
          <w:marRight w:val="0"/>
          <w:marTop w:val="0"/>
          <w:marBottom w:val="0"/>
          <w:divBdr>
            <w:top w:val="none" w:sz="0" w:space="0" w:color="auto"/>
            <w:left w:val="none" w:sz="0" w:space="0" w:color="auto"/>
            <w:bottom w:val="none" w:sz="0" w:space="0" w:color="auto"/>
            <w:right w:val="none" w:sz="0" w:space="0" w:color="auto"/>
          </w:divBdr>
        </w:div>
      </w:divsChild>
    </w:div>
    <w:div w:id="1076971573">
      <w:bodyDiv w:val="1"/>
      <w:marLeft w:val="0"/>
      <w:marRight w:val="0"/>
      <w:marTop w:val="0"/>
      <w:marBottom w:val="0"/>
      <w:divBdr>
        <w:top w:val="none" w:sz="0" w:space="0" w:color="auto"/>
        <w:left w:val="none" w:sz="0" w:space="0" w:color="auto"/>
        <w:bottom w:val="none" w:sz="0" w:space="0" w:color="auto"/>
        <w:right w:val="none" w:sz="0" w:space="0" w:color="auto"/>
      </w:divBdr>
      <w:divsChild>
        <w:div w:id="978653867">
          <w:marLeft w:val="0"/>
          <w:marRight w:val="0"/>
          <w:marTop w:val="0"/>
          <w:marBottom w:val="0"/>
          <w:divBdr>
            <w:top w:val="none" w:sz="0" w:space="0" w:color="auto"/>
            <w:left w:val="none" w:sz="0" w:space="0" w:color="auto"/>
            <w:bottom w:val="none" w:sz="0" w:space="0" w:color="auto"/>
            <w:right w:val="none" w:sz="0" w:space="0" w:color="auto"/>
          </w:divBdr>
        </w:div>
      </w:divsChild>
    </w:div>
    <w:div w:id="1211696131">
      <w:bodyDiv w:val="1"/>
      <w:marLeft w:val="0"/>
      <w:marRight w:val="0"/>
      <w:marTop w:val="0"/>
      <w:marBottom w:val="0"/>
      <w:divBdr>
        <w:top w:val="none" w:sz="0" w:space="0" w:color="auto"/>
        <w:left w:val="none" w:sz="0" w:space="0" w:color="auto"/>
        <w:bottom w:val="none" w:sz="0" w:space="0" w:color="auto"/>
        <w:right w:val="none" w:sz="0" w:space="0" w:color="auto"/>
      </w:divBdr>
      <w:divsChild>
        <w:div w:id="184246381">
          <w:marLeft w:val="0"/>
          <w:marRight w:val="0"/>
          <w:marTop w:val="0"/>
          <w:marBottom w:val="0"/>
          <w:divBdr>
            <w:top w:val="none" w:sz="0" w:space="0" w:color="auto"/>
            <w:left w:val="none" w:sz="0" w:space="0" w:color="auto"/>
            <w:bottom w:val="none" w:sz="0" w:space="0" w:color="auto"/>
            <w:right w:val="none" w:sz="0" w:space="0" w:color="auto"/>
          </w:divBdr>
        </w:div>
      </w:divsChild>
    </w:div>
    <w:div w:id="1394742216">
      <w:bodyDiv w:val="1"/>
      <w:marLeft w:val="0"/>
      <w:marRight w:val="0"/>
      <w:marTop w:val="0"/>
      <w:marBottom w:val="0"/>
      <w:divBdr>
        <w:top w:val="none" w:sz="0" w:space="0" w:color="auto"/>
        <w:left w:val="none" w:sz="0" w:space="0" w:color="auto"/>
        <w:bottom w:val="none" w:sz="0" w:space="0" w:color="auto"/>
        <w:right w:val="none" w:sz="0" w:space="0" w:color="auto"/>
      </w:divBdr>
      <w:divsChild>
        <w:div w:id="1429353544">
          <w:marLeft w:val="0"/>
          <w:marRight w:val="0"/>
          <w:marTop w:val="0"/>
          <w:marBottom w:val="0"/>
          <w:divBdr>
            <w:top w:val="none" w:sz="0" w:space="0" w:color="auto"/>
            <w:left w:val="none" w:sz="0" w:space="0" w:color="auto"/>
            <w:bottom w:val="none" w:sz="0" w:space="0" w:color="auto"/>
            <w:right w:val="none" w:sz="0" w:space="0" w:color="auto"/>
          </w:divBdr>
        </w:div>
      </w:divsChild>
    </w:div>
    <w:div w:id="1414471369">
      <w:bodyDiv w:val="1"/>
      <w:marLeft w:val="0"/>
      <w:marRight w:val="0"/>
      <w:marTop w:val="0"/>
      <w:marBottom w:val="0"/>
      <w:divBdr>
        <w:top w:val="none" w:sz="0" w:space="0" w:color="auto"/>
        <w:left w:val="none" w:sz="0" w:space="0" w:color="auto"/>
        <w:bottom w:val="none" w:sz="0" w:space="0" w:color="auto"/>
        <w:right w:val="none" w:sz="0" w:space="0" w:color="auto"/>
      </w:divBdr>
      <w:divsChild>
        <w:div w:id="987133185">
          <w:marLeft w:val="0"/>
          <w:marRight w:val="0"/>
          <w:marTop w:val="0"/>
          <w:marBottom w:val="0"/>
          <w:divBdr>
            <w:top w:val="none" w:sz="0" w:space="0" w:color="auto"/>
            <w:left w:val="none" w:sz="0" w:space="0" w:color="auto"/>
            <w:bottom w:val="none" w:sz="0" w:space="0" w:color="auto"/>
            <w:right w:val="none" w:sz="0" w:space="0" w:color="auto"/>
          </w:divBdr>
        </w:div>
      </w:divsChild>
    </w:div>
    <w:div w:id="1885673673">
      <w:bodyDiv w:val="1"/>
      <w:marLeft w:val="0"/>
      <w:marRight w:val="0"/>
      <w:marTop w:val="0"/>
      <w:marBottom w:val="0"/>
      <w:divBdr>
        <w:top w:val="none" w:sz="0" w:space="0" w:color="auto"/>
        <w:left w:val="none" w:sz="0" w:space="0" w:color="auto"/>
        <w:bottom w:val="none" w:sz="0" w:space="0" w:color="auto"/>
        <w:right w:val="none" w:sz="0" w:space="0" w:color="auto"/>
      </w:divBdr>
      <w:divsChild>
        <w:div w:id="1909683061">
          <w:marLeft w:val="0"/>
          <w:marRight w:val="0"/>
          <w:marTop w:val="0"/>
          <w:marBottom w:val="0"/>
          <w:divBdr>
            <w:top w:val="none" w:sz="0" w:space="0" w:color="auto"/>
            <w:left w:val="none" w:sz="0" w:space="0" w:color="auto"/>
            <w:bottom w:val="none" w:sz="0" w:space="0" w:color="auto"/>
            <w:right w:val="none" w:sz="0" w:space="0" w:color="auto"/>
          </w:divBdr>
        </w:div>
      </w:divsChild>
    </w:div>
    <w:div w:id="1997493489">
      <w:bodyDiv w:val="1"/>
      <w:marLeft w:val="0"/>
      <w:marRight w:val="0"/>
      <w:marTop w:val="0"/>
      <w:marBottom w:val="0"/>
      <w:divBdr>
        <w:top w:val="none" w:sz="0" w:space="0" w:color="auto"/>
        <w:left w:val="none" w:sz="0" w:space="0" w:color="auto"/>
        <w:bottom w:val="none" w:sz="0" w:space="0" w:color="auto"/>
        <w:right w:val="none" w:sz="0" w:space="0" w:color="auto"/>
      </w:divBdr>
      <w:divsChild>
        <w:div w:id="885989865">
          <w:marLeft w:val="0"/>
          <w:marRight w:val="0"/>
          <w:marTop w:val="0"/>
          <w:marBottom w:val="0"/>
          <w:divBdr>
            <w:top w:val="none" w:sz="0" w:space="0" w:color="auto"/>
            <w:left w:val="none" w:sz="0" w:space="0" w:color="auto"/>
            <w:bottom w:val="none" w:sz="0" w:space="0" w:color="auto"/>
            <w:right w:val="none" w:sz="0" w:space="0" w:color="auto"/>
          </w:divBdr>
        </w:div>
      </w:divsChild>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13" Type="http://schemas.openxmlformats.org/officeDocument/2006/relationships/image" Target="media/image6.png"/><Relationship Id="rId18" Type="http://schemas.openxmlformats.org/officeDocument/2006/relationships/fontTable" Target="fontTable.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image" Target="media/image5.png"/><Relationship Id="rId17" Type="http://schemas.openxmlformats.org/officeDocument/2006/relationships/image" Target="media/image10.png"/><Relationship Id="rId2" Type="http://schemas.openxmlformats.org/officeDocument/2006/relationships/numbering" Target="numbering.xml"/><Relationship Id="rId16" Type="http://schemas.openxmlformats.org/officeDocument/2006/relationships/image" Target="media/image9.png"/><Relationship Id="rId20" Type="http://schemas.microsoft.com/office/2007/relationships/stylesWithEffects" Target="stylesWithEffects.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image" Target="media/image4.png"/><Relationship Id="rId5" Type="http://schemas.openxmlformats.org/officeDocument/2006/relationships/webSettings" Target="webSettings.xml"/><Relationship Id="rId15" Type="http://schemas.openxmlformats.org/officeDocument/2006/relationships/image" Target="media/image8.png"/><Relationship Id="rId10" Type="http://schemas.openxmlformats.org/officeDocument/2006/relationships/image" Target="media/image3.png"/><Relationship Id="rId19" Type="http://schemas.openxmlformats.org/officeDocument/2006/relationships/theme" Target="theme/theme1.xml"/><Relationship Id="rId4" Type="http://schemas.openxmlformats.org/officeDocument/2006/relationships/settings" Target="settings.xml"/><Relationship Id="rId9" Type="http://schemas.openxmlformats.org/officeDocument/2006/relationships/image" Target="media/image2.png"/><Relationship Id="rId14" Type="http://schemas.openxmlformats.org/officeDocument/2006/relationships/image" Target="media/image7.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9EE9BA92-3AD4-4519-885E-50B14EC33EE5}">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15</Pages>
  <Words>1310</Words>
  <Characters>7469</Characters>
  <Application>Microsoft Office Word</Application>
  <DocSecurity>0</DocSecurity>
  <Lines>62</Lines>
  <Paragraphs>17</Paragraphs>
  <ScaleCrop>false</ScaleCrop>
  <HeadingPairs>
    <vt:vector size="2" baseType="variant">
      <vt:variant>
        <vt:lpstr>Title</vt:lpstr>
      </vt:variant>
      <vt:variant>
        <vt:i4>1</vt:i4>
      </vt:variant>
    </vt:vector>
  </HeadingPairs>
  <TitlesOfParts>
    <vt:vector size="1" baseType="lpstr">
      <vt:lpstr/>
    </vt:vector>
  </TitlesOfParts>
  <LinksUpToDate>false</LinksUpToDate>
  <CharactersWithSpaces>8762</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cp:lastModifiedBy/>
  <cp:revision>1</cp:revision>
  <dcterms:created xsi:type="dcterms:W3CDTF">2020-08-29T12:23:00Z</dcterms:created>
  <dcterms:modified xsi:type="dcterms:W3CDTF">2020-08-29T12:23:00Z</dcterms:modified>
</cp:coreProperties>
</file>