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9962661"/>
        <w:docPartObj>
          <w:docPartGallery w:val="Cover Pages"/>
          <w:docPartUnique/>
        </w:docPartObj>
      </w:sdtPr>
      <w:sdtEndPr>
        <w:rPr>
          <w:rFonts w:eastAsia="Times New Roman" w:cs="Times New Roman"/>
          <w:b/>
          <w:bCs/>
          <w:szCs w:val="24"/>
          <w:u w:val="single"/>
        </w:rPr>
      </w:sdtEndPr>
      <w:sdtContent>
        <w:p w14:paraId="7819792D" w14:textId="375F732B" w:rsidR="00B751E9" w:rsidRDefault="00B751E9">
          <w:r>
            <w:rPr>
              <w:noProof/>
            </w:rPr>
            <mc:AlternateContent>
              <mc:Choice Requires="wpg">
                <w:drawing>
                  <wp:anchor distT="0" distB="0" distL="114300" distR="114300" simplePos="0" relativeHeight="251662336" behindDoc="0" locked="0" layoutInCell="1" allowOverlap="1" wp14:anchorId="044AB9A0" wp14:editId="41BFCF6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0E8DA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68520B9" wp14:editId="6C4545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5ADA25" w14:textId="35EE2464" w:rsidR="00B751E9" w:rsidRDefault="00B751E9">
                                    <w:pPr>
                                      <w:pStyle w:val="NoSpacing"/>
                                      <w:jc w:val="right"/>
                                      <w:rPr>
                                        <w:color w:val="595959" w:themeColor="text1" w:themeTint="A6"/>
                                        <w:sz w:val="28"/>
                                        <w:szCs w:val="28"/>
                                      </w:rPr>
                                    </w:pPr>
                                    <w:r>
                                      <w:rPr>
                                        <w:color w:val="595959" w:themeColor="text1" w:themeTint="A6"/>
                                        <w:sz w:val="28"/>
                                        <w:szCs w:val="28"/>
                                      </w:rPr>
                                      <w:t>Chande</w:t>
                                    </w:r>
                                  </w:p>
                                </w:sdtContent>
                              </w:sdt>
                              <w:p w14:paraId="236FB04F" w14:textId="7F8BDD53" w:rsidR="00B751E9" w:rsidRDefault="00B751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2228562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8520B9"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5ADA25" w14:textId="35EE2464" w:rsidR="00B751E9" w:rsidRDefault="00B751E9">
                              <w:pPr>
                                <w:pStyle w:val="NoSpacing"/>
                                <w:jc w:val="right"/>
                                <w:rPr>
                                  <w:color w:val="595959" w:themeColor="text1" w:themeTint="A6"/>
                                  <w:sz w:val="28"/>
                                  <w:szCs w:val="28"/>
                                </w:rPr>
                              </w:pPr>
                              <w:r>
                                <w:rPr>
                                  <w:color w:val="595959" w:themeColor="text1" w:themeTint="A6"/>
                                  <w:sz w:val="28"/>
                                  <w:szCs w:val="28"/>
                                </w:rPr>
                                <w:t>Chande</w:t>
                              </w:r>
                            </w:p>
                          </w:sdtContent>
                        </w:sdt>
                        <w:p w14:paraId="236FB04F" w14:textId="7F8BDD53" w:rsidR="00B751E9" w:rsidRDefault="00B751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2228562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1C3749" wp14:editId="63D1F98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1F2D6A" w14:textId="1BBEABF8" w:rsidR="00B751E9" w:rsidRDefault="00B751E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public law</w:t>
                                    </w:r>
                                  </w:sdtContent>
                                </w:sdt>
                              </w:p>
                              <w:p w14:paraId="5A1E01DD" w14:textId="2A3969DD" w:rsidR="00B751E9" w:rsidRDefault="00B751E9">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1C3749"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F1F2D6A" w14:textId="1BBEABF8" w:rsidR="00B751E9" w:rsidRDefault="00B751E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public law</w:t>
                              </w:r>
                            </w:sdtContent>
                          </w:sdt>
                        </w:p>
                        <w:p w14:paraId="5A1E01DD" w14:textId="2A3969DD" w:rsidR="00B751E9" w:rsidRDefault="00B751E9">
                          <w:pPr>
                            <w:jc w:val="right"/>
                            <w:rPr>
                              <w:smallCaps/>
                              <w:color w:val="404040" w:themeColor="text1" w:themeTint="BF"/>
                              <w:sz w:val="36"/>
                              <w:szCs w:val="36"/>
                            </w:rPr>
                          </w:pPr>
                        </w:p>
                      </w:txbxContent>
                    </v:textbox>
                    <w10:wrap type="square" anchorx="page" anchory="page"/>
                  </v:shape>
                </w:pict>
              </mc:Fallback>
            </mc:AlternateContent>
          </w:r>
        </w:p>
        <w:p w14:paraId="29E15877" w14:textId="66DB854B" w:rsidR="00B751E9" w:rsidRDefault="00B751E9">
          <w:pPr>
            <w:spacing w:after="160" w:line="259" w:lineRule="auto"/>
            <w:jc w:val="left"/>
            <w:rPr>
              <w:rFonts w:eastAsia="Times New Roman" w:cs="Times New Roman"/>
              <w:b/>
              <w:bCs/>
              <w:szCs w:val="24"/>
              <w:u w:val="single"/>
            </w:rPr>
          </w:pPr>
          <w:r>
            <w:rPr>
              <w:rFonts w:eastAsia="Times New Roman" w:cs="Times New Roman"/>
              <w:b/>
              <w:bCs/>
              <w:szCs w:val="24"/>
              <w:u w:val="single"/>
            </w:rPr>
            <w:br w:type="page"/>
          </w:r>
        </w:p>
      </w:sdtContent>
    </w:sdt>
    <w:p w14:paraId="32A740B8" w14:textId="5418CCE1" w:rsidR="00F80574" w:rsidRPr="006C0A5C" w:rsidRDefault="00F80574" w:rsidP="006C0A5C">
      <w:pPr>
        <w:rPr>
          <w:rFonts w:ascii="Arial" w:eastAsia="Times New Roman" w:hAnsi="Arial"/>
          <w:szCs w:val="24"/>
        </w:rPr>
      </w:pPr>
      <w:r w:rsidRPr="006C0A5C">
        <w:rPr>
          <w:rFonts w:ascii="Arial" w:eastAsia="Times New Roman" w:hAnsi="Arial"/>
          <w:szCs w:val="24"/>
        </w:rPr>
        <w:lastRenderedPageBreak/>
        <w:t xml:space="preserve">Recently, the UK government proposed a new piece of legislation named the ‘Bill of </w:t>
      </w:r>
      <w:r w:rsidR="00A459F7" w:rsidRPr="006C0A5C">
        <w:rPr>
          <w:rFonts w:ascii="Arial" w:eastAsia="Times New Roman" w:hAnsi="Arial"/>
          <w:szCs w:val="24"/>
        </w:rPr>
        <w:t>rights bill’</w:t>
      </w:r>
      <w:r w:rsidRPr="006C0A5C">
        <w:rPr>
          <w:rFonts w:ascii="Arial" w:eastAsia="Times New Roman" w:hAnsi="Arial"/>
          <w:szCs w:val="24"/>
        </w:rPr>
        <w:t xml:space="preserve">. This act came into place to </w:t>
      </w:r>
      <w:r w:rsidR="00E120AD" w:rsidRPr="006C0A5C">
        <w:rPr>
          <w:rFonts w:ascii="Arial" w:eastAsia="Times New Roman" w:hAnsi="Arial"/>
          <w:szCs w:val="24"/>
        </w:rPr>
        <w:t>overrule</w:t>
      </w:r>
      <w:r w:rsidRPr="006C0A5C">
        <w:rPr>
          <w:rFonts w:ascii="Arial" w:eastAsia="Times New Roman" w:hAnsi="Arial"/>
          <w:szCs w:val="24"/>
        </w:rPr>
        <w:t xml:space="preserve"> and replace the Human rights act which was finalized in 1998.</w:t>
      </w:r>
    </w:p>
    <w:p w14:paraId="556A9228" w14:textId="2210909C" w:rsidR="00F80574" w:rsidRPr="006C0A5C" w:rsidRDefault="00F80574" w:rsidP="006C0A5C">
      <w:pPr>
        <w:rPr>
          <w:rFonts w:ascii="Arial" w:eastAsia="Times New Roman" w:hAnsi="Arial"/>
          <w:szCs w:val="24"/>
        </w:rPr>
      </w:pPr>
      <w:r w:rsidRPr="006C0A5C">
        <w:rPr>
          <w:rFonts w:ascii="Arial" w:eastAsia="Times New Roman" w:hAnsi="Arial"/>
          <w:szCs w:val="24"/>
        </w:rPr>
        <w:t xml:space="preserve">The Bill of </w:t>
      </w:r>
      <w:r w:rsidR="00A459F7" w:rsidRPr="006C0A5C">
        <w:rPr>
          <w:rFonts w:ascii="Arial" w:eastAsia="Times New Roman" w:hAnsi="Arial"/>
          <w:szCs w:val="24"/>
        </w:rPr>
        <w:t>rights bill</w:t>
      </w:r>
      <w:r w:rsidRPr="006C0A5C">
        <w:rPr>
          <w:rFonts w:ascii="Arial" w:eastAsia="Times New Roman" w:hAnsi="Arial"/>
          <w:szCs w:val="24"/>
        </w:rPr>
        <w:t xml:space="preserve"> was mainly introduced to put into place to reiterate certain rights and protections for UK citizens which include the right to a fair trial, freedom of speech and protection against unreasonable searches and seizures. </w:t>
      </w:r>
    </w:p>
    <w:p w14:paraId="7475F506" w14:textId="56465632" w:rsidR="00F80574" w:rsidRPr="006C0A5C" w:rsidRDefault="00F80574" w:rsidP="006C0A5C">
      <w:pPr>
        <w:rPr>
          <w:rFonts w:ascii="Arial" w:eastAsia="Times New Roman" w:hAnsi="Arial"/>
          <w:szCs w:val="24"/>
        </w:rPr>
      </w:pPr>
      <w:r w:rsidRPr="006C0A5C">
        <w:rPr>
          <w:rFonts w:ascii="Arial" w:eastAsia="Times New Roman" w:hAnsi="Arial"/>
          <w:szCs w:val="24"/>
        </w:rPr>
        <w:t xml:space="preserve"> The human rights Act 1998 is a UK law incorporating &amp; protecting the human rights of everyone in the United Kingdom, including the right to life, a fair trial, freedom of expression, religion, and protection against torture and discrimination (Dickinson, 2021). This act also requires public administrations to protect and respect human rights in their activities and judgments. One advantage of the Human rights act is it allows individuals to seek compensation in the UK if they believe their rights have been overstepped or violated. None the less, the main aim of the human rights act is to guarantee that people in the UK can exercise their human rights (</w:t>
      </w:r>
      <w:proofErr w:type="spellStart"/>
      <w:r w:rsidRPr="006C0A5C">
        <w:rPr>
          <w:rFonts w:ascii="Arial" w:eastAsia="Times New Roman" w:hAnsi="Arial"/>
          <w:szCs w:val="24"/>
        </w:rPr>
        <w:t>Papastavris</w:t>
      </w:r>
      <w:proofErr w:type="spellEnd"/>
      <w:r w:rsidRPr="006C0A5C">
        <w:rPr>
          <w:rFonts w:ascii="Arial" w:eastAsia="Times New Roman" w:hAnsi="Arial"/>
          <w:szCs w:val="24"/>
        </w:rPr>
        <w:t xml:space="preserve">, 2020) and this action places a responsibility on the higher authorities to prevent the violation of </w:t>
      </w:r>
      <w:r w:rsidR="00D33B7E" w:rsidRPr="006C0A5C">
        <w:rPr>
          <w:rFonts w:ascii="Arial" w:eastAsia="Times New Roman" w:hAnsi="Arial"/>
          <w:szCs w:val="24"/>
        </w:rPr>
        <w:t>these rights</w:t>
      </w:r>
      <w:r w:rsidRPr="006C0A5C">
        <w:rPr>
          <w:rFonts w:ascii="Arial" w:eastAsia="Times New Roman" w:hAnsi="Arial"/>
          <w:szCs w:val="24"/>
        </w:rPr>
        <w:t xml:space="preserve"> and provides a mean for individuals to bring legal action against public authorities who may violate these rights. Furthermore, the main objectives are to continuously promote human dignity, </w:t>
      </w:r>
      <w:r w:rsidR="00D33B7E" w:rsidRPr="006C0A5C">
        <w:rPr>
          <w:rFonts w:ascii="Arial" w:eastAsia="Times New Roman" w:hAnsi="Arial"/>
          <w:szCs w:val="24"/>
        </w:rPr>
        <w:t>freedom,</w:t>
      </w:r>
      <w:r w:rsidRPr="006C0A5C">
        <w:rPr>
          <w:rFonts w:ascii="Arial" w:eastAsia="Times New Roman" w:hAnsi="Arial"/>
          <w:szCs w:val="24"/>
        </w:rPr>
        <w:t xml:space="preserve"> and equality. </w:t>
      </w:r>
    </w:p>
    <w:p w14:paraId="6C45E7FB" w14:textId="77777777" w:rsidR="00F80574" w:rsidRPr="006C0A5C" w:rsidRDefault="00F80574" w:rsidP="006C0A5C">
      <w:pPr>
        <w:rPr>
          <w:rFonts w:ascii="Arial" w:eastAsia="Times New Roman" w:hAnsi="Arial"/>
          <w:szCs w:val="24"/>
        </w:rPr>
      </w:pPr>
    </w:p>
    <w:p w14:paraId="50E16B50" w14:textId="0560F019" w:rsidR="00F80574" w:rsidRPr="006C0A5C" w:rsidRDefault="00F80574" w:rsidP="006C0A5C">
      <w:pPr>
        <w:rPr>
          <w:rFonts w:ascii="Arial" w:eastAsia="Times New Roman" w:hAnsi="Arial"/>
          <w:szCs w:val="24"/>
        </w:rPr>
      </w:pPr>
      <w:r w:rsidRPr="006C0A5C">
        <w:rPr>
          <w:rFonts w:ascii="Arial" w:eastAsia="Times New Roman" w:hAnsi="Arial"/>
          <w:szCs w:val="24"/>
        </w:rPr>
        <w:t xml:space="preserve">In addition, although the Bill of </w:t>
      </w:r>
      <w:r w:rsidR="00A459F7" w:rsidRPr="006C0A5C">
        <w:rPr>
          <w:rFonts w:ascii="Arial" w:eastAsia="Times New Roman" w:hAnsi="Arial"/>
          <w:szCs w:val="24"/>
        </w:rPr>
        <w:t xml:space="preserve">rights bill </w:t>
      </w:r>
      <w:r w:rsidRPr="006C0A5C">
        <w:rPr>
          <w:rFonts w:ascii="Arial" w:eastAsia="Times New Roman" w:hAnsi="Arial"/>
          <w:szCs w:val="24"/>
        </w:rPr>
        <w:t xml:space="preserve">was created it has been debated in the UK for many years. For instance, some would argue that the Bill of </w:t>
      </w:r>
      <w:r w:rsidR="00A459F7" w:rsidRPr="006C0A5C">
        <w:rPr>
          <w:rFonts w:ascii="Arial" w:eastAsia="Times New Roman" w:hAnsi="Arial"/>
          <w:szCs w:val="24"/>
        </w:rPr>
        <w:t>rights bill</w:t>
      </w:r>
      <w:r w:rsidRPr="006C0A5C">
        <w:rPr>
          <w:rFonts w:ascii="Arial" w:eastAsia="Times New Roman" w:hAnsi="Arial"/>
          <w:szCs w:val="24"/>
        </w:rPr>
        <w:t xml:space="preserve"> would deliver greater protection for fundamental freedoms and human rights. One advantage is that it could provide greater clarity and specificity regarding human rights protections and ensure that the UK's laws are consistent with its constitutional principles (</w:t>
      </w:r>
      <w:r w:rsidRPr="006C0A5C">
        <w:rPr>
          <w:rFonts w:ascii="Arial" w:hAnsi="Arial"/>
          <w:shd w:val="clear" w:color="auto" w:fill="FFFFFF"/>
        </w:rPr>
        <w:t>Foster, 2022</w:t>
      </w:r>
      <w:r w:rsidRPr="006C0A5C">
        <w:rPr>
          <w:rFonts w:ascii="Arial" w:eastAsia="Times New Roman" w:hAnsi="Arial"/>
          <w:szCs w:val="24"/>
        </w:rPr>
        <w:t>).</w:t>
      </w:r>
      <w:r w:rsidR="00FD5E9B" w:rsidRPr="006C0A5C">
        <w:rPr>
          <w:rFonts w:ascii="Arial" w:eastAsia="Times New Roman" w:hAnsi="Arial"/>
          <w:szCs w:val="24"/>
        </w:rPr>
        <w:t xml:space="preserve"> </w:t>
      </w:r>
      <w:r w:rsidR="00D33B7E" w:rsidRPr="006C0A5C">
        <w:rPr>
          <w:rFonts w:ascii="Arial" w:eastAsia="Times New Roman" w:hAnsi="Arial"/>
          <w:szCs w:val="24"/>
        </w:rPr>
        <w:t>Also,</w:t>
      </w:r>
      <w:r w:rsidR="00FD5E9B" w:rsidRPr="006C0A5C">
        <w:rPr>
          <w:rFonts w:ascii="Arial" w:eastAsia="Times New Roman" w:hAnsi="Arial"/>
          <w:szCs w:val="24"/>
        </w:rPr>
        <w:t xml:space="preserve"> the </w:t>
      </w:r>
      <w:r w:rsidR="004A1CB1" w:rsidRPr="006C0A5C">
        <w:rPr>
          <w:rFonts w:ascii="Arial" w:eastAsia="Times New Roman" w:hAnsi="Arial"/>
          <w:szCs w:val="24"/>
        </w:rPr>
        <w:t xml:space="preserve">growing importance of European institutions in </w:t>
      </w:r>
      <w:r w:rsidR="00AE2346" w:rsidRPr="006C0A5C">
        <w:rPr>
          <w:rFonts w:ascii="Arial" w:eastAsia="Times New Roman" w:hAnsi="Arial"/>
          <w:szCs w:val="24"/>
        </w:rPr>
        <w:t>Britain’s</w:t>
      </w:r>
      <w:r w:rsidR="004A1CB1" w:rsidRPr="006C0A5C">
        <w:rPr>
          <w:rFonts w:ascii="Arial" w:eastAsia="Times New Roman" w:hAnsi="Arial"/>
          <w:szCs w:val="24"/>
        </w:rPr>
        <w:t xml:space="preserve"> political and legal system g</w:t>
      </w:r>
      <w:r w:rsidR="00AE2346" w:rsidRPr="006C0A5C">
        <w:rPr>
          <w:rFonts w:ascii="Arial" w:eastAsia="Times New Roman" w:hAnsi="Arial"/>
          <w:szCs w:val="24"/>
        </w:rPr>
        <w:t>ave</w:t>
      </w:r>
      <w:r w:rsidR="004A1CB1" w:rsidRPr="006C0A5C">
        <w:rPr>
          <w:rFonts w:ascii="Arial" w:eastAsia="Times New Roman" w:hAnsi="Arial"/>
          <w:szCs w:val="24"/>
        </w:rPr>
        <w:t xml:space="preserve"> added weight to the case for a new Bill of rights.</w:t>
      </w:r>
    </w:p>
    <w:p w14:paraId="72DEC1E3" w14:textId="77777777" w:rsidR="00F80574" w:rsidRPr="006C0A5C" w:rsidRDefault="00F80574" w:rsidP="006C0A5C">
      <w:pPr>
        <w:rPr>
          <w:rFonts w:ascii="Arial" w:eastAsia="Times New Roman" w:hAnsi="Arial"/>
          <w:szCs w:val="24"/>
        </w:rPr>
      </w:pPr>
    </w:p>
    <w:p w14:paraId="7DF58ADB" w14:textId="692DF4CE" w:rsidR="00AE2346" w:rsidRPr="006C0A5C" w:rsidRDefault="00F80574" w:rsidP="006C0A5C">
      <w:pPr>
        <w:rPr>
          <w:rFonts w:ascii="Arial" w:eastAsia="Times New Roman" w:hAnsi="Arial"/>
          <w:szCs w:val="24"/>
        </w:rPr>
      </w:pPr>
      <w:r w:rsidRPr="006C0A5C">
        <w:rPr>
          <w:rFonts w:ascii="Arial" w:eastAsia="Times New Roman" w:hAnsi="Arial"/>
          <w:szCs w:val="24"/>
        </w:rPr>
        <w:t xml:space="preserve">However, some critics may argue that such bill could weaken the existing human rights </w:t>
      </w:r>
      <w:r w:rsidR="00AE2346" w:rsidRPr="006C0A5C">
        <w:rPr>
          <w:rFonts w:ascii="Arial" w:eastAsia="Times New Roman" w:hAnsi="Arial"/>
          <w:szCs w:val="24"/>
        </w:rPr>
        <w:t xml:space="preserve"> </w:t>
      </w:r>
      <w:proofErr w:type="spellStart"/>
      <w:r w:rsidR="00AE2346" w:rsidRPr="006C0A5C">
        <w:rPr>
          <w:rFonts w:ascii="Arial" w:eastAsia="Times New Roman" w:hAnsi="Arial"/>
          <w:szCs w:val="24"/>
        </w:rPr>
        <w:t>i.e</w:t>
      </w:r>
      <w:proofErr w:type="spellEnd"/>
      <w:r w:rsidR="00AE2346" w:rsidRPr="006C0A5C">
        <w:rPr>
          <w:rFonts w:ascii="Arial" w:eastAsia="Times New Roman" w:hAnsi="Arial"/>
          <w:szCs w:val="24"/>
        </w:rPr>
        <w:t xml:space="preserve"> equal pay, sex discrimination, fair employment and data protection act 1984. </w:t>
      </w:r>
      <w:proofErr w:type="spellStart"/>
      <w:r w:rsidR="00AE2346" w:rsidRPr="006C0A5C">
        <w:rPr>
          <w:rFonts w:ascii="Arial" w:eastAsia="Times New Roman" w:hAnsi="Arial"/>
          <w:szCs w:val="24"/>
        </w:rPr>
        <w:t>Aswell</w:t>
      </w:r>
      <w:proofErr w:type="spellEnd"/>
      <w:r w:rsidR="00AE2346" w:rsidRPr="006C0A5C">
        <w:rPr>
          <w:rFonts w:ascii="Arial" w:eastAsia="Times New Roman" w:hAnsi="Arial"/>
          <w:szCs w:val="24"/>
        </w:rPr>
        <w:t xml:space="preserve"> as</w:t>
      </w:r>
      <w:r w:rsidRPr="006C0A5C">
        <w:rPr>
          <w:rFonts w:ascii="Arial" w:eastAsia="Times New Roman" w:hAnsi="Arial"/>
          <w:szCs w:val="24"/>
        </w:rPr>
        <w:t xml:space="preserve"> undermi</w:t>
      </w:r>
      <w:r w:rsidR="00AE2346" w:rsidRPr="006C0A5C">
        <w:rPr>
          <w:rFonts w:ascii="Arial" w:eastAsia="Times New Roman" w:hAnsi="Arial"/>
          <w:szCs w:val="24"/>
        </w:rPr>
        <w:t xml:space="preserve">ning </w:t>
      </w:r>
      <w:r w:rsidRPr="006C0A5C">
        <w:rPr>
          <w:rFonts w:ascii="Arial" w:eastAsia="Times New Roman" w:hAnsi="Arial"/>
          <w:szCs w:val="24"/>
        </w:rPr>
        <w:t>the authority of global human rights.</w:t>
      </w:r>
      <w:r w:rsidR="00AE2346" w:rsidRPr="006C0A5C">
        <w:rPr>
          <w:rFonts w:ascii="Arial" w:eastAsia="Times New Roman" w:hAnsi="Arial"/>
          <w:szCs w:val="24"/>
        </w:rPr>
        <w:t xml:space="preserve"> For instance, the British government has also translated some of the rights and freedoms guaranteed by these international instruments in the UK</w:t>
      </w:r>
      <w:sdt>
        <w:sdtPr>
          <w:rPr>
            <w:rFonts w:ascii="Arial" w:eastAsia="Times New Roman" w:hAnsi="Arial"/>
            <w:szCs w:val="24"/>
          </w:rPr>
          <w:id w:val="-1455559207"/>
          <w:citation/>
        </w:sdtPr>
        <w:sdtContent>
          <w:r w:rsidR="00AE2346" w:rsidRPr="006C0A5C">
            <w:rPr>
              <w:rFonts w:ascii="Arial" w:eastAsia="Times New Roman" w:hAnsi="Arial"/>
              <w:szCs w:val="24"/>
            </w:rPr>
            <w:fldChar w:fldCharType="begin"/>
          </w:r>
          <w:r w:rsidR="00AE2346" w:rsidRPr="006C0A5C">
            <w:rPr>
              <w:rFonts w:ascii="Arial" w:eastAsia="Times New Roman" w:hAnsi="Arial"/>
              <w:szCs w:val="24"/>
              <w:lang w:val="en-GB"/>
            </w:rPr>
            <w:instrText xml:space="preserve"> CITATION Les90 \l 2057 </w:instrText>
          </w:r>
          <w:r w:rsidR="00AE2346" w:rsidRPr="006C0A5C">
            <w:rPr>
              <w:rFonts w:ascii="Arial" w:eastAsia="Times New Roman" w:hAnsi="Arial"/>
              <w:szCs w:val="24"/>
            </w:rPr>
            <w:fldChar w:fldCharType="separate"/>
          </w:r>
          <w:r w:rsidR="00AE2346" w:rsidRPr="006C0A5C">
            <w:rPr>
              <w:rFonts w:ascii="Arial" w:eastAsia="Times New Roman" w:hAnsi="Arial"/>
              <w:noProof/>
              <w:szCs w:val="24"/>
              <w:lang w:val="en-GB"/>
            </w:rPr>
            <w:t xml:space="preserve"> (Lester, 1990)</w:t>
          </w:r>
          <w:r w:rsidR="00AE2346" w:rsidRPr="006C0A5C">
            <w:rPr>
              <w:rFonts w:ascii="Arial" w:eastAsia="Times New Roman" w:hAnsi="Arial"/>
              <w:szCs w:val="24"/>
            </w:rPr>
            <w:fldChar w:fldCharType="end"/>
          </w:r>
        </w:sdtContent>
      </w:sdt>
      <w:r w:rsidR="00AE2346" w:rsidRPr="006C0A5C">
        <w:rPr>
          <w:rFonts w:ascii="Arial" w:eastAsia="Times New Roman" w:hAnsi="Arial"/>
          <w:szCs w:val="24"/>
        </w:rPr>
        <w:t xml:space="preserve">. Such as the right of access to the courts was given practical reality in the Legal Act 1949 and the right to equality of </w:t>
      </w:r>
      <w:r w:rsidR="00AE2346" w:rsidRPr="006C0A5C">
        <w:rPr>
          <w:rFonts w:ascii="Arial" w:eastAsia="Times New Roman" w:hAnsi="Arial"/>
          <w:szCs w:val="24"/>
        </w:rPr>
        <w:lastRenderedPageBreak/>
        <w:t xml:space="preserve">treatment without discrimination was implemented in relation to color, race gender and religious beliefs. </w:t>
      </w:r>
    </w:p>
    <w:p w14:paraId="2C9E570A" w14:textId="517DD5FA" w:rsidR="00AE2346" w:rsidRPr="006C0A5C" w:rsidRDefault="00AE2346" w:rsidP="006C0A5C">
      <w:pPr>
        <w:rPr>
          <w:rFonts w:ascii="Arial" w:eastAsia="Times New Roman" w:hAnsi="Arial"/>
          <w:szCs w:val="24"/>
        </w:rPr>
      </w:pPr>
    </w:p>
    <w:p w14:paraId="1979157F" w14:textId="17ADC2E0" w:rsidR="00AA5E7E" w:rsidRPr="006C0A5C" w:rsidRDefault="00F80574" w:rsidP="006C0A5C">
      <w:pPr>
        <w:rPr>
          <w:rFonts w:ascii="Arial" w:eastAsia="Times New Roman" w:hAnsi="Arial"/>
          <w:szCs w:val="24"/>
        </w:rPr>
      </w:pPr>
      <w:r w:rsidRPr="006C0A5C">
        <w:rPr>
          <w:rFonts w:ascii="Arial" w:eastAsia="Times New Roman" w:hAnsi="Arial"/>
          <w:szCs w:val="24"/>
        </w:rPr>
        <w:t>Additionally, some fear that the bill could erode the separation of powers between the court and the executive, potentially damaging the rule of law in the UK. The proposed legislation is currently under debate and has generated significant controversy and discussion in the UK. However, another potential disadvantage is the risk of undermining the rule of law and the possibility that some individuals may find it more difficult to protect their human rights in practice (</w:t>
      </w:r>
      <w:proofErr w:type="spellStart"/>
      <w:r w:rsidRPr="006C0A5C">
        <w:rPr>
          <w:rFonts w:ascii="Arial" w:hAnsi="Arial"/>
          <w:shd w:val="clear" w:color="auto" w:fill="FFFFFF"/>
        </w:rPr>
        <w:t>Korniienko</w:t>
      </w:r>
      <w:proofErr w:type="spellEnd"/>
      <w:r w:rsidRPr="006C0A5C">
        <w:rPr>
          <w:rFonts w:ascii="Arial" w:hAnsi="Arial"/>
          <w:shd w:val="clear" w:color="auto" w:fill="FFFFFF"/>
        </w:rPr>
        <w:t xml:space="preserve"> et al., 2023</w:t>
      </w:r>
      <w:r w:rsidRPr="006C0A5C">
        <w:rPr>
          <w:rFonts w:ascii="Arial" w:eastAsia="Times New Roman" w:hAnsi="Arial"/>
          <w:szCs w:val="24"/>
        </w:rPr>
        <w:t>). Additionally, there are concerns that the new legislation could weaken the UK's commitments to global human rights norms and damage its reputation as a global leader in human rights.</w:t>
      </w:r>
      <w:r w:rsidR="00AA5E7E" w:rsidRPr="006C0A5C">
        <w:rPr>
          <w:rFonts w:ascii="Arial" w:eastAsia="Times New Roman" w:hAnsi="Arial"/>
          <w:szCs w:val="24"/>
        </w:rPr>
        <w:t xml:space="preserve"> Moreover, some politicians would argue that the very idea of a Bill of rights restricts the power of parliament and is hostile to the British tradition that parliament should remain sovereign </w:t>
      </w:r>
      <w:sdt>
        <w:sdtPr>
          <w:rPr>
            <w:rFonts w:ascii="Arial" w:eastAsia="Times New Roman" w:hAnsi="Arial"/>
            <w:szCs w:val="24"/>
          </w:rPr>
          <w:id w:val="-1392109445"/>
          <w:citation/>
        </w:sdtPr>
        <w:sdtContent>
          <w:r w:rsidR="00AA5E7E" w:rsidRPr="006C0A5C">
            <w:rPr>
              <w:rFonts w:ascii="Arial" w:eastAsia="Times New Roman" w:hAnsi="Arial"/>
              <w:szCs w:val="24"/>
            </w:rPr>
            <w:fldChar w:fldCharType="begin"/>
          </w:r>
          <w:r w:rsidR="00AA5E7E" w:rsidRPr="006C0A5C">
            <w:rPr>
              <w:rFonts w:ascii="Arial" w:eastAsia="Times New Roman" w:hAnsi="Arial"/>
              <w:szCs w:val="24"/>
              <w:lang w:val="en-GB"/>
            </w:rPr>
            <w:instrText xml:space="preserve"> CITATION Dwo90 \l 2057 </w:instrText>
          </w:r>
          <w:r w:rsidR="00AA5E7E" w:rsidRPr="006C0A5C">
            <w:rPr>
              <w:rFonts w:ascii="Arial" w:eastAsia="Times New Roman" w:hAnsi="Arial"/>
              <w:szCs w:val="24"/>
            </w:rPr>
            <w:fldChar w:fldCharType="separate"/>
          </w:r>
          <w:r w:rsidR="00AA5E7E" w:rsidRPr="006C0A5C">
            <w:rPr>
              <w:rFonts w:ascii="Arial" w:eastAsia="Times New Roman" w:hAnsi="Arial"/>
              <w:noProof/>
              <w:szCs w:val="24"/>
              <w:lang w:val="en-GB"/>
            </w:rPr>
            <w:t>(Dworkin, 1990)</w:t>
          </w:r>
          <w:r w:rsidR="00AA5E7E" w:rsidRPr="006C0A5C">
            <w:rPr>
              <w:rFonts w:ascii="Arial" w:eastAsia="Times New Roman" w:hAnsi="Arial"/>
              <w:szCs w:val="24"/>
            </w:rPr>
            <w:fldChar w:fldCharType="end"/>
          </w:r>
        </w:sdtContent>
      </w:sdt>
    </w:p>
    <w:p w14:paraId="39F190DD" w14:textId="77777777" w:rsidR="00AA5E7E" w:rsidRPr="006C0A5C" w:rsidRDefault="00AA5E7E" w:rsidP="006C0A5C">
      <w:pPr>
        <w:rPr>
          <w:rFonts w:ascii="Arial" w:eastAsia="Times New Roman" w:hAnsi="Arial"/>
          <w:szCs w:val="24"/>
        </w:rPr>
      </w:pPr>
    </w:p>
    <w:p w14:paraId="63C0214B" w14:textId="5E5ECC31" w:rsidR="00F80574" w:rsidRPr="006C0A5C" w:rsidRDefault="00A459F7" w:rsidP="006C0A5C">
      <w:pPr>
        <w:rPr>
          <w:rFonts w:ascii="Arial" w:eastAsia="Times New Roman" w:hAnsi="Arial"/>
          <w:szCs w:val="24"/>
        </w:rPr>
      </w:pPr>
      <w:r w:rsidRPr="006C0A5C">
        <w:rPr>
          <w:rFonts w:ascii="Arial" w:eastAsia="Times New Roman" w:hAnsi="Arial"/>
          <w:szCs w:val="24"/>
        </w:rPr>
        <w:t>Nevertheless</w:t>
      </w:r>
      <w:r w:rsidR="00F80574" w:rsidRPr="006C0A5C">
        <w:rPr>
          <w:rFonts w:ascii="Arial" w:eastAsia="Times New Roman" w:hAnsi="Arial"/>
          <w:szCs w:val="24"/>
        </w:rPr>
        <w:t>, despite the proposed Bill of Rights Bill in the UK, some elements of the current human rights protections are likely to remain the same. For example, the UK is a signatory to the European Convention on Human Rights, which guarantees fundamental rights such as freedom from torture, the right to life</w:t>
      </w:r>
      <w:r w:rsidRPr="006C0A5C">
        <w:rPr>
          <w:rFonts w:ascii="Arial" w:eastAsia="Times New Roman" w:hAnsi="Arial"/>
          <w:szCs w:val="24"/>
        </w:rPr>
        <w:t>,</w:t>
      </w:r>
      <w:r w:rsidR="00F80574" w:rsidRPr="006C0A5C">
        <w:rPr>
          <w:rFonts w:ascii="Arial" w:eastAsia="Times New Roman" w:hAnsi="Arial"/>
          <w:szCs w:val="24"/>
        </w:rPr>
        <w:t xml:space="preserve"> and a fair trial. These liberties are not expected to be affected by the proposed legislation. Additionally, the UK has a strong common law tradition that protects fundamental rights which include the right to privacy right to freedom of expression (</w:t>
      </w:r>
      <w:r w:rsidR="00F80574" w:rsidRPr="006C0A5C">
        <w:rPr>
          <w:rFonts w:ascii="Arial" w:hAnsi="Arial"/>
          <w:shd w:val="clear" w:color="auto" w:fill="FFFFFF"/>
        </w:rPr>
        <w:t>Pollicino, 2019</w:t>
      </w:r>
      <w:r w:rsidR="00F80574" w:rsidRPr="006C0A5C">
        <w:rPr>
          <w:rFonts w:ascii="Arial" w:eastAsia="Times New Roman" w:hAnsi="Arial"/>
          <w:szCs w:val="24"/>
        </w:rPr>
        <w:t>). These protections are likely to continue to be upheld by the courts even if the Human Rights Act 1998 is repealed and replaced.</w:t>
      </w:r>
    </w:p>
    <w:p w14:paraId="75CC5D5F" w14:textId="5AB4C950" w:rsidR="00F40B72" w:rsidRPr="006C0A5C" w:rsidRDefault="00F40B72" w:rsidP="006C0A5C">
      <w:pPr>
        <w:rPr>
          <w:rFonts w:ascii="Arial" w:eastAsia="Times New Roman" w:hAnsi="Arial"/>
          <w:szCs w:val="24"/>
        </w:rPr>
      </w:pPr>
      <w:r w:rsidRPr="006C0A5C">
        <w:rPr>
          <w:rFonts w:ascii="Arial" w:eastAsia="Times New Roman" w:hAnsi="Arial"/>
          <w:szCs w:val="24"/>
        </w:rPr>
        <w:t xml:space="preserve">Another type of law that was bought into existence was the Equality law which has recently undergone a developmental process without deep roots in the English or Scottish legal system. Nonetheless, it wasn’t until the late 1960s that the UK reflected such laws, and rather than attempting to correct, discriminating attitudes and practices. Employers’ landlords and managers could legally carry on their business regardless of any prejudiced attitude they held. </w:t>
      </w:r>
    </w:p>
    <w:p w14:paraId="649BDE4C" w14:textId="5B6F8B57" w:rsidR="00F40B72" w:rsidRPr="006C0A5C" w:rsidRDefault="00F40B72" w:rsidP="006C0A5C">
      <w:pPr>
        <w:rPr>
          <w:rFonts w:ascii="Arial" w:eastAsia="Times New Roman" w:hAnsi="Arial"/>
          <w:szCs w:val="24"/>
        </w:rPr>
      </w:pPr>
      <w:r w:rsidRPr="006C0A5C">
        <w:rPr>
          <w:rFonts w:ascii="Arial" w:eastAsia="Times New Roman" w:hAnsi="Arial"/>
          <w:szCs w:val="24"/>
        </w:rPr>
        <w:t xml:space="preserve">Furthermore, some may argue that pubs and boarding houses had notices saying ‘No black or </w:t>
      </w:r>
      <w:r w:rsidR="00756694" w:rsidRPr="006C0A5C">
        <w:rPr>
          <w:rFonts w:ascii="Arial" w:eastAsia="Times New Roman" w:hAnsi="Arial"/>
          <w:szCs w:val="24"/>
        </w:rPr>
        <w:t>Irish</w:t>
      </w:r>
      <w:r w:rsidRPr="006C0A5C">
        <w:rPr>
          <w:rFonts w:ascii="Arial" w:eastAsia="Times New Roman" w:hAnsi="Arial"/>
          <w:szCs w:val="24"/>
        </w:rPr>
        <w:t xml:space="preserve">, women </w:t>
      </w:r>
      <w:r w:rsidR="00756694" w:rsidRPr="006C0A5C">
        <w:rPr>
          <w:rFonts w:ascii="Arial" w:eastAsia="Times New Roman" w:hAnsi="Arial"/>
          <w:szCs w:val="24"/>
        </w:rPr>
        <w:t>were</w:t>
      </w:r>
      <w:r w:rsidRPr="006C0A5C">
        <w:rPr>
          <w:rFonts w:ascii="Arial" w:eastAsia="Times New Roman" w:hAnsi="Arial"/>
          <w:szCs w:val="24"/>
        </w:rPr>
        <w:t xml:space="preserve"> dismissed from their jobs when they were </w:t>
      </w:r>
      <w:r w:rsidR="00756694" w:rsidRPr="006C0A5C">
        <w:rPr>
          <w:rFonts w:ascii="Arial" w:eastAsia="Times New Roman" w:hAnsi="Arial"/>
          <w:szCs w:val="24"/>
        </w:rPr>
        <w:t>married,</w:t>
      </w:r>
      <w:r w:rsidRPr="006C0A5C">
        <w:rPr>
          <w:rFonts w:ascii="Arial" w:eastAsia="Times New Roman" w:hAnsi="Arial"/>
          <w:szCs w:val="24"/>
        </w:rPr>
        <w:t xml:space="preserve"> or me</w:t>
      </w:r>
      <w:r w:rsidR="00756694" w:rsidRPr="006C0A5C">
        <w:rPr>
          <w:rFonts w:ascii="Arial" w:eastAsia="Times New Roman" w:hAnsi="Arial"/>
          <w:szCs w:val="24"/>
        </w:rPr>
        <w:t>n</w:t>
      </w:r>
      <w:r w:rsidRPr="006C0A5C">
        <w:rPr>
          <w:rFonts w:ascii="Arial" w:eastAsia="Times New Roman" w:hAnsi="Arial"/>
          <w:szCs w:val="24"/>
        </w:rPr>
        <w:t xml:space="preserve"> being paid more than women for doing the same work</w:t>
      </w:r>
      <w:r w:rsidR="00756694" w:rsidRPr="006C0A5C">
        <w:rPr>
          <w:rFonts w:ascii="Arial" w:eastAsia="Times New Roman" w:hAnsi="Arial"/>
          <w:szCs w:val="24"/>
        </w:rPr>
        <w:t xml:space="preserve">. However, whether or not many people regarded these practices, the law has had no role in discouraging or preventing </w:t>
      </w:r>
      <w:r w:rsidR="00756694" w:rsidRPr="006C0A5C">
        <w:rPr>
          <w:rFonts w:ascii="Arial" w:eastAsia="Times New Roman" w:hAnsi="Arial"/>
          <w:szCs w:val="24"/>
        </w:rPr>
        <w:lastRenderedPageBreak/>
        <w:t>such discrimination</w:t>
      </w:r>
      <w:sdt>
        <w:sdtPr>
          <w:rPr>
            <w:rFonts w:ascii="Arial" w:eastAsia="Times New Roman" w:hAnsi="Arial"/>
            <w:szCs w:val="24"/>
          </w:rPr>
          <w:id w:val="784014807"/>
          <w:citation/>
        </w:sdtPr>
        <w:sdtContent>
          <w:r w:rsidR="00756694" w:rsidRPr="006C0A5C">
            <w:rPr>
              <w:rFonts w:ascii="Arial" w:eastAsia="Times New Roman" w:hAnsi="Arial"/>
              <w:szCs w:val="24"/>
            </w:rPr>
            <w:fldChar w:fldCharType="begin"/>
          </w:r>
          <w:r w:rsidR="00756694" w:rsidRPr="006C0A5C">
            <w:rPr>
              <w:rFonts w:ascii="Arial" w:eastAsia="Times New Roman" w:hAnsi="Arial"/>
              <w:szCs w:val="24"/>
              <w:lang w:val="en-GB"/>
            </w:rPr>
            <w:instrText xml:space="preserve"> CITATION Dwo90 \l 2057 </w:instrText>
          </w:r>
          <w:r w:rsidR="00756694" w:rsidRPr="006C0A5C">
            <w:rPr>
              <w:rFonts w:ascii="Arial" w:eastAsia="Times New Roman" w:hAnsi="Arial"/>
              <w:szCs w:val="24"/>
            </w:rPr>
            <w:fldChar w:fldCharType="separate"/>
          </w:r>
          <w:r w:rsidR="00756694" w:rsidRPr="006C0A5C">
            <w:rPr>
              <w:rFonts w:ascii="Arial" w:eastAsia="Times New Roman" w:hAnsi="Arial"/>
              <w:noProof/>
              <w:szCs w:val="24"/>
              <w:lang w:val="en-GB"/>
            </w:rPr>
            <w:t xml:space="preserve"> (Dworkin, 1990)</w:t>
          </w:r>
          <w:r w:rsidR="00756694" w:rsidRPr="006C0A5C">
            <w:rPr>
              <w:rFonts w:ascii="Arial" w:eastAsia="Times New Roman" w:hAnsi="Arial"/>
              <w:szCs w:val="24"/>
            </w:rPr>
            <w:fldChar w:fldCharType="end"/>
          </w:r>
        </w:sdtContent>
      </w:sdt>
      <w:r w:rsidR="00756694" w:rsidRPr="006C0A5C">
        <w:rPr>
          <w:rFonts w:ascii="Arial" w:eastAsia="Times New Roman" w:hAnsi="Arial"/>
          <w:szCs w:val="24"/>
        </w:rPr>
        <w:t>. To conclude, this suggests that although many laws had been put into place, some legal systems were not willing to abide by the rules, and preferred one law more than the other.</w:t>
      </w:r>
    </w:p>
    <w:p w14:paraId="556B3AC5" w14:textId="54080276" w:rsidR="00A459F7" w:rsidRPr="006C0A5C" w:rsidRDefault="00A459F7" w:rsidP="006C0A5C">
      <w:pPr>
        <w:rPr>
          <w:rFonts w:ascii="Arial" w:eastAsia="Times New Roman" w:hAnsi="Arial"/>
          <w:szCs w:val="24"/>
        </w:rPr>
      </w:pPr>
    </w:p>
    <w:p w14:paraId="7E5A7190" w14:textId="0B2C6FB6" w:rsidR="00A459F7" w:rsidRPr="006C0A5C" w:rsidRDefault="00A459F7" w:rsidP="006C0A5C">
      <w:pPr>
        <w:rPr>
          <w:rFonts w:ascii="Arial" w:eastAsia="Times New Roman" w:hAnsi="Arial"/>
          <w:szCs w:val="24"/>
        </w:rPr>
      </w:pPr>
      <w:r w:rsidRPr="006C0A5C">
        <w:rPr>
          <w:rFonts w:ascii="Arial" w:eastAsia="Times New Roman" w:hAnsi="Arial"/>
          <w:szCs w:val="24"/>
        </w:rPr>
        <w:t xml:space="preserve"> Additionally, there have been other proposed reforms and suggestions to the Human Right Act 1998 aside from the proposed Bill of Rights Bill. The government seems determined to deliver on its 2015 election manifesto commitment to replace the 'Human Rights Act with a 'British Bill of </w:t>
      </w:r>
      <w:r w:rsidR="00756694" w:rsidRPr="006C0A5C">
        <w:rPr>
          <w:rFonts w:ascii="Arial" w:eastAsia="Times New Roman" w:hAnsi="Arial"/>
          <w:szCs w:val="24"/>
        </w:rPr>
        <w:t>Rights</w:t>
      </w:r>
    </w:p>
    <w:p w14:paraId="6EC3A170" w14:textId="77777777" w:rsidR="00A459F7" w:rsidRPr="006C0A5C" w:rsidRDefault="00A459F7" w:rsidP="006C0A5C">
      <w:pPr>
        <w:rPr>
          <w:rFonts w:ascii="Arial" w:eastAsia="Times New Roman" w:hAnsi="Arial"/>
          <w:szCs w:val="24"/>
        </w:rPr>
      </w:pPr>
    </w:p>
    <w:p w14:paraId="40D83EA0" w14:textId="3375D263" w:rsidR="00A459F7" w:rsidRPr="006C0A5C" w:rsidRDefault="00A459F7" w:rsidP="006C0A5C">
      <w:pPr>
        <w:rPr>
          <w:rFonts w:ascii="Arial" w:eastAsia="Times New Roman" w:hAnsi="Arial"/>
          <w:szCs w:val="24"/>
        </w:rPr>
      </w:pPr>
      <w:r w:rsidRPr="006C0A5C">
        <w:rPr>
          <w:rFonts w:ascii="Arial" w:eastAsia="Times New Roman" w:hAnsi="Arial"/>
          <w:szCs w:val="24"/>
        </w:rPr>
        <w:t>One suggestion is to incorporate a "British Bill of Rights" into the UK's constitutional framework, which would include protections for human rights while also considering British values and traditions. Moreover,</w:t>
      </w:r>
      <w:r w:rsidR="00E120AD" w:rsidRPr="006C0A5C">
        <w:rPr>
          <w:rFonts w:ascii="Arial" w:eastAsia="Times New Roman" w:hAnsi="Arial"/>
          <w:szCs w:val="24"/>
        </w:rPr>
        <w:t xml:space="preserve"> e</w:t>
      </w:r>
      <w:r w:rsidRPr="006C0A5C">
        <w:rPr>
          <w:rFonts w:ascii="Arial" w:eastAsia="Times New Roman" w:hAnsi="Arial"/>
          <w:szCs w:val="24"/>
        </w:rPr>
        <w:t xml:space="preserve">qualities and human rights champion Lord Lester recalls that in 1997, when New </w:t>
      </w:r>
      <w:proofErr w:type="spellStart"/>
      <w:r w:rsidRPr="006C0A5C">
        <w:rPr>
          <w:rFonts w:ascii="Arial" w:eastAsia="Times New Roman" w:hAnsi="Arial"/>
          <w:szCs w:val="24"/>
        </w:rPr>
        <w:t>Labour</w:t>
      </w:r>
      <w:proofErr w:type="spellEnd"/>
      <w:r w:rsidRPr="006C0A5C">
        <w:rPr>
          <w:rFonts w:ascii="Arial" w:eastAsia="Times New Roman" w:hAnsi="Arial"/>
          <w:szCs w:val="24"/>
        </w:rPr>
        <w:t xml:space="preserve"> came to power, there was talk of the need for a Single Equality Act that would provide a comprehensive, integrated</w:t>
      </w:r>
      <w:r w:rsidR="00E120AD" w:rsidRPr="006C0A5C">
        <w:rPr>
          <w:rFonts w:ascii="Arial" w:eastAsia="Times New Roman" w:hAnsi="Arial"/>
          <w:szCs w:val="24"/>
        </w:rPr>
        <w:t>,</w:t>
      </w:r>
      <w:r w:rsidRPr="006C0A5C">
        <w:rPr>
          <w:rFonts w:ascii="Arial" w:eastAsia="Times New Roman" w:hAnsi="Arial"/>
          <w:szCs w:val="24"/>
        </w:rPr>
        <w:t xml:space="preserve"> and overarching legislative framework for combating discrimination and disadvantage in Britain. There was also talk of the need for a single equality institution–a permanent, independent body with overarching responsibilities for addressing inequality in Britain, with investigative and enforcement powers, that would function as a watchdog and spearhead a process of long-term change–and a similar independent body providing institutional support for human rights. However, while there was talk in 1997, there was an absence of political momentum–</w:t>
      </w:r>
      <w:r w:rsidR="00E120AD" w:rsidRPr="006C0A5C">
        <w:rPr>
          <w:rFonts w:ascii="Arial" w:eastAsia="Times New Roman" w:hAnsi="Arial"/>
          <w:szCs w:val="24"/>
        </w:rPr>
        <w:t>for</w:t>
      </w:r>
      <w:r w:rsidRPr="006C0A5C">
        <w:rPr>
          <w:rFonts w:ascii="Arial" w:eastAsia="Times New Roman" w:hAnsi="Arial"/>
          <w:szCs w:val="24"/>
        </w:rPr>
        <w:t xml:space="preserve"> Single Equalit</w:t>
      </w:r>
      <w:r w:rsidR="00E120AD" w:rsidRPr="006C0A5C">
        <w:rPr>
          <w:rFonts w:ascii="Arial" w:eastAsia="Times New Roman" w:hAnsi="Arial"/>
          <w:szCs w:val="24"/>
        </w:rPr>
        <w:t>y.</w:t>
      </w:r>
    </w:p>
    <w:p w14:paraId="4DB28418" w14:textId="77777777" w:rsidR="00A459F7" w:rsidRPr="006C0A5C" w:rsidRDefault="00A459F7" w:rsidP="006C0A5C">
      <w:pPr>
        <w:rPr>
          <w:rFonts w:ascii="Arial" w:eastAsia="Times New Roman" w:hAnsi="Arial"/>
          <w:szCs w:val="24"/>
        </w:rPr>
      </w:pPr>
    </w:p>
    <w:p w14:paraId="5482656F" w14:textId="77777777" w:rsidR="00A459F7" w:rsidRPr="006C0A5C" w:rsidRDefault="00A459F7" w:rsidP="006C0A5C">
      <w:pPr>
        <w:rPr>
          <w:rFonts w:ascii="Arial" w:eastAsia="Times New Roman" w:hAnsi="Arial"/>
          <w:szCs w:val="24"/>
        </w:rPr>
      </w:pPr>
      <w:r w:rsidRPr="006C0A5C">
        <w:rPr>
          <w:rFonts w:ascii="Arial" w:eastAsia="Times New Roman" w:hAnsi="Arial"/>
          <w:szCs w:val="24"/>
        </w:rPr>
        <w:t xml:space="preserve">Another suggestion is to limit the jurisdiction of the European Court of Human Rights, which currently has the authority to overrule UK courts on human rights issues. However, these proposals have been met with controversy and opposition, with critics arguing that they could undermine the effectiveness of human liberties protections in the UK. </w:t>
      </w:r>
    </w:p>
    <w:p w14:paraId="297A2F90" w14:textId="77777777" w:rsidR="00A459F7" w:rsidRPr="006C0A5C" w:rsidRDefault="00A459F7" w:rsidP="006C0A5C">
      <w:pPr>
        <w:rPr>
          <w:rFonts w:ascii="Arial" w:eastAsia="Times New Roman" w:hAnsi="Arial"/>
          <w:szCs w:val="24"/>
        </w:rPr>
      </w:pPr>
    </w:p>
    <w:p w14:paraId="4F7F71CA" w14:textId="77777777" w:rsidR="00A459F7" w:rsidRPr="006C0A5C" w:rsidRDefault="00A459F7" w:rsidP="006C0A5C">
      <w:pPr>
        <w:rPr>
          <w:rFonts w:ascii="Arial" w:eastAsia="Times New Roman" w:hAnsi="Arial"/>
          <w:szCs w:val="24"/>
        </w:rPr>
      </w:pPr>
    </w:p>
    <w:p w14:paraId="673D4159" w14:textId="77777777" w:rsidR="00A459F7" w:rsidRPr="006C0A5C" w:rsidRDefault="00A459F7" w:rsidP="006C0A5C">
      <w:pPr>
        <w:rPr>
          <w:rFonts w:ascii="Arial" w:eastAsia="Times New Roman" w:hAnsi="Arial"/>
          <w:szCs w:val="24"/>
        </w:rPr>
      </w:pPr>
    </w:p>
    <w:p w14:paraId="3400F3E9" w14:textId="77777777" w:rsidR="00A459F7" w:rsidRPr="006C0A5C" w:rsidRDefault="00A459F7" w:rsidP="006C0A5C">
      <w:pPr>
        <w:rPr>
          <w:rFonts w:ascii="Arial" w:eastAsia="Times New Roman" w:hAnsi="Arial"/>
          <w:szCs w:val="24"/>
        </w:rPr>
      </w:pPr>
    </w:p>
    <w:p w14:paraId="50E0E8AA" w14:textId="69B75CC2" w:rsidR="00A459F7" w:rsidRPr="006C0A5C" w:rsidRDefault="00A459F7" w:rsidP="006C0A5C">
      <w:pPr>
        <w:rPr>
          <w:rFonts w:ascii="Arial" w:eastAsia="Times New Roman" w:hAnsi="Arial"/>
          <w:szCs w:val="24"/>
        </w:rPr>
      </w:pPr>
    </w:p>
    <w:p w14:paraId="3A6E77A3" w14:textId="3AF0770A" w:rsidR="00756694" w:rsidRPr="006C0A5C" w:rsidRDefault="00756694" w:rsidP="006C0A5C">
      <w:pPr>
        <w:rPr>
          <w:rFonts w:ascii="Arial" w:eastAsia="Times New Roman" w:hAnsi="Arial"/>
          <w:szCs w:val="24"/>
        </w:rPr>
      </w:pPr>
    </w:p>
    <w:p w14:paraId="106265DD" w14:textId="77777777" w:rsidR="00D33B7E" w:rsidRPr="006C0A5C" w:rsidRDefault="00D33B7E" w:rsidP="006C0A5C">
      <w:pPr>
        <w:rPr>
          <w:rFonts w:ascii="Arial" w:eastAsia="Times New Roman" w:hAnsi="Arial"/>
          <w:b/>
          <w:bCs/>
          <w:szCs w:val="24"/>
          <w:u w:val="single"/>
        </w:rPr>
      </w:pPr>
    </w:p>
    <w:p w14:paraId="24DB0230" w14:textId="77777777" w:rsidR="00D33B7E" w:rsidRPr="006C0A5C" w:rsidRDefault="00D33B7E" w:rsidP="006C0A5C">
      <w:pPr>
        <w:rPr>
          <w:rFonts w:ascii="Arial" w:eastAsia="Times New Roman" w:hAnsi="Arial"/>
          <w:b/>
          <w:bCs/>
          <w:szCs w:val="24"/>
          <w:u w:val="single"/>
        </w:rPr>
      </w:pPr>
    </w:p>
    <w:p w14:paraId="0400C510" w14:textId="77777777" w:rsidR="00D33B7E" w:rsidRPr="006C0A5C" w:rsidRDefault="00D33B7E" w:rsidP="006C0A5C">
      <w:pPr>
        <w:rPr>
          <w:rFonts w:ascii="Arial" w:eastAsia="Times New Roman" w:hAnsi="Arial"/>
          <w:b/>
          <w:bCs/>
          <w:szCs w:val="24"/>
          <w:u w:val="single"/>
        </w:rPr>
      </w:pPr>
    </w:p>
    <w:p w14:paraId="5E38F758" w14:textId="77777777" w:rsidR="00D33B7E" w:rsidRPr="006C0A5C" w:rsidRDefault="00D33B7E" w:rsidP="006C0A5C">
      <w:pPr>
        <w:rPr>
          <w:rFonts w:ascii="Arial" w:eastAsia="Times New Roman" w:hAnsi="Arial"/>
          <w:b/>
          <w:bCs/>
          <w:szCs w:val="24"/>
          <w:u w:val="single"/>
        </w:rPr>
      </w:pPr>
    </w:p>
    <w:p w14:paraId="2474CAAE" w14:textId="77777777" w:rsidR="00D33B7E" w:rsidRPr="006C0A5C" w:rsidRDefault="00D33B7E" w:rsidP="006C0A5C">
      <w:pPr>
        <w:rPr>
          <w:rFonts w:ascii="Arial" w:eastAsia="Times New Roman" w:hAnsi="Arial"/>
          <w:b/>
          <w:bCs/>
          <w:szCs w:val="24"/>
          <w:u w:val="single"/>
        </w:rPr>
      </w:pPr>
    </w:p>
    <w:p w14:paraId="4BE55209" w14:textId="77777777" w:rsidR="00D33B7E" w:rsidRPr="006C0A5C" w:rsidRDefault="00D33B7E" w:rsidP="006C0A5C">
      <w:pPr>
        <w:rPr>
          <w:rFonts w:ascii="Arial" w:eastAsia="Times New Roman" w:hAnsi="Arial"/>
          <w:b/>
          <w:bCs/>
          <w:szCs w:val="24"/>
          <w:u w:val="single"/>
        </w:rPr>
      </w:pPr>
    </w:p>
    <w:p w14:paraId="1E0F6516" w14:textId="77777777" w:rsidR="00D33B7E" w:rsidRDefault="00D33B7E" w:rsidP="00A459F7">
      <w:pPr>
        <w:rPr>
          <w:rFonts w:eastAsia="Times New Roman" w:cs="Times New Roman"/>
          <w:b/>
          <w:bCs/>
          <w:szCs w:val="24"/>
          <w:u w:val="single"/>
        </w:rPr>
      </w:pPr>
    </w:p>
    <w:p w14:paraId="258ED951" w14:textId="77777777" w:rsidR="00D33B7E" w:rsidRDefault="00D33B7E" w:rsidP="00A459F7">
      <w:pPr>
        <w:rPr>
          <w:rFonts w:eastAsia="Times New Roman" w:cs="Times New Roman"/>
          <w:b/>
          <w:bCs/>
          <w:szCs w:val="24"/>
          <w:u w:val="single"/>
        </w:rPr>
      </w:pPr>
    </w:p>
    <w:p w14:paraId="7E0E864F" w14:textId="77777777" w:rsidR="00D33B7E" w:rsidRDefault="00D33B7E" w:rsidP="00A459F7">
      <w:pPr>
        <w:rPr>
          <w:rFonts w:eastAsia="Times New Roman" w:cs="Times New Roman"/>
          <w:b/>
          <w:bCs/>
          <w:szCs w:val="24"/>
          <w:u w:val="single"/>
        </w:rPr>
      </w:pPr>
    </w:p>
    <w:p w14:paraId="73A453B5" w14:textId="7433B0B2" w:rsidR="00D33B7E" w:rsidRPr="00756694" w:rsidRDefault="00756694" w:rsidP="00A459F7">
      <w:pPr>
        <w:rPr>
          <w:rFonts w:eastAsia="Times New Roman" w:cs="Times New Roman"/>
          <w:b/>
          <w:bCs/>
          <w:szCs w:val="24"/>
          <w:u w:val="single"/>
        </w:rPr>
      </w:pPr>
      <w:r w:rsidRPr="00756694">
        <w:rPr>
          <w:rFonts w:eastAsia="Times New Roman" w:cs="Times New Roman"/>
          <w:b/>
          <w:bCs/>
          <w:szCs w:val="24"/>
          <w:u w:val="single"/>
        </w:rPr>
        <w:t xml:space="preserve">REFERENCES </w:t>
      </w:r>
    </w:p>
    <w:p w14:paraId="5F4AB37F" w14:textId="77777777" w:rsidR="00A459F7" w:rsidRPr="00A459F7" w:rsidRDefault="00A459F7" w:rsidP="00A459F7">
      <w:pPr>
        <w:rPr>
          <w:rFonts w:eastAsia="Times New Roman" w:cs="Times New Roman"/>
          <w:szCs w:val="24"/>
        </w:rPr>
      </w:pPr>
    </w:p>
    <w:p w14:paraId="7E36DFE5" w14:textId="371F6696" w:rsidR="00B751E9" w:rsidRDefault="00B751E9" w:rsidP="00B751E9"/>
    <w:p w14:paraId="52535E5B" w14:textId="0019DA21" w:rsidR="00A459F7" w:rsidRDefault="00AE2346" w:rsidP="00F80574">
      <w:pPr>
        <w:rPr>
          <w:rFonts w:ascii="Arial" w:hAnsi="Arial"/>
          <w:color w:val="222222"/>
          <w:sz w:val="20"/>
          <w:szCs w:val="20"/>
          <w:shd w:val="clear" w:color="auto" w:fill="FFFFFF"/>
        </w:rPr>
      </w:pPr>
      <w:r>
        <w:rPr>
          <w:rFonts w:ascii="Arial" w:hAnsi="Arial"/>
          <w:color w:val="222222"/>
          <w:sz w:val="20"/>
          <w:szCs w:val="20"/>
          <w:shd w:val="clear" w:color="auto" w:fill="FFFFFF"/>
        </w:rPr>
        <w:t>Lester, A., 1990. </w:t>
      </w:r>
      <w:r>
        <w:rPr>
          <w:rFonts w:ascii="Arial" w:hAnsi="Arial"/>
          <w:i/>
          <w:iCs/>
          <w:color w:val="222222"/>
          <w:sz w:val="20"/>
          <w:szCs w:val="20"/>
          <w:shd w:val="clear" w:color="auto" w:fill="FFFFFF"/>
        </w:rPr>
        <w:t>A British Bill of Rights</w:t>
      </w:r>
      <w:r>
        <w:rPr>
          <w:rFonts w:ascii="Arial" w:hAnsi="Arial"/>
          <w:color w:val="222222"/>
          <w:sz w:val="20"/>
          <w:szCs w:val="20"/>
          <w:shd w:val="clear" w:color="auto" w:fill="FFFFFF"/>
        </w:rPr>
        <w:t> (No. 1). Institute for Public Policy Research.</w:t>
      </w:r>
    </w:p>
    <w:p w14:paraId="7AD1D3CA" w14:textId="1D5B40A9" w:rsidR="00AA5E7E" w:rsidRDefault="00AA5E7E" w:rsidP="00F80574">
      <w:pPr>
        <w:rPr>
          <w:rFonts w:ascii="Arial" w:hAnsi="Arial"/>
          <w:color w:val="222222"/>
          <w:sz w:val="20"/>
          <w:szCs w:val="20"/>
          <w:shd w:val="clear" w:color="auto" w:fill="FFFFFF"/>
        </w:rPr>
      </w:pPr>
      <w:r>
        <w:rPr>
          <w:rFonts w:ascii="Arial" w:hAnsi="Arial"/>
          <w:color w:val="222222"/>
          <w:sz w:val="20"/>
          <w:szCs w:val="20"/>
          <w:shd w:val="clear" w:color="auto" w:fill="FFFFFF"/>
        </w:rPr>
        <w:t>Dworkin, R., 1990. </w:t>
      </w:r>
      <w:r>
        <w:rPr>
          <w:rFonts w:ascii="Arial" w:hAnsi="Arial"/>
          <w:i/>
          <w:iCs/>
          <w:color w:val="222222"/>
          <w:sz w:val="20"/>
          <w:szCs w:val="20"/>
          <w:shd w:val="clear" w:color="auto" w:fill="FFFFFF"/>
        </w:rPr>
        <w:t>A bill of rights for Britain</w:t>
      </w:r>
      <w:r>
        <w:rPr>
          <w:rFonts w:ascii="Arial" w:hAnsi="Arial"/>
          <w:color w:val="222222"/>
          <w:sz w:val="20"/>
          <w:szCs w:val="20"/>
          <w:shd w:val="clear" w:color="auto" w:fill="FFFFFF"/>
        </w:rPr>
        <w:t xml:space="preserve"> (p. 9). Chatto and </w:t>
      </w:r>
      <w:proofErr w:type="spellStart"/>
      <w:r>
        <w:rPr>
          <w:rFonts w:ascii="Arial" w:hAnsi="Arial"/>
          <w:color w:val="222222"/>
          <w:sz w:val="20"/>
          <w:szCs w:val="20"/>
          <w:shd w:val="clear" w:color="auto" w:fill="FFFFFF"/>
        </w:rPr>
        <w:t>Windus</w:t>
      </w:r>
      <w:proofErr w:type="spellEnd"/>
      <w:r>
        <w:rPr>
          <w:rFonts w:ascii="Arial" w:hAnsi="Arial"/>
          <w:color w:val="222222"/>
          <w:sz w:val="20"/>
          <w:szCs w:val="20"/>
          <w:shd w:val="clear" w:color="auto" w:fill="FFFFFF"/>
        </w:rPr>
        <w:t>: London.</w:t>
      </w:r>
    </w:p>
    <w:p w14:paraId="4C7374E2" w14:textId="77777777" w:rsidR="00B751E9" w:rsidRDefault="00B751E9" w:rsidP="00B751E9">
      <w:pPr>
        <w:rPr>
          <w:shd w:val="clear" w:color="auto" w:fill="FFFFFF"/>
        </w:rPr>
      </w:pPr>
      <w:proofErr w:type="spellStart"/>
      <w:r>
        <w:rPr>
          <w:shd w:val="clear" w:color="auto" w:fill="FFFFFF"/>
        </w:rPr>
        <w:t>Masterman</w:t>
      </w:r>
      <w:proofErr w:type="spellEnd"/>
      <w:r>
        <w:rPr>
          <w:shd w:val="clear" w:color="auto" w:fill="FFFFFF"/>
        </w:rPr>
        <w:t>, R., 2023. The United Kingdom’s Human Rights Act as a Catalyst of Constitutional Migration: Patterns and Limitations of Rights Importation by Design. </w:t>
      </w:r>
      <w:r>
        <w:rPr>
          <w:i/>
          <w:iCs/>
          <w:shd w:val="clear" w:color="auto" w:fill="FFFFFF"/>
        </w:rPr>
        <w:t>European Constitutional Law Review</w:t>
      </w:r>
      <w:r>
        <w:rPr>
          <w:shd w:val="clear" w:color="auto" w:fill="FFFFFF"/>
        </w:rPr>
        <w:t>.</w:t>
      </w:r>
    </w:p>
    <w:p w14:paraId="0457E77C" w14:textId="77777777" w:rsidR="00B751E9" w:rsidRDefault="00B751E9" w:rsidP="00B751E9">
      <w:pPr>
        <w:rPr>
          <w:shd w:val="clear" w:color="auto" w:fill="FFFFFF"/>
        </w:rPr>
      </w:pPr>
      <w:r>
        <w:rPr>
          <w:shd w:val="clear" w:color="auto" w:fill="FFFFFF"/>
        </w:rPr>
        <w:t>Dickson, B., 2021. Implications for the protection of human rights in a united Ireland. </w:t>
      </w:r>
      <w:r>
        <w:rPr>
          <w:i/>
          <w:iCs/>
          <w:shd w:val="clear" w:color="auto" w:fill="FFFFFF"/>
        </w:rPr>
        <w:t>Irish Studies in International Affairs</w:t>
      </w:r>
      <w:r>
        <w:rPr>
          <w:shd w:val="clear" w:color="auto" w:fill="FFFFFF"/>
        </w:rPr>
        <w:t>, </w:t>
      </w:r>
      <w:r>
        <w:rPr>
          <w:i/>
          <w:iCs/>
          <w:shd w:val="clear" w:color="auto" w:fill="FFFFFF"/>
        </w:rPr>
        <w:t>32</w:t>
      </w:r>
      <w:r>
        <w:rPr>
          <w:shd w:val="clear" w:color="auto" w:fill="FFFFFF"/>
        </w:rPr>
        <w:t>(2), pp.589-610.</w:t>
      </w:r>
    </w:p>
    <w:p w14:paraId="3B582A4F" w14:textId="77777777" w:rsidR="00B751E9" w:rsidRDefault="00B751E9" w:rsidP="00B751E9">
      <w:pPr>
        <w:rPr>
          <w:shd w:val="clear" w:color="auto" w:fill="FFFFFF"/>
        </w:rPr>
      </w:pPr>
      <w:proofErr w:type="spellStart"/>
      <w:r>
        <w:rPr>
          <w:shd w:val="clear" w:color="auto" w:fill="FFFFFF"/>
        </w:rPr>
        <w:t>Papastavridis</w:t>
      </w:r>
      <w:proofErr w:type="spellEnd"/>
      <w:r>
        <w:rPr>
          <w:shd w:val="clear" w:color="auto" w:fill="FFFFFF"/>
        </w:rPr>
        <w:t>, E., 2020. The European Convention of Human Rights and Migration at Sea: Reading the “Jurisdictional Threshold” of the Convention Under the Law of the Sea Paradigm. </w:t>
      </w:r>
      <w:r>
        <w:rPr>
          <w:i/>
          <w:iCs/>
          <w:shd w:val="clear" w:color="auto" w:fill="FFFFFF"/>
        </w:rPr>
        <w:t>German law journal</w:t>
      </w:r>
      <w:r>
        <w:rPr>
          <w:shd w:val="clear" w:color="auto" w:fill="FFFFFF"/>
        </w:rPr>
        <w:t>, </w:t>
      </w:r>
      <w:r>
        <w:rPr>
          <w:i/>
          <w:iCs/>
          <w:shd w:val="clear" w:color="auto" w:fill="FFFFFF"/>
        </w:rPr>
        <w:t>21</w:t>
      </w:r>
      <w:r>
        <w:rPr>
          <w:shd w:val="clear" w:color="auto" w:fill="FFFFFF"/>
        </w:rPr>
        <w:t>(3), pp.417-435.</w:t>
      </w:r>
    </w:p>
    <w:p w14:paraId="405BDD42" w14:textId="77777777" w:rsidR="00B751E9" w:rsidRDefault="00B751E9" w:rsidP="00B751E9">
      <w:pPr>
        <w:rPr>
          <w:shd w:val="clear" w:color="auto" w:fill="FFFFFF"/>
        </w:rPr>
      </w:pPr>
      <w:proofErr w:type="spellStart"/>
      <w:r>
        <w:rPr>
          <w:shd w:val="clear" w:color="auto" w:fill="FFFFFF"/>
        </w:rPr>
        <w:t>Pollicino</w:t>
      </w:r>
      <w:proofErr w:type="spellEnd"/>
      <w:r>
        <w:rPr>
          <w:shd w:val="clear" w:color="auto" w:fill="FFFFFF"/>
        </w:rPr>
        <w:t>, O., 2019. Judicial protection of fundamental rights in the transition from the world of atoms to the word of bits: The case of freedom of speech. </w:t>
      </w:r>
      <w:r>
        <w:rPr>
          <w:i/>
          <w:iCs/>
          <w:shd w:val="clear" w:color="auto" w:fill="FFFFFF"/>
        </w:rPr>
        <w:t>European Law Journal</w:t>
      </w:r>
      <w:r>
        <w:rPr>
          <w:shd w:val="clear" w:color="auto" w:fill="FFFFFF"/>
        </w:rPr>
        <w:t>, </w:t>
      </w:r>
      <w:r>
        <w:rPr>
          <w:i/>
          <w:iCs/>
          <w:shd w:val="clear" w:color="auto" w:fill="FFFFFF"/>
        </w:rPr>
        <w:t>25</w:t>
      </w:r>
      <w:r>
        <w:rPr>
          <w:shd w:val="clear" w:color="auto" w:fill="FFFFFF"/>
        </w:rPr>
        <w:t>(2), pp.155-168.</w:t>
      </w:r>
    </w:p>
    <w:p w14:paraId="1F440E89" w14:textId="77777777" w:rsidR="00B751E9" w:rsidRDefault="00B751E9" w:rsidP="00B751E9">
      <w:pPr>
        <w:rPr>
          <w:shd w:val="clear" w:color="auto" w:fill="FFFFFF"/>
        </w:rPr>
      </w:pPr>
      <w:r>
        <w:rPr>
          <w:shd w:val="clear" w:color="auto" w:fill="FFFFFF"/>
        </w:rPr>
        <w:t>Foster, S., 2022. Reforming the Human Rights Act 1998 and the Bill of Rights Bill 2022. </w:t>
      </w:r>
      <w:r>
        <w:rPr>
          <w:i/>
          <w:iCs/>
          <w:shd w:val="clear" w:color="auto" w:fill="FFFFFF"/>
        </w:rPr>
        <w:t>Coventry Law Journal</w:t>
      </w:r>
      <w:r>
        <w:rPr>
          <w:shd w:val="clear" w:color="auto" w:fill="FFFFFF"/>
        </w:rPr>
        <w:t>, </w:t>
      </w:r>
      <w:r>
        <w:rPr>
          <w:i/>
          <w:iCs/>
          <w:shd w:val="clear" w:color="auto" w:fill="FFFFFF"/>
        </w:rPr>
        <w:t>27</w:t>
      </w:r>
      <w:r>
        <w:rPr>
          <w:shd w:val="clear" w:color="auto" w:fill="FFFFFF"/>
        </w:rPr>
        <w:t>(1), pp.1-21.</w:t>
      </w:r>
    </w:p>
    <w:p w14:paraId="10EE6448" w14:textId="77777777" w:rsidR="00B751E9" w:rsidRDefault="00B751E9" w:rsidP="00B751E9">
      <w:pPr>
        <w:rPr>
          <w:shd w:val="clear" w:color="auto" w:fill="FFFFFF"/>
        </w:rPr>
      </w:pPr>
      <w:proofErr w:type="spellStart"/>
      <w:r>
        <w:rPr>
          <w:shd w:val="clear" w:color="auto" w:fill="FFFFFF"/>
        </w:rPr>
        <w:t>Korniienko</w:t>
      </w:r>
      <w:proofErr w:type="spellEnd"/>
      <w:r>
        <w:rPr>
          <w:shd w:val="clear" w:color="auto" w:fill="FFFFFF"/>
        </w:rPr>
        <w:t xml:space="preserve">, P.S., </w:t>
      </w:r>
      <w:proofErr w:type="spellStart"/>
      <w:r>
        <w:rPr>
          <w:shd w:val="clear" w:color="auto" w:fill="FFFFFF"/>
        </w:rPr>
        <w:t>Plakhotnik</w:t>
      </w:r>
      <w:proofErr w:type="spellEnd"/>
      <w:r>
        <w:rPr>
          <w:shd w:val="clear" w:color="auto" w:fill="FFFFFF"/>
        </w:rPr>
        <w:t xml:space="preserve">, O.V., Blinova, H.O., </w:t>
      </w:r>
      <w:proofErr w:type="spellStart"/>
      <w:r>
        <w:rPr>
          <w:shd w:val="clear" w:color="auto" w:fill="FFFFFF"/>
        </w:rPr>
        <w:t>Dzeiko</w:t>
      </w:r>
      <w:proofErr w:type="spellEnd"/>
      <w:r>
        <w:rPr>
          <w:shd w:val="clear" w:color="auto" w:fill="FFFFFF"/>
        </w:rPr>
        <w:t xml:space="preserve">, Z.O. and </w:t>
      </w:r>
      <w:proofErr w:type="spellStart"/>
      <w:r>
        <w:rPr>
          <w:shd w:val="clear" w:color="auto" w:fill="FFFFFF"/>
        </w:rPr>
        <w:t>Dubov</w:t>
      </w:r>
      <w:proofErr w:type="spellEnd"/>
      <w:r>
        <w:rPr>
          <w:shd w:val="clear" w:color="auto" w:fill="FFFFFF"/>
        </w:rPr>
        <w:t>, G.O., 2023. Contemporary challenges and the rule of law in the digital age. </w:t>
      </w:r>
      <w:r>
        <w:rPr>
          <w:i/>
          <w:iCs/>
          <w:shd w:val="clear" w:color="auto" w:fill="FFFFFF"/>
        </w:rPr>
        <w:t xml:space="preserve">International Journal for the Semiotics of Law-Revue </w:t>
      </w:r>
      <w:proofErr w:type="spellStart"/>
      <w:r>
        <w:rPr>
          <w:i/>
          <w:iCs/>
          <w:shd w:val="clear" w:color="auto" w:fill="FFFFFF"/>
        </w:rPr>
        <w:t>internationale</w:t>
      </w:r>
      <w:proofErr w:type="spellEnd"/>
      <w:r>
        <w:rPr>
          <w:i/>
          <w:iCs/>
          <w:shd w:val="clear" w:color="auto" w:fill="FFFFFF"/>
        </w:rPr>
        <w:t xml:space="preserve"> de </w:t>
      </w:r>
      <w:proofErr w:type="spellStart"/>
      <w:r>
        <w:rPr>
          <w:i/>
          <w:iCs/>
          <w:shd w:val="clear" w:color="auto" w:fill="FFFFFF"/>
        </w:rPr>
        <w:t>Sémiotique</w:t>
      </w:r>
      <w:proofErr w:type="spellEnd"/>
      <w:r>
        <w:rPr>
          <w:i/>
          <w:iCs/>
          <w:shd w:val="clear" w:color="auto" w:fill="FFFFFF"/>
        </w:rPr>
        <w:t xml:space="preserve"> </w:t>
      </w:r>
      <w:proofErr w:type="spellStart"/>
      <w:r>
        <w:rPr>
          <w:i/>
          <w:iCs/>
          <w:shd w:val="clear" w:color="auto" w:fill="FFFFFF"/>
        </w:rPr>
        <w:t>juridique</w:t>
      </w:r>
      <w:proofErr w:type="spellEnd"/>
      <w:r>
        <w:rPr>
          <w:shd w:val="clear" w:color="auto" w:fill="FFFFFF"/>
        </w:rPr>
        <w:t>, pp.1-16.</w:t>
      </w:r>
    </w:p>
    <w:p w14:paraId="2489CEB6" w14:textId="77777777" w:rsidR="00B751E9" w:rsidRDefault="00B751E9" w:rsidP="00B751E9">
      <w:pPr>
        <w:rPr>
          <w:shd w:val="clear" w:color="auto" w:fill="FFFFFF"/>
        </w:rPr>
      </w:pPr>
      <w:proofErr w:type="spellStart"/>
      <w:r>
        <w:rPr>
          <w:shd w:val="clear" w:color="auto" w:fill="FFFFFF"/>
        </w:rPr>
        <w:t>Tamanaha</w:t>
      </w:r>
      <w:proofErr w:type="spellEnd"/>
      <w:r>
        <w:rPr>
          <w:shd w:val="clear" w:color="auto" w:fill="FFFFFF"/>
        </w:rPr>
        <w:t>, B.Z., 2021. Legal Pluralism Explained: History, Theory, Consequences. Oxford University Press, USA.</w:t>
      </w:r>
    </w:p>
    <w:p w14:paraId="55CBEA91" w14:textId="77777777" w:rsidR="00B751E9" w:rsidRDefault="00B751E9" w:rsidP="00B751E9">
      <w:pPr>
        <w:rPr>
          <w:shd w:val="clear" w:color="auto" w:fill="FFFFFF"/>
        </w:rPr>
      </w:pPr>
      <w:r>
        <w:rPr>
          <w:shd w:val="clear" w:color="auto" w:fill="FFFFFF"/>
        </w:rPr>
        <w:t>Campbell, J.R., 2020. Interrogating the role and value of cultural expertise in Law. </w:t>
      </w:r>
      <w:r>
        <w:rPr>
          <w:i/>
          <w:iCs/>
          <w:shd w:val="clear" w:color="auto" w:fill="FFFFFF"/>
        </w:rPr>
        <w:t>Laws</w:t>
      </w:r>
      <w:r>
        <w:rPr>
          <w:shd w:val="clear" w:color="auto" w:fill="FFFFFF"/>
        </w:rPr>
        <w:t>, </w:t>
      </w:r>
      <w:r>
        <w:rPr>
          <w:i/>
          <w:iCs/>
          <w:shd w:val="clear" w:color="auto" w:fill="FFFFFF"/>
        </w:rPr>
        <w:t>9</w:t>
      </w:r>
      <w:r>
        <w:rPr>
          <w:shd w:val="clear" w:color="auto" w:fill="FFFFFF"/>
        </w:rPr>
        <w:t>(4), p.29.</w:t>
      </w:r>
    </w:p>
    <w:p w14:paraId="0AF29D56" w14:textId="77777777" w:rsidR="00B751E9" w:rsidRDefault="00B751E9" w:rsidP="00B751E9">
      <w:pPr>
        <w:rPr>
          <w:shd w:val="clear" w:color="auto" w:fill="FFFFFF"/>
        </w:rPr>
      </w:pPr>
      <w:proofErr w:type="spellStart"/>
      <w:r>
        <w:rPr>
          <w:shd w:val="clear" w:color="auto" w:fill="FFFFFF"/>
        </w:rPr>
        <w:lastRenderedPageBreak/>
        <w:t>Pfander</w:t>
      </w:r>
      <w:proofErr w:type="spellEnd"/>
      <w:r>
        <w:rPr>
          <w:shd w:val="clear" w:color="auto" w:fill="FFFFFF"/>
        </w:rPr>
        <w:t xml:space="preserve">, J.E. and Wentzel, J., 2019. The Common Law Origins of Ex </w:t>
      </w:r>
      <w:proofErr w:type="spellStart"/>
      <w:r>
        <w:rPr>
          <w:shd w:val="clear" w:color="auto" w:fill="FFFFFF"/>
        </w:rPr>
        <w:t>parte</w:t>
      </w:r>
      <w:proofErr w:type="spellEnd"/>
      <w:r>
        <w:rPr>
          <w:shd w:val="clear" w:color="auto" w:fill="FFFFFF"/>
        </w:rPr>
        <w:t xml:space="preserve"> Young. </w:t>
      </w:r>
      <w:r>
        <w:rPr>
          <w:i/>
          <w:iCs/>
          <w:shd w:val="clear" w:color="auto" w:fill="FFFFFF"/>
        </w:rPr>
        <w:t>Stanford Law Review, Forthcoming, Northwestern Public Law Research Paper</w:t>
      </w:r>
      <w:r>
        <w:rPr>
          <w:shd w:val="clear" w:color="auto" w:fill="FFFFFF"/>
        </w:rPr>
        <w:t>, (19-20).</w:t>
      </w:r>
    </w:p>
    <w:p w14:paraId="188AABDC" w14:textId="77777777" w:rsidR="00B751E9" w:rsidRPr="009420E1" w:rsidRDefault="00B751E9" w:rsidP="00B751E9">
      <w:r>
        <w:rPr>
          <w:shd w:val="clear" w:color="auto" w:fill="FFFFFF"/>
        </w:rPr>
        <w:t xml:space="preserve">Soares, M.N., </w:t>
      </w:r>
      <w:proofErr w:type="spellStart"/>
      <w:r>
        <w:rPr>
          <w:shd w:val="clear" w:color="auto" w:fill="FFFFFF"/>
        </w:rPr>
        <w:t>Bezerra</w:t>
      </w:r>
      <w:proofErr w:type="spellEnd"/>
      <w:r>
        <w:rPr>
          <w:shd w:val="clear" w:color="auto" w:fill="FFFFFF"/>
        </w:rPr>
        <w:t xml:space="preserve">, E.V. and Kauffman, M., 2019. The judiciary and the contributions of the Brazilian code of civil procedure in legal security, predictability and consistency of decisions–model inspired by the </w:t>
      </w:r>
      <w:proofErr w:type="spellStart"/>
      <w:r>
        <w:rPr>
          <w:shd w:val="clear" w:color="auto" w:fill="FFFFFF"/>
        </w:rPr>
        <w:t>english</w:t>
      </w:r>
      <w:proofErr w:type="spellEnd"/>
      <w:r>
        <w:rPr>
          <w:shd w:val="clear" w:color="auto" w:fill="FFFFFF"/>
        </w:rPr>
        <w:t xml:space="preserve"> system (judicial accountability). </w:t>
      </w:r>
      <w:proofErr w:type="spellStart"/>
      <w:r>
        <w:rPr>
          <w:i/>
          <w:iCs/>
          <w:shd w:val="clear" w:color="auto" w:fill="FFFFFF"/>
        </w:rPr>
        <w:t>Revista</w:t>
      </w:r>
      <w:proofErr w:type="spellEnd"/>
      <w:r>
        <w:rPr>
          <w:i/>
          <w:iCs/>
          <w:shd w:val="clear" w:color="auto" w:fill="FFFFFF"/>
        </w:rPr>
        <w:t xml:space="preserve"> de </w:t>
      </w:r>
      <w:proofErr w:type="spellStart"/>
      <w:r>
        <w:rPr>
          <w:i/>
          <w:iCs/>
          <w:shd w:val="clear" w:color="auto" w:fill="FFFFFF"/>
        </w:rPr>
        <w:t>Direito</w:t>
      </w:r>
      <w:proofErr w:type="spellEnd"/>
      <w:r>
        <w:rPr>
          <w:i/>
          <w:iCs/>
          <w:shd w:val="clear" w:color="auto" w:fill="FFFFFF"/>
        </w:rPr>
        <w:t xml:space="preserve"> </w:t>
      </w:r>
      <w:proofErr w:type="spellStart"/>
      <w:r>
        <w:rPr>
          <w:i/>
          <w:iCs/>
          <w:shd w:val="clear" w:color="auto" w:fill="FFFFFF"/>
        </w:rPr>
        <w:t>Brasileira</w:t>
      </w:r>
      <w:proofErr w:type="spellEnd"/>
      <w:r>
        <w:rPr>
          <w:shd w:val="clear" w:color="auto" w:fill="FFFFFF"/>
        </w:rPr>
        <w:t>, </w:t>
      </w:r>
      <w:r>
        <w:rPr>
          <w:i/>
          <w:iCs/>
          <w:shd w:val="clear" w:color="auto" w:fill="FFFFFF"/>
        </w:rPr>
        <w:t>22</w:t>
      </w:r>
      <w:r>
        <w:rPr>
          <w:shd w:val="clear" w:color="auto" w:fill="FFFFFF"/>
        </w:rPr>
        <w:t>(9), pp.200-218.</w:t>
      </w:r>
    </w:p>
    <w:p w14:paraId="50CC660A" w14:textId="77777777" w:rsidR="00B751E9" w:rsidRDefault="00B751E9" w:rsidP="00F80574">
      <w:pPr>
        <w:rPr>
          <w:rFonts w:eastAsia="Times New Roman" w:cs="Times New Roman"/>
          <w:szCs w:val="24"/>
        </w:rPr>
      </w:pPr>
    </w:p>
    <w:p w14:paraId="0D1B06A1" w14:textId="5572C1E1" w:rsidR="00A459F7" w:rsidRDefault="00A459F7" w:rsidP="00F80574">
      <w:pPr>
        <w:rPr>
          <w:rFonts w:eastAsia="Times New Roman" w:cs="Times New Roman"/>
          <w:szCs w:val="24"/>
        </w:rPr>
      </w:pPr>
    </w:p>
    <w:p w14:paraId="2E84ABA8" w14:textId="3A840C95" w:rsidR="00A459F7" w:rsidRDefault="00A459F7" w:rsidP="00F80574">
      <w:pPr>
        <w:rPr>
          <w:rFonts w:eastAsia="Times New Roman" w:cs="Times New Roman"/>
          <w:szCs w:val="24"/>
        </w:rPr>
      </w:pPr>
    </w:p>
    <w:p w14:paraId="76E39222" w14:textId="2B51B36B" w:rsidR="00A459F7" w:rsidRDefault="00A459F7" w:rsidP="00F80574">
      <w:pPr>
        <w:rPr>
          <w:rFonts w:eastAsia="Times New Roman" w:cs="Times New Roman"/>
          <w:szCs w:val="24"/>
        </w:rPr>
      </w:pPr>
    </w:p>
    <w:p w14:paraId="7C1E32A9" w14:textId="77777777" w:rsidR="00F80574" w:rsidRDefault="00F80574" w:rsidP="00F80574">
      <w:pPr>
        <w:rPr>
          <w:rFonts w:eastAsia="Times New Roman" w:cs="Times New Roman"/>
          <w:b/>
          <w:i/>
          <w:sz w:val="28"/>
          <w:szCs w:val="28"/>
        </w:rPr>
      </w:pPr>
      <w:r>
        <w:br w:type="page"/>
      </w:r>
    </w:p>
    <w:p w14:paraId="763BB104" w14:textId="77777777" w:rsidR="0034151E" w:rsidRDefault="00000000"/>
    <w:sectPr w:rsidR="0034151E" w:rsidSect="00B751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574"/>
    <w:rsid w:val="0014019E"/>
    <w:rsid w:val="004A1CB1"/>
    <w:rsid w:val="006C0A5C"/>
    <w:rsid w:val="00756694"/>
    <w:rsid w:val="008A3637"/>
    <w:rsid w:val="009B3493"/>
    <w:rsid w:val="00A459F7"/>
    <w:rsid w:val="00AA5E7E"/>
    <w:rsid w:val="00AE2346"/>
    <w:rsid w:val="00B751E9"/>
    <w:rsid w:val="00CE35BF"/>
    <w:rsid w:val="00D26FE0"/>
    <w:rsid w:val="00D33B7E"/>
    <w:rsid w:val="00D47DE2"/>
    <w:rsid w:val="00E120AD"/>
    <w:rsid w:val="00F40B72"/>
    <w:rsid w:val="00F80574"/>
    <w:rsid w:val="00FD5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79D54"/>
  <w15:chartTrackingRefBased/>
  <w15:docId w15:val="{E8CC26B4-6617-4A4B-BB0F-1F91019CF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574"/>
    <w:pPr>
      <w:spacing w:after="0" w:line="360" w:lineRule="auto"/>
      <w:jc w:val="both"/>
    </w:pPr>
    <w:rPr>
      <w:rFonts w:ascii="Times New Roman" w:eastAsia="Arial" w:hAnsi="Times New Roman" w:cs="Arial"/>
      <w:sz w:val="24"/>
      <w:lang w:val="en" w:eastAsia="en-IN"/>
    </w:rPr>
  </w:style>
  <w:style w:type="paragraph" w:styleId="Heading1">
    <w:name w:val="heading 1"/>
    <w:basedOn w:val="Normal"/>
    <w:next w:val="Normal"/>
    <w:link w:val="Heading1Char"/>
    <w:uiPriority w:val="9"/>
    <w:qFormat/>
    <w:rsid w:val="00B751E9"/>
    <w:pPr>
      <w:keepNext/>
      <w:keepLines/>
      <w:spacing w:before="240" w:line="259" w:lineRule="auto"/>
      <w:jc w:val="left"/>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F80574"/>
    <w:pPr>
      <w:keepNext/>
      <w:keepLines/>
      <w:spacing w:before="360" w:after="120"/>
      <w:outlineLvl w:val="1"/>
    </w:pPr>
    <w:rPr>
      <w:b/>
      <w:i/>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80574"/>
    <w:rPr>
      <w:rFonts w:ascii="Times New Roman" w:eastAsia="Arial" w:hAnsi="Times New Roman" w:cs="Arial"/>
      <w:b/>
      <w:i/>
      <w:sz w:val="26"/>
      <w:szCs w:val="32"/>
      <w:lang w:val="en" w:eastAsia="en-IN"/>
    </w:rPr>
  </w:style>
  <w:style w:type="paragraph" w:styleId="NoSpacing">
    <w:name w:val="No Spacing"/>
    <w:link w:val="NoSpacingChar"/>
    <w:uiPriority w:val="1"/>
    <w:qFormat/>
    <w:rsid w:val="00B751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51E9"/>
    <w:rPr>
      <w:rFonts w:eastAsiaTheme="minorEastAsia"/>
      <w:lang w:val="en-US"/>
    </w:rPr>
  </w:style>
  <w:style w:type="character" w:customStyle="1" w:styleId="Heading1Char">
    <w:name w:val="Heading 1 Char"/>
    <w:basedOn w:val="DefaultParagraphFont"/>
    <w:link w:val="Heading1"/>
    <w:uiPriority w:val="9"/>
    <w:rsid w:val="00B751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751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83169">
      <w:bodyDiv w:val="1"/>
      <w:marLeft w:val="0"/>
      <w:marRight w:val="0"/>
      <w:marTop w:val="0"/>
      <w:marBottom w:val="0"/>
      <w:divBdr>
        <w:top w:val="none" w:sz="0" w:space="0" w:color="auto"/>
        <w:left w:val="none" w:sz="0" w:space="0" w:color="auto"/>
        <w:bottom w:val="none" w:sz="0" w:space="0" w:color="auto"/>
        <w:right w:val="none" w:sz="0" w:space="0" w:color="auto"/>
      </w:divBdr>
    </w:div>
    <w:div w:id="69930929">
      <w:bodyDiv w:val="1"/>
      <w:marLeft w:val="0"/>
      <w:marRight w:val="0"/>
      <w:marTop w:val="0"/>
      <w:marBottom w:val="0"/>
      <w:divBdr>
        <w:top w:val="none" w:sz="0" w:space="0" w:color="auto"/>
        <w:left w:val="none" w:sz="0" w:space="0" w:color="auto"/>
        <w:bottom w:val="none" w:sz="0" w:space="0" w:color="auto"/>
        <w:right w:val="none" w:sz="0" w:space="0" w:color="auto"/>
      </w:divBdr>
    </w:div>
    <w:div w:id="319162479">
      <w:bodyDiv w:val="1"/>
      <w:marLeft w:val="0"/>
      <w:marRight w:val="0"/>
      <w:marTop w:val="0"/>
      <w:marBottom w:val="0"/>
      <w:divBdr>
        <w:top w:val="none" w:sz="0" w:space="0" w:color="auto"/>
        <w:left w:val="none" w:sz="0" w:space="0" w:color="auto"/>
        <w:bottom w:val="none" w:sz="0" w:space="0" w:color="auto"/>
        <w:right w:val="none" w:sz="0" w:space="0" w:color="auto"/>
      </w:divBdr>
    </w:div>
    <w:div w:id="439909780">
      <w:bodyDiv w:val="1"/>
      <w:marLeft w:val="0"/>
      <w:marRight w:val="0"/>
      <w:marTop w:val="0"/>
      <w:marBottom w:val="0"/>
      <w:divBdr>
        <w:top w:val="none" w:sz="0" w:space="0" w:color="auto"/>
        <w:left w:val="none" w:sz="0" w:space="0" w:color="auto"/>
        <w:bottom w:val="none" w:sz="0" w:space="0" w:color="auto"/>
        <w:right w:val="none" w:sz="0" w:space="0" w:color="auto"/>
      </w:divBdr>
    </w:div>
    <w:div w:id="1084959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2228562</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Les90</b:Tag>
    <b:SourceType>JournalArticle</b:SourceType>
    <b:Guid>{26779D10-7CCF-4C53-B2D1-16237E49B9FF}</b:Guid>
    <b:Author>
      <b:Author>
        <b:NameList>
          <b:Person>
            <b:Last>Lester</b:Last>
            <b:First>A</b:First>
          </b:Person>
        </b:NameList>
      </b:Author>
    </b:Author>
    <b:Title>A british Bill of rights </b:Title>
    <b:JournalName>Institute for Public Policy Research</b:JournalName>
    <b:Year>1990</b:Year>
    <b:RefOrder>1</b:RefOrder>
  </b:Source>
  <b:Source>
    <b:Tag>Dwo90</b:Tag>
    <b:SourceType>JournalArticle</b:SourceType>
    <b:Guid>{A7CF2135-01A2-4BB1-BD8A-DD91E042B0E3}</b:Guid>
    <b:Author>
      <b:Author>
        <b:NameList>
          <b:Person>
            <b:Last>Dworkin</b:Last>
            <b:First>R</b:First>
          </b:Person>
        </b:NameList>
      </b:Author>
    </b:Author>
    <b:Title>A bill of bill rights for Britian </b:Title>
    <b:Year>1990</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F36A41-58DD-4D34-AEA4-078BA6248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1345</Words>
  <Characters>7672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dc:title>
  <dc:subject/>
  <dc:creator>Chande</dc:creator>
  <cp:keywords/>
  <dc:description/>
  <cp:lastModifiedBy>Chande</cp:lastModifiedBy>
  <cp:revision>2</cp:revision>
  <dcterms:created xsi:type="dcterms:W3CDTF">2023-03-31T22:59:00Z</dcterms:created>
  <dcterms:modified xsi:type="dcterms:W3CDTF">2023-03-31T22:59:00Z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463d1f73aebc4dc51487ae2bf65b0c7222a37aa732561c5a5f9d1f6c767e0a70</vt:lpwstr>
  </property>
</Properties>
</file>