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382C060" w:rsidP="62CF527B" w:rsidRDefault="4382C060" w14:paraId="2B61E76F" w14:textId="090F053C">
      <w:pPr>
        <w:spacing w:before="240" w:beforeAutospacing="off" w:after="240" w:afterAutospacing="off"/>
        <w:rPr>
          <w:rFonts w:ascii="Calibri" w:hAnsi="Calibri" w:eastAsia="Calibri" w:cs="Calibri"/>
          <w:b w:val="1"/>
          <w:bCs w:val="1"/>
          <w:noProof w:val="0"/>
          <w:color w:val="000000" w:themeColor="text1" w:themeTint="FF" w:themeShade="FF"/>
          <w:sz w:val="24"/>
          <w:szCs w:val="24"/>
          <w:lang w:val="en-US"/>
        </w:rPr>
      </w:pPr>
      <w:r w:rsidRPr="62CF527B" w:rsidR="4382C060">
        <w:rPr>
          <w:rFonts w:ascii="Calibri" w:hAnsi="Calibri" w:eastAsia="Calibri" w:cs="Calibri"/>
          <w:b w:val="1"/>
          <w:bCs w:val="1"/>
          <w:noProof w:val="0"/>
          <w:color w:val="000000" w:themeColor="text1" w:themeTint="FF" w:themeShade="FF"/>
          <w:sz w:val="24"/>
          <w:szCs w:val="24"/>
          <w:lang w:val="en-US"/>
        </w:rPr>
        <w:t xml:space="preserve">Examine the impact of partnership working and information sharing when applied to policing practice. </w:t>
      </w:r>
      <w:r w:rsidRPr="62CF527B" w:rsidR="4382C060">
        <w:rPr>
          <w:rFonts w:ascii="Calibri" w:hAnsi="Calibri" w:eastAsia="Calibri" w:cs="Calibri"/>
          <w:b w:val="1"/>
          <w:bCs w:val="1"/>
          <w:noProof w:val="0"/>
          <w:color w:val="000000" w:themeColor="text1" w:themeTint="FF" w:themeShade="FF"/>
          <w:sz w:val="24"/>
          <w:szCs w:val="24"/>
          <w:lang w:val="en-US"/>
        </w:rPr>
        <w:t>Consider the need for effective communication within the process.</w:t>
      </w:r>
    </w:p>
    <w:p w:rsidR="62CF527B" w:rsidP="62CF527B" w:rsidRDefault="62CF527B" w14:paraId="1A2297A5" w14:textId="064E44BB">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71D41A29" w14:textId="5A9F8961">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1526D440" w14:textId="218EC9B3">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68D55D7B" w14:textId="00FE34CE">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5DF6BEE4" w14:textId="74F590BF">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2CDF0FFD" w14:textId="7777CA95">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3A6485F1" w14:textId="173AAEA8">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41A1EC6B" w14:textId="747279C1">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71539D6C" w14:textId="60A6700F">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4D1C0541" w14:textId="634A3592">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62CF527B" w:rsidP="62CF527B" w:rsidRDefault="62CF527B" w14:paraId="65CF21E7" w14:textId="74629F0C">
      <w:pPr>
        <w:pStyle w:val="Normal"/>
        <w:spacing w:before="240" w:beforeAutospacing="off" w:after="240" w:afterAutospacing="off"/>
        <w:ind w:left="0"/>
        <w:rPr>
          <w:rFonts w:ascii="Calibri" w:hAnsi="Calibri" w:eastAsia="Calibri" w:cs="Calibri"/>
          <w:noProof w:val="0"/>
          <w:color w:val="000000" w:themeColor="text1" w:themeTint="FF" w:themeShade="FF"/>
          <w:sz w:val="24"/>
          <w:szCs w:val="24"/>
          <w:lang w:val="en-US"/>
        </w:rPr>
      </w:pPr>
    </w:p>
    <w:p w:rsidR="18300603" w:rsidP="62CF527B" w:rsidRDefault="18300603" w14:paraId="76B6C267" w14:textId="5433402C">
      <w:pPr>
        <w:pStyle w:val="Normal"/>
        <w:spacing w:before="240" w:beforeAutospacing="off" w:after="240" w:afterAutospacing="off"/>
        <w:ind w:left="0"/>
        <w:rPr>
          <w:rFonts w:ascii="Calibri" w:hAnsi="Calibri" w:eastAsia="Calibri" w:cs="Calibri"/>
          <w:b w:val="1"/>
          <w:bCs w:val="1"/>
          <w:noProof w:val="0"/>
          <w:color w:val="000000" w:themeColor="text1" w:themeTint="FF" w:themeShade="FF"/>
          <w:sz w:val="24"/>
          <w:szCs w:val="24"/>
          <w:lang w:val="en-US"/>
        </w:rPr>
      </w:pPr>
      <w:r w:rsidRPr="62CF527B" w:rsidR="18300603">
        <w:rPr>
          <w:rFonts w:ascii="Calibri" w:hAnsi="Calibri" w:eastAsia="Calibri" w:cs="Calibri"/>
          <w:b w:val="1"/>
          <w:bCs w:val="1"/>
          <w:noProof w:val="0"/>
          <w:color w:val="000000" w:themeColor="text1" w:themeTint="FF" w:themeShade="FF"/>
          <w:sz w:val="24"/>
          <w:szCs w:val="24"/>
          <w:lang w:val="en-US"/>
        </w:rPr>
        <w:t xml:space="preserve">Name: Olivia John </w:t>
      </w:r>
    </w:p>
    <w:p w:rsidR="18300603" w:rsidP="62CF527B" w:rsidRDefault="18300603" w14:paraId="2C3A5CBB" w14:textId="616ACC03">
      <w:pPr>
        <w:pStyle w:val="Normal"/>
        <w:spacing w:before="240" w:beforeAutospacing="off" w:after="240" w:afterAutospacing="off"/>
        <w:ind w:left="0"/>
        <w:rPr>
          <w:rFonts w:ascii="Calibri" w:hAnsi="Calibri" w:eastAsia="Calibri" w:cs="Calibri"/>
          <w:b w:val="1"/>
          <w:bCs w:val="1"/>
          <w:noProof w:val="0"/>
          <w:color w:val="000000" w:themeColor="text1" w:themeTint="FF" w:themeShade="FF"/>
          <w:sz w:val="24"/>
          <w:szCs w:val="24"/>
          <w:lang w:val="en-US"/>
        </w:rPr>
      </w:pPr>
      <w:r w:rsidRPr="62CF527B" w:rsidR="18300603">
        <w:rPr>
          <w:rFonts w:ascii="Calibri" w:hAnsi="Calibri" w:eastAsia="Calibri" w:cs="Calibri"/>
          <w:b w:val="1"/>
          <w:bCs w:val="1"/>
          <w:noProof w:val="0"/>
          <w:color w:val="000000" w:themeColor="text1" w:themeTint="FF" w:themeShade="FF"/>
          <w:sz w:val="24"/>
          <w:szCs w:val="24"/>
          <w:lang w:val="en-US"/>
        </w:rPr>
        <w:t>Lecturer</w:t>
      </w:r>
      <w:r w:rsidRPr="62CF527B" w:rsidR="18300603">
        <w:rPr>
          <w:rFonts w:ascii="Calibri" w:hAnsi="Calibri" w:eastAsia="Calibri" w:cs="Calibri"/>
          <w:b w:val="1"/>
          <w:bCs w:val="1"/>
          <w:noProof w:val="0"/>
          <w:color w:val="000000" w:themeColor="text1" w:themeTint="FF" w:themeShade="FF"/>
          <w:sz w:val="24"/>
          <w:szCs w:val="24"/>
          <w:lang w:val="en-US"/>
        </w:rPr>
        <w:t>: Kelly Andrews</w:t>
      </w:r>
    </w:p>
    <w:p w:rsidR="18300603" w:rsidP="62CF527B" w:rsidRDefault="18300603" w14:paraId="1661F842" w14:textId="4419257E">
      <w:pPr>
        <w:pStyle w:val="Normal"/>
        <w:spacing w:before="240" w:beforeAutospacing="off" w:after="240" w:afterAutospacing="off"/>
        <w:ind w:left="0"/>
        <w:rPr>
          <w:rFonts w:ascii="Calibri" w:hAnsi="Calibri" w:eastAsia="Calibri" w:cs="Calibri"/>
          <w:b w:val="1"/>
          <w:bCs w:val="1"/>
          <w:noProof w:val="0"/>
          <w:sz w:val="24"/>
          <w:szCs w:val="24"/>
          <w:lang w:val="en-US"/>
        </w:rPr>
      </w:pPr>
      <w:r w:rsidRPr="62CF527B" w:rsidR="18300603">
        <w:rPr>
          <w:rFonts w:ascii="Calibri" w:hAnsi="Calibri" w:eastAsia="Calibri" w:cs="Calibri"/>
          <w:b w:val="1"/>
          <w:bCs w:val="1"/>
          <w:noProof w:val="0"/>
          <w:color w:val="000000" w:themeColor="text1" w:themeTint="FF" w:themeShade="FF"/>
          <w:sz w:val="24"/>
          <w:szCs w:val="24"/>
          <w:lang w:val="en-US"/>
        </w:rPr>
        <w:t xml:space="preserve">Module: </w:t>
      </w:r>
      <w:r w:rsidRPr="62CF527B" w:rsidR="18300603">
        <w:rPr>
          <w:rFonts w:ascii="Calibri" w:hAnsi="Calibri" w:eastAsia="Calibri" w:cs="Calibri"/>
          <w:b w:val="1"/>
          <w:bCs w:val="1"/>
          <w:noProof w:val="0"/>
          <w:sz w:val="24"/>
          <w:szCs w:val="24"/>
          <w:lang w:val="en-US"/>
        </w:rPr>
        <w:t>Evidence-based Approaches to Policing Decisions</w:t>
      </w:r>
    </w:p>
    <w:p w:rsidR="62CF527B" w:rsidP="62CF527B" w:rsidRDefault="62CF527B" w14:paraId="52EC53E0" w14:textId="0CED824C">
      <w:pPr>
        <w:pStyle w:val="Normal"/>
        <w:rPr>
          <w:rFonts w:ascii="Calibri" w:hAnsi="Calibri" w:eastAsia="Calibri" w:cs="Calibri"/>
          <w:b w:val="1"/>
          <w:bCs w:val="1"/>
          <w:i w:val="0"/>
          <w:iCs w:val="0"/>
          <w:caps w:val="0"/>
          <w:smallCaps w:val="0"/>
          <w:noProof w:val="0"/>
          <w:color w:val="0D0D0D" w:themeColor="text1" w:themeTint="F2" w:themeShade="FF"/>
          <w:sz w:val="24"/>
          <w:szCs w:val="24"/>
          <w:lang w:val="en-US"/>
        </w:rPr>
      </w:pPr>
    </w:p>
    <w:p w:rsidR="7C3BB0E9" w:rsidP="62CF527B" w:rsidRDefault="7C3BB0E9" w14:paraId="76A85280" w14:textId="5141BF3D">
      <w:pPr>
        <w:pStyle w:val="Normal"/>
        <w:rPr>
          <w:rFonts w:ascii="Calibri" w:hAnsi="Calibri" w:eastAsia="Calibri" w:cs="Calibri"/>
          <w:b w:val="1"/>
          <w:bCs w:val="1"/>
          <w:i w:val="0"/>
          <w:iCs w:val="0"/>
          <w:caps w:val="0"/>
          <w:smallCaps w:val="0"/>
          <w:noProof w:val="0"/>
          <w:color w:val="0D0D0D" w:themeColor="text1" w:themeTint="F2" w:themeShade="FF"/>
          <w:sz w:val="24"/>
          <w:szCs w:val="24"/>
          <w:lang w:val="en-US"/>
        </w:rPr>
      </w:pPr>
      <w:r w:rsidRPr="62CF527B" w:rsidR="7C3BB0E9">
        <w:rPr>
          <w:rFonts w:ascii="Calibri" w:hAnsi="Calibri" w:eastAsia="Calibri" w:cs="Calibri"/>
          <w:b w:val="1"/>
          <w:bCs w:val="1"/>
          <w:i w:val="0"/>
          <w:iCs w:val="0"/>
          <w:caps w:val="0"/>
          <w:smallCaps w:val="0"/>
          <w:noProof w:val="0"/>
          <w:color w:val="0D0D0D" w:themeColor="text1" w:themeTint="F2" w:themeShade="FF"/>
          <w:sz w:val="24"/>
          <w:szCs w:val="24"/>
          <w:lang w:val="en-US"/>
        </w:rPr>
        <w:t>Introduction</w:t>
      </w:r>
      <w:r w:rsidRPr="62CF527B" w:rsidR="14307236">
        <w:rPr>
          <w:rFonts w:ascii="Calibri" w:hAnsi="Calibri" w:eastAsia="Calibri" w:cs="Calibri"/>
          <w:b w:val="1"/>
          <w:bCs w:val="1"/>
          <w:i w:val="0"/>
          <w:iCs w:val="0"/>
          <w:caps w:val="0"/>
          <w:smallCaps w:val="0"/>
          <w:noProof w:val="0"/>
          <w:color w:val="0D0D0D" w:themeColor="text1" w:themeTint="F2" w:themeShade="FF"/>
          <w:sz w:val="24"/>
          <w:szCs w:val="24"/>
          <w:lang w:val="en-US"/>
        </w:rPr>
        <w:t xml:space="preserve"> </w:t>
      </w:r>
    </w:p>
    <w:p w:rsidR="4382C060" w:rsidP="62CF527B" w:rsidRDefault="4382C060" w14:paraId="21C3CB6A" w14:textId="6BF3377B">
      <w:pPr>
        <w:pStyle w:val="Normal"/>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modern policing, collaboration is key. Partnership working and information sharing have transformed law enforcement, enhancing effectiveness through shared resources and intelligence. Effective communication within these processes is essential for </w:t>
      </w:r>
      <w:r w:rsidRPr="62CF527B" w:rsidR="3D75CDE9">
        <w:rPr>
          <w:rFonts w:ascii="Calibri" w:hAnsi="Calibri" w:eastAsia="Calibri" w:cs="Calibri"/>
          <w:b w:val="0"/>
          <w:bCs w:val="0"/>
          <w:i w:val="0"/>
          <w:iCs w:val="0"/>
          <w:caps w:val="0"/>
          <w:smallCaps w:val="0"/>
          <w:noProof w:val="0"/>
          <w:color w:val="0D0D0D" w:themeColor="text1" w:themeTint="F2" w:themeShade="FF"/>
          <w:sz w:val="24"/>
          <w:szCs w:val="24"/>
          <w:lang w:val="en-US"/>
        </w:rPr>
        <w:t>success. Partnership</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working involves alliances between law enforcement, government, and community organizations, leading to reduced crime rates and increased community trust (Mazerolle et al., 2019</w:t>
      </w:r>
      <w:r w:rsidRPr="62CF527B" w:rsidR="3B8CA472">
        <w:rPr>
          <w:rFonts w:ascii="Calibri" w:hAnsi="Calibri" w:eastAsia="Calibri" w:cs="Calibri"/>
          <w:b w:val="0"/>
          <w:bCs w:val="0"/>
          <w:i w:val="0"/>
          <w:iCs w:val="0"/>
          <w:caps w:val="0"/>
          <w:smallCaps w:val="0"/>
          <w:noProof w:val="0"/>
          <w:color w:val="0D0D0D" w:themeColor="text1" w:themeTint="F2" w:themeShade="FF"/>
          <w:sz w:val="24"/>
          <w:szCs w:val="24"/>
          <w:lang w:val="en-US"/>
        </w:rPr>
        <w:t>). Information</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sharing enables proactive crime prevention by </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facilitating</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exchange of intelligence between agencies. This disrupts criminal networks and boosts operational efficiency (Ratcliffe, 2019</w:t>
      </w:r>
      <w:r w:rsidRPr="62CF527B" w:rsidR="14446500">
        <w:rPr>
          <w:rFonts w:ascii="Calibri" w:hAnsi="Calibri" w:eastAsia="Calibri" w:cs="Calibri"/>
          <w:b w:val="0"/>
          <w:bCs w:val="0"/>
          <w:i w:val="0"/>
          <w:iCs w:val="0"/>
          <w:caps w:val="0"/>
          <w:smallCaps w:val="0"/>
          <w:noProof w:val="0"/>
          <w:color w:val="0D0D0D" w:themeColor="text1" w:themeTint="F2" w:themeShade="FF"/>
          <w:sz w:val="24"/>
          <w:szCs w:val="24"/>
          <w:lang w:val="en-US"/>
        </w:rPr>
        <w:t>). Clear</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communication is vital for aligning stakeholders and achieving common goals. Lum and Koper (2020) stress the importance of robust communication frameworks in resolving conflicts and</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optimizin</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g</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2CF527B" w:rsidR="51D49C33">
        <w:rPr>
          <w:rFonts w:ascii="Calibri" w:hAnsi="Calibri" w:eastAsia="Calibri" w:cs="Calibri"/>
          <w:b w:val="0"/>
          <w:bCs w:val="0"/>
          <w:i w:val="0"/>
          <w:iCs w:val="0"/>
          <w:caps w:val="0"/>
          <w:smallCaps w:val="0"/>
          <w:noProof w:val="0"/>
          <w:color w:val="0D0D0D" w:themeColor="text1" w:themeTint="F2" w:themeShade="FF"/>
          <w:sz w:val="24"/>
          <w:szCs w:val="24"/>
          <w:lang w:val="en-US"/>
        </w:rPr>
        <w:t>resources. Maintaining</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confidentiality and data security is crucial to respect privacy rights while</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facilitatin</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g</w:t>
      </w:r>
      <w:r w:rsidRPr="62CF527B" w:rsidR="4382C0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collaboration, as mandated by legislative frameworks like GDPR and HIPAA.</w:t>
      </w:r>
    </w:p>
    <w:p w:rsidR="759B7E52" w:rsidP="62CF527B" w:rsidRDefault="759B7E52" w14:paraId="3C8CFEC2" w14:textId="59A6B299">
      <w:pPr>
        <w:shd w:val="clear" w:color="auto" w:fill="FFFFFF" w:themeFill="background1"/>
        <w:spacing w:before="300" w:beforeAutospacing="off" w:after="300" w:afterAutospacing="off"/>
        <w:rPr>
          <w:rFonts w:ascii="Calibri" w:hAnsi="Calibri" w:eastAsia="Calibri" w:cs="Calibri"/>
          <w:b w:val="1"/>
          <w:bCs w:val="1"/>
          <w:i w:val="0"/>
          <w:iCs w:val="0"/>
          <w:caps w:val="0"/>
          <w:smallCaps w:val="0"/>
          <w:noProof w:val="0"/>
          <w:color w:val="0D0D0D" w:themeColor="text1" w:themeTint="F2" w:themeShade="FF"/>
          <w:sz w:val="24"/>
          <w:szCs w:val="24"/>
          <w:lang w:val="en-US"/>
        </w:rPr>
      </w:pPr>
      <w:r w:rsidRPr="62CF527B" w:rsidR="759B7E52">
        <w:rPr>
          <w:rFonts w:ascii="Calibri" w:hAnsi="Calibri" w:eastAsia="Calibri" w:cs="Calibri"/>
          <w:b w:val="1"/>
          <w:bCs w:val="1"/>
          <w:i w:val="0"/>
          <w:iCs w:val="0"/>
          <w:caps w:val="0"/>
          <w:smallCaps w:val="0"/>
          <w:noProof w:val="0"/>
          <w:color w:val="0D0D0D" w:themeColor="text1" w:themeTint="F2" w:themeShade="FF"/>
          <w:sz w:val="24"/>
          <w:szCs w:val="24"/>
          <w:lang w:val="en-US"/>
        </w:rPr>
        <w:t xml:space="preserve">Positives Of Working as a Partnership </w:t>
      </w:r>
      <w:r w:rsidRPr="62CF527B" w:rsidR="71DCA235">
        <w:rPr>
          <w:rFonts w:ascii="Calibri" w:hAnsi="Calibri" w:eastAsia="Calibri" w:cs="Calibri"/>
          <w:b w:val="1"/>
          <w:bCs w:val="1"/>
          <w:i w:val="0"/>
          <w:iCs w:val="0"/>
          <w:caps w:val="0"/>
          <w:smallCaps w:val="0"/>
          <w:noProof w:val="0"/>
          <w:color w:val="0D0D0D" w:themeColor="text1" w:themeTint="F2" w:themeShade="FF"/>
          <w:sz w:val="24"/>
          <w:szCs w:val="24"/>
          <w:lang w:val="en-US"/>
        </w:rPr>
        <w:t>in</w:t>
      </w:r>
      <w:r w:rsidRPr="62CF527B" w:rsidR="759B7E52">
        <w:rPr>
          <w:rFonts w:ascii="Calibri" w:hAnsi="Calibri" w:eastAsia="Calibri" w:cs="Calibri"/>
          <w:b w:val="1"/>
          <w:bCs w:val="1"/>
          <w:i w:val="0"/>
          <w:iCs w:val="0"/>
          <w:caps w:val="0"/>
          <w:smallCaps w:val="0"/>
          <w:noProof w:val="0"/>
          <w:color w:val="0D0D0D" w:themeColor="text1" w:themeTint="F2" w:themeShade="FF"/>
          <w:sz w:val="24"/>
          <w:szCs w:val="24"/>
          <w:lang w:val="en-US"/>
        </w:rPr>
        <w:t xml:space="preserve"> the Police</w:t>
      </w:r>
    </w:p>
    <w:p w:rsidR="67DF40D6" w:rsidP="62CF527B" w:rsidRDefault="67DF40D6" w14:paraId="1264EB37" w14:textId="1DDBA68D">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67DF40D6">
        <w:rPr>
          <w:rFonts w:ascii="Calibri" w:hAnsi="Calibri" w:eastAsia="Calibri" w:cs="Calibri"/>
          <w:b w:val="0"/>
          <w:bCs w:val="0"/>
          <w:i w:val="0"/>
          <w:iCs w:val="0"/>
          <w:caps w:val="0"/>
          <w:smallCaps w:val="0"/>
          <w:noProof w:val="0"/>
          <w:color w:val="0D0D0D" w:themeColor="text1" w:themeTint="F2" w:themeShade="FF"/>
          <w:sz w:val="24"/>
          <w:szCs w:val="24"/>
          <w:lang w:val="en-US"/>
        </w:rPr>
        <w:t>In</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contemporary law enforcement, partnership working </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emerges</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a transformative strategy, offering a myriad of benefits that enhance policing efficacy and community well-being</w:t>
      </w:r>
      <w:r w:rsidRPr="62CF527B" w:rsidR="3A8A18F5">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38B30473" w:rsidP="62CF527B" w:rsidRDefault="38B30473" w14:paraId="726E22B5" w14:textId="6564FC5B">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8B30473">
        <w:rPr>
          <w:rFonts w:ascii="Calibri" w:hAnsi="Calibri" w:eastAsia="Calibri" w:cs="Calibri"/>
          <w:b w:val="1"/>
          <w:bCs w:val="1"/>
          <w:i w:val="0"/>
          <w:iCs w:val="0"/>
          <w:caps w:val="0"/>
          <w:smallCaps w:val="0"/>
          <w:noProof w:val="0"/>
          <w:color w:val="0D0D0D" w:themeColor="text1" w:themeTint="F2" w:themeShade="FF"/>
          <w:sz w:val="24"/>
          <w:szCs w:val="24"/>
          <w:lang w:val="en-US"/>
        </w:rPr>
        <w:t>Enhanced Resource Utilization</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Partnership working allows law enforcement agencies to pool resources, </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expertise</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2CF527B" w:rsidR="336E8B34">
        <w:rPr>
          <w:rFonts w:ascii="Calibri" w:hAnsi="Calibri" w:eastAsia="Calibri" w:cs="Calibri"/>
          <w:b w:val="0"/>
          <w:bCs w:val="0"/>
          <w:i w:val="0"/>
          <w:iCs w:val="0"/>
          <w:caps w:val="0"/>
          <w:smallCaps w:val="0"/>
          <w:noProof w:val="0"/>
          <w:color w:val="0D0D0D" w:themeColor="text1" w:themeTint="F2" w:themeShade="FF"/>
          <w:sz w:val="24"/>
          <w:szCs w:val="24"/>
          <w:lang w:val="en-US"/>
        </w:rPr>
        <w:t>workforce</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from diverse stakeholders such as governmental bodies, community organizations, and NGOs. This collaborative approach </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optimizes</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resource allocation, leading to greater efficiency in tackling crime (Mazerolle et al., 2019).</w:t>
      </w:r>
    </w:p>
    <w:p w:rsidR="38B30473" w:rsidP="62CF527B" w:rsidRDefault="38B30473" w14:paraId="4E4C685C" w14:textId="40DFBB0F">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8B30473">
        <w:rPr>
          <w:rFonts w:ascii="Calibri" w:hAnsi="Calibri" w:eastAsia="Calibri" w:cs="Calibri"/>
          <w:b w:val="1"/>
          <w:bCs w:val="1"/>
          <w:i w:val="0"/>
          <w:iCs w:val="0"/>
          <w:caps w:val="0"/>
          <w:smallCaps w:val="0"/>
          <w:noProof w:val="0"/>
          <w:color w:val="0D0D0D" w:themeColor="text1" w:themeTint="F2" w:themeShade="FF"/>
          <w:sz w:val="24"/>
          <w:szCs w:val="24"/>
          <w:lang w:val="en-US"/>
        </w:rPr>
        <w:t>Comprehensive Problem-Solving</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By engaging with a spectrum of stakeholders, partnership working enables a holistic understanding of community issues and crime dynamics. This comprehensive perspective </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facilitates</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targeted interventions that address underlying causes of crime, leading to sustainable solutions and improved public safety (Braga et al., 2019).</w:t>
      </w:r>
    </w:p>
    <w:p w:rsidR="38B30473" w:rsidP="62CF527B" w:rsidRDefault="38B30473" w14:paraId="0AFE428E" w14:textId="03A7ED3F">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8B30473">
        <w:rPr>
          <w:rFonts w:ascii="Calibri" w:hAnsi="Calibri" w:eastAsia="Calibri" w:cs="Calibri"/>
          <w:b w:val="1"/>
          <w:bCs w:val="1"/>
          <w:i w:val="0"/>
          <w:iCs w:val="0"/>
          <w:caps w:val="0"/>
          <w:smallCaps w:val="0"/>
          <w:noProof w:val="0"/>
          <w:color w:val="0D0D0D" w:themeColor="text1" w:themeTint="F2" w:themeShade="FF"/>
          <w:sz w:val="24"/>
          <w:szCs w:val="24"/>
          <w:lang w:val="en-US"/>
        </w:rPr>
        <w:t>Increased Community Trust and Engagement</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Collaborative partnerships foster stronger bonds between law enforcement agencies and the communities they serve. Engaging community members in decision-making processes and problem-solving initiatives builds trust, enhances legitimacy, and encourages active participation in crime prevention efforts (Weisburd et al., 2020).</w:t>
      </w:r>
    </w:p>
    <w:p w:rsidR="38B30473" w:rsidP="62CF527B" w:rsidRDefault="38B30473" w14:paraId="204AE00F" w14:textId="211EB44F">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8B30473">
        <w:rPr>
          <w:rFonts w:ascii="Calibri" w:hAnsi="Calibri" w:eastAsia="Calibri" w:cs="Calibri"/>
          <w:b w:val="1"/>
          <w:bCs w:val="1"/>
          <w:i w:val="0"/>
          <w:iCs w:val="0"/>
          <w:caps w:val="0"/>
          <w:smallCaps w:val="0"/>
          <w:noProof w:val="0"/>
          <w:color w:val="0D0D0D" w:themeColor="text1" w:themeTint="F2" w:themeShade="FF"/>
          <w:sz w:val="24"/>
          <w:szCs w:val="24"/>
          <w:lang w:val="en-US"/>
        </w:rPr>
        <w:t>Innovative Solutions and Best Practices Sharing</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Partnerships create fertile ground for innovation and the exchange of best practices. By </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diverse </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expertise</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stakeholders, law enforcement agencies can adopt novel approaches to crime prevention, problem-solving, and community policing initiatives (Braga et al., 2019).</w:t>
      </w:r>
    </w:p>
    <w:p w:rsidR="38B30473" w:rsidP="62CF527B" w:rsidRDefault="38B30473" w14:paraId="778E0A70" w14:textId="6D25A1B1">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8B30473">
        <w:rPr>
          <w:rFonts w:ascii="Calibri" w:hAnsi="Calibri" w:eastAsia="Calibri" w:cs="Calibri"/>
          <w:b w:val="1"/>
          <w:bCs w:val="1"/>
          <w:i w:val="0"/>
          <w:iCs w:val="0"/>
          <w:caps w:val="0"/>
          <w:smallCaps w:val="0"/>
          <w:noProof w:val="0"/>
          <w:color w:val="0D0D0D" w:themeColor="text1" w:themeTint="F2" w:themeShade="FF"/>
          <w:sz w:val="24"/>
          <w:szCs w:val="24"/>
          <w:lang w:val="en-US"/>
        </w:rPr>
        <w:t>Improved Response to Complex Challenges</w:t>
      </w:r>
      <w:r w:rsidRPr="62CF527B" w:rsidR="38B30473">
        <w:rPr>
          <w:rFonts w:ascii="Calibri" w:hAnsi="Calibri" w:eastAsia="Calibri" w:cs="Calibri"/>
          <w:b w:val="0"/>
          <w:bCs w:val="0"/>
          <w:i w:val="0"/>
          <w:iCs w:val="0"/>
          <w:caps w:val="0"/>
          <w:smallCaps w:val="0"/>
          <w:noProof w:val="0"/>
          <w:color w:val="0D0D0D" w:themeColor="text1" w:themeTint="F2" w:themeShade="FF"/>
          <w:sz w:val="24"/>
          <w:szCs w:val="24"/>
          <w:lang w:val="en-US"/>
        </w:rPr>
        <w:t>: In an era of evolving crime threats and societal challenges, partnership working equips law enforcement agencies with the agility and flexibility needed to respond effectively. By collaborating with specialized agencies, academic institutions, and private sector partners, police can access specialized knowledge and resources to address emerging threats (Weisburd et al., 2020).</w:t>
      </w:r>
    </w:p>
    <w:p w:rsidR="62CF527B" w:rsidP="62CF527B" w:rsidRDefault="62CF527B" w14:paraId="5A98AA46" w14:textId="146F542B">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2C218567" w:rsidP="62CF527B" w:rsidRDefault="2C218567" w14:paraId="3389D6FD" w14:textId="0562310C">
      <w:pPr>
        <w:pStyle w:val="Normal"/>
        <w:shd w:val="clear" w:color="auto" w:fill="FFFFFF" w:themeFill="background1"/>
        <w:spacing w:before="0" w:beforeAutospacing="off" w:after="0" w:afterAutospacing="off"/>
        <w:ind w:left="0"/>
        <w:rPr>
          <w:rFonts w:ascii="Calibri" w:hAnsi="Calibri" w:eastAsia="Calibri" w:cs="Calibri"/>
          <w:b w:val="1"/>
          <w:bCs w:val="1"/>
          <w:i w:val="0"/>
          <w:iCs w:val="0"/>
          <w:caps w:val="0"/>
          <w:smallCaps w:val="0"/>
          <w:noProof w:val="0"/>
          <w:color w:val="0D0D0D" w:themeColor="text1" w:themeTint="F2" w:themeShade="FF"/>
          <w:sz w:val="24"/>
          <w:szCs w:val="24"/>
          <w:lang w:val="en-US"/>
        </w:rPr>
      </w:pPr>
      <w:r w:rsidRPr="62CF527B" w:rsidR="2C218567">
        <w:rPr>
          <w:rFonts w:ascii="Calibri" w:hAnsi="Calibri" w:eastAsia="Calibri" w:cs="Calibri"/>
          <w:b w:val="1"/>
          <w:bCs w:val="1"/>
          <w:i w:val="0"/>
          <w:iCs w:val="0"/>
          <w:caps w:val="0"/>
          <w:smallCaps w:val="0"/>
          <w:noProof w:val="0"/>
          <w:color w:val="0D0D0D" w:themeColor="text1" w:themeTint="F2" w:themeShade="FF"/>
          <w:sz w:val="24"/>
          <w:szCs w:val="24"/>
          <w:lang w:val="en-US"/>
        </w:rPr>
        <w:t xml:space="preserve">Negatives of </w:t>
      </w:r>
      <w:r w:rsidRPr="62CF527B" w:rsidR="6F3B5157">
        <w:rPr>
          <w:rFonts w:ascii="Calibri" w:hAnsi="Calibri" w:eastAsia="Calibri" w:cs="Calibri"/>
          <w:b w:val="1"/>
          <w:bCs w:val="1"/>
          <w:i w:val="0"/>
          <w:iCs w:val="0"/>
          <w:caps w:val="0"/>
          <w:smallCaps w:val="0"/>
          <w:noProof w:val="0"/>
          <w:color w:val="0D0D0D" w:themeColor="text1" w:themeTint="F2" w:themeShade="FF"/>
          <w:sz w:val="24"/>
          <w:szCs w:val="24"/>
          <w:lang w:val="en-US"/>
        </w:rPr>
        <w:t>W</w:t>
      </w:r>
      <w:r w:rsidRPr="62CF527B" w:rsidR="2C218567">
        <w:rPr>
          <w:rFonts w:ascii="Calibri" w:hAnsi="Calibri" w:eastAsia="Calibri" w:cs="Calibri"/>
          <w:b w:val="1"/>
          <w:bCs w:val="1"/>
          <w:i w:val="0"/>
          <w:iCs w:val="0"/>
          <w:caps w:val="0"/>
          <w:smallCaps w:val="0"/>
          <w:noProof w:val="0"/>
          <w:color w:val="0D0D0D" w:themeColor="text1" w:themeTint="F2" w:themeShade="FF"/>
          <w:sz w:val="24"/>
          <w:szCs w:val="24"/>
          <w:lang w:val="en-US"/>
        </w:rPr>
        <w:t xml:space="preserve">orking as a </w:t>
      </w:r>
      <w:r w:rsidRPr="62CF527B" w:rsidR="773F0A56">
        <w:rPr>
          <w:rFonts w:ascii="Calibri" w:hAnsi="Calibri" w:eastAsia="Calibri" w:cs="Calibri"/>
          <w:b w:val="1"/>
          <w:bCs w:val="1"/>
          <w:i w:val="0"/>
          <w:iCs w:val="0"/>
          <w:caps w:val="0"/>
          <w:smallCaps w:val="0"/>
          <w:noProof w:val="0"/>
          <w:color w:val="0D0D0D" w:themeColor="text1" w:themeTint="F2" w:themeShade="FF"/>
          <w:sz w:val="24"/>
          <w:szCs w:val="24"/>
          <w:lang w:val="en-US"/>
        </w:rPr>
        <w:t>P</w:t>
      </w:r>
      <w:r w:rsidRPr="62CF527B" w:rsidR="2C218567">
        <w:rPr>
          <w:rFonts w:ascii="Calibri" w:hAnsi="Calibri" w:eastAsia="Calibri" w:cs="Calibri"/>
          <w:b w:val="1"/>
          <w:bCs w:val="1"/>
          <w:i w:val="0"/>
          <w:iCs w:val="0"/>
          <w:caps w:val="0"/>
          <w:smallCaps w:val="0"/>
          <w:noProof w:val="0"/>
          <w:color w:val="0D0D0D" w:themeColor="text1" w:themeTint="F2" w:themeShade="FF"/>
          <w:sz w:val="24"/>
          <w:szCs w:val="24"/>
          <w:lang w:val="en-US"/>
        </w:rPr>
        <w:t xml:space="preserve">artnership in the </w:t>
      </w:r>
      <w:r w:rsidRPr="62CF527B" w:rsidR="78D72713">
        <w:rPr>
          <w:rFonts w:ascii="Calibri" w:hAnsi="Calibri" w:eastAsia="Calibri" w:cs="Calibri"/>
          <w:b w:val="1"/>
          <w:bCs w:val="1"/>
          <w:i w:val="0"/>
          <w:iCs w:val="0"/>
          <w:caps w:val="0"/>
          <w:smallCaps w:val="0"/>
          <w:noProof w:val="0"/>
          <w:color w:val="0D0D0D" w:themeColor="text1" w:themeTint="F2" w:themeShade="FF"/>
          <w:sz w:val="24"/>
          <w:szCs w:val="24"/>
          <w:lang w:val="en-US"/>
        </w:rPr>
        <w:t>P</w:t>
      </w:r>
      <w:r w:rsidRPr="62CF527B" w:rsidR="2C218567">
        <w:rPr>
          <w:rFonts w:ascii="Calibri" w:hAnsi="Calibri" w:eastAsia="Calibri" w:cs="Calibri"/>
          <w:b w:val="1"/>
          <w:bCs w:val="1"/>
          <w:i w:val="0"/>
          <w:iCs w:val="0"/>
          <w:caps w:val="0"/>
          <w:smallCaps w:val="0"/>
          <w:noProof w:val="0"/>
          <w:color w:val="0D0D0D" w:themeColor="text1" w:themeTint="F2" w:themeShade="FF"/>
          <w:sz w:val="24"/>
          <w:szCs w:val="24"/>
          <w:lang w:val="en-US"/>
        </w:rPr>
        <w:t xml:space="preserve">olice </w:t>
      </w:r>
    </w:p>
    <w:p w:rsidR="62CF527B" w:rsidP="62CF527B" w:rsidRDefault="62CF527B" w14:paraId="2A2C038A" w14:textId="18FDF582">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2C218567" w:rsidP="62CF527B" w:rsidRDefault="2C218567" w14:paraId="5D6BEE3E" w14:textId="45056753">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2C21856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While partnership working in policing offers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numerous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advantages, it also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presents several challenges and potential drawbacks. </w:t>
      </w:r>
    </w:p>
    <w:p w:rsidR="62CF527B" w:rsidP="62CF527B" w:rsidRDefault="62CF527B" w14:paraId="2631E6D9" w14:textId="77C975C1">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1C122CC5" w:rsidP="62CF527B" w:rsidRDefault="1C122CC5" w14:paraId="663A89B8" w14:textId="7343E748">
      <w:pPr>
        <w:pStyle w:val="ListParagraph"/>
        <w:numPr>
          <w:ilvl w:val="0"/>
          <w:numId w:val="2"/>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C122CC5">
        <w:rPr>
          <w:rFonts w:ascii="Calibri" w:hAnsi="Calibri" w:eastAsia="Calibri" w:cs="Calibri"/>
          <w:b w:val="1"/>
          <w:bCs w:val="1"/>
          <w:i w:val="0"/>
          <w:iCs w:val="0"/>
          <w:caps w:val="0"/>
          <w:smallCaps w:val="0"/>
          <w:noProof w:val="0"/>
          <w:color w:val="0D0D0D" w:themeColor="text1" w:themeTint="F2" w:themeShade="FF"/>
          <w:sz w:val="24"/>
          <w:szCs w:val="24"/>
          <w:lang w:val="en-US"/>
        </w:rPr>
        <w:t>Coordination and Communication Challenges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Collaborating with multiple stakeholders from diverse backgrounds and organizational cultures can lead to coordination and communication challenges. Misalignment of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objectives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differing priorities, and communication breakdowns may impede decision-making processes and hinder the effectiveness of collaborative initiatives (Mazerolle et al., 2019).</w:t>
      </w:r>
    </w:p>
    <w:p w:rsidR="1C122CC5" w:rsidP="62CF527B" w:rsidRDefault="1C122CC5" w14:paraId="7FD5C374" w14:textId="70A87EFE">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C122CC5">
        <w:rPr>
          <w:rFonts w:ascii="Calibri" w:hAnsi="Calibri" w:eastAsia="Calibri" w:cs="Calibri"/>
          <w:b w:val="1"/>
          <w:bCs w:val="1"/>
          <w:i w:val="0"/>
          <w:iCs w:val="0"/>
          <w:caps w:val="0"/>
          <w:smallCaps w:val="0"/>
          <w:noProof w:val="0"/>
          <w:color w:val="0D0D0D" w:themeColor="text1" w:themeTint="F2" w:themeShade="FF"/>
          <w:sz w:val="24"/>
          <w:szCs w:val="24"/>
          <w:lang w:val="en-US"/>
        </w:rPr>
        <w:t>Resource Allocation and Power Dynamics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Partnerships often involve the allocation of resources, including funding, personnel, and equipment. Disparities in resource availability and power dynamics among partners may lead to tensions, conflicts of interest, and inequitable distribution of resources, undermining the sustainability and fairness of collaborative efforts (Clarke, 2020).</w:t>
      </w:r>
    </w:p>
    <w:p w:rsidR="1C122CC5" w:rsidP="62CF527B" w:rsidRDefault="1C122CC5" w14:paraId="390F284B" w14:textId="667FC69A">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C122CC5">
        <w:rPr>
          <w:rFonts w:ascii="Calibri" w:hAnsi="Calibri" w:eastAsia="Calibri" w:cs="Calibri"/>
          <w:b w:val="1"/>
          <w:bCs w:val="1"/>
          <w:i w:val="0"/>
          <w:iCs w:val="0"/>
          <w:caps w:val="0"/>
          <w:smallCaps w:val="0"/>
          <w:noProof w:val="0"/>
          <w:color w:val="0D0D0D" w:themeColor="text1" w:themeTint="F2" w:themeShade="FF"/>
          <w:sz w:val="24"/>
          <w:szCs w:val="24"/>
          <w:lang w:val="en-US"/>
        </w:rPr>
        <w:t>Legal and Regulatory Constraints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Partnering with external agencies or organizations may introduce legal and regulatory complexities that pose challenges to law enforcement operations. Differences in jurisdictional authority, data-sharing protocols, and compliance requirements can create barriers to effective collaboration and information exchange (Mazerolle et al., 2019).</w:t>
      </w:r>
    </w:p>
    <w:p w:rsidR="1C122CC5" w:rsidP="62CF527B" w:rsidRDefault="1C122CC5" w14:paraId="1A0D3F32" w14:textId="0145FBA2">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C122CC5">
        <w:rPr>
          <w:rFonts w:ascii="Calibri" w:hAnsi="Calibri" w:eastAsia="Calibri" w:cs="Calibri"/>
          <w:b w:val="1"/>
          <w:bCs w:val="1"/>
          <w:i w:val="0"/>
          <w:iCs w:val="0"/>
          <w:caps w:val="0"/>
          <w:smallCaps w:val="0"/>
          <w:noProof w:val="0"/>
          <w:color w:val="0D0D0D" w:themeColor="text1" w:themeTint="F2" w:themeShade="FF"/>
          <w:sz w:val="24"/>
          <w:szCs w:val="24"/>
          <w:lang w:val="en-US"/>
        </w:rPr>
        <w:t>Accountability and Transparency Issues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Shared decision-making processes and blurred lines of responsibility in partnerships can complicate accountability mechanisms and transparency standards. Lack of clarity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roles, responsibilities, and decision-making authority may lead to ambiguity, finger-pointing, and challenges in holding partners accountable for outcomes (Denney et al., 2019).</w:t>
      </w:r>
    </w:p>
    <w:p w:rsidR="1C122CC5" w:rsidP="62CF527B" w:rsidRDefault="1C122CC5" w14:paraId="6C2F2918" w14:textId="41764AB8">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C122CC5">
        <w:rPr>
          <w:rFonts w:ascii="Calibri" w:hAnsi="Calibri" w:eastAsia="Calibri" w:cs="Calibri"/>
          <w:b w:val="1"/>
          <w:bCs w:val="1"/>
          <w:i w:val="0"/>
          <w:iCs w:val="0"/>
          <w:caps w:val="0"/>
          <w:smallCaps w:val="0"/>
          <w:noProof w:val="0"/>
          <w:color w:val="0D0D0D" w:themeColor="text1" w:themeTint="F2" w:themeShade="FF"/>
          <w:sz w:val="24"/>
          <w:szCs w:val="24"/>
          <w:lang w:val="en-US"/>
        </w:rPr>
        <w:t>Community Mistrust and Perception Concerns</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Despite efforts to enhance community engagement, partnerships between law enforcement and external organizations may be perceived with skepticism or mistrust by certain community members. Historical tensions, perceived biases, or conflicting interests between partners can undermine</w:t>
      </w:r>
    </w:p>
    <w:p w:rsidR="1C122CC5" w:rsidP="62CF527B" w:rsidRDefault="1C122CC5" w14:paraId="406619A3" w14:textId="76A7DA69">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public confidence in collaborative initiatives, hindering their effectiveness and sustainability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Skogan</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&amp; </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Frydl</w:t>
      </w:r>
      <w:r w:rsidRPr="62CF527B" w:rsidR="1C122CC5">
        <w:rPr>
          <w:rFonts w:ascii="Calibri" w:hAnsi="Calibri" w:eastAsia="Calibri" w:cs="Calibri"/>
          <w:b w:val="0"/>
          <w:bCs w:val="0"/>
          <w:i w:val="0"/>
          <w:iCs w:val="0"/>
          <w:caps w:val="0"/>
          <w:smallCaps w:val="0"/>
          <w:noProof w:val="0"/>
          <w:color w:val="0D0D0D" w:themeColor="text1" w:themeTint="F2" w:themeShade="FF"/>
          <w:sz w:val="24"/>
          <w:szCs w:val="24"/>
          <w:lang w:val="en-US"/>
        </w:rPr>
        <w:t>, 2017).</w:t>
      </w:r>
    </w:p>
    <w:p w:rsidR="62CF527B" w:rsidP="62CF527B" w:rsidRDefault="62CF527B" w14:paraId="34EEBA9D" w14:textId="6DAD4A24">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10AB2AFB" w:rsidP="62CF527B" w:rsidRDefault="10AB2AFB" w14:paraId="6EC8B999" w14:textId="518F76BA">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0AB2AFB">
        <w:rPr>
          <w:rFonts w:ascii="Calibri" w:hAnsi="Calibri" w:eastAsia="Calibri" w:cs="Calibri"/>
          <w:b w:val="1"/>
          <w:bCs w:val="1"/>
          <w:i w:val="0"/>
          <w:iCs w:val="0"/>
          <w:caps w:val="0"/>
          <w:smallCaps w:val="0"/>
          <w:noProof w:val="0"/>
          <w:color w:val="0D0D0D" w:themeColor="text1" w:themeTint="F2" w:themeShade="FF"/>
          <w:sz w:val="24"/>
          <w:szCs w:val="24"/>
          <w:u w:val="none"/>
          <w:lang w:val="en-US"/>
        </w:rPr>
        <w:t>Positives of Data Sharing in the Police</w:t>
      </w:r>
    </w:p>
    <w:p w:rsidR="10AB2AFB" w:rsidP="62CF527B" w:rsidRDefault="10AB2AFB" w14:paraId="775F8E1D" w14:textId="2FE6E839">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10AB2AFB">
        <w:rPr>
          <w:rFonts w:ascii="Calibri" w:hAnsi="Calibri" w:eastAsia="Calibri" w:cs="Calibri"/>
          <w:b w:val="0"/>
          <w:bCs w:val="0"/>
          <w:i w:val="0"/>
          <w:iCs w:val="0"/>
          <w:caps w:val="0"/>
          <w:smallCaps w:val="0"/>
          <w:noProof w:val="0"/>
          <w:color w:val="0D0D0D" w:themeColor="text1" w:themeTint="F2" w:themeShade="FF"/>
          <w:sz w:val="24"/>
          <w:szCs w:val="24"/>
          <w:lang w:val="en-US"/>
        </w:rPr>
        <w:t>Data sharing among law enforcement agencies offers many benefits, revolutionizing policing practices and enhancing public safety.</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p>
    <w:p w:rsidR="3B503753" w:rsidP="62CF527B" w:rsidRDefault="3B503753" w14:paraId="0FE711AE" w14:textId="12183D57">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B503753">
        <w:rPr>
          <w:rFonts w:ascii="Calibri" w:hAnsi="Calibri" w:eastAsia="Calibri" w:cs="Calibri"/>
          <w:b w:val="1"/>
          <w:bCs w:val="1"/>
          <w:i w:val="0"/>
          <w:iCs w:val="0"/>
          <w:caps w:val="0"/>
          <w:smallCaps w:val="0"/>
          <w:noProof w:val="0"/>
          <w:color w:val="0D0D0D" w:themeColor="text1" w:themeTint="F2" w:themeShade="FF"/>
          <w:sz w:val="24"/>
          <w:szCs w:val="24"/>
          <w:lang w:val="en-US"/>
        </w:rPr>
        <w:t>Improved Crime Detection and Prevention</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Data sharing enables law enforcement agencies to access a wealth of information from various sources, including crime reports, intelligence databases, and surveillance systems. This comprehensive dataset enhances crime detection capabilities, </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facilitates</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predictive policing strategies, and enables proactive interventions to prevent criminal activities (Ratcliffe, 2019).</w:t>
      </w:r>
    </w:p>
    <w:p w:rsidR="3B503753" w:rsidP="62CF527B" w:rsidRDefault="3B503753" w14:paraId="0BD0A457" w14:textId="63F68B56">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B503753">
        <w:rPr>
          <w:rFonts w:ascii="Calibri" w:hAnsi="Calibri" w:eastAsia="Calibri" w:cs="Calibri"/>
          <w:b w:val="1"/>
          <w:bCs w:val="1"/>
          <w:i w:val="0"/>
          <w:iCs w:val="0"/>
          <w:caps w:val="0"/>
          <w:smallCaps w:val="0"/>
          <w:noProof w:val="0"/>
          <w:color w:val="0D0D0D" w:themeColor="text1" w:themeTint="F2" w:themeShade="FF"/>
          <w:sz w:val="24"/>
          <w:szCs w:val="24"/>
          <w:lang w:val="en-US"/>
        </w:rPr>
        <w:t>Enhanced Investigative Capabilities</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By sharing information and intelligence with partner agencies, law enforcement can collaborate more effectively on complex investigations and criminal cases. Access to broader datasets and analytical tools enables investigators to </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identify</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patterns, link related incidents, and apprehend suspects more efficiently, leading to higher clearance rates and improved case outcomes (Goodall &amp; Stavrou, 2020).</w:t>
      </w:r>
    </w:p>
    <w:p w:rsidR="3B503753" w:rsidP="62CF527B" w:rsidRDefault="3B503753" w14:paraId="67D9E51E" w14:textId="0FB472CB">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B503753">
        <w:rPr>
          <w:rFonts w:ascii="Calibri" w:hAnsi="Calibri" w:eastAsia="Calibri" w:cs="Calibri"/>
          <w:b w:val="1"/>
          <w:bCs w:val="1"/>
          <w:i w:val="0"/>
          <w:iCs w:val="0"/>
          <w:caps w:val="0"/>
          <w:smallCaps w:val="0"/>
          <w:noProof w:val="0"/>
          <w:color w:val="0D0D0D" w:themeColor="text1" w:themeTint="F2" w:themeShade="FF"/>
          <w:sz w:val="24"/>
          <w:szCs w:val="24"/>
          <w:lang w:val="en-US"/>
        </w:rPr>
        <w:t>Effective Resource Allocation</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Data sharing </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facilitates</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evidence-based decision-making in resource allocation and deployment of law enforcement personnel. Analyzing crime trends, hotspots, and risk factors enables agencies to </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allocate</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resources strategically, prioritize interventions, and </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optimize</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operational efficiency (Braga et al., 2019).</w:t>
      </w:r>
    </w:p>
    <w:p w:rsidR="3B503753" w:rsidP="62CF527B" w:rsidRDefault="3B503753" w14:paraId="1FA93884" w14:textId="00D92E40">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B503753">
        <w:rPr>
          <w:rFonts w:ascii="Calibri" w:hAnsi="Calibri" w:eastAsia="Calibri" w:cs="Calibri"/>
          <w:b w:val="1"/>
          <w:bCs w:val="1"/>
          <w:i w:val="0"/>
          <w:iCs w:val="0"/>
          <w:caps w:val="0"/>
          <w:smallCaps w:val="0"/>
          <w:noProof w:val="0"/>
          <w:color w:val="0D0D0D" w:themeColor="text1" w:themeTint="F2" w:themeShade="FF"/>
          <w:sz w:val="24"/>
          <w:szCs w:val="24"/>
          <w:lang w:val="en-US"/>
        </w:rPr>
        <w:t>Support for Community Policing Initiatives</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Data sharing strengthens partnerships between law enforcement agencies and the communities they serve, supporting community policing initiatives. By sharing relevant crime data, intelligence, and community feedback, police can engage citizens in collaborative problem-solving efforts, enhance trust, and tailor interventions to local needs and concerns (Weisburd et al., 2020).</w:t>
      </w:r>
    </w:p>
    <w:p w:rsidR="3B503753" w:rsidP="62CF527B" w:rsidRDefault="3B503753" w14:paraId="47D3C714" w14:textId="381A453A">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3B503753">
        <w:rPr>
          <w:rFonts w:ascii="Calibri" w:hAnsi="Calibri" w:eastAsia="Calibri" w:cs="Calibri"/>
          <w:b w:val="1"/>
          <w:bCs w:val="1"/>
          <w:i w:val="0"/>
          <w:iCs w:val="0"/>
          <w:caps w:val="0"/>
          <w:smallCaps w:val="0"/>
          <w:noProof w:val="0"/>
          <w:color w:val="0D0D0D" w:themeColor="text1" w:themeTint="F2" w:themeShade="FF"/>
          <w:sz w:val="24"/>
          <w:szCs w:val="24"/>
          <w:lang w:val="en-US"/>
        </w:rPr>
        <w:t>Enhanced Public Safety and Security</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Timely and </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accurate</w:t>
      </w:r>
      <w:r w:rsidRPr="62CF527B" w:rsidR="3B5037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sharing of information among law enforcement agencies contributes to overall public safety and security. Early identification of emerging threats, dissemination of alerts, and coordinated responses to critical incidents enable agencies to mitigate risks, minimize harm, and protect communities from harm (Perry &amp; McInnis, 2020).</w:t>
      </w:r>
    </w:p>
    <w:p w:rsidR="62CF527B" w:rsidP="62CF527B" w:rsidRDefault="62CF527B" w14:paraId="6AFB057D" w14:textId="6486B05A">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183BF211" w14:textId="2058199D">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47B60CCE" w:rsidP="62CF527B" w:rsidRDefault="47B60CCE" w14:paraId="69B8A09E" w14:textId="4965CB8F">
      <w:pPr>
        <w:pStyle w:val="Normal"/>
        <w:shd w:val="clear" w:color="auto" w:fill="FFFFFF" w:themeFill="background1"/>
        <w:spacing w:before="0" w:beforeAutospacing="off" w:after="0" w:afterAutospacing="off"/>
        <w:ind w:left="0"/>
        <w:rPr>
          <w:rFonts w:ascii="Calibri" w:hAnsi="Calibri" w:eastAsia="Calibri" w:cs="Calibri"/>
          <w:b w:val="1"/>
          <w:bCs w:val="1"/>
          <w:i w:val="0"/>
          <w:iCs w:val="0"/>
          <w:caps w:val="0"/>
          <w:smallCaps w:val="0"/>
          <w:noProof w:val="0"/>
          <w:color w:val="0D0D0D" w:themeColor="text1" w:themeTint="F2" w:themeShade="FF"/>
          <w:sz w:val="24"/>
          <w:szCs w:val="24"/>
          <w:lang w:val="en-US"/>
        </w:rPr>
      </w:pPr>
      <w:r w:rsidRPr="62CF527B" w:rsidR="47B60CCE">
        <w:rPr>
          <w:rFonts w:ascii="Calibri" w:hAnsi="Calibri" w:eastAsia="Calibri" w:cs="Calibri"/>
          <w:b w:val="1"/>
          <w:bCs w:val="1"/>
          <w:i w:val="0"/>
          <w:iCs w:val="0"/>
          <w:caps w:val="0"/>
          <w:smallCaps w:val="0"/>
          <w:noProof w:val="0"/>
          <w:color w:val="0D0D0D" w:themeColor="text1" w:themeTint="F2" w:themeShade="FF"/>
          <w:sz w:val="24"/>
          <w:szCs w:val="24"/>
          <w:lang w:val="en-US"/>
        </w:rPr>
        <w:t>Negatives of Data Sharing in the Police</w:t>
      </w:r>
    </w:p>
    <w:p w:rsidR="62CF527B" w:rsidP="62CF527B" w:rsidRDefault="62CF527B" w14:paraId="7CA0F48C" w14:textId="3EA7B363">
      <w:pPr>
        <w:pStyle w:val="Normal"/>
        <w:shd w:val="clear" w:color="auto" w:fill="FFFFFF" w:themeFill="background1"/>
        <w:spacing w:before="0" w:beforeAutospacing="off" w:after="0" w:afterAutospacing="off"/>
        <w:ind w:left="0"/>
        <w:rPr>
          <w:rFonts w:ascii="Calibri" w:hAnsi="Calibri" w:eastAsia="Calibri" w:cs="Calibri"/>
          <w:b w:val="1"/>
          <w:bCs w:val="1"/>
          <w:i w:val="0"/>
          <w:iCs w:val="0"/>
          <w:caps w:val="0"/>
          <w:smallCaps w:val="0"/>
          <w:noProof w:val="0"/>
          <w:color w:val="0D0D0D" w:themeColor="text1" w:themeTint="F2" w:themeShade="FF"/>
          <w:sz w:val="24"/>
          <w:szCs w:val="24"/>
          <w:lang w:val="en-US"/>
        </w:rPr>
      </w:pPr>
    </w:p>
    <w:p w:rsidR="550EE4CB" w:rsidP="62CF527B" w:rsidRDefault="550EE4CB" w14:paraId="19F15533" w14:textId="15DE41A4">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While data sharing among law enforcement agencies can offer significant benefits, it also presents several challenges and potential negative consequences.</w:t>
      </w:r>
    </w:p>
    <w:p w:rsidR="62CF527B" w:rsidP="62CF527B" w:rsidRDefault="62CF527B" w14:paraId="77C2379B" w14:textId="7E79D42D">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550EE4CB" w:rsidP="62CF527B" w:rsidRDefault="550EE4CB" w14:paraId="2FFB2BE5" w14:textId="2779FC75">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550EE4CB">
        <w:rPr>
          <w:rFonts w:ascii="Calibri" w:hAnsi="Calibri" w:eastAsia="Calibri" w:cs="Calibri"/>
          <w:b w:val="1"/>
          <w:bCs w:val="1"/>
          <w:i w:val="0"/>
          <w:iCs w:val="0"/>
          <w:caps w:val="0"/>
          <w:smallCaps w:val="0"/>
          <w:noProof w:val="0"/>
          <w:color w:val="0D0D0D" w:themeColor="text1" w:themeTint="F2" w:themeShade="FF"/>
          <w:sz w:val="24"/>
          <w:szCs w:val="24"/>
          <w:lang w:val="en-US"/>
        </w:rPr>
        <w:t>Privacy Concerns and Civil Liberties</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The widespread sharing of sensitive personal information raises significant privacy concerns and potential violations of civil liberties. Mishandling of data or unauthorized access can lead to breaches of privacy rights, erosion of public trust, and legal repercussions for law enforcement agencies (Perry &amp; McInnis, 2020).</w:t>
      </w:r>
    </w:p>
    <w:p w:rsidR="550EE4CB" w:rsidP="62CF527B" w:rsidRDefault="550EE4CB" w14:paraId="560F3704" w14:textId="58B6A526">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550EE4CB">
        <w:rPr>
          <w:rFonts w:ascii="Calibri" w:hAnsi="Calibri" w:eastAsia="Calibri" w:cs="Calibri"/>
          <w:b w:val="1"/>
          <w:bCs w:val="1"/>
          <w:i w:val="0"/>
          <w:iCs w:val="0"/>
          <w:caps w:val="0"/>
          <w:smallCaps w:val="0"/>
          <w:noProof w:val="0"/>
          <w:color w:val="0D0D0D" w:themeColor="text1" w:themeTint="F2" w:themeShade="FF"/>
          <w:sz w:val="24"/>
          <w:szCs w:val="24"/>
          <w:lang w:val="en-US"/>
        </w:rPr>
        <w:t>Data Security Risks</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accumulation and sharing of vast amounts of data </w:t>
      </w:r>
      <w:r w:rsidRPr="62CF527B" w:rsidR="734B6028">
        <w:rPr>
          <w:rFonts w:ascii="Calibri" w:hAnsi="Calibri" w:eastAsia="Calibri" w:cs="Calibri"/>
          <w:b w:val="0"/>
          <w:bCs w:val="0"/>
          <w:i w:val="0"/>
          <w:iCs w:val="0"/>
          <w:caps w:val="0"/>
          <w:smallCaps w:val="0"/>
          <w:noProof w:val="0"/>
          <w:color w:val="0D0D0D" w:themeColor="text1" w:themeTint="F2" w:themeShade="FF"/>
          <w:sz w:val="24"/>
          <w:szCs w:val="24"/>
          <w:lang w:val="en-US"/>
        </w:rPr>
        <w:t>increases</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risk of cybersecurity threats and data breaches. Unauthorized access or hacking incidents can compromise sensitive law enforcement information, undermine investigations, and expose individuals to identity theft or other forms of exploitation (Goodall &amp; Stavrou, 2020).</w:t>
      </w:r>
    </w:p>
    <w:p w:rsidR="550EE4CB" w:rsidP="62CF527B" w:rsidRDefault="550EE4CB" w14:paraId="251290ED" w14:textId="6DC2E70B">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550EE4CB">
        <w:rPr>
          <w:rFonts w:ascii="Calibri" w:hAnsi="Calibri" w:eastAsia="Calibri" w:cs="Calibri"/>
          <w:b w:val="1"/>
          <w:bCs w:val="1"/>
          <w:i w:val="0"/>
          <w:iCs w:val="0"/>
          <w:caps w:val="0"/>
          <w:smallCaps w:val="0"/>
          <w:noProof w:val="0"/>
          <w:color w:val="0D0D0D" w:themeColor="text1" w:themeTint="F2" w:themeShade="FF"/>
          <w:sz w:val="24"/>
          <w:szCs w:val="24"/>
          <w:lang w:val="en-US"/>
        </w:rPr>
        <w:t>Bias and Discrimination</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Data shared among law enforcement agencies may </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contain</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inherent biases or reflect historical patterns of discrimination. Utilizing biased data in policing practices can perpetuate systemic inequalities, lead to unjust outcomes, and </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exacerbate</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tensions between law enforcement and marginalized communities (Benton et al., 2020).</w:t>
      </w:r>
    </w:p>
    <w:p w:rsidR="550EE4CB" w:rsidP="62CF527B" w:rsidRDefault="550EE4CB" w14:paraId="68F9216C" w14:textId="4353A170">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550EE4CB">
        <w:rPr>
          <w:rFonts w:ascii="Calibri" w:hAnsi="Calibri" w:eastAsia="Calibri" w:cs="Calibri"/>
          <w:b w:val="1"/>
          <w:bCs w:val="1"/>
          <w:i w:val="0"/>
          <w:iCs w:val="0"/>
          <w:caps w:val="0"/>
          <w:smallCaps w:val="0"/>
          <w:noProof w:val="0"/>
          <w:color w:val="0D0D0D" w:themeColor="text1" w:themeTint="F2" w:themeShade="FF"/>
          <w:sz w:val="24"/>
          <w:szCs w:val="24"/>
          <w:lang w:val="en-US"/>
        </w:rPr>
        <w:t>Lack of Standardization and Compatibility</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Inconsistencies in data formats, systems, and protocols across different agencies hinder seamless data sharing and interoperability. Without standardized procedures and compatible technologies, the integration of disparate datasets becomes challenging, resulting in inefficiencies and gaps in information exchange (</w:t>
      </w:r>
      <w:r w:rsidRPr="62CF527B" w:rsidR="0F5377FA">
        <w:rPr>
          <w:rFonts w:ascii="Calibri" w:hAnsi="Calibri" w:eastAsia="Calibri" w:cs="Calibri"/>
          <w:b w:val="0"/>
          <w:bCs w:val="0"/>
          <w:i w:val="0"/>
          <w:iCs w:val="0"/>
          <w:caps w:val="0"/>
          <w:smallCaps w:val="0"/>
          <w:noProof w:val="0"/>
          <w:color w:val="0D0D0D" w:themeColor="text1" w:themeTint="F2" w:themeShade="FF"/>
          <w:sz w:val="24"/>
          <w:szCs w:val="24"/>
          <w:lang w:val="en-US"/>
        </w:rPr>
        <w:t>Strah Levitz</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2019).</w:t>
      </w:r>
    </w:p>
    <w:p w:rsidR="550EE4CB" w:rsidP="62CF527B" w:rsidRDefault="550EE4CB" w14:paraId="41A91A48" w14:textId="3887428A">
      <w:pPr>
        <w:pStyle w:val="ListParagraph"/>
        <w:numPr>
          <w:ilvl w:val="0"/>
          <w:numId w:val="1"/>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550EE4CB">
        <w:rPr>
          <w:rFonts w:ascii="Calibri" w:hAnsi="Calibri" w:eastAsia="Calibri" w:cs="Calibri"/>
          <w:b w:val="1"/>
          <w:bCs w:val="1"/>
          <w:i w:val="0"/>
          <w:iCs w:val="0"/>
          <w:caps w:val="0"/>
          <w:smallCaps w:val="0"/>
          <w:noProof w:val="0"/>
          <w:color w:val="0D0D0D" w:themeColor="text1" w:themeTint="F2" w:themeShade="FF"/>
          <w:sz w:val="24"/>
          <w:szCs w:val="24"/>
          <w:lang w:val="en-US"/>
        </w:rPr>
        <w:t>Misuse of Data for Surveillance and Control</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The aggregation of data from various sources can enable pervasive surveillance and control measures, raising concerns about overreach and abuse of power by law enforcement authorities. Unauthorized monitoring of individuals' activities or associations may infringe on civil liberties and undermine democratic principles (</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Brayne</w:t>
      </w:r>
      <w:r w:rsidRPr="62CF527B" w:rsidR="550EE4CB">
        <w:rPr>
          <w:rFonts w:ascii="Calibri" w:hAnsi="Calibri" w:eastAsia="Calibri" w:cs="Calibri"/>
          <w:b w:val="0"/>
          <w:bCs w:val="0"/>
          <w:i w:val="0"/>
          <w:iCs w:val="0"/>
          <w:caps w:val="0"/>
          <w:smallCaps w:val="0"/>
          <w:noProof w:val="0"/>
          <w:color w:val="0D0D0D" w:themeColor="text1" w:themeTint="F2" w:themeShade="FF"/>
          <w:sz w:val="24"/>
          <w:szCs w:val="24"/>
          <w:lang w:val="en-US"/>
        </w:rPr>
        <w:t>, 2017).</w:t>
      </w:r>
    </w:p>
    <w:p w:rsidR="62CF527B" w:rsidP="62CF527B" w:rsidRDefault="62CF527B" w14:paraId="1CB5E94C" w14:textId="59BC3265">
      <w:pPr>
        <w:pStyle w:val="Normal"/>
        <w:shd w:val="clear" w:color="auto" w:fill="FFFFFF" w:themeFill="background1"/>
        <w:spacing w:before="0" w:beforeAutospacing="off" w:after="0" w:afterAutospacing="off"/>
        <w:ind w:left="0"/>
        <w:rPr>
          <w:rFonts w:ascii="Calibri" w:hAnsi="Calibri" w:eastAsia="Calibri" w:cs="Calibri"/>
          <w:b w:val="1"/>
          <w:bCs w:val="1"/>
          <w:i w:val="0"/>
          <w:iCs w:val="0"/>
          <w:caps w:val="0"/>
          <w:smallCaps w:val="0"/>
          <w:noProof w:val="0"/>
          <w:color w:val="0D0D0D" w:themeColor="text1" w:themeTint="F2" w:themeShade="FF"/>
          <w:sz w:val="24"/>
          <w:szCs w:val="24"/>
          <w:lang w:val="en-US"/>
        </w:rPr>
      </w:pPr>
    </w:p>
    <w:p w:rsidR="46EE27D2" w:rsidP="62CF527B" w:rsidRDefault="46EE27D2" w14:paraId="4D7DAF79" w14:textId="0069AE75">
      <w:pPr>
        <w:pStyle w:val="Normal"/>
        <w:shd w:val="clear" w:color="auto" w:fill="FFFFFF" w:themeFill="background1"/>
        <w:spacing w:before="0" w:beforeAutospacing="off" w:after="0" w:afterAutospacing="off"/>
        <w:ind w:left="0"/>
        <w:rPr>
          <w:rFonts w:ascii="Calibri" w:hAnsi="Calibri" w:eastAsia="Calibri" w:cs="Calibri"/>
          <w:b w:val="1"/>
          <w:bCs w:val="1"/>
          <w:i w:val="0"/>
          <w:iCs w:val="0"/>
          <w:caps w:val="0"/>
          <w:smallCaps w:val="0"/>
          <w:noProof w:val="0"/>
          <w:color w:val="0D0D0D" w:themeColor="text1" w:themeTint="F2" w:themeShade="FF"/>
          <w:sz w:val="24"/>
          <w:szCs w:val="24"/>
          <w:lang w:val="en-US"/>
        </w:rPr>
      </w:pPr>
      <w:r w:rsidRPr="62CF527B" w:rsidR="46EE27D2">
        <w:rPr>
          <w:rFonts w:ascii="Calibri" w:hAnsi="Calibri" w:eastAsia="Calibri" w:cs="Calibri"/>
          <w:b w:val="1"/>
          <w:bCs w:val="1"/>
          <w:i w:val="0"/>
          <w:iCs w:val="0"/>
          <w:caps w:val="0"/>
          <w:smallCaps w:val="0"/>
          <w:noProof w:val="0"/>
          <w:color w:val="0D0D0D" w:themeColor="text1" w:themeTint="F2" w:themeShade="FF"/>
          <w:sz w:val="24"/>
          <w:szCs w:val="24"/>
          <w:lang w:val="en-US"/>
        </w:rPr>
        <w:t>Conclusion</w:t>
      </w:r>
    </w:p>
    <w:p w:rsidR="46EE27D2" w:rsidP="62CF527B" w:rsidRDefault="46EE27D2" w14:paraId="4A97AEC8" w14:textId="7561159E">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6EE27D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Conclusion </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contemporary law enforcement, partnership </w:t>
      </w:r>
      <w:r w:rsidRPr="62CF527B" w:rsidR="6F91DD31">
        <w:rPr>
          <w:rFonts w:ascii="Calibri" w:hAnsi="Calibri" w:eastAsia="Calibri" w:cs="Calibri"/>
          <w:b w:val="0"/>
          <w:bCs w:val="0"/>
          <w:i w:val="0"/>
          <w:iCs w:val="0"/>
          <w:caps w:val="0"/>
          <w:smallCaps w:val="0"/>
          <w:noProof w:val="0"/>
          <w:color w:val="0D0D0D" w:themeColor="text1" w:themeTint="F2" w:themeShade="FF"/>
          <w:sz w:val="24"/>
          <w:szCs w:val="24"/>
          <w:lang w:val="en-US"/>
        </w:rPr>
        <w:t>working,</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data sharing </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emerge</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transformative strategies, offering both challenges and opportunities. Partnership working fosters collaboration among diverse stakeholders, enhancing resource </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utilization</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problem-solving capabilities, and community engagement (Mazerolle et al., 2019). However, it also presents coordination, resource allocation, and accountability challenges (Clarke, 2020</w:t>
      </w:r>
      <w:r w:rsidRPr="62CF527B" w:rsidR="7F6967A7">
        <w:rPr>
          <w:rFonts w:ascii="Calibri" w:hAnsi="Calibri" w:eastAsia="Calibri" w:cs="Calibri"/>
          <w:b w:val="0"/>
          <w:bCs w:val="0"/>
          <w:i w:val="0"/>
          <w:iCs w:val="0"/>
          <w:caps w:val="0"/>
          <w:smallCaps w:val="0"/>
          <w:noProof w:val="0"/>
          <w:color w:val="0D0D0D" w:themeColor="text1" w:themeTint="F2" w:themeShade="FF"/>
          <w:sz w:val="24"/>
          <w:szCs w:val="24"/>
          <w:lang w:val="en-US"/>
        </w:rPr>
        <w:t>). Similarly</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data sharing revolutionizes policing practices, enabling improved crime detection, investigative capabilities, and resource allocation (Ratcliffe, 2019). It supports community policing initiatives and enhances public safety but also raises concerns about privacy, bias, and security (Goodall &amp; Stavrou, 2020</w:t>
      </w:r>
      <w:r w:rsidRPr="62CF527B" w:rsidR="7306C356">
        <w:rPr>
          <w:rFonts w:ascii="Calibri" w:hAnsi="Calibri" w:eastAsia="Calibri" w:cs="Calibri"/>
          <w:b w:val="0"/>
          <w:bCs w:val="0"/>
          <w:i w:val="0"/>
          <w:iCs w:val="0"/>
          <w:caps w:val="0"/>
          <w:smallCaps w:val="0"/>
          <w:noProof w:val="0"/>
          <w:color w:val="0D0D0D" w:themeColor="text1" w:themeTint="F2" w:themeShade="FF"/>
          <w:sz w:val="24"/>
          <w:szCs w:val="24"/>
          <w:lang w:val="en-US"/>
        </w:rPr>
        <w:t>). Addressing</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these challenges requires proactive efforts to foster trust, clarify roles, and navigate legal and ethical complexities (Denney et al., 2019). By embracing collaborative approaches and responsible data-sharing practices, law enforcement agencies can navigate the complexities of modern policing effectively (Weisburd et al., 2020</w:t>
      </w:r>
      <w:r w:rsidRPr="62CF527B" w:rsidR="0265C692">
        <w:rPr>
          <w:rFonts w:ascii="Calibri" w:hAnsi="Calibri" w:eastAsia="Calibri" w:cs="Calibri"/>
          <w:b w:val="0"/>
          <w:bCs w:val="0"/>
          <w:i w:val="0"/>
          <w:iCs w:val="0"/>
          <w:caps w:val="0"/>
          <w:smallCaps w:val="0"/>
          <w:noProof w:val="0"/>
          <w:color w:val="0D0D0D" w:themeColor="text1" w:themeTint="F2" w:themeShade="FF"/>
          <w:sz w:val="24"/>
          <w:szCs w:val="24"/>
          <w:lang w:val="en-US"/>
        </w:rPr>
        <w:t>). I</w:t>
      </w:r>
      <w:r w:rsidRPr="62CF527B" w:rsidR="0265C692">
        <w:rPr>
          <w:rFonts w:ascii="Calibri" w:hAnsi="Calibri" w:eastAsia="Calibri" w:cs="Calibri"/>
          <w:b w:val="0"/>
          <w:bCs w:val="0"/>
          <w:i w:val="0"/>
          <w:iCs w:val="0"/>
          <w:caps w:val="0"/>
          <w:smallCaps w:val="0"/>
          <w:noProof w:val="0"/>
          <w:color w:val="0D0D0D" w:themeColor="text1" w:themeTint="F2" w:themeShade="FF"/>
          <w:sz w:val="24"/>
          <w:szCs w:val="24"/>
          <w:lang w:val="en-US"/>
        </w:rPr>
        <w:t>n</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conclusion, partnership </w:t>
      </w:r>
      <w:r w:rsidRPr="62CF527B" w:rsidR="048AF48A">
        <w:rPr>
          <w:rFonts w:ascii="Calibri" w:hAnsi="Calibri" w:eastAsia="Calibri" w:cs="Calibri"/>
          <w:b w:val="0"/>
          <w:bCs w:val="0"/>
          <w:i w:val="0"/>
          <w:iCs w:val="0"/>
          <w:caps w:val="0"/>
          <w:smallCaps w:val="0"/>
          <w:noProof w:val="0"/>
          <w:color w:val="0D0D0D" w:themeColor="text1" w:themeTint="F2" w:themeShade="FF"/>
          <w:sz w:val="24"/>
          <w:szCs w:val="24"/>
          <w:lang w:val="en-US"/>
        </w:rPr>
        <w:t>working,</w:t>
      </w:r>
      <w:r w:rsidRPr="62CF527B" w:rsidR="105E484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data sharing hold immense potential to enhance policing effectiveness, strengthen community trust, and promote public safety. However, their successful implementation requires careful consideration of ethical, legal, and technological factors, along with proactive efforts to address challenges and maximize benefits.</w:t>
      </w:r>
    </w:p>
    <w:p w:rsidR="62CF527B" w:rsidP="62CF527B" w:rsidRDefault="62CF527B" w14:paraId="059A3035" w14:textId="59DF1B33">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1E881EA8" w14:textId="43FA3A18">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056FE0A4" w14:textId="1F7C41D8">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180357B4" w14:textId="78D76E73">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5ABD4FAE" w14:textId="3D7B5F69">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0C03E004" w14:textId="4FF7009B">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29821D47" w14:textId="43C14D94">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39F52131" w14:textId="48357B84">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3450C9F9" w14:textId="06226932">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2372D51A" w14:textId="379227F9">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19A75BE3" w14:textId="24BBD6EE">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104D7BA3" w14:textId="2AF47A97">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4FF047E7" w:rsidP="62CF527B" w:rsidRDefault="4FF047E7" w14:paraId="7CD7C2E7" w14:textId="5640E83D">
      <w:pPr>
        <w:pStyle w:val="Normal"/>
        <w:shd w:val="clear" w:color="auto" w:fill="FFFFFF" w:themeFill="background1"/>
        <w:spacing w:before="300" w:beforeAutospacing="off" w:after="300" w:afterAutospacing="off"/>
        <w:rPr>
          <w:rFonts w:ascii="Calibri" w:hAnsi="Calibri" w:eastAsia="Calibri" w:cs="Calibri"/>
          <w:b w:val="1"/>
          <w:bCs w:val="1"/>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1"/>
          <w:bCs w:val="1"/>
          <w:i w:val="0"/>
          <w:iCs w:val="0"/>
          <w:caps w:val="0"/>
          <w:smallCaps w:val="0"/>
          <w:noProof w:val="0"/>
          <w:color w:val="0D0D0D" w:themeColor="text1" w:themeTint="F2" w:themeShade="FF"/>
          <w:sz w:val="24"/>
          <w:szCs w:val="24"/>
          <w:lang w:val="en-US"/>
        </w:rPr>
        <w:t>Reference List</w:t>
      </w:r>
    </w:p>
    <w:p w:rsidR="4FF047E7" w:rsidP="62CF527B" w:rsidRDefault="4FF047E7" w14:paraId="5113DAC7" w14:textId="39F23EC7">
      <w:pPr>
        <w:pStyle w:val="ListParagraph"/>
        <w:numPr>
          <w:ilvl w:val="0"/>
          <w:numId w:val="3"/>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Mazerolle, L., Ransley, J., &amp; Hurley, D. (2019). </w:t>
      </w:r>
      <w:r w:rsidRPr="62CF527B" w:rsidR="4FF047E7">
        <w:rPr>
          <w:rFonts w:ascii="Calibri" w:hAnsi="Calibri" w:eastAsia="Calibri" w:cs="Calibri"/>
          <w:b w:val="0"/>
          <w:bCs w:val="0"/>
          <w:i w:val="1"/>
          <w:iCs w:val="1"/>
          <w:caps w:val="0"/>
          <w:smallCaps w:val="0"/>
          <w:noProof w:val="0"/>
          <w:color w:val="0D0D0D" w:themeColor="text1" w:themeTint="F2" w:themeShade="FF"/>
          <w:sz w:val="24"/>
          <w:szCs w:val="24"/>
          <w:lang w:val="en-US"/>
        </w:rPr>
        <w:t>Legitimacy policing: An international study.</w:t>
      </w: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Springer.</w:t>
      </w:r>
    </w:p>
    <w:p w:rsidR="4FF047E7" w:rsidP="62CF527B" w:rsidRDefault="4FF047E7" w14:paraId="0BBD357B" w14:textId="49D4692E">
      <w:pPr>
        <w:pStyle w:val="ListParagraph"/>
        <w:numPr>
          <w:ilvl w:val="0"/>
          <w:numId w:val="3"/>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Ratcliffe, J. H. (2019). </w:t>
      </w:r>
      <w:r w:rsidRPr="62CF527B" w:rsidR="4FF047E7">
        <w:rPr>
          <w:rFonts w:ascii="Calibri" w:hAnsi="Calibri" w:eastAsia="Calibri" w:cs="Calibri"/>
          <w:b w:val="0"/>
          <w:bCs w:val="0"/>
          <w:i w:val="1"/>
          <w:iCs w:val="1"/>
          <w:caps w:val="0"/>
          <w:smallCaps w:val="0"/>
          <w:noProof w:val="0"/>
          <w:color w:val="0D0D0D" w:themeColor="text1" w:themeTint="F2" w:themeShade="FF"/>
          <w:sz w:val="24"/>
          <w:szCs w:val="24"/>
          <w:lang w:val="en-US"/>
        </w:rPr>
        <w:t>Intelligence-led policing (2nd ed.).</w:t>
      </w: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Routledge.</w:t>
      </w:r>
    </w:p>
    <w:p w:rsidR="4FF047E7" w:rsidP="62CF527B" w:rsidRDefault="4FF047E7" w14:paraId="7B5A16E1" w14:textId="7E5C0B92">
      <w:pPr>
        <w:pStyle w:val="ListParagraph"/>
        <w:numPr>
          <w:ilvl w:val="0"/>
          <w:numId w:val="3"/>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Goodall, J. R., &amp; Stavrou, A. (2020). Understanding and mitigating insider threats in law enforcement organizations. </w:t>
      </w:r>
      <w:r w:rsidRPr="62CF527B" w:rsidR="4FF047E7">
        <w:rPr>
          <w:rFonts w:ascii="Calibri" w:hAnsi="Calibri" w:eastAsia="Calibri" w:cs="Calibri"/>
          <w:b w:val="0"/>
          <w:bCs w:val="0"/>
          <w:i w:val="1"/>
          <w:iCs w:val="1"/>
          <w:caps w:val="0"/>
          <w:smallCaps w:val="0"/>
          <w:noProof w:val="0"/>
          <w:color w:val="0D0D0D" w:themeColor="text1" w:themeTint="F2" w:themeShade="FF"/>
          <w:sz w:val="24"/>
          <w:szCs w:val="24"/>
          <w:lang w:val="en-US"/>
        </w:rPr>
        <w:t>Policing: A Journal of Policy and Practice, 14</w:t>
      </w: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(1), 189-202.</w:t>
      </w:r>
    </w:p>
    <w:p w:rsidR="4FF047E7" w:rsidP="62CF527B" w:rsidRDefault="4FF047E7" w14:paraId="478EE396" w14:textId="61ED9624">
      <w:pPr>
        <w:pStyle w:val="ListParagraph"/>
        <w:numPr>
          <w:ilvl w:val="0"/>
          <w:numId w:val="3"/>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Clarke, R. V. (2020). The challenges of multi-agency crime prevention. In M. Bruinsma &amp; S. D. Johnson (Eds.), </w:t>
      </w:r>
      <w:r w:rsidRPr="62CF527B" w:rsidR="4FF047E7">
        <w:rPr>
          <w:rFonts w:ascii="Calibri" w:hAnsi="Calibri" w:eastAsia="Calibri" w:cs="Calibri"/>
          <w:b w:val="0"/>
          <w:bCs w:val="0"/>
          <w:i w:val="1"/>
          <w:iCs w:val="1"/>
          <w:caps w:val="0"/>
          <w:smallCaps w:val="0"/>
          <w:noProof w:val="0"/>
          <w:color w:val="0D0D0D" w:themeColor="text1" w:themeTint="F2" w:themeShade="FF"/>
          <w:sz w:val="24"/>
          <w:szCs w:val="24"/>
          <w:lang w:val="en-US"/>
        </w:rPr>
        <w:t>The Oxford handbook of environmental criminology.</w:t>
      </w: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Oxford University Press.</w:t>
      </w:r>
    </w:p>
    <w:p w:rsidR="4FF047E7" w:rsidP="62CF527B" w:rsidRDefault="4FF047E7" w14:paraId="27553663" w14:textId="51FFDB40">
      <w:pPr>
        <w:pStyle w:val="ListParagraph"/>
        <w:numPr>
          <w:ilvl w:val="0"/>
          <w:numId w:val="3"/>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Denney, D., Dobson, L., &amp; Johnson, S. (2019). Police leadership and collaboration: The blue line meets the bottom line. </w:t>
      </w:r>
      <w:r w:rsidRPr="62CF527B" w:rsidR="4FF047E7">
        <w:rPr>
          <w:rFonts w:ascii="Calibri" w:hAnsi="Calibri" w:eastAsia="Calibri" w:cs="Calibri"/>
          <w:b w:val="0"/>
          <w:bCs w:val="0"/>
          <w:i w:val="1"/>
          <w:iCs w:val="1"/>
          <w:caps w:val="0"/>
          <w:smallCaps w:val="0"/>
          <w:noProof w:val="0"/>
          <w:color w:val="0D0D0D" w:themeColor="text1" w:themeTint="F2" w:themeShade="FF"/>
          <w:sz w:val="24"/>
          <w:szCs w:val="24"/>
          <w:lang w:val="en-US"/>
        </w:rPr>
        <w:t>Policing: A Journal of Policy and Practice, 13</w:t>
      </w: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(2), 133-147.</w:t>
      </w:r>
    </w:p>
    <w:p w:rsidR="4FF047E7" w:rsidP="62CF527B" w:rsidRDefault="4FF047E7" w14:paraId="7CF5D0F1" w14:textId="577AEA24">
      <w:pPr>
        <w:pStyle w:val="ListParagraph"/>
        <w:numPr>
          <w:ilvl w:val="0"/>
          <w:numId w:val="3"/>
        </w:num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Weisburd, D., Groff, E. R., &amp; Yang, S. M. (2020). </w:t>
      </w:r>
      <w:r w:rsidRPr="62CF527B" w:rsidR="4FF047E7">
        <w:rPr>
          <w:rFonts w:ascii="Calibri" w:hAnsi="Calibri" w:eastAsia="Calibri" w:cs="Calibri"/>
          <w:b w:val="0"/>
          <w:bCs w:val="0"/>
          <w:i w:val="1"/>
          <w:iCs w:val="1"/>
          <w:caps w:val="0"/>
          <w:smallCaps w:val="0"/>
          <w:noProof w:val="0"/>
          <w:color w:val="0D0D0D" w:themeColor="text1" w:themeTint="F2" w:themeShade="FF"/>
          <w:sz w:val="24"/>
          <w:szCs w:val="24"/>
          <w:lang w:val="en-US"/>
        </w:rPr>
        <w:t>The criminology of place: Street segments and our understanding of the crime problem.</w:t>
      </w:r>
      <w:r w:rsidRPr="62CF527B" w:rsidR="4FF047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Oxford University Press.</w:t>
      </w:r>
    </w:p>
    <w:p w:rsidR="62CF527B" w:rsidP="62CF527B" w:rsidRDefault="62CF527B" w14:paraId="2E1187FD" w14:textId="24728776">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54877396" w14:textId="23416538">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5AB3571C" w14:textId="602C0F9E">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6F656263" w14:textId="30F48F9A">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21C8B468" w14:textId="2DD793FC">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356E8124" w14:textId="591E1067">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62CF527B" w:rsidP="62CF527B" w:rsidRDefault="62CF527B" w14:paraId="67730BDC" w14:textId="586B0EB0">
      <w:pPr>
        <w:pStyle w:val="Normal"/>
        <w:rPr>
          <w:rFonts w:ascii="Calibri" w:hAnsi="Calibri" w:eastAsia="Calibri" w:cs="Calibri"/>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I3O78y/aP+EE+" int2:id="x5ATygAK">
      <int2:state int2:type="AugLoop_Text_Critique" int2:value="Rejected"/>
    </int2:textHash>
    <int2:textHash int2:hashCode="7n/88WrVVPGUk9" int2:id="AuVbaMXp">
      <int2:state int2:type="AugLoop_Text_Critique" int2:value="Rejected"/>
    </int2:textHash>
    <int2:textHash int2:hashCode="65xbvM4n9FIlJw" int2:id="srbFly9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aa7f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316f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77e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53a2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65144"/>
    <w:rsid w:val="0265C692"/>
    <w:rsid w:val="048AF48A"/>
    <w:rsid w:val="0847A2FC"/>
    <w:rsid w:val="0989104F"/>
    <w:rsid w:val="0AAFB565"/>
    <w:rsid w:val="0F5377FA"/>
    <w:rsid w:val="105E484D"/>
    <w:rsid w:val="10AB2AFB"/>
    <w:rsid w:val="14307236"/>
    <w:rsid w:val="14446500"/>
    <w:rsid w:val="15622129"/>
    <w:rsid w:val="17CAE37B"/>
    <w:rsid w:val="18300603"/>
    <w:rsid w:val="18D6E900"/>
    <w:rsid w:val="195F8DCB"/>
    <w:rsid w:val="1964FC9D"/>
    <w:rsid w:val="1C122CC5"/>
    <w:rsid w:val="219CAC83"/>
    <w:rsid w:val="22C8C2F5"/>
    <w:rsid w:val="25199CB6"/>
    <w:rsid w:val="2610DB04"/>
    <w:rsid w:val="2AA90179"/>
    <w:rsid w:val="2C218567"/>
    <w:rsid w:val="31257CDB"/>
    <w:rsid w:val="336E8B34"/>
    <w:rsid w:val="352F18A9"/>
    <w:rsid w:val="37A821C4"/>
    <w:rsid w:val="38B30473"/>
    <w:rsid w:val="39EF1889"/>
    <w:rsid w:val="3A5B7161"/>
    <w:rsid w:val="3A8A18F5"/>
    <w:rsid w:val="3B503753"/>
    <w:rsid w:val="3B8CA472"/>
    <w:rsid w:val="3D5D6D92"/>
    <w:rsid w:val="3D75CDE9"/>
    <w:rsid w:val="4382C060"/>
    <w:rsid w:val="43B32DD8"/>
    <w:rsid w:val="4409921A"/>
    <w:rsid w:val="4530385B"/>
    <w:rsid w:val="46EE27D2"/>
    <w:rsid w:val="47B60CCE"/>
    <w:rsid w:val="4D465144"/>
    <w:rsid w:val="4FF047E7"/>
    <w:rsid w:val="4FF3D116"/>
    <w:rsid w:val="50AD9948"/>
    <w:rsid w:val="51D49C33"/>
    <w:rsid w:val="550EE4CB"/>
    <w:rsid w:val="556D1CEE"/>
    <w:rsid w:val="5ABD6828"/>
    <w:rsid w:val="60F67442"/>
    <w:rsid w:val="62CF527B"/>
    <w:rsid w:val="67DF40D6"/>
    <w:rsid w:val="69F704BD"/>
    <w:rsid w:val="6F3B5157"/>
    <w:rsid w:val="6F57882B"/>
    <w:rsid w:val="6F91DD31"/>
    <w:rsid w:val="703EE33B"/>
    <w:rsid w:val="71186169"/>
    <w:rsid w:val="71D66AA3"/>
    <w:rsid w:val="71DCA235"/>
    <w:rsid w:val="7306C356"/>
    <w:rsid w:val="734B6028"/>
    <w:rsid w:val="74889C39"/>
    <w:rsid w:val="759B7E52"/>
    <w:rsid w:val="773F0A56"/>
    <w:rsid w:val="77B528F1"/>
    <w:rsid w:val="78D72713"/>
    <w:rsid w:val="7995A5A2"/>
    <w:rsid w:val="79E7EEBF"/>
    <w:rsid w:val="7A5742C3"/>
    <w:rsid w:val="7BF5CB5C"/>
    <w:rsid w:val="7C3BB0E9"/>
    <w:rsid w:val="7DB03434"/>
    <w:rsid w:val="7F696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5144"/>
  <w15:chartTrackingRefBased/>
  <w15:docId w15:val="{95D106DA-3488-4FF3-9277-A4FF67C72B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e5e82cbd01f4598" /><Relationship Type="http://schemas.openxmlformats.org/officeDocument/2006/relationships/numbering" Target="numbering.xml" Id="Rf975194b397b4e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2024-05-08T16:48:14.7509291Z</dcterms:created>
  <dcterms:modified xsi:type="dcterms:W3CDTF">2024-05-08T17:22:39.1181543Z</dcterms:modified>
  <dc:creator>Olivia John (2317064)</dc:creator>
  <lastModifiedBy>Olivia John (2317064)</lastModifiedBy>
</coreProperties>
</file>