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4F307F" w14:textId="2550DE89" w:rsidR="006A4D29" w:rsidRPr="006A4D29" w:rsidRDefault="009A0ECE" w:rsidP="006A4D29">
      <w:pPr>
        <w:pStyle w:val="NormalWeb"/>
        <w:jc w:val="center"/>
        <w:rPr>
          <w:rFonts w:asciiTheme="minorHAnsi" w:hAnsiTheme="minorHAnsi" w:cstheme="minorHAnsi"/>
          <w:sz w:val="28"/>
          <w:szCs w:val="28"/>
        </w:rPr>
      </w:pPr>
      <w:r w:rsidRPr="006A4D29">
        <w:rPr>
          <w:rFonts w:asciiTheme="minorHAnsi" w:hAnsiTheme="minorHAnsi" w:cstheme="minorHAnsi"/>
          <w:sz w:val="28"/>
          <w:szCs w:val="28"/>
        </w:rPr>
        <w:t xml:space="preserve">ECAD6009/7003 – Part A </w:t>
      </w:r>
      <w:r w:rsidR="006A4D29" w:rsidRPr="006A4D29">
        <w:rPr>
          <w:rFonts w:asciiTheme="minorHAnsi" w:hAnsiTheme="minorHAnsi" w:cstheme="minorHAnsi"/>
          <w:b/>
          <w:bCs/>
          <w:sz w:val="28"/>
          <w:szCs w:val="28"/>
        </w:rPr>
        <w:t xml:space="preserve">Understanding how the learner, the school and the local community work together to deliver one of the four purposes of the new curriculum: a video presentation that critically examines this </w:t>
      </w:r>
      <w:proofErr w:type="gramStart"/>
      <w:r w:rsidR="006A4D29" w:rsidRPr="006A4D29">
        <w:rPr>
          <w:rFonts w:asciiTheme="minorHAnsi" w:hAnsiTheme="minorHAnsi" w:cstheme="minorHAnsi"/>
          <w:b/>
          <w:bCs/>
          <w:sz w:val="28"/>
          <w:szCs w:val="28"/>
        </w:rPr>
        <w:t>process</w:t>
      </w:r>
      <w:proofErr w:type="gramEnd"/>
    </w:p>
    <w:p w14:paraId="189CBD26" w14:textId="77777777" w:rsidR="009B47AE" w:rsidRDefault="009B47AE" w:rsidP="00E611D9">
      <w:pPr>
        <w:pStyle w:val="AssignBody"/>
      </w:pPr>
    </w:p>
    <w:p w14:paraId="0D2F6EA6" w14:textId="7451C9E5" w:rsidR="00E611D9" w:rsidRDefault="009B47AE" w:rsidP="00A76DB5">
      <w:pPr>
        <w:pStyle w:val="AssignBody"/>
        <w:jc w:val="center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4044587C" w14:textId="77777777" w:rsidR="00B2431A" w:rsidRDefault="00B2431A" w:rsidP="00E611D9">
      <w:pPr>
        <w:pStyle w:val="AssignBody"/>
        <w:rPr>
          <w:b/>
        </w:rPr>
      </w:pPr>
    </w:p>
    <w:p w14:paraId="33C5562C" w14:textId="0F4C4135" w:rsidR="00B2431A" w:rsidRPr="00B2431A" w:rsidRDefault="00B2431A" w:rsidP="00B2431A">
      <w:pPr>
        <w:spacing w:line="360" w:lineRule="auto"/>
      </w:pPr>
      <w:r>
        <w:t xml:space="preserve">BERA (2011) </w:t>
      </w:r>
      <w:r>
        <w:rPr>
          <w:i/>
          <w:iCs/>
        </w:rPr>
        <w:t xml:space="preserve">Ethical Guidelines for Educational Research </w:t>
      </w:r>
      <w:r>
        <w:rPr>
          <w:i/>
          <w:iCs/>
        </w:rPr>
        <w:tab/>
      </w:r>
      <w:hyperlink r:id="rId9" w:history="1">
        <w:r w:rsidRPr="00535A71">
          <w:rPr>
            <w:rStyle w:val="Hyperlink"/>
          </w:rPr>
          <w:t>https://www.bera.ac.uk/publication/ethical-guidelines-for-educational-research-</w:t>
        </w:r>
        <w:r w:rsidRPr="00535A71">
          <w:rPr>
            <w:rStyle w:val="Hyperlink"/>
          </w:rPr>
          <w:tab/>
          <w:t>2011</w:t>
        </w:r>
      </w:hyperlink>
      <w:r>
        <w:t xml:space="preserve"> (Accessed on 9th February 2024).</w:t>
      </w:r>
    </w:p>
    <w:p w14:paraId="631EB2DA" w14:textId="77777777" w:rsidR="002E63F1" w:rsidRPr="002E63F1" w:rsidRDefault="002E63F1" w:rsidP="006A4D29">
      <w:pPr>
        <w:pStyle w:val="AssignBody"/>
        <w:rPr>
          <w:rFonts w:asciiTheme="minorHAnsi" w:hAnsiTheme="minorHAnsi" w:cstheme="minorHAnsi"/>
          <w:bCs/>
          <w:sz w:val="24"/>
          <w:szCs w:val="24"/>
        </w:rPr>
      </w:pPr>
      <w:r w:rsidRPr="002E63F1">
        <w:rPr>
          <w:rFonts w:asciiTheme="minorHAnsi" w:hAnsiTheme="minorHAnsi" w:cstheme="minorHAnsi"/>
          <w:bCs/>
          <w:sz w:val="24"/>
          <w:szCs w:val="24"/>
        </w:rPr>
        <w:t xml:space="preserve">Bronfenbrenner, U. (1979)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The Ecology of Human Development: Experiments by Nature and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  <w:t>Design</w:t>
      </w:r>
      <w:r w:rsidRPr="002E63F1">
        <w:rPr>
          <w:rFonts w:asciiTheme="minorHAnsi" w:hAnsiTheme="minorHAnsi" w:cstheme="minorHAnsi"/>
          <w:bCs/>
          <w:sz w:val="24"/>
          <w:szCs w:val="24"/>
        </w:rPr>
        <w:t>. London: Harvard University Press.</w:t>
      </w:r>
    </w:p>
    <w:p w14:paraId="2BC02FEF" w14:textId="77777777" w:rsidR="002E63F1" w:rsidRPr="002E63F1" w:rsidRDefault="002E63F1" w:rsidP="006A4D29">
      <w:pPr>
        <w:pStyle w:val="AssignBody"/>
        <w:rPr>
          <w:rFonts w:asciiTheme="minorHAnsi" w:hAnsiTheme="minorHAnsi" w:cstheme="minorHAnsi"/>
          <w:bCs/>
          <w:sz w:val="24"/>
          <w:szCs w:val="24"/>
        </w:rPr>
      </w:pPr>
      <w:r w:rsidRPr="002E63F1">
        <w:rPr>
          <w:rFonts w:asciiTheme="minorHAnsi" w:hAnsiTheme="minorHAnsi" w:cstheme="minorHAnsi"/>
          <w:bCs/>
          <w:sz w:val="24"/>
          <w:szCs w:val="24"/>
        </w:rPr>
        <w:t xml:space="preserve">Donaldson, G. (2015)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Successful Futures: Independent Review of Curriculum and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  <w:t xml:space="preserve">Assessment Arrangements in Wales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</w:r>
      <w:hyperlink r:id="rId10" w:history="1"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https://www.gov.wales/sites/default/files/publications/2018-03/successful-</w:t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ab/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futures.pdf</w:t>
        </w:r>
      </w:hyperlink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</w:t>
      </w:r>
      <w:r w:rsidRPr="002E63F1">
        <w:rPr>
          <w:rFonts w:asciiTheme="minorHAnsi" w:hAnsiTheme="minorHAnsi" w:cstheme="minorHAnsi"/>
          <w:bCs/>
          <w:sz w:val="24"/>
          <w:szCs w:val="24"/>
        </w:rPr>
        <w:t>(Accessed on 10th February 2024).</w:t>
      </w:r>
    </w:p>
    <w:p w14:paraId="06FBBC65" w14:textId="77777777" w:rsidR="002E63F1" w:rsidRPr="002E63F1" w:rsidRDefault="002E63F1" w:rsidP="006A4D29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2E63F1">
        <w:rPr>
          <w:rFonts w:asciiTheme="minorHAnsi" w:hAnsiTheme="minorHAnsi" w:cstheme="minorHAnsi"/>
          <w:sz w:val="24"/>
          <w:szCs w:val="24"/>
        </w:rPr>
        <w:t xml:space="preserve">Estyn </w:t>
      </w:r>
      <w:r w:rsidRPr="002E63F1">
        <w:rPr>
          <w:rFonts w:asciiTheme="minorHAnsi" w:hAnsiTheme="minorHAnsi" w:cstheme="minorHAnsi"/>
          <w:sz w:val="24"/>
          <w:szCs w:val="24"/>
        </w:rPr>
        <w:t xml:space="preserve">(2016) </w:t>
      </w:r>
      <w:r w:rsidRPr="002E63F1">
        <w:rPr>
          <w:rFonts w:asciiTheme="minorHAnsi" w:hAnsiTheme="minorHAnsi" w:cstheme="minorHAnsi"/>
          <w:i/>
          <w:iCs/>
          <w:sz w:val="24"/>
          <w:szCs w:val="24"/>
        </w:rPr>
        <w:t xml:space="preserve">A Report on </w:t>
      </w:r>
      <w:r w:rsidRPr="002E63F1">
        <w:rPr>
          <w:rFonts w:asciiTheme="minorHAnsi" w:hAnsiTheme="minorHAnsi" w:cstheme="minorHAnsi"/>
          <w:i/>
          <w:iCs/>
          <w:color w:val="FFFFFF" w:themeColor="background1"/>
          <w:sz w:val="24"/>
          <w:szCs w:val="24"/>
        </w:rPr>
        <w:t>Treorchy</w:t>
      </w:r>
      <w:r w:rsidRPr="002E63F1">
        <w:rPr>
          <w:rFonts w:asciiTheme="minorHAnsi" w:hAnsiTheme="minorHAnsi" w:cstheme="minorHAnsi"/>
          <w:i/>
          <w:iCs/>
          <w:sz w:val="24"/>
          <w:szCs w:val="24"/>
        </w:rPr>
        <w:t xml:space="preserve"> Comprehensive School</w:t>
      </w:r>
      <w:r w:rsidRPr="002E63F1">
        <w:rPr>
          <w:rFonts w:asciiTheme="minorHAnsi" w:hAnsiTheme="minorHAnsi" w:cstheme="minorHAnsi"/>
          <w:sz w:val="24"/>
          <w:szCs w:val="24"/>
        </w:rPr>
        <w:t xml:space="preserve"> </w:t>
      </w:r>
      <w:r w:rsidRPr="002E63F1">
        <w:rPr>
          <w:rFonts w:asciiTheme="minorHAnsi" w:hAnsiTheme="minorHAnsi" w:cstheme="minorHAnsi"/>
          <w:sz w:val="24"/>
          <w:szCs w:val="24"/>
        </w:rPr>
        <w:tab/>
      </w:r>
      <w:hyperlink r:id="rId11" w:history="1">
        <w:r w:rsidRPr="002E63F1">
          <w:rPr>
            <w:rStyle w:val="Hyperlink"/>
            <w:rFonts w:asciiTheme="minorHAnsi" w:hAnsiTheme="minorHAnsi" w:cstheme="minorHAnsi"/>
            <w:sz w:val="24"/>
            <w:szCs w:val="24"/>
          </w:rPr>
          <w:t>https://www.estyn.gov.wales/system/files/2020-</w:t>
        </w:r>
        <w:r w:rsidRPr="002E63F1">
          <w:rPr>
            <w:rStyle w:val="Hyperlink"/>
            <w:rFonts w:asciiTheme="minorHAnsi" w:hAnsiTheme="minorHAnsi" w:cstheme="minorHAnsi"/>
            <w:sz w:val="24"/>
            <w:szCs w:val="24"/>
          </w:rPr>
          <w:tab/>
          <w:t>08/</w:t>
        </w:r>
        <w:r w:rsidRPr="002E63F1">
          <w:rPr>
            <w:rStyle w:val="Hyperlink"/>
            <w:rFonts w:asciiTheme="minorHAnsi" w:hAnsiTheme="minorHAnsi" w:cstheme="minorHAnsi"/>
            <w:color w:val="FFFFFF" w:themeColor="background1"/>
            <w:sz w:val="24"/>
            <w:szCs w:val="24"/>
          </w:rPr>
          <w:t>Treorchy</w:t>
        </w:r>
        <w:r w:rsidRPr="002E63F1">
          <w:rPr>
            <w:rStyle w:val="Hyperlink"/>
            <w:rFonts w:asciiTheme="minorHAnsi" w:hAnsiTheme="minorHAnsi" w:cstheme="minorHAnsi"/>
            <w:sz w:val="24"/>
            <w:szCs w:val="24"/>
          </w:rPr>
          <w:t>%2520Comprehensive%2520School.pdf</w:t>
        </w:r>
      </w:hyperlink>
      <w:r w:rsidRPr="002E63F1">
        <w:rPr>
          <w:rFonts w:asciiTheme="minorHAnsi" w:hAnsiTheme="minorHAnsi" w:cstheme="minorHAnsi"/>
          <w:sz w:val="24"/>
          <w:szCs w:val="24"/>
        </w:rPr>
        <w:t xml:space="preserve"> (Accessed: 9</w:t>
      </w:r>
      <w:r w:rsidRPr="002E63F1">
        <w:rPr>
          <w:rFonts w:asciiTheme="minorHAnsi" w:hAnsiTheme="minorHAnsi" w:cstheme="minorHAnsi"/>
          <w:sz w:val="24"/>
          <w:szCs w:val="24"/>
          <w:vertAlign w:val="superscript"/>
        </w:rPr>
        <w:t>th</w:t>
      </w:r>
      <w:r w:rsidRPr="002E63F1">
        <w:rPr>
          <w:rFonts w:asciiTheme="minorHAnsi" w:hAnsiTheme="minorHAnsi" w:cstheme="minorHAnsi"/>
          <w:sz w:val="24"/>
          <w:szCs w:val="24"/>
        </w:rPr>
        <w:t xml:space="preserve"> February 2024).</w:t>
      </w:r>
    </w:p>
    <w:p w14:paraId="027716A2" w14:textId="77777777" w:rsidR="002E63F1" w:rsidRPr="002E63F1" w:rsidRDefault="002E63F1" w:rsidP="006A4D29">
      <w:pPr>
        <w:pStyle w:val="AssignBody"/>
        <w:rPr>
          <w:rFonts w:asciiTheme="minorHAnsi" w:hAnsiTheme="minorHAnsi" w:cstheme="minorHAnsi"/>
          <w:bCs/>
          <w:sz w:val="24"/>
          <w:szCs w:val="24"/>
        </w:rPr>
      </w:pPr>
      <w:r w:rsidRPr="002E63F1">
        <w:rPr>
          <w:rFonts w:asciiTheme="minorHAnsi" w:hAnsiTheme="minorHAnsi" w:cstheme="minorHAnsi"/>
          <w:bCs/>
          <w:sz w:val="24"/>
          <w:szCs w:val="24"/>
        </w:rPr>
        <w:t xml:space="preserve">Guy-Evans, O. (2024)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Bronfenbrenner’s Ecological Systems Theory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</w:r>
      <w:hyperlink r:id="rId12" w:history="1"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https://www.simplypsychology.org/bronfenbrenner.html</w:t>
        </w:r>
      </w:hyperlink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</w:t>
      </w:r>
      <w:r w:rsidRPr="002E63F1">
        <w:rPr>
          <w:rFonts w:asciiTheme="minorHAnsi" w:hAnsiTheme="minorHAnsi" w:cstheme="minorHAnsi"/>
          <w:bCs/>
          <w:sz w:val="24"/>
          <w:szCs w:val="24"/>
        </w:rPr>
        <w:t xml:space="preserve">(Accessed on 12th </w:t>
      </w:r>
      <w:r w:rsidRPr="002E63F1">
        <w:rPr>
          <w:rFonts w:asciiTheme="minorHAnsi" w:hAnsiTheme="minorHAnsi" w:cstheme="minorHAnsi"/>
          <w:bCs/>
          <w:sz w:val="24"/>
          <w:szCs w:val="24"/>
        </w:rPr>
        <w:tab/>
        <w:t xml:space="preserve">February 2024). </w:t>
      </w:r>
    </w:p>
    <w:p w14:paraId="2DABF136" w14:textId="77777777" w:rsidR="002E63F1" w:rsidRPr="002E63F1" w:rsidRDefault="002E63F1" w:rsidP="006A4D29">
      <w:pPr>
        <w:pStyle w:val="AssignBody"/>
        <w:rPr>
          <w:rFonts w:asciiTheme="minorHAnsi" w:hAnsiTheme="minorHAnsi" w:cstheme="minorHAnsi"/>
          <w:bCs/>
          <w:sz w:val="24"/>
          <w:szCs w:val="24"/>
        </w:rPr>
      </w:pPr>
      <w:r w:rsidRPr="002E63F1">
        <w:rPr>
          <w:rFonts w:asciiTheme="minorHAnsi" w:hAnsiTheme="minorHAnsi" w:cstheme="minorHAnsi"/>
          <w:bCs/>
          <w:sz w:val="24"/>
          <w:szCs w:val="24"/>
        </w:rPr>
        <w:t xml:space="preserve">Office of National Statistics (2024)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Employment, Unemployment and Economic Inactivity in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  <w:t xml:space="preserve">Rhondda Cynon </w:t>
      </w:r>
      <w:proofErr w:type="spellStart"/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>Taf</w:t>
      </w:r>
      <w:proofErr w:type="spellEnd"/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</w:r>
      <w:hyperlink r:id="rId13" w:history="1"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https://www.ons.gov.uk/visualisations/labourmarketlocal/W06000016/#:~:text=Aro</w:t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ab/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und%204%2C300%20people%20aged%2016,is%20a%20rate%20of%203.9%25</w:t>
        </w:r>
      </w:hyperlink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</w:r>
      <w:r w:rsidRPr="002E63F1">
        <w:rPr>
          <w:rFonts w:asciiTheme="minorHAnsi" w:hAnsiTheme="minorHAnsi" w:cstheme="minorHAnsi"/>
          <w:bCs/>
          <w:sz w:val="24"/>
          <w:szCs w:val="24"/>
        </w:rPr>
        <w:t>(Accessed 15</w:t>
      </w:r>
      <w:r w:rsidRPr="002E63F1">
        <w:rPr>
          <w:rFonts w:asciiTheme="minorHAnsi" w:hAnsiTheme="minorHAnsi" w:cstheme="minorHAnsi"/>
          <w:bCs/>
          <w:sz w:val="24"/>
          <w:szCs w:val="24"/>
          <w:vertAlign w:val="superscript"/>
        </w:rPr>
        <w:t>th</w:t>
      </w:r>
      <w:r w:rsidRPr="002E63F1">
        <w:rPr>
          <w:rFonts w:asciiTheme="minorHAnsi" w:hAnsiTheme="minorHAnsi" w:cstheme="minorHAnsi"/>
          <w:bCs/>
          <w:sz w:val="24"/>
          <w:szCs w:val="24"/>
        </w:rPr>
        <w:t xml:space="preserve"> February 2024).</w:t>
      </w:r>
    </w:p>
    <w:p w14:paraId="38516C7A" w14:textId="77777777" w:rsidR="002E63F1" w:rsidRPr="002E63F1" w:rsidRDefault="002E63F1" w:rsidP="006A4D29">
      <w:pPr>
        <w:pStyle w:val="AssignBody"/>
        <w:rPr>
          <w:rFonts w:asciiTheme="minorHAnsi" w:hAnsiTheme="minorHAnsi" w:cstheme="minorHAnsi"/>
          <w:bCs/>
          <w:sz w:val="24"/>
          <w:szCs w:val="24"/>
        </w:rPr>
      </w:pPr>
      <w:r w:rsidRPr="002E63F1">
        <w:rPr>
          <w:rFonts w:asciiTheme="minorHAnsi" w:hAnsiTheme="minorHAnsi" w:cstheme="minorHAnsi"/>
          <w:bCs/>
          <w:sz w:val="24"/>
          <w:szCs w:val="24"/>
        </w:rPr>
        <w:t xml:space="preserve">Public Policy Institute for Wales (2016)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Increasing the Use of School Facilities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</w:r>
      <w:hyperlink r:id="rId14" w:history="1"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https://www.wcpp.org.uk/wp-content/uploads/2019/06/Increasing-the-Use-of-</w:t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ab/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School-Facilities-Report.pdf</w:t>
        </w:r>
      </w:hyperlink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</w:t>
      </w:r>
      <w:r w:rsidRPr="002E63F1">
        <w:rPr>
          <w:rFonts w:asciiTheme="minorHAnsi" w:hAnsiTheme="minorHAnsi" w:cstheme="minorHAnsi"/>
          <w:bCs/>
          <w:sz w:val="24"/>
          <w:szCs w:val="24"/>
        </w:rPr>
        <w:t>(Accessed on 15th February 2024).</w:t>
      </w:r>
    </w:p>
    <w:p w14:paraId="26BB5638" w14:textId="77777777" w:rsidR="002E63F1" w:rsidRPr="002E63F1" w:rsidRDefault="002E63F1" w:rsidP="006A4D29">
      <w:pPr>
        <w:pStyle w:val="AssignBody"/>
        <w:rPr>
          <w:rFonts w:asciiTheme="minorHAnsi" w:hAnsiTheme="minorHAnsi" w:cstheme="minorHAnsi"/>
          <w:bCs/>
          <w:sz w:val="24"/>
          <w:szCs w:val="24"/>
        </w:rPr>
      </w:pPr>
      <w:r w:rsidRPr="002E63F1">
        <w:rPr>
          <w:rFonts w:asciiTheme="minorHAnsi" w:hAnsiTheme="minorHAnsi" w:cstheme="minorHAnsi"/>
          <w:bCs/>
          <w:sz w:val="24"/>
          <w:szCs w:val="24"/>
        </w:rPr>
        <w:t xml:space="preserve">Welsh Government (2016) </w:t>
      </w:r>
      <w:proofErr w:type="spellStart"/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>FaCE</w:t>
      </w:r>
      <w:proofErr w:type="spellEnd"/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the Challenge Together: Family and Community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  <w:t xml:space="preserve">Engagement Toolkit for School in Wales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</w:r>
      <w:hyperlink r:id="rId15" w:history="1"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https://www.gov.wales/sites/default/files/publications/2018-12/face-the-challenge-</w:t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lastRenderedPageBreak/>
          <w:tab/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together-family-and-community-engagement-toolkit-for-schools-in-wales-main-</w:t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ab/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guidance.pdf</w:t>
        </w:r>
      </w:hyperlink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</w:t>
      </w:r>
      <w:r w:rsidRPr="002E63F1">
        <w:rPr>
          <w:rFonts w:asciiTheme="minorHAnsi" w:hAnsiTheme="minorHAnsi" w:cstheme="minorHAnsi"/>
          <w:bCs/>
          <w:sz w:val="24"/>
          <w:szCs w:val="24"/>
        </w:rPr>
        <w:t>(Accessed on 15th February 2024).</w:t>
      </w:r>
    </w:p>
    <w:p w14:paraId="7BE76A46" w14:textId="3EF34B56" w:rsidR="002E63F1" w:rsidRPr="002E63F1" w:rsidRDefault="002E63F1" w:rsidP="006A4D29">
      <w:pPr>
        <w:pStyle w:val="AssignBody"/>
        <w:rPr>
          <w:rFonts w:asciiTheme="minorHAnsi" w:hAnsiTheme="minorHAnsi" w:cstheme="minorHAnsi"/>
          <w:bCs/>
          <w:sz w:val="24"/>
          <w:szCs w:val="24"/>
        </w:rPr>
      </w:pPr>
      <w:r w:rsidRPr="002E63F1">
        <w:rPr>
          <w:rFonts w:asciiTheme="minorHAnsi" w:hAnsiTheme="minorHAnsi" w:cstheme="minorHAnsi"/>
          <w:sz w:val="24"/>
          <w:szCs w:val="24"/>
        </w:rPr>
        <w:t>———</w:t>
      </w:r>
      <w:r w:rsidRPr="002E63F1">
        <w:rPr>
          <w:rFonts w:asciiTheme="minorHAnsi" w:hAnsiTheme="minorHAnsi" w:cstheme="minorHAnsi"/>
          <w:bCs/>
          <w:sz w:val="24"/>
          <w:szCs w:val="24"/>
        </w:rPr>
        <w:t xml:space="preserve"> (2016b)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Developing Community Partnerships and Multi-Agency Working: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  <w:t xml:space="preserve">Resources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  <w:t xml:space="preserve">1-2 </w:t>
      </w:r>
      <w:hyperlink r:id="rId16" w:history="1"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https://www.gov.wales/sites/default/files/publications/2018-</w:t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ab/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12/theme-5-</w:t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ab/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developing-community-partnerships-and-multi-agency-working-resources-1-2.pdf</w:t>
        </w:r>
      </w:hyperlink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</w:r>
      <w:r w:rsidRPr="002E63F1">
        <w:rPr>
          <w:rFonts w:asciiTheme="minorHAnsi" w:hAnsiTheme="minorHAnsi" w:cstheme="minorHAnsi"/>
          <w:bCs/>
          <w:sz w:val="24"/>
          <w:szCs w:val="24"/>
        </w:rPr>
        <w:t>(Accessed on 16th February 2024).</w:t>
      </w:r>
    </w:p>
    <w:p w14:paraId="77E4E7A7" w14:textId="1DE3ECE8" w:rsidR="002E63F1" w:rsidRPr="002E63F1" w:rsidRDefault="002E63F1" w:rsidP="006A4D29">
      <w:pPr>
        <w:spacing w:line="360" w:lineRule="auto"/>
        <w:rPr>
          <w:rFonts w:cstheme="minorHAnsi"/>
          <w:sz w:val="24"/>
          <w:szCs w:val="24"/>
        </w:rPr>
      </w:pPr>
      <w:r w:rsidRPr="002E63F1">
        <w:rPr>
          <w:rFonts w:cstheme="minorHAnsi"/>
          <w:sz w:val="24"/>
          <w:szCs w:val="24"/>
        </w:rPr>
        <w:t>———</w:t>
      </w:r>
      <w:r w:rsidRPr="002E63F1">
        <w:rPr>
          <w:rFonts w:cstheme="minorHAnsi"/>
          <w:sz w:val="24"/>
          <w:szCs w:val="24"/>
        </w:rPr>
        <w:t xml:space="preserve"> </w:t>
      </w:r>
      <w:r w:rsidRPr="002E63F1">
        <w:rPr>
          <w:rFonts w:cstheme="minorHAnsi"/>
          <w:sz w:val="24"/>
          <w:szCs w:val="24"/>
        </w:rPr>
        <w:t xml:space="preserve">(2022) </w:t>
      </w:r>
      <w:r w:rsidRPr="002E63F1">
        <w:rPr>
          <w:rFonts w:cstheme="minorHAnsi"/>
          <w:color w:val="FFFFFF" w:themeColor="background1"/>
          <w:sz w:val="24"/>
          <w:szCs w:val="24"/>
        </w:rPr>
        <w:t>Treorchy</w:t>
      </w:r>
      <w:r w:rsidRPr="002E63F1">
        <w:rPr>
          <w:rFonts w:cstheme="minorHAnsi"/>
          <w:sz w:val="24"/>
          <w:szCs w:val="24"/>
        </w:rPr>
        <w:t xml:space="preserve"> </w:t>
      </w:r>
      <w:r w:rsidRPr="002E63F1">
        <w:rPr>
          <w:rFonts w:cstheme="minorHAnsi"/>
          <w:i/>
          <w:iCs/>
          <w:sz w:val="24"/>
          <w:szCs w:val="24"/>
        </w:rPr>
        <w:t xml:space="preserve">Comprehensive School </w:t>
      </w:r>
      <w:r w:rsidRPr="002E63F1">
        <w:rPr>
          <w:rFonts w:cstheme="minorHAnsi"/>
          <w:i/>
          <w:iCs/>
          <w:sz w:val="24"/>
          <w:szCs w:val="24"/>
        </w:rPr>
        <w:tab/>
      </w:r>
      <w:hyperlink r:id="rId17" w:history="1">
        <w:r w:rsidRPr="002E63F1">
          <w:rPr>
            <w:rStyle w:val="Hyperlink"/>
            <w:rFonts w:cstheme="minorHAnsi"/>
            <w:sz w:val="24"/>
            <w:szCs w:val="24"/>
          </w:rPr>
          <w:t>https://mylocalschool.gov.wales/School/6744081?lang=en</w:t>
        </w:r>
      </w:hyperlink>
      <w:r w:rsidRPr="002E63F1">
        <w:rPr>
          <w:rFonts w:cstheme="minorHAnsi"/>
          <w:i/>
          <w:iCs/>
          <w:sz w:val="24"/>
          <w:szCs w:val="24"/>
        </w:rPr>
        <w:t xml:space="preserve"> </w:t>
      </w:r>
      <w:r w:rsidRPr="002E63F1">
        <w:rPr>
          <w:rFonts w:cstheme="minorHAnsi"/>
          <w:sz w:val="24"/>
          <w:szCs w:val="24"/>
        </w:rPr>
        <w:t>(Accessed: 9</w:t>
      </w:r>
      <w:r w:rsidRPr="002E63F1">
        <w:rPr>
          <w:rFonts w:cstheme="minorHAnsi"/>
          <w:sz w:val="24"/>
          <w:szCs w:val="24"/>
          <w:vertAlign w:val="superscript"/>
        </w:rPr>
        <w:t xml:space="preserve">th </w:t>
      </w:r>
      <w:r w:rsidRPr="002E63F1">
        <w:rPr>
          <w:rFonts w:cstheme="minorHAnsi"/>
          <w:sz w:val="24"/>
          <w:szCs w:val="24"/>
        </w:rPr>
        <w:t xml:space="preserve">February </w:t>
      </w:r>
      <w:r w:rsidRPr="002E63F1">
        <w:rPr>
          <w:rFonts w:cstheme="minorHAnsi"/>
          <w:sz w:val="24"/>
          <w:szCs w:val="24"/>
        </w:rPr>
        <w:tab/>
        <w:t>2024).</w:t>
      </w:r>
    </w:p>
    <w:p w14:paraId="2397E4FC" w14:textId="6988C7B2" w:rsidR="002E63F1" w:rsidRPr="002E63F1" w:rsidRDefault="002E63F1" w:rsidP="006A4D29">
      <w:pPr>
        <w:pStyle w:val="AssignBody"/>
        <w:rPr>
          <w:rFonts w:asciiTheme="minorHAnsi" w:hAnsiTheme="minorHAnsi" w:cstheme="minorHAnsi"/>
          <w:bCs/>
          <w:sz w:val="24"/>
          <w:szCs w:val="24"/>
        </w:rPr>
      </w:pPr>
      <w:r w:rsidRPr="002E63F1">
        <w:rPr>
          <w:rFonts w:asciiTheme="minorHAnsi" w:hAnsiTheme="minorHAnsi" w:cstheme="minorHAnsi"/>
          <w:sz w:val="24"/>
          <w:szCs w:val="24"/>
        </w:rPr>
        <w:t>———</w:t>
      </w:r>
      <w:r w:rsidRPr="002E63F1">
        <w:rPr>
          <w:rFonts w:asciiTheme="minorHAnsi" w:hAnsiTheme="minorHAnsi" w:cstheme="minorHAnsi"/>
          <w:bCs/>
          <w:sz w:val="24"/>
          <w:szCs w:val="24"/>
        </w:rPr>
        <w:t xml:space="preserve"> (2022b)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Youth Engagement and Progression Framework: Overview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</w:r>
      <w:hyperlink r:id="rId18" w:history="1"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https://www.gov.wales/youth-engagement-and-progression-framework-overview</w:t>
        </w:r>
      </w:hyperlink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</w:r>
      <w:r w:rsidRPr="002E63F1">
        <w:rPr>
          <w:rFonts w:asciiTheme="minorHAnsi" w:hAnsiTheme="minorHAnsi" w:cstheme="minorHAnsi"/>
          <w:bCs/>
          <w:sz w:val="24"/>
          <w:szCs w:val="24"/>
        </w:rPr>
        <w:t>(Accessed on 15</w:t>
      </w:r>
      <w:r w:rsidRPr="002E63F1">
        <w:rPr>
          <w:rFonts w:asciiTheme="minorHAnsi" w:hAnsiTheme="minorHAnsi" w:cstheme="minorHAnsi"/>
          <w:bCs/>
          <w:sz w:val="24"/>
          <w:szCs w:val="24"/>
          <w:vertAlign w:val="superscript"/>
        </w:rPr>
        <w:t>th</w:t>
      </w:r>
      <w:r w:rsidRPr="002E63F1">
        <w:rPr>
          <w:rFonts w:asciiTheme="minorHAnsi" w:hAnsiTheme="minorHAnsi" w:cstheme="minorHAnsi"/>
          <w:bCs/>
          <w:sz w:val="24"/>
          <w:szCs w:val="24"/>
        </w:rPr>
        <w:t xml:space="preserve"> February 2024).</w:t>
      </w:r>
    </w:p>
    <w:p w14:paraId="15386001" w14:textId="5320C981" w:rsidR="002E63F1" w:rsidRPr="002E63F1" w:rsidRDefault="002E63F1" w:rsidP="006A4D29">
      <w:pPr>
        <w:pStyle w:val="AssignBody"/>
        <w:rPr>
          <w:rFonts w:asciiTheme="minorHAnsi" w:hAnsiTheme="minorHAnsi" w:cstheme="minorHAnsi"/>
          <w:bCs/>
          <w:sz w:val="24"/>
          <w:szCs w:val="24"/>
        </w:rPr>
      </w:pPr>
      <w:r w:rsidRPr="002E63F1">
        <w:rPr>
          <w:rFonts w:asciiTheme="minorHAnsi" w:hAnsiTheme="minorHAnsi" w:cstheme="minorHAnsi"/>
          <w:sz w:val="24"/>
          <w:szCs w:val="24"/>
        </w:rPr>
        <w:t>———</w:t>
      </w:r>
      <w:r w:rsidRPr="002E63F1">
        <w:rPr>
          <w:rFonts w:asciiTheme="minorHAnsi" w:hAnsiTheme="minorHAnsi" w:cstheme="minorHAnsi"/>
          <w:bCs/>
          <w:sz w:val="24"/>
          <w:szCs w:val="24"/>
        </w:rPr>
        <w:t xml:space="preserve"> (2023)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Developing Community Engagement in Community Focused Schools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ab/>
      </w:r>
      <w:hyperlink r:id="rId19" w:history="1"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https://www.gov.wales/annex-4-developing-community-engagement-</w:t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ab/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community-focused-schools</w:t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-</w:t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ab/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h</w:t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tml#:~:text=Developing%20community%20engagement%20can%3A,care%20and%</w:t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ab/>
        </w:r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20social%20care%20initiatives</w:t>
        </w:r>
      </w:hyperlink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</w:t>
      </w:r>
      <w:r w:rsidRPr="002E63F1">
        <w:rPr>
          <w:rFonts w:asciiTheme="minorHAnsi" w:hAnsiTheme="minorHAnsi" w:cstheme="minorHAnsi"/>
          <w:bCs/>
          <w:sz w:val="24"/>
          <w:szCs w:val="24"/>
        </w:rPr>
        <w:t>(Accessed 16</w:t>
      </w:r>
      <w:r w:rsidRPr="002E63F1">
        <w:rPr>
          <w:rFonts w:asciiTheme="minorHAnsi" w:hAnsiTheme="minorHAnsi" w:cstheme="minorHAnsi"/>
          <w:bCs/>
          <w:sz w:val="24"/>
          <w:szCs w:val="24"/>
          <w:vertAlign w:val="superscript"/>
        </w:rPr>
        <w:t>th</w:t>
      </w:r>
      <w:r w:rsidRPr="002E63F1">
        <w:rPr>
          <w:rFonts w:asciiTheme="minorHAnsi" w:hAnsiTheme="minorHAnsi" w:cstheme="minorHAnsi"/>
          <w:bCs/>
          <w:sz w:val="24"/>
          <w:szCs w:val="24"/>
        </w:rPr>
        <w:t xml:space="preserve"> February 2024).</w:t>
      </w:r>
    </w:p>
    <w:p w14:paraId="2EC7D2A4" w14:textId="77777777" w:rsidR="002E63F1" w:rsidRPr="002E63F1" w:rsidRDefault="002E63F1" w:rsidP="006A4D29">
      <w:pPr>
        <w:pStyle w:val="AssignBody"/>
        <w:rPr>
          <w:rFonts w:asciiTheme="minorHAnsi" w:hAnsiTheme="minorHAnsi" w:cstheme="minorHAnsi"/>
          <w:bCs/>
          <w:sz w:val="24"/>
          <w:szCs w:val="24"/>
        </w:rPr>
      </w:pPr>
      <w:r w:rsidRPr="002E63F1">
        <w:rPr>
          <w:rFonts w:asciiTheme="minorHAnsi" w:hAnsiTheme="minorHAnsi" w:cstheme="minorHAnsi"/>
          <w:bCs/>
          <w:sz w:val="24"/>
          <w:szCs w:val="24"/>
        </w:rPr>
        <w:t xml:space="preserve">YEPS (2024) </w:t>
      </w:r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YEPS </w:t>
      </w:r>
      <w:hyperlink r:id="rId20" w:history="1">
        <w:r w:rsidRPr="002E63F1">
          <w:rPr>
            <w:rStyle w:val="Hyperlink"/>
            <w:rFonts w:asciiTheme="minorHAnsi" w:hAnsiTheme="minorHAnsi" w:cstheme="minorHAnsi"/>
            <w:bCs/>
            <w:sz w:val="24"/>
            <w:szCs w:val="24"/>
          </w:rPr>
          <w:t>https://www.yeps.wales/#</w:t>
        </w:r>
      </w:hyperlink>
      <w:r w:rsidRPr="002E63F1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</w:t>
      </w:r>
      <w:r w:rsidRPr="002E63F1">
        <w:rPr>
          <w:rFonts w:asciiTheme="minorHAnsi" w:hAnsiTheme="minorHAnsi" w:cstheme="minorHAnsi"/>
          <w:bCs/>
          <w:sz w:val="24"/>
          <w:szCs w:val="24"/>
        </w:rPr>
        <w:t>(Accessed on 5</w:t>
      </w:r>
      <w:r w:rsidRPr="002E63F1">
        <w:rPr>
          <w:rFonts w:asciiTheme="minorHAnsi" w:hAnsiTheme="minorHAnsi" w:cstheme="minorHAnsi"/>
          <w:bCs/>
          <w:sz w:val="24"/>
          <w:szCs w:val="24"/>
          <w:vertAlign w:val="superscript"/>
        </w:rPr>
        <w:t>th</w:t>
      </w:r>
      <w:r w:rsidRPr="002E63F1">
        <w:rPr>
          <w:rFonts w:asciiTheme="minorHAnsi" w:hAnsiTheme="minorHAnsi" w:cstheme="minorHAnsi"/>
          <w:bCs/>
          <w:sz w:val="24"/>
          <w:szCs w:val="24"/>
        </w:rPr>
        <w:t xml:space="preserve"> February 2024).</w:t>
      </w:r>
    </w:p>
    <w:p w14:paraId="2764E373" w14:textId="77777777" w:rsidR="006A4D29" w:rsidRPr="006A4D29" w:rsidRDefault="006A4D29" w:rsidP="006A4D29">
      <w:pPr>
        <w:pStyle w:val="AssignBody"/>
        <w:rPr>
          <w:rFonts w:ascii="Calibri" w:hAnsi="Calibri" w:cs="Calibri"/>
          <w:bCs/>
          <w:sz w:val="24"/>
          <w:szCs w:val="24"/>
        </w:rPr>
      </w:pPr>
    </w:p>
    <w:p w14:paraId="2DC5D541" w14:textId="77777777" w:rsidR="006A4D29" w:rsidRPr="006A4D29" w:rsidRDefault="006A4D29" w:rsidP="00E611D9">
      <w:pPr>
        <w:pStyle w:val="AssignBody"/>
        <w:rPr>
          <w:bCs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143D2D" w14:textId="77777777" w:rsidR="00A43B9A" w:rsidRDefault="00A43B9A" w:rsidP="00E611D9">
      <w:pPr>
        <w:spacing w:after="0" w:line="240" w:lineRule="auto"/>
      </w:pPr>
      <w:r>
        <w:separator/>
      </w:r>
    </w:p>
  </w:endnote>
  <w:endnote w:type="continuationSeparator" w:id="0">
    <w:p w14:paraId="57F47406" w14:textId="77777777" w:rsidR="00A43B9A" w:rsidRDefault="00A43B9A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2EF2C4" w14:textId="77777777" w:rsidR="00A43B9A" w:rsidRDefault="00A43B9A" w:rsidP="00E611D9">
      <w:pPr>
        <w:spacing w:after="0" w:line="240" w:lineRule="auto"/>
      </w:pPr>
      <w:r>
        <w:separator/>
      </w:r>
    </w:p>
  </w:footnote>
  <w:footnote w:type="continuationSeparator" w:id="0">
    <w:p w14:paraId="45D6DDDB" w14:textId="77777777" w:rsidR="00A43B9A" w:rsidRDefault="00A43B9A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6006389" w:rsidR="006A4D2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A4D29">
            <w:rPr>
              <w:rFonts w:ascii="Arial" w:hAnsi="Arial" w:cs="Arial"/>
            </w:rPr>
            <w:t>: 6009/7003</w:t>
          </w:r>
        </w:p>
      </w:tc>
      <w:tc>
        <w:tcPr>
          <w:tcW w:w="4508" w:type="dxa"/>
        </w:tcPr>
        <w:p w14:paraId="51D506A0" w14:textId="02B4BF9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6A4D29">
            <w:rPr>
              <w:rFonts w:ascii="Arial" w:hAnsi="Arial" w:cs="Arial"/>
            </w:rPr>
            <w:t xml:space="preserve"> 2204215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3126A"/>
    <w:rsid w:val="002E63F1"/>
    <w:rsid w:val="003B567F"/>
    <w:rsid w:val="003E55AE"/>
    <w:rsid w:val="00433F17"/>
    <w:rsid w:val="004510F0"/>
    <w:rsid w:val="005956FB"/>
    <w:rsid w:val="006419C3"/>
    <w:rsid w:val="00691A46"/>
    <w:rsid w:val="006A4D29"/>
    <w:rsid w:val="006B5861"/>
    <w:rsid w:val="00817F7A"/>
    <w:rsid w:val="00877A8E"/>
    <w:rsid w:val="009A0ECE"/>
    <w:rsid w:val="009B47AE"/>
    <w:rsid w:val="00A43B9A"/>
    <w:rsid w:val="00A76DB5"/>
    <w:rsid w:val="00AD4EBD"/>
    <w:rsid w:val="00B2431A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A4D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4D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E63F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0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7536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158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177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ons.gov.uk/visualisations/labourmarketlocal/W06000016/#:~:text=Aro&#x9;und%204%2C300%20people%20aged%2016,is%20a%20rate%20of%203.9%25" TargetMode="External"/><Relationship Id="rId18" Type="http://schemas.openxmlformats.org/officeDocument/2006/relationships/hyperlink" Target="https://www.gov.wales/youth-engagement-and-progression-framework-overview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www.simplypsychology.org/bronfenbrenner.html" TargetMode="External"/><Relationship Id="rId17" Type="http://schemas.openxmlformats.org/officeDocument/2006/relationships/hyperlink" Target="https://mylocalschool.gov.wales/School/6744081?lang=e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wales/sites/default/files/publications/2018-%0912/theme-5-%09developing-community-partnerships-and-multi-agency-working-resources-1-2.pdf" TargetMode="External"/><Relationship Id="rId20" Type="http://schemas.openxmlformats.org/officeDocument/2006/relationships/hyperlink" Target="https://www.yeps.wales/#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system/files/2020-%0908/Treorchy%2520Comprehensive%2520School.pdf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gov.wales/sites/default/files/publications/2018-12/face-the-challenge-%09together-family-and-community-engagement-toolkit-for-schools-in-wales-main-%09guidance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gov.wales/sites/default/files/publications/2018-03/successful-%09futures.pdf" TargetMode="External"/><Relationship Id="rId19" Type="http://schemas.openxmlformats.org/officeDocument/2006/relationships/hyperlink" Target="https://www.gov.wales/annex-4-developing-community-engagement-%09community-focused-schools-%09html#:~:text=Developing%20community%20engagement%20can%3A,care%20and%&#x9;20social%20care%20initiatives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ethical-guidelines-for-educational-research-%092011" TargetMode="External"/><Relationship Id="rId14" Type="http://schemas.openxmlformats.org/officeDocument/2006/relationships/hyperlink" Target="https://www.wcpp.org.uk/wp-content/uploads/2019/06/Increasing-the-Use-of-%09School-Facilities-Report.pdf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642</Words>
  <Characters>3665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Morgan Lawrence (2204215)</cp:lastModifiedBy>
  <cp:revision>3</cp:revision>
  <dcterms:created xsi:type="dcterms:W3CDTF">2024-03-04T17:35:00Z</dcterms:created>
  <dcterms:modified xsi:type="dcterms:W3CDTF">2024-03-04T18:19:00Z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