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56587F58"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8F3B9E">
        <w:rPr>
          <w:rFonts w:asciiTheme="minorBidi" w:hAnsiTheme="minorBidi"/>
          <w:sz w:val="28"/>
          <w:szCs w:val="28"/>
        </w:rPr>
        <w:t>Maria-Gabriela Ion</w:t>
      </w:r>
    </w:p>
    <w:p w14:paraId="485B6F49" w14:textId="7DE613D3"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8F3B9E">
        <w:rPr>
          <w:rFonts w:asciiTheme="minorBidi" w:hAnsiTheme="minorBidi"/>
          <w:sz w:val="28"/>
          <w:szCs w:val="28"/>
        </w:rPr>
        <w:t>2509672</w:t>
      </w:r>
    </w:p>
    <w:p w14:paraId="3C1E7A20" w14:textId="2AEDDD41"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8F3B9E" w:rsidRPr="008F3B9E">
        <w:rPr>
          <w:rFonts w:asciiTheme="minorBidi" w:hAnsiTheme="minorBidi"/>
          <w:sz w:val="28"/>
          <w:szCs w:val="28"/>
        </w:rPr>
        <w:t>LCHS4001</w:t>
      </w:r>
    </w:p>
    <w:p w14:paraId="4EEB2DA3" w14:textId="29BCD3E1"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8F3B9E" w:rsidRPr="008F3B9E">
        <w:rPr>
          <w:rFonts w:asciiTheme="minorBidi" w:hAnsiTheme="minorBidi"/>
          <w:sz w:val="28"/>
          <w:szCs w:val="28"/>
        </w:rPr>
        <w:t>Academic and Employability Skills</w:t>
      </w:r>
    </w:p>
    <w:p w14:paraId="112342CB" w14:textId="3993D1EA"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8F3B9E" w:rsidRPr="008F3B9E">
        <w:rPr>
          <w:rFonts w:asciiTheme="minorBidi" w:hAnsiTheme="minorBidi"/>
          <w:sz w:val="28"/>
          <w:szCs w:val="28"/>
        </w:rPr>
        <w:t>Natalia Dozie</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4D1F1229"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8F3B9E">
        <w:rPr>
          <w:rFonts w:asciiTheme="minorBidi" w:hAnsiTheme="minorBidi"/>
          <w:sz w:val="28"/>
          <w:szCs w:val="28"/>
        </w:rPr>
        <w:t>0</w:t>
      </w:r>
      <w:r w:rsidR="001248C4">
        <w:rPr>
          <w:rFonts w:asciiTheme="minorBidi" w:hAnsiTheme="minorBidi"/>
          <w:sz w:val="28"/>
          <w:szCs w:val="28"/>
        </w:rPr>
        <w:t>6</w:t>
      </w:r>
      <w:r w:rsidR="008F3B9E">
        <w:rPr>
          <w:rFonts w:asciiTheme="minorBidi" w:hAnsiTheme="minorBidi"/>
          <w:sz w:val="28"/>
          <w:szCs w:val="28"/>
        </w:rPr>
        <w:t>.</w:t>
      </w:r>
      <w:r w:rsidR="005639F2">
        <w:rPr>
          <w:rFonts w:asciiTheme="minorBidi" w:hAnsiTheme="minorBidi"/>
          <w:sz w:val="28"/>
          <w:szCs w:val="28"/>
        </w:rPr>
        <w:t>12</w:t>
      </w:r>
      <w:r w:rsidR="008F3B9E">
        <w:rPr>
          <w:rFonts w:asciiTheme="minorBidi" w:hAnsiTheme="minorBidi"/>
          <w:sz w:val="28"/>
          <w:szCs w:val="28"/>
        </w:rPr>
        <w:t>.2025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505B450C" w:rsidR="00824CB1" w:rsidRDefault="0CF501EC" w:rsidP="0CF501EC">
          <w:pPr>
            <w:pStyle w:val="TOC2"/>
            <w:tabs>
              <w:tab w:val="right" w:leader="dot" w:pos="9015"/>
            </w:tabs>
            <w:rPr>
              <w:rStyle w:val="Hyperlink"/>
              <w:noProof/>
              <w:lang w:eastAsia="en-GB"/>
            </w:rPr>
          </w:pPr>
          <w:hyperlink w:anchor="_Toc1915621813">
            <w:r w:rsidRPr="0CF501EC">
              <w:rPr>
                <w:rStyle w:val="Hyperlink"/>
              </w:rPr>
              <w:t xml:space="preserve">2 </w:t>
            </w:r>
            <w:r w:rsidR="008F3B9E" w:rsidRPr="008F3B9E">
              <w:rPr>
                <w:rStyle w:val="Hyperlink"/>
              </w:rPr>
              <w:t>Health Visitor</w:t>
            </w:r>
            <w:r w:rsidRPr="0CF501EC">
              <w:rPr>
                <w:rStyle w:val="Hyperlink"/>
              </w:rPr>
              <w:t xml:space="preserv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75FCB50C" w:rsidR="00824CB1" w:rsidRDefault="0CF501EC" w:rsidP="0CF501EC">
          <w:pPr>
            <w:pStyle w:val="TOC2"/>
            <w:tabs>
              <w:tab w:val="right" w:leader="dot" w:pos="9015"/>
            </w:tabs>
            <w:rPr>
              <w:rStyle w:val="Hyperlink"/>
              <w:noProof/>
              <w:lang w:eastAsia="en-GB"/>
            </w:rPr>
          </w:pPr>
          <w:hyperlink w:anchor="_Toc796087951">
            <w:r w:rsidRPr="0CF501EC">
              <w:rPr>
                <w:rStyle w:val="Hyperlink"/>
              </w:rPr>
              <w:t xml:space="preserve">2.1 Description of </w:t>
            </w:r>
            <w:r w:rsidR="008F3B9E" w:rsidRPr="008F3B9E">
              <w:rPr>
                <w:rStyle w:val="Hyperlink"/>
              </w:rPr>
              <w:t xml:space="preserve">Health Visitor </w:t>
            </w:r>
            <w:r w:rsidRPr="0CF501EC">
              <w:rPr>
                <w:rStyle w:val="Hyperlink"/>
              </w:rPr>
              <w:t>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135CE0D7" w:rsidR="00824CB1" w:rsidRDefault="0CF501EC" w:rsidP="0CF501EC">
          <w:pPr>
            <w:pStyle w:val="TOC2"/>
            <w:tabs>
              <w:tab w:val="right" w:leader="dot" w:pos="9015"/>
            </w:tabs>
            <w:rPr>
              <w:rStyle w:val="Hyperlink"/>
              <w:noProof/>
              <w:lang w:eastAsia="en-GB"/>
            </w:rPr>
          </w:pPr>
          <w:hyperlink w:anchor="_Toc1426973069">
            <w:r w:rsidRPr="0CF501EC">
              <w:rPr>
                <w:rStyle w:val="Hyperlink"/>
              </w:rPr>
              <w:t xml:space="preserve">2.2 Explanation of Most Significant Skills Needed for </w:t>
            </w:r>
            <w:r w:rsidR="008F3B9E" w:rsidRPr="008F3B9E">
              <w:rPr>
                <w:rStyle w:val="Hyperlink"/>
              </w:rPr>
              <w:t>Health Visitor</w:t>
            </w:r>
            <w:r w:rsidRPr="0CF501EC">
              <w:rPr>
                <w:rStyle w:val="Hyperlink"/>
              </w:rPr>
              <w:t xml:space="preserv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7F338121" w:rsidR="00824CB1" w:rsidRDefault="0CF501EC" w:rsidP="0CF501EC">
          <w:pPr>
            <w:pStyle w:val="TOC2"/>
            <w:tabs>
              <w:tab w:val="right" w:leader="dot" w:pos="9015"/>
            </w:tabs>
            <w:rPr>
              <w:rStyle w:val="Hyperlink"/>
              <w:noProof/>
              <w:lang w:eastAsia="en-GB"/>
            </w:rPr>
          </w:pPr>
          <w:hyperlink w:anchor="_Toc992114325">
            <w:r w:rsidRPr="0CF501EC">
              <w:rPr>
                <w:rStyle w:val="Hyperlink"/>
              </w:rPr>
              <w:t>3 Strategies for Skill Improvement for</w:t>
            </w:r>
            <w:r w:rsidR="008F3B9E" w:rsidRPr="008F3B9E">
              <w:t xml:space="preserve"> </w:t>
            </w:r>
            <w:r w:rsidR="008F3B9E" w:rsidRPr="008F3B9E">
              <w:rPr>
                <w:rStyle w:val="Hyperlink"/>
              </w:rPr>
              <w:t>Health Visitor</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663549D4" w:rsidR="00824CB1" w:rsidRDefault="0CF501EC" w:rsidP="0CF501EC">
          <w:pPr>
            <w:pStyle w:val="TOC2"/>
            <w:tabs>
              <w:tab w:val="right" w:leader="dot" w:pos="9015"/>
            </w:tabs>
            <w:rPr>
              <w:rStyle w:val="Hyperlink"/>
              <w:noProof/>
              <w:lang w:eastAsia="en-GB"/>
            </w:rPr>
          </w:pPr>
          <w:hyperlink w:anchor="_Toc1405407187">
            <w:r w:rsidRPr="0CF501EC">
              <w:rPr>
                <w:rStyle w:val="Hyperlink"/>
              </w:rPr>
              <w:t xml:space="preserve">3.1 Three Strategies to Improve the Skills for </w:t>
            </w:r>
            <w:r w:rsidR="008F3B9E" w:rsidRPr="008F3B9E">
              <w:rPr>
                <w:rStyle w:val="Hyperlink"/>
              </w:rPr>
              <w:t>Health Visitor</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80C4121" w:rsidR="002E71BA" w:rsidRPr="00242974" w:rsidRDefault="002E71BA">
      <w:pPr>
        <w:rPr>
          <w:b/>
          <w:bCs/>
          <w:sz w:val="21"/>
          <w:szCs w:val="21"/>
        </w:rPr>
      </w:pPr>
      <w:r w:rsidRPr="00242974">
        <w:rPr>
          <w:b/>
          <w:bCs/>
          <w:sz w:val="21"/>
          <w:szCs w:val="21"/>
        </w:rPr>
        <w:br w:type="page"/>
      </w:r>
    </w:p>
    <w:p w14:paraId="7E817B09" w14:textId="24713B7E" w:rsidR="00A035CD" w:rsidRDefault="00A035CD" w:rsidP="00D375A3">
      <w:pPr>
        <w:pStyle w:val="Heading2"/>
        <w:numPr>
          <w:ilvl w:val="1"/>
          <w:numId w:val="33"/>
        </w:numPr>
        <w:rPr>
          <w:rFonts w:ascii="Arial" w:hAnsi="Arial" w:cs="Arial"/>
          <w:color w:val="4471C4"/>
          <w:sz w:val="24"/>
          <w:szCs w:val="24"/>
        </w:rPr>
      </w:pPr>
      <w:bookmarkStart w:id="0" w:name="_Toc695233283"/>
      <w:r w:rsidRPr="007B4802">
        <w:rPr>
          <w:rFonts w:ascii="Arial" w:hAnsi="Arial" w:cs="Arial"/>
          <w:color w:val="4471C4"/>
          <w:sz w:val="24"/>
          <w:szCs w:val="24"/>
        </w:rPr>
        <w:lastRenderedPageBreak/>
        <w:t>Introduction</w:t>
      </w:r>
      <w:bookmarkEnd w:id="0"/>
    </w:p>
    <w:p w14:paraId="6649488D" w14:textId="77777777" w:rsidR="00D375A3" w:rsidRPr="00D375A3" w:rsidRDefault="00D375A3" w:rsidP="00D375A3"/>
    <w:p w14:paraId="0FCBC6D5" w14:textId="2CE9997B" w:rsidR="00546452" w:rsidRPr="007B4802" w:rsidRDefault="00546452" w:rsidP="0CF501EC">
      <w:pPr>
        <w:pStyle w:val="Heading2"/>
        <w:rPr>
          <w:rFonts w:ascii="Arial" w:eastAsiaTheme="minorEastAsia" w:hAnsi="Arial" w:cs="Arial"/>
          <w:color w:val="auto"/>
          <w:sz w:val="24"/>
          <w:szCs w:val="24"/>
        </w:rPr>
      </w:pPr>
      <w:bookmarkStart w:id="1" w:name="_Toc1915621813"/>
      <w:r w:rsidRPr="007B4802">
        <w:rPr>
          <w:rFonts w:ascii="Arial" w:eastAsiaTheme="minorEastAsia" w:hAnsi="Arial" w:cs="Arial"/>
          <w:color w:val="auto"/>
          <w:sz w:val="24"/>
          <w:szCs w:val="24"/>
        </w:rPr>
        <w:t xml:space="preserve">Roles within </w:t>
      </w:r>
      <w:r w:rsidR="003329B1" w:rsidRPr="007B4802">
        <w:rPr>
          <w:rFonts w:ascii="Arial" w:eastAsiaTheme="minorEastAsia" w:hAnsi="Arial" w:cs="Arial"/>
          <w:color w:val="auto"/>
          <w:sz w:val="24"/>
          <w:szCs w:val="24"/>
        </w:rPr>
        <w:t>H</w:t>
      </w:r>
      <w:r w:rsidRPr="007B4802">
        <w:rPr>
          <w:rFonts w:ascii="Arial" w:eastAsiaTheme="minorEastAsia" w:hAnsi="Arial" w:cs="Arial"/>
          <w:color w:val="auto"/>
          <w:sz w:val="24"/>
          <w:szCs w:val="24"/>
        </w:rPr>
        <w:t xml:space="preserve">ealth and </w:t>
      </w:r>
      <w:r w:rsidR="003329B1" w:rsidRPr="007B4802">
        <w:rPr>
          <w:rFonts w:ascii="Arial" w:eastAsiaTheme="minorEastAsia" w:hAnsi="Arial" w:cs="Arial"/>
          <w:color w:val="auto"/>
          <w:sz w:val="24"/>
          <w:szCs w:val="24"/>
        </w:rPr>
        <w:t>S</w:t>
      </w:r>
      <w:r w:rsidRPr="007B4802">
        <w:rPr>
          <w:rFonts w:ascii="Arial" w:eastAsiaTheme="minorEastAsia" w:hAnsi="Arial" w:cs="Arial"/>
          <w:color w:val="auto"/>
          <w:sz w:val="24"/>
          <w:szCs w:val="24"/>
        </w:rPr>
        <w:t xml:space="preserve">ocial </w:t>
      </w:r>
      <w:r w:rsidR="003329B1" w:rsidRPr="007B4802">
        <w:rPr>
          <w:rFonts w:ascii="Arial" w:eastAsiaTheme="minorEastAsia" w:hAnsi="Arial" w:cs="Arial"/>
          <w:color w:val="auto"/>
          <w:sz w:val="24"/>
          <w:szCs w:val="24"/>
        </w:rPr>
        <w:t>C</w:t>
      </w:r>
      <w:r w:rsidRPr="007B4802">
        <w:rPr>
          <w:rFonts w:ascii="Arial" w:eastAsiaTheme="minorEastAsia" w:hAnsi="Arial" w:cs="Arial"/>
          <w:color w:val="auto"/>
          <w:sz w:val="24"/>
          <w:szCs w:val="24"/>
        </w:rPr>
        <w:t>are are fundamental to ensuring safe, effective, and equitable services for individuals and communities. Each role contributes to the delivery of high</w:t>
      </w:r>
      <w:r w:rsidRPr="007B4802">
        <w:rPr>
          <w:rFonts w:ascii="Cambria Math" w:eastAsiaTheme="minorEastAsia" w:hAnsi="Cambria Math" w:cs="Cambria Math"/>
          <w:color w:val="auto"/>
          <w:sz w:val="24"/>
          <w:szCs w:val="24"/>
        </w:rPr>
        <w:t>‑</w:t>
      </w:r>
      <w:r w:rsidRPr="007B4802">
        <w:rPr>
          <w:rFonts w:ascii="Arial" w:eastAsiaTheme="minorEastAsia" w:hAnsi="Arial" w:cs="Arial"/>
          <w:color w:val="auto"/>
          <w:sz w:val="24"/>
          <w:szCs w:val="24"/>
        </w:rPr>
        <w:t>quality care and the reduction of health inequalities. The Health Visitor, a specialist community public health nurse, plays a crucial role in supporting families and young children by promoting health and preventing illness (Health Careers, 2023). Their work extends beyond individual family support to wider public health initiatives, such as safeguarding vulnerable groups, reducing health disparities, and fostering resilience within communities. By acting as a bridge between families and multidisciplinary services, health visitors ensure that early intervention and holistic care are delivered at the most critical stages of child development. This report will describe the role and its responsibilities, explain the most significant skills required, and discuss strategies for improving these skills before concluding with a summary of their importance to safe practice.</w:t>
      </w:r>
    </w:p>
    <w:p w14:paraId="773955A1" w14:textId="77777777" w:rsidR="003329B1" w:rsidRPr="007B4802" w:rsidRDefault="003329B1" w:rsidP="003329B1">
      <w:pPr>
        <w:rPr>
          <w:rFonts w:ascii="Arial" w:hAnsi="Arial" w:cs="Arial"/>
          <w:sz w:val="24"/>
          <w:szCs w:val="24"/>
        </w:rPr>
      </w:pPr>
    </w:p>
    <w:p w14:paraId="64F36E68" w14:textId="1B0E547C" w:rsidR="3C659699" w:rsidRPr="007B4802" w:rsidRDefault="3C659699" w:rsidP="0CF501EC">
      <w:pPr>
        <w:pStyle w:val="Heading2"/>
        <w:rPr>
          <w:rFonts w:ascii="Arial" w:hAnsi="Arial" w:cs="Arial"/>
          <w:color w:val="4472C4" w:themeColor="accent1"/>
          <w:sz w:val="24"/>
          <w:szCs w:val="24"/>
        </w:rPr>
      </w:pPr>
      <w:r w:rsidRPr="007B4802">
        <w:rPr>
          <w:rFonts w:ascii="Arial" w:hAnsi="Arial" w:cs="Arial"/>
          <w:color w:val="4471C4"/>
          <w:sz w:val="24"/>
          <w:szCs w:val="24"/>
        </w:rPr>
        <w:t xml:space="preserve">2 </w:t>
      </w:r>
      <w:bookmarkEnd w:id="1"/>
      <w:r w:rsidR="00C164DE" w:rsidRPr="007B4802">
        <w:rPr>
          <w:rFonts w:ascii="Arial" w:hAnsi="Arial" w:cs="Arial"/>
          <w:color w:val="4471C4"/>
          <w:sz w:val="24"/>
          <w:szCs w:val="24"/>
        </w:rPr>
        <w:t>Health Visitor in the Health and Social Care Field</w:t>
      </w:r>
    </w:p>
    <w:p w14:paraId="3C079BEF" w14:textId="401104E7" w:rsidR="0156E134" w:rsidRPr="007B4802" w:rsidRDefault="0156E134" w:rsidP="0156E134">
      <w:pPr>
        <w:spacing w:after="0" w:line="240" w:lineRule="auto"/>
        <w:jc w:val="both"/>
        <w:rPr>
          <w:rFonts w:ascii="Arial" w:hAnsi="Arial" w:cs="Arial"/>
          <w:sz w:val="24"/>
          <w:szCs w:val="24"/>
        </w:rPr>
      </w:pPr>
    </w:p>
    <w:p w14:paraId="41CEFBED" w14:textId="77777777" w:rsidR="00D375A3" w:rsidRDefault="5CF7C3DB" w:rsidP="00C164DE">
      <w:pPr>
        <w:pStyle w:val="Heading2"/>
        <w:rPr>
          <w:rFonts w:ascii="Arial" w:hAnsi="Arial" w:cs="Arial"/>
          <w:color w:val="4471C4"/>
          <w:sz w:val="24"/>
          <w:szCs w:val="24"/>
        </w:rPr>
      </w:pPr>
      <w:bookmarkStart w:id="2" w:name="_Toc796087951"/>
      <w:r w:rsidRPr="007B4802">
        <w:rPr>
          <w:rFonts w:ascii="Arial" w:hAnsi="Arial" w:cs="Arial"/>
          <w:color w:val="4471C4"/>
          <w:sz w:val="24"/>
          <w:szCs w:val="24"/>
        </w:rPr>
        <w:t>2.1</w:t>
      </w:r>
      <w:r w:rsidR="002370CE" w:rsidRPr="007B4802">
        <w:rPr>
          <w:rFonts w:ascii="Arial" w:hAnsi="Arial" w:cs="Arial"/>
          <w:color w:val="4471C4"/>
          <w:sz w:val="24"/>
          <w:szCs w:val="24"/>
        </w:rPr>
        <w:t xml:space="preserve"> </w:t>
      </w:r>
      <w:bookmarkEnd w:id="2"/>
      <w:r w:rsidR="00C164DE" w:rsidRPr="007B4802">
        <w:rPr>
          <w:rFonts w:ascii="Arial" w:hAnsi="Arial" w:cs="Arial"/>
          <w:color w:val="4471C4"/>
          <w:sz w:val="24"/>
          <w:szCs w:val="24"/>
        </w:rPr>
        <w:t>Description of the Health Visitor in Health and Social Care</w:t>
      </w:r>
    </w:p>
    <w:p w14:paraId="7D4AC028" w14:textId="56317128" w:rsidR="00C164DE" w:rsidRPr="007B4802" w:rsidRDefault="00C164DE" w:rsidP="00C164DE">
      <w:pPr>
        <w:pStyle w:val="Heading2"/>
        <w:rPr>
          <w:rFonts w:ascii="Arial" w:hAnsi="Arial" w:cs="Arial"/>
          <w:color w:val="4471C4"/>
          <w:sz w:val="24"/>
          <w:szCs w:val="24"/>
        </w:rPr>
      </w:pPr>
      <w:r w:rsidRPr="007B4802">
        <w:rPr>
          <w:rFonts w:ascii="Arial" w:hAnsi="Arial" w:cs="Arial"/>
          <w:color w:val="4471C4"/>
          <w:sz w:val="24"/>
          <w:szCs w:val="24"/>
        </w:rPr>
        <w:t xml:space="preserve"> </w:t>
      </w:r>
    </w:p>
    <w:p w14:paraId="6FD7D48D" w14:textId="77777777" w:rsidR="00071B59" w:rsidRPr="00071B59" w:rsidRDefault="00071B59" w:rsidP="00071B59">
      <w:pPr>
        <w:rPr>
          <w:rFonts w:ascii="Arial" w:eastAsiaTheme="majorEastAsia" w:hAnsi="Arial" w:cs="Arial"/>
          <w:color w:val="000000" w:themeColor="text1"/>
          <w:sz w:val="24"/>
          <w:szCs w:val="24"/>
        </w:rPr>
      </w:pPr>
      <w:bookmarkStart w:id="3" w:name="_Toc1426973069"/>
      <w:r w:rsidRPr="00071B59">
        <w:rPr>
          <w:rFonts w:ascii="Arial" w:eastAsiaTheme="majorEastAsia" w:hAnsi="Arial" w:cs="Arial"/>
          <w:color w:val="000000" w:themeColor="text1"/>
          <w:sz w:val="24"/>
          <w:szCs w:val="24"/>
        </w:rPr>
        <w:t>Health Visitors are registered nurses or midwives who undertake postgraduate training in community public health nursing, qualifying as Specialist Community Public Health Nurses (SCPHN). Their work is essential because it supports families during the critical early years of a child’s life, aiming to reduce inequalities and promote wellbeing (Institute of Health Visiting, 2023). They lead the Healthy Child Programme, which provides universal services for all families while offering targeted interventions for those with additional needs. This includes conducting developmental checks to monitor growth and learning, advising parents on immunisation, nutrition, and safe sleep, and safeguarding children from risks such as neglect or domestic abuse (Prospects, 2023).</w:t>
      </w:r>
    </w:p>
    <w:p w14:paraId="4602299F" w14:textId="77777777" w:rsidR="00071B59" w:rsidRPr="00071B59" w:rsidRDefault="00071B59" w:rsidP="00071B59">
      <w:pPr>
        <w:rPr>
          <w:rFonts w:ascii="Arial" w:eastAsiaTheme="majorEastAsia" w:hAnsi="Arial" w:cs="Arial"/>
          <w:color w:val="000000" w:themeColor="text1"/>
          <w:sz w:val="24"/>
          <w:szCs w:val="24"/>
        </w:rPr>
      </w:pPr>
      <w:r w:rsidRPr="00071B59">
        <w:rPr>
          <w:rFonts w:ascii="Arial" w:eastAsiaTheme="majorEastAsia" w:hAnsi="Arial" w:cs="Arial"/>
          <w:color w:val="000000" w:themeColor="text1"/>
          <w:sz w:val="24"/>
          <w:szCs w:val="24"/>
        </w:rPr>
        <w:t>In addition to these responsibilities, health visitors play a broader role in supporting parental mental health, particularly around postnatal depression and stress, helping families to build resilience and confidence. They also provide guidance on child behaviour and parenting</w:t>
      </w:r>
      <w:r w:rsidRPr="00071B59">
        <w:rPr>
          <w:rFonts w:ascii="Arial" w:eastAsiaTheme="majorEastAsia" w:hAnsi="Arial" w:cs="Arial"/>
          <w:b/>
          <w:bCs/>
          <w:color w:val="000000" w:themeColor="text1"/>
          <w:sz w:val="24"/>
          <w:szCs w:val="24"/>
        </w:rPr>
        <w:t xml:space="preserve"> </w:t>
      </w:r>
      <w:r w:rsidRPr="00071B59">
        <w:rPr>
          <w:rFonts w:ascii="Arial" w:eastAsiaTheme="majorEastAsia" w:hAnsi="Arial" w:cs="Arial"/>
          <w:color w:val="000000" w:themeColor="text1"/>
          <w:sz w:val="24"/>
          <w:szCs w:val="24"/>
        </w:rPr>
        <w:t>strategies, supporting families to manage challenges such as sleep routines, feeding difficulties, or early learning needs. Health visitors act as a bridge between families and</w:t>
      </w:r>
      <w:r w:rsidRPr="00071B59">
        <w:rPr>
          <w:rFonts w:ascii="Arial" w:eastAsiaTheme="majorEastAsia" w:hAnsi="Arial" w:cs="Arial"/>
          <w:b/>
          <w:bCs/>
          <w:color w:val="000000" w:themeColor="text1"/>
          <w:sz w:val="24"/>
          <w:szCs w:val="24"/>
        </w:rPr>
        <w:t xml:space="preserve"> </w:t>
      </w:r>
      <w:r w:rsidRPr="00071B59">
        <w:rPr>
          <w:rFonts w:ascii="Arial" w:eastAsiaTheme="majorEastAsia" w:hAnsi="Arial" w:cs="Arial"/>
          <w:color w:val="000000" w:themeColor="text1"/>
          <w:sz w:val="24"/>
          <w:szCs w:val="24"/>
        </w:rPr>
        <w:t>wider health and social care services, ensuring that vulnerable groups are connected to appropriate support. Their preventative focus contributes not only to improved outcomes for children and families but also to the reduction of long</w:t>
      </w:r>
      <w:r w:rsidRPr="00071B59">
        <w:rPr>
          <w:rFonts w:ascii="Arial" w:eastAsiaTheme="majorEastAsia" w:hAnsi="Arial" w:cs="Arial"/>
          <w:color w:val="000000" w:themeColor="text1"/>
          <w:sz w:val="24"/>
          <w:szCs w:val="24"/>
        </w:rPr>
        <w:noBreakHyphen/>
        <w:t>term healthcare costs by addressing issues early.</w:t>
      </w:r>
    </w:p>
    <w:p w14:paraId="0F88503A" w14:textId="77777777" w:rsidR="00D375A3" w:rsidRDefault="00071B59" w:rsidP="00D375A3">
      <w:pPr>
        <w:rPr>
          <w:rFonts w:ascii="Arial" w:eastAsiaTheme="majorEastAsia" w:hAnsi="Arial" w:cs="Arial"/>
          <w:color w:val="000000" w:themeColor="text1"/>
          <w:sz w:val="24"/>
          <w:szCs w:val="24"/>
        </w:rPr>
      </w:pPr>
      <w:r w:rsidRPr="00071B59">
        <w:rPr>
          <w:rFonts w:ascii="Arial" w:eastAsiaTheme="majorEastAsia" w:hAnsi="Arial" w:cs="Arial"/>
          <w:color w:val="000000" w:themeColor="text1"/>
          <w:sz w:val="24"/>
          <w:szCs w:val="24"/>
        </w:rPr>
        <w:t>The role requires strong communication skills to build trust with families, critical thinking to assess risks and make evidence</w:t>
      </w:r>
      <w:r w:rsidRPr="00071B59">
        <w:rPr>
          <w:rFonts w:ascii="Arial" w:eastAsiaTheme="majorEastAsia" w:hAnsi="Arial" w:cs="Arial"/>
          <w:color w:val="000000" w:themeColor="text1"/>
          <w:sz w:val="24"/>
          <w:szCs w:val="24"/>
        </w:rPr>
        <w:noBreakHyphen/>
        <w:t xml:space="preserve">based decisions, and effective time management to balance caseloads and ensure timely interventions (Xpress Health NI, 2024). These skills underpin the ability of Health Visitors to deliver safe, </w:t>
      </w:r>
      <w:r w:rsidRPr="00071B59">
        <w:rPr>
          <w:rFonts w:ascii="Arial" w:eastAsiaTheme="majorEastAsia" w:hAnsi="Arial" w:cs="Arial"/>
          <w:color w:val="000000" w:themeColor="text1"/>
          <w:sz w:val="24"/>
          <w:szCs w:val="24"/>
        </w:rPr>
        <w:lastRenderedPageBreak/>
        <w:t>high</w:t>
      </w:r>
      <w:r w:rsidRPr="00071B59">
        <w:rPr>
          <w:rFonts w:ascii="Arial" w:eastAsiaTheme="majorEastAsia" w:hAnsi="Arial" w:cs="Arial"/>
          <w:color w:val="000000" w:themeColor="text1"/>
          <w:sz w:val="24"/>
          <w:szCs w:val="24"/>
        </w:rPr>
        <w:noBreakHyphen/>
        <w:t>quality care and to act as advocates for vulnerable families, reinforcing their central role in promoting public health and reducing inequalities across communities.</w:t>
      </w:r>
    </w:p>
    <w:p w14:paraId="57999F3B" w14:textId="77777777" w:rsidR="00D375A3" w:rsidRDefault="04019B15" w:rsidP="00D375A3">
      <w:pPr>
        <w:rPr>
          <w:rFonts w:ascii="Arial" w:hAnsi="Arial" w:cs="Arial"/>
          <w:color w:val="4471C4"/>
          <w:sz w:val="24"/>
          <w:szCs w:val="24"/>
        </w:rPr>
      </w:pPr>
      <w:r w:rsidRPr="007B4802">
        <w:rPr>
          <w:rFonts w:ascii="Arial" w:hAnsi="Arial" w:cs="Arial"/>
          <w:color w:val="4471C4"/>
          <w:sz w:val="24"/>
          <w:szCs w:val="24"/>
        </w:rPr>
        <w:t>2.2</w:t>
      </w:r>
      <w:r w:rsidR="00676FEB" w:rsidRPr="007B4802">
        <w:rPr>
          <w:rFonts w:ascii="Arial" w:hAnsi="Arial" w:cs="Arial"/>
          <w:color w:val="4471C4"/>
          <w:sz w:val="24"/>
          <w:szCs w:val="24"/>
        </w:rPr>
        <w:t xml:space="preserve"> </w:t>
      </w:r>
      <w:bookmarkEnd w:id="3"/>
      <w:r w:rsidR="00C164DE" w:rsidRPr="007B4802">
        <w:rPr>
          <w:rFonts w:ascii="Arial" w:hAnsi="Arial" w:cs="Arial"/>
          <w:color w:val="4471C4"/>
          <w:sz w:val="24"/>
          <w:szCs w:val="24"/>
        </w:rPr>
        <w:t xml:space="preserve">Explanation of Most Significant Skills Needed for Health Visitors in Health and Social Care </w:t>
      </w:r>
      <w:bookmarkStart w:id="4" w:name="_Toc992114325"/>
    </w:p>
    <w:p w14:paraId="254A1563" w14:textId="77777777" w:rsidR="00D375A3" w:rsidRDefault="00E02B9A" w:rsidP="00D375A3">
      <w:pPr>
        <w:rPr>
          <w:rFonts w:ascii="Arial" w:hAnsi="Arial" w:cs="Arial"/>
          <w:color w:val="000000" w:themeColor="text1"/>
          <w:sz w:val="24"/>
          <w:szCs w:val="24"/>
        </w:rPr>
      </w:pPr>
      <w:r w:rsidRPr="007B4802">
        <w:rPr>
          <w:rFonts w:ascii="Arial" w:hAnsi="Arial" w:cs="Arial"/>
          <w:color w:val="000000" w:themeColor="text1"/>
          <w:sz w:val="24"/>
          <w:szCs w:val="24"/>
        </w:rPr>
        <w:t>Firstly, e</w:t>
      </w:r>
      <w:r w:rsidR="001C161D" w:rsidRPr="007B4802">
        <w:rPr>
          <w:rFonts w:ascii="Arial" w:hAnsi="Arial" w:cs="Arial"/>
          <w:color w:val="000000" w:themeColor="text1"/>
          <w:sz w:val="24"/>
          <w:szCs w:val="24"/>
        </w:rPr>
        <w:t>ffective communication is a significant skill for Health Visitors. Clear, empathetic communication enables professionals to build trust with families and encourage positive behavioural change. For example, when advising parents about immunisation schedules, communication must be adapted to cultural and linguistic needs to ensure understanding (</w:t>
      </w:r>
      <w:proofErr w:type="spellStart"/>
      <w:r w:rsidR="001C161D" w:rsidRPr="007B4802">
        <w:rPr>
          <w:rFonts w:ascii="Arial" w:hAnsi="Arial" w:cs="Arial"/>
          <w:color w:val="000000" w:themeColor="text1"/>
          <w:sz w:val="24"/>
          <w:szCs w:val="24"/>
        </w:rPr>
        <w:t>Clinicspots</w:t>
      </w:r>
      <w:proofErr w:type="spellEnd"/>
      <w:r w:rsidR="001C161D" w:rsidRPr="007B4802">
        <w:rPr>
          <w:rFonts w:ascii="Arial" w:hAnsi="Arial" w:cs="Arial"/>
          <w:color w:val="000000" w:themeColor="text1"/>
          <w:sz w:val="24"/>
          <w:szCs w:val="24"/>
        </w:rPr>
        <w:t>, 2025). Without strong communication, families may disengage, leading to poorer health outcomes.</w:t>
      </w:r>
    </w:p>
    <w:p w14:paraId="1290862C" w14:textId="130E43C2" w:rsidR="001C161D" w:rsidRPr="00D375A3" w:rsidRDefault="007B4802" w:rsidP="00D375A3">
      <w:pPr>
        <w:rPr>
          <w:rFonts w:ascii="Arial" w:eastAsiaTheme="majorEastAsia" w:hAnsi="Arial" w:cs="Arial"/>
          <w:color w:val="000000" w:themeColor="text1"/>
          <w:sz w:val="24"/>
          <w:szCs w:val="24"/>
        </w:rPr>
      </w:pPr>
      <w:r w:rsidRPr="007B4802">
        <w:rPr>
          <w:rFonts w:ascii="Arial" w:hAnsi="Arial" w:cs="Arial"/>
          <w:color w:val="000000" w:themeColor="text1"/>
          <w:sz w:val="24"/>
          <w:szCs w:val="24"/>
        </w:rPr>
        <w:t>Also, t</w:t>
      </w:r>
      <w:r w:rsidR="001C161D" w:rsidRPr="007B4802">
        <w:rPr>
          <w:rFonts w:ascii="Arial" w:hAnsi="Arial" w:cs="Arial"/>
          <w:color w:val="000000" w:themeColor="text1"/>
          <w:sz w:val="24"/>
          <w:szCs w:val="24"/>
        </w:rPr>
        <w:t>ime management is equally critical. Health Visitors often manage large caseloads, requiring prioritisation of urgent safeguarding concerns alongside routine developmental checks. Structured planning reduces stress and increases productivity among healthcare professionals (Skills for Health, 2024). In practice, Health Visitors who adopt electronic caseload management systems can allocate time more effectively, ensuring urgent safeguarding concerns are addressed promptly while routine checks remain on schedule. Poor time management can result in missed appointments or incomplete records, which may compromise child safety.</w:t>
      </w:r>
    </w:p>
    <w:p w14:paraId="4D781076" w14:textId="26233B60" w:rsidR="001C161D" w:rsidRPr="007B4802" w:rsidRDefault="007B4802" w:rsidP="001C161D">
      <w:pPr>
        <w:pStyle w:val="Heading2"/>
        <w:rPr>
          <w:rFonts w:ascii="Arial" w:hAnsi="Arial" w:cs="Arial"/>
          <w:color w:val="000000" w:themeColor="text1"/>
          <w:sz w:val="24"/>
          <w:szCs w:val="24"/>
        </w:rPr>
      </w:pPr>
      <w:r w:rsidRPr="007B4802">
        <w:rPr>
          <w:rFonts w:ascii="Arial" w:hAnsi="Arial" w:cs="Arial"/>
          <w:color w:val="000000" w:themeColor="text1"/>
          <w:sz w:val="24"/>
          <w:szCs w:val="24"/>
        </w:rPr>
        <w:t>Furthermore, c</w:t>
      </w:r>
      <w:r w:rsidR="001C161D" w:rsidRPr="007B4802">
        <w:rPr>
          <w:rFonts w:ascii="Arial" w:hAnsi="Arial" w:cs="Arial"/>
          <w:color w:val="000000" w:themeColor="text1"/>
          <w:sz w:val="24"/>
          <w:szCs w:val="24"/>
        </w:rPr>
        <w:t>ritical thinking is another essential skill</w:t>
      </w:r>
      <w:r w:rsidRPr="007B4802">
        <w:rPr>
          <w:rFonts w:ascii="Arial" w:hAnsi="Arial" w:cs="Arial"/>
          <w:color w:val="000000" w:themeColor="text1"/>
          <w:sz w:val="24"/>
          <w:szCs w:val="24"/>
        </w:rPr>
        <w:t xml:space="preserve"> as </w:t>
      </w:r>
      <w:r w:rsidR="001C161D" w:rsidRPr="007B4802">
        <w:rPr>
          <w:rFonts w:ascii="Arial" w:hAnsi="Arial" w:cs="Arial"/>
          <w:color w:val="000000" w:themeColor="text1"/>
          <w:sz w:val="24"/>
          <w:szCs w:val="24"/>
        </w:rPr>
        <w:t>Health Visitors must analyse information objectively, identify risks, and make reasoned judgments. Continuous professional development programmes focusing on evidence</w:t>
      </w:r>
      <w:r w:rsidR="001C161D" w:rsidRPr="007B4802">
        <w:rPr>
          <w:rFonts w:ascii="Cambria Math" w:hAnsi="Cambria Math" w:cs="Cambria Math"/>
          <w:color w:val="000000" w:themeColor="text1"/>
          <w:sz w:val="24"/>
          <w:szCs w:val="24"/>
        </w:rPr>
        <w:t>‑</w:t>
      </w:r>
      <w:r w:rsidR="001C161D" w:rsidRPr="007B4802">
        <w:rPr>
          <w:rFonts w:ascii="Arial" w:hAnsi="Arial" w:cs="Arial"/>
          <w:color w:val="000000" w:themeColor="text1"/>
          <w:sz w:val="24"/>
          <w:szCs w:val="24"/>
        </w:rPr>
        <w:t xml:space="preserve">based practice have been shown to improve clinical judgment and reduce errors (Health </w:t>
      </w:r>
      <w:proofErr w:type="spellStart"/>
      <w:r w:rsidR="001C161D" w:rsidRPr="007B4802">
        <w:rPr>
          <w:rFonts w:ascii="Arial" w:hAnsi="Arial" w:cs="Arial"/>
          <w:color w:val="000000" w:themeColor="text1"/>
          <w:sz w:val="24"/>
          <w:szCs w:val="24"/>
        </w:rPr>
        <w:t>eCareers</w:t>
      </w:r>
      <w:proofErr w:type="spellEnd"/>
      <w:r w:rsidR="001C161D" w:rsidRPr="007B4802">
        <w:rPr>
          <w:rFonts w:ascii="Arial" w:hAnsi="Arial" w:cs="Arial"/>
          <w:color w:val="000000" w:themeColor="text1"/>
          <w:sz w:val="24"/>
          <w:szCs w:val="24"/>
        </w:rPr>
        <w:t>, 2025). For example, recognising subtle signs of postnatal depression requires critical evaluation of both verbal and non</w:t>
      </w:r>
      <w:r w:rsidR="001C161D" w:rsidRPr="007B4802">
        <w:rPr>
          <w:rFonts w:ascii="Cambria Math" w:hAnsi="Cambria Math" w:cs="Cambria Math"/>
          <w:color w:val="000000" w:themeColor="text1"/>
          <w:sz w:val="24"/>
          <w:szCs w:val="24"/>
        </w:rPr>
        <w:t>‑</w:t>
      </w:r>
      <w:r w:rsidR="001C161D" w:rsidRPr="007B4802">
        <w:rPr>
          <w:rFonts w:ascii="Arial" w:hAnsi="Arial" w:cs="Arial"/>
          <w:color w:val="000000" w:themeColor="text1"/>
          <w:sz w:val="24"/>
          <w:szCs w:val="24"/>
        </w:rPr>
        <w:t>verbal cues, followed by evidence</w:t>
      </w:r>
      <w:r w:rsidR="001C161D" w:rsidRPr="007B4802">
        <w:rPr>
          <w:rFonts w:ascii="Cambria Math" w:hAnsi="Cambria Math" w:cs="Cambria Math"/>
          <w:color w:val="000000" w:themeColor="text1"/>
          <w:sz w:val="24"/>
          <w:szCs w:val="24"/>
        </w:rPr>
        <w:t>‑</w:t>
      </w:r>
      <w:r w:rsidR="001C161D" w:rsidRPr="007B4802">
        <w:rPr>
          <w:rFonts w:ascii="Arial" w:hAnsi="Arial" w:cs="Arial"/>
          <w:color w:val="000000" w:themeColor="text1"/>
          <w:sz w:val="24"/>
          <w:szCs w:val="24"/>
        </w:rPr>
        <w:t>based referral to appropriate services. Without critical thinking, risks may be overlooked, leading to delayed interventions and potential harm.</w:t>
      </w:r>
    </w:p>
    <w:p w14:paraId="2BA15F70" w14:textId="77777777" w:rsidR="00E02B9A" w:rsidRPr="007B4802" w:rsidRDefault="00E02B9A" w:rsidP="001C161D">
      <w:pPr>
        <w:pStyle w:val="Heading2"/>
        <w:rPr>
          <w:rFonts w:ascii="Arial" w:hAnsi="Arial" w:cs="Arial"/>
          <w:color w:val="000000" w:themeColor="text1"/>
          <w:sz w:val="24"/>
          <w:szCs w:val="24"/>
        </w:rPr>
      </w:pPr>
    </w:p>
    <w:p w14:paraId="121C6DD7" w14:textId="7EA8C52E" w:rsidR="001C161D" w:rsidRPr="007B4802" w:rsidRDefault="001C161D" w:rsidP="001C161D">
      <w:pPr>
        <w:pStyle w:val="Heading2"/>
        <w:rPr>
          <w:rFonts w:ascii="Arial" w:hAnsi="Arial" w:cs="Arial"/>
          <w:color w:val="000000" w:themeColor="text1"/>
          <w:sz w:val="24"/>
          <w:szCs w:val="24"/>
        </w:rPr>
      </w:pPr>
      <w:r w:rsidRPr="007B4802">
        <w:rPr>
          <w:rFonts w:ascii="Arial" w:hAnsi="Arial" w:cs="Arial"/>
          <w:color w:val="000000" w:themeColor="text1"/>
          <w:sz w:val="24"/>
          <w:szCs w:val="24"/>
        </w:rPr>
        <w:t>In addition to these core skills, adaptability is vital when working with diverse families. Communication strategies may need to be adjusted depending on whether a family is experiencing socioeconomic hardship or cultural barriers to healthcare access. Research indicates that culturally responsive communication improves engagement and reduces health inequalities (</w:t>
      </w:r>
      <w:proofErr w:type="spellStart"/>
      <w:r w:rsidRPr="007B4802">
        <w:rPr>
          <w:rFonts w:ascii="Arial" w:hAnsi="Arial" w:cs="Arial"/>
          <w:color w:val="000000" w:themeColor="text1"/>
          <w:sz w:val="24"/>
          <w:szCs w:val="24"/>
        </w:rPr>
        <w:t>Clinicspots</w:t>
      </w:r>
      <w:proofErr w:type="spellEnd"/>
      <w:r w:rsidRPr="007B4802">
        <w:rPr>
          <w:rFonts w:ascii="Arial" w:hAnsi="Arial" w:cs="Arial"/>
          <w:color w:val="000000" w:themeColor="text1"/>
          <w:sz w:val="24"/>
          <w:szCs w:val="24"/>
        </w:rPr>
        <w:t>, 2025). By integrating adaptability into communication practice, Health Visitors can ensure that advice is not only understood but acted upon, thereby strengthening the overall impact of their interventions.</w:t>
      </w:r>
    </w:p>
    <w:p w14:paraId="795461F4" w14:textId="77777777" w:rsidR="00F215EB" w:rsidRPr="007B4802" w:rsidRDefault="00F215EB" w:rsidP="001C161D">
      <w:pPr>
        <w:pStyle w:val="Heading2"/>
        <w:rPr>
          <w:rFonts w:ascii="Arial" w:hAnsi="Arial" w:cs="Arial"/>
          <w:color w:val="000000" w:themeColor="text1"/>
          <w:sz w:val="24"/>
          <w:szCs w:val="24"/>
        </w:rPr>
      </w:pPr>
    </w:p>
    <w:p w14:paraId="0BFBB766" w14:textId="7A50658A" w:rsidR="001C161D" w:rsidRPr="007B4802" w:rsidRDefault="001C161D" w:rsidP="001C161D">
      <w:pPr>
        <w:pStyle w:val="Heading2"/>
        <w:rPr>
          <w:rFonts w:ascii="Arial" w:hAnsi="Arial" w:cs="Arial"/>
          <w:color w:val="000000" w:themeColor="text1"/>
          <w:sz w:val="24"/>
          <w:szCs w:val="24"/>
        </w:rPr>
      </w:pPr>
      <w:r w:rsidRPr="007B4802">
        <w:rPr>
          <w:rFonts w:ascii="Arial" w:hAnsi="Arial" w:cs="Arial"/>
          <w:color w:val="000000" w:themeColor="text1"/>
          <w:sz w:val="24"/>
          <w:szCs w:val="24"/>
        </w:rPr>
        <w:t>When these skills are absent, the consequences can be severe. Families may lose trust in services, safeguarding risks may go undetected, and health inequalities may widen. The absence of communication, time management, and critical thinking undermines the effectiveness of the Health Visitor role and compromises the safety and wellbeing of children and families (Xpress Health NI, 2024).</w:t>
      </w:r>
    </w:p>
    <w:p w14:paraId="7EE8A3C1" w14:textId="77777777" w:rsidR="00E02B9A" w:rsidRPr="007B4802" w:rsidRDefault="00E02B9A" w:rsidP="001C161D">
      <w:pPr>
        <w:pStyle w:val="Heading2"/>
        <w:rPr>
          <w:rFonts w:ascii="Arial" w:hAnsi="Arial" w:cs="Arial"/>
          <w:color w:val="4471C4"/>
          <w:sz w:val="24"/>
          <w:szCs w:val="24"/>
        </w:rPr>
      </w:pPr>
    </w:p>
    <w:p w14:paraId="7599BE82" w14:textId="77777777" w:rsidR="00D375A3" w:rsidRDefault="00D375A3">
      <w:pPr>
        <w:rPr>
          <w:rFonts w:ascii="Arial" w:eastAsiaTheme="majorEastAsia" w:hAnsi="Arial" w:cs="Arial"/>
          <w:color w:val="4471C4"/>
          <w:sz w:val="24"/>
          <w:szCs w:val="24"/>
        </w:rPr>
      </w:pPr>
      <w:r>
        <w:rPr>
          <w:rFonts w:ascii="Arial" w:hAnsi="Arial" w:cs="Arial"/>
          <w:color w:val="4471C4"/>
          <w:sz w:val="24"/>
          <w:szCs w:val="24"/>
        </w:rPr>
        <w:br w:type="page"/>
      </w:r>
    </w:p>
    <w:p w14:paraId="3E8725A2" w14:textId="0A61F3A2" w:rsidR="00D375A3" w:rsidRDefault="00C164DE" w:rsidP="00D375A3">
      <w:pPr>
        <w:pStyle w:val="Heading2"/>
        <w:numPr>
          <w:ilvl w:val="0"/>
          <w:numId w:val="33"/>
        </w:numPr>
        <w:rPr>
          <w:rFonts w:ascii="Arial" w:hAnsi="Arial" w:cs="Arial"/>
          <w:color w:val="4471C4"/>
          <w:sz w:val="24"/>
          <w:szCs w:val="24"/>
        </w:rPr>
      </w:pPr>
      <w:bookmarkStart w:id="5" w:name="_Toc1405407187"/>
      <w:bookmarkEnd w:id="4"/>
      <w:r w:rsidRPr="007B4802">
        <w:rPr>
          <w:rFonts w:ascii="Arial" w:hAnsi="Arial" w:cs="Arial"/>
          <w:color w:val="4471C4"/>
          <w:sz w:val="24"/>
          <w:szCs w:val="24"/>
        </w:rPr>
        <w:lastRenderedPageBreak/>
        <w:t>Strategies for Skill Improvement for Health Visitors</w:t>
      </w:r>
    </w:p>
    <w:p w14:paraId="3B0F6CE0" w14:textId="77777777" w:rsidR="00D375A3" w:rsidRPr="00D375A3" w:rsidRDefault="00D375A3" w:rsidP="00D375A3"/>
    <w:p w14:paraId="19BE0834" w14:textId="77777777" w:rsidR="00C164DE" w:rsidRPr="007B4802" w:rsidRDefault="0C5D0C5C" w:rsidP="00C164DE">
      <w:pPr>
        <w:pStyle w:val="Heading2"/>
        <w:rPr>
          <w:rFonts w:ascii="Arial" w:hAnsi="Arial" w:cs="Arial"/>
          <w:color w:val="4471C4"/>
          <w:sz w:val="24"/>
          <w:szCs w:val="24"/>
        </w:rPr>
      </w:pPr>
      <w:r w:rsidRPr="007B4802">
        <w:rPr>
          <w:rFonts w:ascii="Arial" w:hAnsi="Arial" w:cs="Arial"/>
          <w:color w:val="4471C4"/>
          <w:sz w:val="24"/>
          <w:szCs w:val="24"/>
        </w:rPr>
        <w:t xml:space="preserve">3.1 </w:t>
      </w:r>
      <w:bookmarkEnd w:id="5"/>
      <w:r w:rsidR="00C164DE" w:rsidRPr="007B4802">
        <w:rPr>
          <w:rFonts w:ascii="Arial" w:hAnsi="Arial" w:cs="Arial"/>
          <w:color w:val="4471C4"/>
          <w:sz w:val="24"/>
          <w:szCs w:val="24"/>
        </w:rPr>
        <w:t xml:space="preserve">Three Strategies to Improve the Skills for Health Visitors </w:t>
      </w:r>
    </w:p>
    <w:p w14:paraId="790ADE75" w14:textId="0E58BA01" w:rsidR="0156E134" w:rsidRPr="007B4802" w:rsidRDefault="0156E134" w:rsidP="0156E134">
      <w:pPr>
        <w:spacing w:after="0"/>
        <w:rPr>
          <w:rFonts w:ascii="Arial" w:hAnsi="Arial" w:cs="Arial"/>
          <w:sz w:val="24"/>
          <w:szCs w:val="24"/>
        </w:rPr>
      </w:pPr>
    </w:p>
    <w:p w14:paraId="6544BAFC" w14:textId="2FC03D9F" w:rsidR="001C161D" w:rsidRPr="007B4802" w:rsidRDefault="007F694D" w:rsidP="001C161D">
      <w:pPr>
        <w:pStyle w:val="Heading2"/>
        <w:rPr>
          <w:rFonts w:ascii="Arial" w:eastAsiaTheme="minorEastAsia" w:hAnsi="Arial" w:cs="Arial"/>
          <w:color w:val="auto"/>
          <w:sz w:val="24"/>
          <w:szCs w:val="24"/>
        </w:rPr>
      </w:pPr>
      <w:bookmarkStart w:id="6" w:name="_Toc1799977123"/>
      <w:r>
        <w:rPr>
          <w:rFonts w:ascii="Arial" w:eastAsiaTheme="minorEastAsia" w:hAnsi="Arial" w:cs="Arial"/>
          <w:color w:val="auto"/>
          <w:sz w:val="24"/>
          <w:szCs w:val="24"/>
        </w:rPr>
        <w:t>To begin with, c</w:t>
      </w:r>
      <w:r w:rsidR="001C161D" w:rsidRPr="007B4802">
        <w:rPr>
          <w:rFonts w:ascii="Arial" w:eastAsiaTheme="minorEastAsia" w:hAnsi="Arial" w:cs="Arial"/>
          <w:color w:val="auto"/>
          <w:sz w:val="24"/>
          <w:szCs w:val="24"/>
        </w:rPr>
        <w:t xml:space="preserve">ommunication skills can be improved through structured training programmes that emphasise active listening, cultural competence, and the use of plain language. Evidence shows that training in communication strategies enhances patient understanding and engagement </w:t>
      </w:r>
      <w:r w:rsidR="001C161D" w:rsidRPr="0094046B">
        <w:rPr>
          <w:rFonts w:ascii="Arial" w:eastAsiaTheme="minorEastAsia" w:hAnsi="Arial" w:cs="Arial"/>
          <w:color w:val="auto"/>
          <w:sz w:val="24"/>
          <w:szCs w:val="24"/>
        </w:rPr>
        <w:t>(</w:t>
      </w:r>
      <w:proofErr w:type="spellStart"/>
      <w:r w:rsidR="001C161D" w:rsidRPr="0094046B">
        <w:rPr>
          <w:rFonts w:ascii="Arial" w:eastAsiaTheme="minorEastAsia" w:hAnsi="Arial" w:cs="Arial"/>
          <w:color w:val="auto"/>
          <w:sz w:val="24"/>
          <w:szCs w:val="24"/>
        </w:rPr>
        <w:t>Clinicspots</w:t>
      </w:r>
      <w:proofErr w:type="spellEnd"/>
      <w:r w:rsidR="001C161D" w:rsidRPr="0094046B">
        <w:rPr>
          <w:rFonts w:ascii="Arial" w:eastAsiaTheme="minorEastAsia" w:hAnsi="Arial" w:cs="Arial"/>
          <w:color w:val="auto"/>
          <w:sz w:val="24"/>
          <w:szCs w:val="24"/>
        </w:rPr>
        <w:t>, 2025).</w:t>
      </w:r>
      <w:r w:rsidR="001C161D" w:rsidRPr="007B4802">
        <w:rPr>
          <w:rFonts w:ascii="Arial" w:eastAsiaTheme="minorEastAsia" w:hAnsi="Arial" w:cs="Arial"/>
          <w:color w:val="auto"/>
          <w:sz w:val="24"/>
          <w:szCs w:val="24"/>
        </w:rPr>
        <w:t xml:space="preserve"> Role</w:t>
      </w:r>
      <w:r w:rsidR="001C161D" w:rsidRPr="007B4802">
        <w:rPr>
          <w:rFonts w:ascii="Cambria Math" w:eastAsiaTheme="minorEastAsia" w:hAnsi="Cambria Math" w:cs="Cambria Math"/>
          <w:color w:val="auto"/>
          <w:sz w:val="24"/>
          <w:szCs w:val="24"/>
        </w:rPr>
        <w:t>‑</w:t>
      </w:r>
      <w:r w:rsidR="001C161D" w:rsidRPr="007B4802">
        <w:rPr>
          <w:rFonts w:ascii="Arial" w:eastAsiaTheme="minorEastAsia" w:hAnsi="Arial" w:cs="Arial"/>
          <w:color w:val="auto"/>
          <w:sz w:val="24"/>
          <w:szCs w:val="24"/>
        </w:rPr>
        <w:t>play exercises and reflective practice sessions allow Health Visitors to rehearse complex conversations, improving confidence and clarity in real</w:t>
      </w:r>
      <w:r w:rsidR="001C161D" w:rsidRPr="007B4802">
        <w:rPr>
          <w:rFonts w:ascii="Cambria Math" w:eastAsiaTheme="minorEastAsia" w:hAnsi="Cambria Math" w:cs="Cambria Math"/>
          <w:color w:val="auto"/>
          <w:sz w:val="24"/>
          <w:szCs w:val="24"/>
        </w:rPr>
        <w:t>‑</w:t>
      </w:r>
      <w:r w:rsidR="001C161D" w:rsidRPr="007B4802">
        <w:rPr>
          <w:rFonts w:ascii="Arial" w:eastAsiaTheme="minorEastAsia" w:hAnsi="Arial" w:cs="Arial"/>
          <w:color w:val="auto"/>
          <w:sz w:val="24"/>
          <w:szCs w:val="24"/>
        </w:rPr>
        <w:t>world interactions.</w:t>
      </w:r>
    </w:p>
    <w:p w14:paraId="2209603C" w14:textId="77777777" w:rsidR="00E02B9A" w:rsidRPr="007B4802" w:rsidRDefault="00E02B9A" w:rsidP="001C161D">
      <w:pPr>
        <w:pStyle w:val="Heading2"/>
        <w:rPr>
          <w:rFonts w:ascii="Arial" w:eastAsiaTheme="minorEastAsia" w:hAnsi="Arial" w:cs="Arial"/>
          <w:color w:val="auto"/>
          <w:sz w:val="24"/>
          <w:szCs w:val="24"/>
        </w:rPr>
      </w:pPr>
    </w:p>
    <w:p w14:paraId="18C647EC" w14:textId="7ACC2844" w:rsidR="001C161D" w:rsidRPr="007B4802" w:rsidRDefault="007F694D" w:rsidP="001C161D">
      <w:pPr>
        <w:pStyle w:val="Heading2"/>
        <w:rPr>
          <w:rFonts w:ascii="Arial" w:eastAsiaTheme="minorEastAsia" w:hAnsi="Arial" w:cs="Arial"/>
          <w:color w:val="auto"/>
          <w:sz w:val="24"/>
          <w:szCs w:val="24"/>
        </w:rPr>
      </w:pPr>
      <w:r>
        <w:rPr>
          <w:rFonts w:ascii="Arial" w:eastAsiaTheme="minorEastAsia" w:hAnsi="Arial" w:cs="Arial"/>
          <w:color w:val="auto"/>
          <w:sz w:val="24"/>
          <w:szCs w:val="24"/>
        </w:rPr>
        <w:t>In addition, t</w:t>
      </w:r>
      <w:r w:rsidR="001C161D" w:rsidRPr="007B4802">
        <w:rPr>
          <w:rFonts w:ascii="Arial" w:eastAsiaTheme="minorEastAsia" w:hAnsi="Arial" w:cs="Arial"/>
          <w:color w:val="auto"/>
          <w:sz w:val="24"/>
          <w:szCs w:val="24"/>
        </w:rPr>
        <w:t xml:space="preserve">ime management can be strengthened </w:t>
      </w:r>
      <w:proofErr w:type="gramStart"/>
      <w:r w:rsidR="001C161D" w:rsidRPr="007B4802">
        <w:rPr>
          <w:rFonts w:ascii="Arial" w:eastAsiaTheme="minorEastAsia" w:hAnsi="Arial" w:cs="Arial"/>
          <w:color w:val="auto"/>
          <w:sz w:val="24"/>
          <w:szCs w:val="24"/>
        </w:rPr>
        <w:t>through the use of</w:t>
      </w:r>
      <w:proofErr w:type="gramEnd"/>
      <w:r w:rsidR="001C161D" w:rsidRPr="007B4802">
        <w:rPr>
          <w:rFonts w:ascii="Arial" w:eastAsiaTheme="minorEastAsia" w:hAnsi="Arial" w:cs="Arial"/>
          <w:color w:val="auto"/>
          <w:sz w:val="24"/>
          <w:szCs w:val="24"/>
        </w:rPr>
        <w:t xml:space="preserve"> prioritisation tools such as the Eisenhower Matrix, alongside digital scheduling systems. Research highlights that structured planning reduces stress and increases productivity among healthcare professionals </w:t>
      </w:r>
      <w:r w:rsidR="001C161D" w:rsidRPr="0094046B">
        <w:rPr>
          <w:rFonts w:ascii="Arial" w:eastAsiaTheme="minorEastAsia" w:hAnsi="Arial" w:cs="Arial"/>
          <w:color w:val="auto"/>
          <w:sz w:val="24"/>
          <w:szCs w:val="24"/>
        </w:rPr>
        <w:t>(Skills for Health, 2024)</w:t>
      </w:r>
      <w:r w:rsidR="001C161D" w:rsidRPr="007B4802">
        <w:rPr>
          <w:rFonts w:ascii="Arial" w:eastAsiaTheme="minorEastAsia" w:hAnsi="Arial" w:cs="Arial"/>
          <w:i/>
          <w:iCs/>
          <w:color w:val="auto"/>
          <w:sz w:val="24"/>
          <w:szCs w:val="24"/>
        </w:rPr>
        <w:t>.</w:t>
      </w:r>
      <w:r w:rsidR="001C161D" w:rsidRPr="007B4802">
        <w:rPr>
          <w:rFonts w:ascii="Arial" w:eastAsiaTheme="minorEastAsia" w:hAnsi="Arial" w:cs="Arial"/>
          <w:color w:val="auto"/>
          <w:sz w:val="24"/>
          <w:szCs w:val="24"/>
        </w:rPr>
        <w:t xml:space="preserve"> In practice, Health Visitors who adopt electronic caseload management systems can allocate time more effectively, ensuring urgent safeguarding concerns are addressed promptly while routine checks remain on schedule.</w:t>
      </w:r>
    </w:p>
    <w:p w14:paraId="45D6E027" w14:textId="77777777" w:rsidR="00E02B9A" w:rsidRPr="007B4802" w:rsidRDefault="00E02B9A" w:rsidP="001C161D">
      <w:pPr>
        <w:pStyle w:val="Heading2"/>
        <w:rPr>
          <w:rFonts w:ascii="Arial" w:eastAsiaTheme="minorEastAsia" w:hAnsi="Arial" w:cs="Arial"/>
          <w:color w:val="auto"/>
          <w:sz w:val="24"/>
          <w:szCs w:val="24"/>
        </w:rPr>
      </w:pPr>
    </w:p>
    <w:p w14:paraId="09C1F251" w14:textId="6C41DE50" w:rsidR="001C161D" w:rsidRPr="007B4802" w:rsidRDefault="007F694D" w:rsidP="001C161D">
      <w:pPr>
        <w:pStyle w:val="Heading2"/>
        <w:rPr>
          <w:rFonts w:ascii="Arial" w:eastAsiaTheme="minorEastAsia" w:hAnsi="Arial" w:cs="Arial"/>
          <w:color w:val="auto"/>
          <w:sz w:val="24"/>
          <w:szCs w:val="24"/>
        </w:rPr>
      </w:pPr>
      <w:r>
        <w:rPr>
          <w:rFonts w:ascii="Arial" w:eastAsiaTheme="minorEastAsia" w:hAnsi="Arial" w:cs="Arial"/>
          <w:color w:val="auto"/>
          <w:sz w:val="24"/>
          <w:szCs w:val="24"/>
        </w:rPr>
        <w:t>Moreover, c</w:t>
      </w:r>
      <w:r w:rsidR="001C161D" w:rsidRPr="007B4802">
        <w:rPr>
          <w:rFonts w:ascii="Arial" w:eastAsiaTheme="minorEastAsia" w:hAnsi="Arial" w:cs="Arial"/>
          <w:color w:val="auto"/>
          <w:sz w:val="24"/>
          <w:szCs w:val="24"/>
        </w:rPr>
        <w:t>ritical thinking can be enhanced through continuous professional development programmes that focus on evidence</w:t>
      </w:r>
      <w:r w:rsidR="001C161D" w:rsidRPr="007B4802">
        <w:rPr>
          <w:rFonts w:ascii="Cambria Math" w:eastAsiaTheme="minorEastAsia" w:hAnsi="Cambria Math" w:cs="Cambria Math"/>
          <w:color w:val="auto"/>
          <w:sz w:val="24"/>
          <w:szCs w:val="24"/>
        </w:rPr>
        <w:t>‑</w:t>
      </w:r>
      <w:r w:rsidR="001C161D" w:rsidRPr="007B4802">
        <w:rPr>
          <w:rFonts w:ascii="Arial" w:eastAsiaTheme="minorEastAsia" w:hAnsi="Arial" w:cs="Arial"/>
          <w:color w:val="auto"/>
          <w:sz w:val="24"/>
          <w:szCs w:val="24"/>
        </w:rPr>
        <w:t xml:space="preserve">based practice and reflective learning. Studies demonstrate that critical thinking workshops improve clinical judgment and reduce errors </w:t>
      </w:r>
      <w:r w:rsidR="001C161D" w:rsidRPr="007F694D">
        <w:rPr>
          <w:rFonts w:ascii="Arial" w:eastAsiaTheme="minorEastAsia" w:hAnsi="Arial" w:cs="Arial"/>
          <w:color w:val="auto"/>
          <w:sz w:val="24"/>
          <w:szCs w:val="24"/>
        </w:rPr>
        <w:t xml:space="preserve">(Health </w:t>
      </w:r>
      <w:proofErr w:type="spellStart"/>
      <w:r w:rsidR="001C161D" w:rsidRPr="007F694D">
        <w:rPr>
          <w:rFonts w:ascii="Arial" w:eastAsiaTheme="minorEastAsia" w:hAnsi="Arial" w:cs="Arial"/>
          <w:color w:val="auto"/>
          <w:sz w:val="24"/>
          <w:szCs w:val="24"/>
        </w:rPr>
        <w:t>eCareers</w:t>
      </w:r>
      <w:proofErr w:type="spellEnd"/>
      <w:r w:rsidR="001C161D" w:rsidRPr="007F694D">
        <w:rPr>
          <w:rFonts w:ascii="Arial" w:eastAsiaTheme="minorEastAsia" w:hAnsi="Arial" w:cs="Arial"/>
          <w:color w:val="auto"/>
          <w:sz w:val="24"/>
          <w:szCs w:val="24"/>
        </w:rPr>
        <w:t>, 2025).</w:t>
      </w:r>
      <w:r w:rsidR="001C161D" w:rsidRPr="007B4802">
        <w:rPr>
          <w:rFonts w:ascii="Arial" w:eastAsiaTheme="minorEastAsia" w:hAnsi="Arial" w:cs="Arial"/>
          <w:color w:val="auto"/>
          <w:sz w:val="24"/>
          <w:szCs w:val="24"/>
        </w:rPr>
        <w:t xml:space="preserve"> Case study analysis sessions encourage Health Visitors to evaluate complex scenarios, question assumptions, and apply logical reasoning, thereby strengthening decision</w:t>
      </w:r>
      <w:r w:rsidR="001C161D" w:rsidRPr="007B4802">
        <w:rPr>
          <w:rFonts w:ascii="Cambria Math" w:eastAsiaTheme="minorEastAsia" w:hAnsi="Cambria Math" w:cs="Cambria Math"/>
          <w:color w:val="auto"/>
          <w:sz w:val="24"/>
          <w:szCs w:val="24"/>
        </w:rPr>
        <w:t>‑</w:t>
      </w:r>
      <w:r w:rsidR="001C161D" w:rsidRPr="007B4802">
        <w:rPr>
          <w:rFonts w:ascii="Arial" w:eastAsiaTheme="minorEastAsia" w:hAnsi="Arial" w:cs="Arial"/>
          <w:color w:val="auto"/>
          <w:sz w:val="24"/>
          <w:szCs w:val="24"/>
        </w:rPr>
        <w:t>making in safeguarding and health promotion.</w:t>
      </w:r>
    </w:p>
    <w:p w14:paraId="52D4EBD1" w14:textId="77777777" w:rsidR="00E02B9A" w:rsidRPr="007B4802" w:rsidRDefault="00E02B9A" w:rsidP="001C161D">
      <w:pPr>
        <w:pStyle w:val="Heading2"/>
        <w:rPr>
          <w:rFonts w:ascii="Arial" w:eastAsiaTheme="minorEastAsia" w:hAnsi="Arial" w:cs="Arial"/>
          <w:color w:val="auto"/>
          <w:sz w:val="24"/>
          <w:szCs w:val="24"/>
        </w:rPr>
      </w:pPr>
    </w:p>
    <w:p w14:paraId="526895CC" w14:textId="25B6FC4F" w:rsidR="001C161D" w:rsidRPr="007B4802" w:rsidRDefault="003548FC" w:rsidP="001C161D">
      <w:pPr>
        <w:pStyle w:val="Heading2"/>
        <w:rPr>
          <w:rFonts w:ascii="Arial" w:eastAsiaTheme="minorEastAsia" w:hAnsi="Arial" w:cs="Arial"/>
          <w:color w:val="auto"/>
          <w:sz w:val="24"/>
          <w:szCs w:val="24"/>
        </w:rPr>
      </w:pPr>
      <w:r>
        <w:rPr>
          <w:rFonts w:ascii="Arial" w:eastAsiaTheme="minorEastAsia" w:hAnsi="Arial" w:cs="Arial"/>
          <w:color w:val="auto"/>
          <w:sz w:val="24"/>
          <w:szCs w:val="24"/>
        </w:rPr>
        <w:t>Equally important, a</w:t>
      </w:r>
      <w:r w:rsidR="001C161D" w:rsidRPr="007B4802">
        <w:rPr>
          <w:rFonts w:ascii="Arial" w:eastAsiaTheme="minorEastAsia" w:hAnsi="Arial" w:cs="Arial"/>
          <w:color w:val="auto"/>
          <w:sz w:val="24"/>
          <w:szCs w:val="24"/>
        </w:rPr>
        <w:t>nother effective strategy for enhancing critical thinking is the use of interprofessional learning opportunities. Collaborative training sessions with social workers, midwives, and general practitioners expose Health Visitors to different perspectives, encouraging them to evaluate complex cases more holistically. Evidence suggests that interprofessional education improves decision</w:t>
      </w:r>
      <w:r w:rsidR="001C161D" w:rsidRPr="007B4802">
        <w:rPr>
          <w:rFonts w:ascii="Cambria Math" w:eastAsiaTheme="minorEastAsia" w:hAnsi="Cambria Math" w:cs="Cambria Math"/>
          <w:color w:val="auto"/>
          <w:sz w:val="24"/>
          <w:szCs w:val="24"/>
        </w:rPr>
        <w:t>‑</w:t>
      </w:r>
      <w:r w:rsidR="001C161D" w:rsidRPr="007B4802">
        <w:rPr>
          <w:rFonts w:ascii="Arial" w:eastAsiaTheme="minorEastAsia" w:hAnsi="Arial" w:cs="Arial"/>
          <w:color w:val="auto"/>
          <w:sz w:val="24"/>
          <w:szCs w:val="24"/>
        </w:rPr>
        <w:t xml:space="preserve">making and fosters safer, more coordinated care (Health </w:t>
      </w:r>
      <w:proofErr w:type="spellStart"/>
      <w:r w:rsidR="001C161D" w:rsidRPr="007B4802">
        <w:rPr>
          <w:rFonts w:ascii="Arial" w:eastAsiaTheme="minorEastAsia" w:hAnsi="Arial" w:cs="Arial"/>
          <w:color w:val="auto"/>
          <w:sz w:val="24"/>
          <w:szCs w:val="24"/>
        </w:rPr>
        <w:t>eCareers</w:t>
      </w:r>
      <w:proofErr w:type="spellEnd"/>
      <w:r w:rsidR="001C161D" w:rsidRPr="007B4802">
        <w:rPr>
          <w:rFonts w:ascii="Arial" w:eastAsiaTheme="minorEastAsia" w:hAnsi="Arial" w:cs="Arial"/>
          <w:color w:val="auto"/>
          <w:sz w:val="24"/>
          <w:szCs w:val="24"/>
        </w:rPr>
        <w:t>, 2025). In practice, joint safeguarding workshops allow Health Visitors to critically analyse scenarios alongside colleagues, leading to more robust judgments and improved outcomes for families. This collaborative approach strengthens critical thinking while reinforcing the multidisciplinary nature of health and social care.</w:t>
      </w:r>
    </w:p>
    <w:p w14:paraId="57AF029F" w14:textId="77777777" w:rsidR="00D375A3" w:rsidRDefault="00D375A3" w:rsidP="001C161D">
      <w:pPr>
        <w:pStyle w:val="Heading2"/>
        <w:rPr>
          <w:rFonts w:ascii="Arial" w:hAnsi="Arial" w:cs="Arial"/>
          <w:color w:val="4471C4"/>
          <w:sz w:val="24"/>
          <w:szCs w:val="24"/>
        </w:rPr>
      </w:pPr>
    </w:p>
    <w:p w14:paraId="1497148C" w14:textId="67F907D9" w:rsidR="00A946CB" w:rsidRPr="007B4802" w:rsidRDefault="5617AA6E" w:rsidP="001C161D">
      <w:pPr>
        <w:pStyle w:val="Heading2"/>
        <w:rPr>
          <w:rFonts w:ascii="Arial" w:hAnsi="Arial" w:cs="Arial"/>
          <w:color w:val="4472C4" w:themeColor="accent1"/>
          <w:sz w:val="24"/>
          <w:szCs w:val="24"/>
        </w:rPr>
      </w:pPr>
      <w:r w:rsidRPr="007B4802">
        <w:rPr>
          <w:rFonts w:ascii="Arial" w:hAnsi="Arial" w:cs="Arial"/>
          <w:color w:val="4471C4"/>
          <w:sz w:val="24"/>
          <w:szCs w:val="24"/>
        </w:rPr>
        <w:t>4</w:t>
      </w:r>
      <w:r w:rsidR="00A946CB" w:rsidRPr="007B4802">
        <w:rPr>
          <w:rFonts w:ascii="Arial" w:hAnsi="Arial" w:cs="Arial"/>
          <w:color w:val="4471C4"/>
          <w:sz w:val="24"/>
          <w:szCs w:val="24"/>
        </w:rPr>
        <w:t xml:space="preserve"> Conclusion</w:t>
      </w:r>
      <w:bookmarkEnd w:id="6"/>
    </w:p>
    <w:p w14:paraId="43029C42" w14:textId="77777777" w:rsidR="00D375A3" w:rsidRDefault="00D375A3" w:rsidP="001C161D">
      <w:pPr>
        <w:spacing w:after="0" w:line="240" w:lineRule="auto"/>
        <w:rPr>
          <w:rFonts w:ascii="Arial" w:hAnsi="Arial" w:cs="Arial"/>
          <w:sz w:val="24"/>
          <w:szCs w:val="24"/>
        </w:rPr>
      </w:pPr>
    </w:p>
    <w:p w14:paraId="5155B0ED" w14:textId="66FE40A3" w:rsidR="00D676C3" w:rsidRPr="007B4802" w:rsidRDefault="001C161D" w:rsidP="001C161D">
      <w:pPr>
        <w:spacing w:after="0" w:line="240" w:lineRule="auto"/>
        <w:rPr>
          <w:rFonts w:ascii="Arial" w:hAnsi="Arial" w:cs="Arial"/>
          <w:sz w:val="24"/>
          <w:szCs w:val="24"/>
        </w:rPr>
      </w:pPr>
      <w:r w:rsidRPr="007B4802">
        <w:rPr>
          <w:rFonts w:ascii="Arial" w:hAnsi="Arial" w:cs="Arial"/>
          <w:sz w:val="24"/>
          <w:szCs w:val="24"/>
        </w:rPr>
        <w:t xml:space="preserve">The Health Visitor plays a vital role in promoting child health, safeguarding families, and reducing inequalities within the health and social care system. The role requires strong communication, time management, and critical thinking skills, each of which directly impacts the quality of care delivered. Strategies such as communication training, structured time management tools, and critical thinking development </w:t>
      </w:r>
      <w:r w:rsidRPr="007B4802">
        <w:rPr>
          <w:rFonts w:ascii="Arial" w:hAnsi="Arial" w:cs="Arial"/>
          <w:sz w:val="24"/>
          <w:szCs w:val="24"/>
        </w:rPr>
        <w:lastRenderedPageBreak/>
        <w:t>programmes provide effective ways to strengthen these skills. Overall, the Health Visitor role is central to ensuring safe, high</w:t>
      </w:r>
      <w:r w:rsidRPr="007B4802">
        <w:rPr>
          <w:rFonts w:ascii="Cambria Math" w:hAnsi="Cambria Math" w:cs="Cambria Math"/>
          <w:sz w:val="24"/>
          <w:szCs w:val="24"/>
        </w:rPr>
        <w:t>‑</w:t>
      </w:r>
      <w:r w:rsidRPr="007B4802">
        <w:rPr>
          <w:rFonts w:ascii="Arial" w:hAnsi="Arial" w:cs="Arial"/>
          <w:sz w:val="24"/>
          <w:szCs w:val="24"/>
        </w:rPr>
        <w:t>quality care and to supporting the long</w:t>
      </w:r>
      <w:r w:rsidRPr="007B4802">
        <w:rPr>
          <w:rFonts w:ascii="Cambria Math" w:hAnsi="Cambria Math" w:cs="Cambria Math"/>
          <w:sz w:val="24"/>
          <w:szCs w:val="24"/>
        </w:rPr>
        <w:t>‑</w:t>
      </w:r>
      <w:r w:rsidRPr="007B4802">
        <w:rPr>
          <w:rFonts w:ascii="Arial" w:hAnsi="Arial" w:cs="Arial"/>
          <w:sz w:val="24"/>
          <w:szCs w:val="24"/>
        </w:rPr>
        <w:t>term wellbeing of families and communities.</w:t>
      </w:r>
    </w:p>
    <w:p w14:paraId="60E32DCF" w14:textId="77777777" w:rsidR="00D375A3" w:rsidRDefault="00D375A3">
      <w:pPr>
        <w:rPr>
          <w:rFonts w:eastAsiaTheme="majorEastAsia" w:cstheme="majorBidi"/>
          <w:color w:val="4471C4"/>
          <w:sz w:val="28"/>
          <w:szCs w:val="26"/>
        </w:rPr>
      </w:pPr>
      <w:bookmarkStart w:id="7" w:name="_Toc1911583216"/>
      <w:r>
        <w:rPr>
          <w:color w:val="4471C4"/>
        </w:rPr>
        <w:br w:type="page"/>
      </w:r>
    </w:p>
    <w:p w14:paraId="6C4B494D" w14:textId="262E7FA2" w:rsidR="00226D31" w:rsidRPr="002976D4" w:rsidRDefault="00226D31" w:rsidP="0156E134">
      <w:pPr>
        <w:pStyle w:val="Heading2"/>
        <w:rPr>
          <w:color w:val="4472C4" w:themeColor="accent1"/>
        </w:rPr>
      </w:pPr>
      <w:r w:rsidRPr="0CF501EC">
        <w:rPr>
          <w:color w:val="4471C4"/>
        </w:rPr>
        <w:lastRenderedPageBreak/>
        <w:t>5 Reference List</w:t>
      </w:r>
      <w:bookmarkEnd w:id="7"/>
    </w:p>
    <w:p w14:paraId="670088EB" w14:textId="25239E00" w:rsidR="0062070F" w:rsidRDefault="00C732EA" w:rsidP="00C732EA">
      <w:pPr>
        <w:rPr>
          <w:color w:val="000000" w:themeColor="text1"/>
        </w:rPr>
      </w:pPr>
      <w:bookmarkStart w:id="8" w:name="_Hlk215928991"/>
      <w:proofErr w:type="spellStart"/>
      <w:r w:rsidRPr="00D375A3">
        <w:rPr>
          <w:color w:val="000000" w:themeColor="text1"/>
        </w:rPr>
        <w:t>Clinicspots</w:t>
      </w:r>
      <w:proofErr w:type="spellEnd"/>
      <w:r w:rsidRPr="00D375A3">
        <w:rPr>
          <w:color w:val="000000" w:themeColor="text1"/>
        </w:rPr>
        <w:t xml:space="preserve"> (2025) Effective Communication Strategies in Health and Social Care. Available at: </w:t>
      </w:r>
      <w:hyperlink r:id="rId9" w:history="1">
        <w:r w:rsidR="0062070F" w:rsidRPr="00BD5CB6">
          <w:rPr>
            <w:rStyle w:val="Hyperlink"/>
          </w:rPr>
          <w:t>https://www.clinicspots.com/blog/effective-communication-strategies-in-health-and-social-care Accessed 5/12/2025</w:t>
        </w:r>
      </w:hyperlink>
    </w:p>
    <w:p w14:paraId="3FB27643" w14:textId="1936D11A" w:rsidR="00833AEE" w:rsidRPr="0062070F" w:rsidRDefault="00C732EA" w:rsidP="00C732EA">
      <w:pPr>
        <w:rPr>
          <w:color w:val="000000" w:themeColor="text1"/>
        </w:rPr>
      </w:pPr>
      <w:r w:rsidRPr="00D375A3">
        <w:rPr>
          <w:color w:val="000000" w:themeColor="text1"/>
        </w:rPr>
        <w:t xml:space="preserve">Health Careers (2023) Health visitor. NHS Health Careers. Available at: </w:t>
      </w:r>
      <w:hyperlink r:id="rId10" w:history="1">
        <w:r w:rsidRPr="00D375A3">
          <w:rPr>
            <w:rStyle w:val="Hyperlink"/>
          </w:rPr>
          <w:t>https://www.healthcareers.nhs.uk/explore-roles/public-health/roles-public-health/health-visitor</w:t>
        </w:r>
      </w:hyperlink>
    </w:p>
    <w:p w14:paraId="23B4DF9D" w14:textId="394DA96A" w:rsidR="0062070F" w:rsidRDefault="0062070F" w:rsidP="00C732EA">
      <w:r>
        <w:t>Accessed 5/12/2025</w:t>
      </w:r>
    </w:p>
    <w:p w14:paraId="441F779F" w14:textId="2E53E8F5" w:rsidR="00C732EA" w:rsidRDefault="00C732EA" w:rsidP="00C732EA">
      <w:r w:rsidRPr="00D375A3">
        <w:rPr>
          <w:color w:val="000000" w:themeColor="text1"/>
        </w:rPr>
        <w:t xml:space="preserve">Health </w:t>
      </w:r>
      <w:proofErr w:type="spellStart"/>
      <w:r w:rsidRPr="00D375A3">
        <w:rPr>
          <w:color w:val="000000" w:themeColor="text1"/>
        </w:rPr>
        <w:t>eCareers</w:t>
      </w:r>
      <w:proofErr w:type="spellEnd"/>
      <w:r w:rsidRPr="00D375A3">
        <w:rPr>
          <w:color w:val="000000" w:themeColor="text1"/>
        </w:rPr>
        <w:t xml:space="preserve"> (2025) Enhancing Critical Thinking Skills for Nurses. Available at: </w:t>
      </w:r>
      <w:hyperlink r:id="rId11" w:history="1">
        <w:r w:rsidRPr="00D375A3">
          <w:rPr>
            <w:rStyle w:val="Hyperlink"/>
          </w:rPr>
          <w:t>https://www.healthecareers.com/career-resources/nurse-career/ways-to-improve-critical-thinking-in-nursing</w:t>
        </w:r>
      </w:hyperlink>
    </w:p>
    <w:p w14:paraId="21DDF444" w14:textId="5E7533EF" w:rsidR="0062070F" w:rsidRPr="00D375A3" w:rsidRDefault="0062070F" w:rsidP="00C732EA">
      <w:pPr>
        <w:rPr>
          <w:color w:val="000000" w:themeColor="text1"/>
        </w:rPr>
      </w:pPr>
      <w:r>
        <w:t>Accessed 5/12/2025</w:t>
      </w:r>
    </w:p>
    <w:p w14:paraId="1090F863" w14:textId="77777777" w:rsidR="0062070F" w:rsidRDefault="00C732EA" w:rsidP="00C732EA">
      <w:r w:rsidRPr="00D375A3">
        <w:rPr>
          <w:color w:val="000000" w:themeColor="text1"/>
        </w:rPr>
        <w:t xml:space="preserve">Institute of Health Visiting (2023) What is a health </w:t>
      </w:r>
      <w:proofErr w:type="gramStart"/>
      <w:r w:rsidRPr="00D375A3">
        <w:rPr>
          <w:color w:val="000000" w:themeColor="text1"/>
        </w:rPr>
        <w:t>visitor?.</w:t>
      </w:r>
      <w:proofErr w:type="gramEnd"/>
      <w:r w:rsidRPr="00D375A3">
        <w:rPr>
          <w:color w:val="000000" w:themeColor="text1"/>
        </w:rPr>
        <w:t xml:space="preserve"> Available at: </w:t>
      </w:r>
      <w:hyperlink r:id="rId12" w:history="1">
        <w:r w:rsidRPr="00D375A3">
          <w:rPr>
            <w:rStyle w:val="Hyperlink"/>
          </w:rPr>
          <w:t>https://ihv.org.uk/for-health-visitors/what-is-a-health-visitor/</w:t>
        </w:r>
      </w:hyperlink>
    </w:p>
    <w:p w14:paraId="1B8FD443" w14:textId="515027B6" w:rsidR="0062070F" w:rsidRPr="0062070F" w:rsidRDefault="0062070F" w:rsidP="00C732EA">
      <w:pPr>
        <w:rPr>
          <w:color w:val="000000" w:themeColor="text1"/>
        </w:rPr>
      </w:pPr>
      <w:r>
        <w:t>Accessed 5/12/2025</w:t>
      </w:r>
    </w:p>
    <w:p w14:paraId="102A5782" w14:textId="77777777" w:rsidR="0062070F" w:rsidRDefault="00C732EA" w:rsidP="00C732EA">
      <w:r w:rsidRPr="00D375A3">
        <w:rPr>
          <w:color w:val="000000" w:themeColor="text1"/>
        </w:rPr>
        <w:t xml:space="preserve">Prospects (2023) Health visitor job profile. Available at: </w:t>
      </w:r>
      <w:hyperlink r:id="rId13" w:history="1">
        <w:r w:rsidRPr="00D375A3">
          <w:rPr>
            <w:rStyle w:val="Hyperlink"/>
          </w:rPr>
          <w:t>https://www.prospects.ac.uk/job-profiles/health-visitor</w:t>
        </w:r>
      </w:hyperlink>
    </w:p>
    <w:p w14:paraId="0A82F167" w14:textId="607CCFD7" w:rsidR="0062070F" w:rsidRPr="0062070F" w:rsidRDefault="0062070F" w:rsidP="00C732EA">
      <w:pPr>
        <w:rPr>
          <w:color w:val="000000" w:themeColor="text1"/>
        </w:rPr>
      </w:pPr>
      <w:r>
        <w:t>Accessed 5/12/2025</w:t>
      </w:r>
    </w:p>
    <w:p w14:paraId="7C674908" w14:textId="1C33F428" w:rsidR="00C732EA" w:rsidRPr="0062070F" w:rsidRDefault="00C732EA" w:rsidP="00C732EA">
      <w:r w:rsidRPr="00D375A3">
        <w:rPr>
          <w:color w:val="000000" w:themeColor="text1"/>
        </w:rPr>
        <w:t xml:space="preserve">Skills for Health (2024) </w:t>
      </w:r>
      <w:proofErr w:type="gramStart"/>
      <w:r w:rsidRPr="00D375A3">
        <w:rPr>
          <w:color w:val="000000" w:themeColor="text1"/>
        </w:rPr>
        <w:t>Six time</w:t>
      </w:r>
      <w:proofErr w:type="gramEnd"/>
      <w:r w:rsidRPr="00D375A3">
        <w:rPr>
          <w:color w:val="000000" w:themeColor="text1"/>
        </w:rPr>
        <w:t xml:space="preserve"> management tips for busy healthcare professionals. Available at: </w:t>
      </w:r>
      <w:hyperlink r:id="rId14" w:history="1">
        <w:r w:rsidRPr="00D375A3">
          <w:rPr>
            <w:rStyle w:val="Hyperlink"/>
          </w:rPr>
          <w:t>https://www.skillsforhealth.org.uk/article/six-time-management-tips-for-busy-healthcare-professionals/</w:t>
        </w:r>
      </w:hyperlink>
    </w:p>
    <w:p w14:paraId="5C526A10" w14:textId="340E8E34" w:rsidR="0062070F" w:rsidRPr="00D375A3" w:rsidRDefault="0062070F" w:rsidP="00C732EA">
      <w:pPr>
        <w:rPr>
          <w:color w:val="000000" w:themeColor="text1"/>
        </w:rPr>
      </w:pPr>
      <w:r>
        <w:t>Accessed 5/12/2025</w:t>
      </w:r>
    </w:p>
    <w:p w14:paraId="12E7C23D" w14:textId="15755C51" w:rsidR="0062070F" w:rsidRDefault="00C732EA" w:rsidP="00C732EA">
      <w:pPr>
        <w:rPr>
          <w:color w:val="000000" w:themeColor="text1"/>
        </w:rPr>
      </w:pPr>
      <w:r w:rsidRPr="00D375A3">
        <w:rPr>
          <w:color w:val="000000" w:themeColor="text1"/>
        </w:rPr>
        <w:t xml:space="preserve">Xpress Health NI (2024) Essential Skills for Healthcare Professionals: Beyond Clinical Knowledge. Available at: </w:t>
      </w:r>
      <w:hyperlink r:id="rId15" w:history="1">
        <w:r w:rsidRPr="00D375A3">
          <w:rPr>
            <w:rStyle w:val="Hyperlink"/>
          </w:rPr>
          <w:t>https://xpresshealthni.co.uk/essential-skills-for-healthcare-professionals-beyond-clinical-knowledge</w:t>
        </w:r>
      </w:hyperlink>
      <w:r w:rsidRPr="00D375A3">
        <w:rPr>
          <w:color w:val="000000" w:themeColor="text1"/>
        </w:rPr>
        <w:t xml:space="preserve"> </w:t>
      </w:r>
    </w:p>
    <w:p w14:paraId="43F67601" w14:textId="40F58C01" w:rsidR="0062070F" w:rsidRPr="00D375A3" w:rsidRDefault="0062070F" w:rsidP="00C732EA">
      <w:pPr>
        <w:rPr>
          <w:color w:val="000000" w:themeColor="text1"/>
        </w:rPr>
      </w:pPr>
      <w:r>
        <w:rPr>
          <w:color w:val="000000" w:themeColor="text1"/>
        </w:rPr>
        <w:t>Accessed 5/12/2025</w:t>
      </w:r>
    </w:p>
    <w:bookmarkEnd w:id="8"/>
    <w:p w14:paraId="0F762EA8" w14:textId="77777777" w:rsidR="00C732EA" w:rsidRPr="00D375A3" w:rsidRDefault="00C732EA" w:rsidP="00C732EA">
      <w:pPr>
        <w:rPr>
          <w:color w:val="000000" w:themeColor="text1"/>
        </w:rPr>
      </w:pPr>
    </w:p>
    <w:sectPr w:rsidR="00C732EA" w:rsidRPr="00D375A3" w:rsidSect="00D676C3">
      <w:headerReference w:type="even" r:id="rId16"/>
      <w:headerReference w:type="defaul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17278E" w14:textId="77777777" w:rsidR="004B7279" w:rsidRDefault="004B7279" w:rsidP="003C7C97">
      <w:pPr>
        <w:spacing w:after="0" w:line="240" w:lineRule="auto"/>
      </w:pPr>
      <w:r>
        <w:separator/>
      </w:r>
    </w:p>
  </w:endnote>
  <w:endnote w:type="continuationSeparator" w:id="0">
    <w:p w14:paraId="788C07C7" w14:textId="77777777" w:rsidR="004B7279" w:rsidRDefault="004B7279"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407AB3" w14:textId="77777777" w:rsidR="004B7279" w:rsidRDefault="004B7279" w:rsidP="003C7C97">
      <w:pPr>
        <w:spacing w:after="0" w:line="240" w:lineRule="auto"/>
      </w:pPr>
      <w:r>
        <w:separator/>
      </w:r>
    </w:p>
  </w:footnote>
  <w:footnote w:type="continuationSeparator" w:id="0">
    <w:p w14:paraId="47E85B49" w14:textId="77777777" w:rsidR="004B7279" w:rsidRDefault="004B7279"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B71EA6FE"/>
    <w:lvl w:ilvl="0" w:tplc="F606EFC4">
      <w:start w:val="1"/>
      <w:numFmt w:val="bullet"/>
      <w:lvlText w:val=""/>
      <w:lvlJc w:val="left"/>
      <w:pPr>
        <w:ind w:left="720" w:hanging="360"/>
      </w:pPr>
      <w:rPr>
        <w:rFonts w:ascii="Symbol" w:hAnsi="Symbol" w:hint="default"/>
      </w:rPr>
    </w:lvl>
    <w:lvl w:ilvl="1" w:tplc="BEF2FE52">
      <w:start w:val="1"/>
      <w:numFmt w:val="bullet"/>
      <w:lvlText w:val="o"/>
      <w:lvlJc w:val="left"/>
      <w:pPr>
        <w:ind w:left="1440" w:hanging="360"/>
      </w:pPr>
      <w:rPr>
        <w:rFonts w:ascii="Courier New" w:hAnsi="Courier New" w:hint="default"/>
      </w:rPr>
    </w:lvl>
    <w:lvl w:ilvl="2" w:tplc="37B8E18C">
      <w:start w:val="1"/>
      <w:numFmt w:val="bullet"/>
      <w:lvlText w:val=""/>
      <w:lvlJc w:val="left"/>
      <w:pPr>
        <w:ind w:left="2160" w:hanging="360"/>
      </w:pPr>
      <w:rPr>
        <w:rFonts w:ascii="Wingdings" w:hAnsi="Wingdings" w:hint="default"/>
      </w:rPr>
    </w:lvl>
    <w:lvl w:ilvl="3" w:tplc="5348507A">
      <w:start w:val="1"/>
      <w:numFmt w:val="bullet"/>
      <w:lvlText w:val=""/>
      <w:lvlJc w:val="left"/>
      <w:pPr>
        <w:ind w:left="2880" w:hanging="360"/>
      </w:pPr>
      <w:rPr>
        <w:rFonts w:ascii="Symbol" w:hAnsi="Symbol" w:hint="default"/>
      </w:rPr>
    </w:lvl>
    <w:lvl w:ilvl="4" w:tplc="D1C4E1EE">
      <w:start w:val="1"/>
      <w:numFmt w:val="bullet"/>
      <w:lvlText w:val="o"/>
      <w:lvlJc w:val="left"/>
      <w:pPr>
        <w:ind w:left="3600" w:hanging="360"/>
      </w:pPr>
      <w:rPr>
        <w:rFonts w:ascii="Courier New" w:hAnsi="Courier New" w:hint="default"/>
      </w:rPr>
    </w:lvl>
    <w:lvl w:ilvl="5" w:tplc="112E4DE6">
      <w:start w:val="1"/>
      <w:numFmt w:val="bullet"/>
      <w:lvlText w:val=""/>
      <w:lvlJc w:val="left"/>
      <w:pPr>
        <w:ind w:left="4320" w:hanging="360"/>
      </w:pPr>
      <w:rPr>
        <w:rFonts w:ascii="Wingdings" w:hAnsi="Wingdings" w:hint="default"/>
      </w:rPr>
    </w:lvl>
    <w:lvl w:ilvl="6" w:tplc="C136DB1C">
      <w:start w:val="1"/>
      <w:numFmt w:val="bullet"/>
      <w:lvlText w:val=""/>
      <w:lvlJc w:val="left"/>
      <w:pPr>
        <w:ind w:left="5040" w:hanging="360"/>
      </w:pPr>
      <w:rPr>
        <w:rFonts w:ascii="Symbol" w:hAnsi="Symbol" w:hint="default"/>
      </w:rPr>
    </w:lvl>
    <w:lvl w:ilvl="7" w:tplc="47F0156A">
      <w:start w:val="1"/>
      <w:numFmt w:val="bullet"/>
      <w:lvlText w:val="o"/>
      <w:lvlJc w:val="left"/>
      <w:pPr>
        <w:ind w:left="5760" w:hanging="360"/>
      </w:pPr>
      <w:rPr>
        <w:rFonts w:ascii="Courier New" w:hAnsi="Courier New" w:hint="default"/>
      </w:rPr>
    </w:lvl>
    <w:lvl w:ilvl="8" w:tplc="DAAC7072">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5170C738"/>
    <w:lvl w:ilvl="0" w:tplc="50B0F2EA">
      <w:start w:val="1"/>
      <w:numFmt w:val="bullet"/>
      <w:lvlText w:val=""/>
      <w:lvlJc w:val="left"/>
      <w:pPr>
        <w:ind w:left="720" w:hanging="360"/>
      </w:pPr>
      <w:rPr>
        <w:rFonts w:ascii="Symbol" w:hAnsi="Symbol" w:hint="default"/>
      </w:rPr>
    </w:lvl>
    <w:lvl w:ilvl="1" w:tplc="9C2E296A">
      <w:start w:val="1"/>
      <w:numFmt w:val="bullet"/>
      <w:lvlText w:val="o"/>
      <w:lvlJc w:val="left"/>
      <w:pPr>
        <w:ind w:left="1440" w:hanging="360"/>
      </w:pPr>
      <w:rPr>
        <w:rFonts w:ascii="Courier New" w:hAnsi="Courier New" w:hint="default"/>
      </w:rPr>
    </w:lvl>
    <w:lvl w:ilvl="2" w:tplc="2DE27F9C">
      <w:start w:val="1"/>
      <w:numFmt w:val="bullet"/>
      <w:lvlText w:val=""/>
      <w:lvlJc w:val="left"/>
      <w:pPr>
        <w:ind w:left="2160" w:hanging="360"/>
      </w:pPr>
      <w:rPr>
        <w:rFonts w:ascii="Wingdings" w:hAnsi="Wingdings" w:hint="default"/>
      </w:rPr>
    </w:lvl>
    <w:lvl w:ilvl="3" w:tplc="2512A6AC">
      <w:start w:val="1"/>
      <w:numFmt w:val="bullet"/>
      <w:lvlText w:val=""/>
      <w:lvlJc w:val="left"/>
      <w:pPr>
        <w:ind w:left="2880" w:hanging="360"/>
      </w:pPr>
      <w:rPr>
        <w:rFonts w:ascii="Symbol" w:hAnsi="Symbol" w:hint="default"/>
      </w:rPr>
    </w:lvl>
    <w:lvl w:ilvl="4" w:tplc="925657E4">
      <w:start w:val="1"/>
      <w:numFmt w:val="bullet"/>
      <w:lvlText w:val="o"/>
      <w:lvlJc w:val="left"/>
      <w:pPr>
        <w:ind w:left="3600" w:hanging="360"/>
      </w:pPr>
      <w:rPr>
        <w:rFonts w:ascii="Courier New" w:hAnsi="Courier New" w:hint="default"/>
      </w:rPr>
    </w:lvl>
    <w:lvl w:ilvl="5" w:tplc="236C3D52">
      <w:start w:val="1"/>
      <w:numFmt w:val="bullet"/>
      <w:lvlText w:val=""/>
      <w:lvlJc w:val="left"/>
      <w:pPr>
        <w:ind w:left="4320" w:hanging="360"/>
      </w:pPr>
      <w:rPr>
        <w:rFonts w:ascii="Wingdings" w:hAnsi="Wingdings" w:hint="default"/>
      </w:rPr>
    </w:lvl>
    <w:lvl w:ilvl="6" w:tplc="C2EEC406">
      <w:start w:val="1"/>
      <w:numFmt w:val="bullet"/>
      <w:lvlText w:val=""/>
      <w:lvlJc w:val="left"/>
      <w:pPr>
        <w:ind w:left="5040" w:hanging="360"/>
      </w:pPr>
      <w:rPr>
        <w:rFonts w:ascii="Symbol" w:hAnsi="Symbol" w:hint="default"/>
      </w:rPr>
    </w:lvl>
    <w:lvl w:ilvl="7" w:tplc="CCCAD8C6">
      <w:start w:val="1"/>
      <w:numFmt w:val="bullet"/>
      <w:lvlText w:val="o"/>
      <w:lvlJc w:val="left"/>
      <w:pPr>
        <w:ind w:left="5760" w:hanging="360"/>
      </w:pPr>
      <w:rPr>
        <w:rFonts w:ascii="Courier New" w:hAnsi="Courier New" w:hint="default"/>
      </w:rPr>
    </w:lvl>
    <w:lvl w:ilvl="8" w:tplc="E68C2362">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64BCD576"/>
    <w:lvl w:ilvl="0" w:tplc="95B84AB6">
      <w:start w:val="1"/>
      <w:numFmt w:val="bullet"/>
      <w:lvlText w:val=""/>
      <w:lvlJc w:val="left"/>
      <w:pPr>
        <w:ind w:left="720" w:hanging="360"/>
      </w:pPr>
      <w:rPr>
        <w:rFonts w:ascii="Symbol" w:hAnsi="Symbol" w:hint="default"/>
      </w:rPr>
    </w:lvl>
    <w:lvl w:ilvl="1" w:tplc="B2AABC72">
      <w:start w:val="1"/>
      <w:numFmt w:val="bullet"/>
      <w:lvlText w:val="o"/>
      <w:lvlJc w:val="left"/>
      <w:pPr>
        <w:ind w:left="1440" w:hanging="360"/>
      </w:pPr>
      <w:rPr>
        <w:rFonts w:ascii="Courier New" w:hAnsi="Courier New" w:hint="default"/>
      </w:rPr>
    </w:lvl>
    <w:lvl w:ilvl="2" w:tplc="09926C6C">
      <w:start w:val="1"/>
      <w:numFmt w:val="bullet"/>
      <w:lvlText w:val=""/>
      <w:lvlJc w:val="left"/>
      <w:pPr>
        <w:ind w:left="2160" w:hanging="360"/>
      </w:pPr>
      <w:rPr>
        <w:rFonts w:ascii="Wingdings" w:hAnsi="Wingdings" w:hint="default"/>
      </w:rPr>
    </w:lvl>
    <w:lvl w:ilvl="3" w:tplc="CCC05DD0">
      <w:start w:val="1"/>
      <w:numFmt w:val="bullet"/>
      <w:lvlText w:val=""/>
      <w:lvlJc w:val="left"/>
      <w:pPr>
        <w:ind w:left="2880" w:hanging="360"/>
      </w:pPr>
      <w:rPr>
        <w:rFonts w:ascii="Symbol" w:hAnsi="Symbol" w:hint="default"/>
      </w:rPr>
    </w:lvl>
    <w:lvl w:ilvl="4" w:tplc="557A7B2A">
      <w:start w:val="1"/>
      <w:numFmt w:val="bullet"/>
      <w:lvlText w:val="o"/>
      <w:lvlJc w:val="left"/>
      <w:pPr>
        <w:ind w:left="3600" w:hanging="360"/>
      </w:pPr>
      <w:rPr>
        <w:rFonts w:ascii="Courier New" w:hAnsi="Courier New" w:hint="default"/>
      </w:rPr>
    </w:lvl>
    <w:lvl w:ilvl="5" w:tplc="894CC67C">
      <w:start w:val="1"/>
      <w:numFmt w:val="bullet"/>
      <w:lvlText w:val=""/>
      <w:lvlJc w:val="left"/>
      <w:pPr>
        <w:ind w:left="4320" w:hanging="360"/>
      </w:pPr>
      <w:rPr>
        <w:rFonts w:ascii="Wingdings" w:hAnsi="Wingdings" w:hint="default"/>
      </w:rPr>
    </w:lvl>
    <w:lvl w:ilvl="6" w:tplc="FFEED9D8">
      <w:start w:val="1"/>
      <w:numFmt w:val="bullet"/>
      <w:lvlText w:val=""/>
      <w:lvlJc w:val="left"/>
      <w:pPr>
        <w:ind w:left="5040" w:hanging="360"/>
      </w:pPr>
      <w:rPr>
        <w:rFonts w:ascii="Symbol" w:hAnsi="Symbol" w:hint="default"/>
      </w:rPr>
    </w:lvl>
    <w:lvl w:ilvl="7" w:tplc="CBB475C2">
      <w:start w:val="1"/>
      <w:numFmt w:val="bullet"/>
      <w:lvlText w:val="o"/>
      <w:lvlJc w:val="left"/>
      <w:pPr>
        <w:ind w:left="5760" w:hanging="360"/>
      </w:pPr>
      <w:rPr>
        <w:rFonts w:ascii="Courier New" w:hAnsi="Courier New" w:hint="default"/>
      </w:rPr>
    </w:lvl>
    <w:lvl w:ilvl="8" w:tplc="1D6E8EF4">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64EC2F26"/>
    <w:lvl w:ilvl="0" w:tplc="50903E32">
      <w:start w:val="1"/>
      <w:numFmt w:val="bullet"/>
      <w:lvlText w:val=""/>
      <w:lvlJc w:val="left"/>
      <w:pPr>
        <w:ind w:left="720" w:hanging="360"/>
      </w:pPr>
      <w:rPr>
        <w:rFonts w:ascii="Symbol" w:hAnsi="Symbol" w:hint="default"/>
      </w:rPr>
    </w:lvl>
    <w:lvl w:ilvl="1" w:tplc="6E78899A">
      <w:start w:val="1"/>
      <w:numFmt w:val="bullet"/>
      <w:lvlText w:val="o"/>
      <w:lvlJc w:val="left"/>
      <w:pPr>
        <w:ind w:left="1440" w:hanging="360"/>
      </w:pPr>
      <w:rPr>
        <w:rFonts w:ascii="Courier New" w:hAnsi="Courier New" w:hint="default"/>
      </w:rPr>
    </w:lvl>
    <w:lvl w:ilvl="2" w:tplc="69EC23DE">
      <w:start w:val="1"/>
      <w:numFmt w:val="bullet"/>
      <w:lvlText w:val=""/>
      <w:lvlJc w:val="left"/>
      <w:pPr>
        <w:ind w:left="2160" w:hanging="360"/>
      </w:pPr>
      <w:rPr>
        <w:rFonts w:ascii="Wingdings" w:hAnsi="Wingdings" w:hint="default"/>
      </w:rPr>
    </w:lvl>
    <w:lvl w:ilvl="3" w:tplc="827EBE16">
      <w:start w:val="1"/>
      <w:numFmt w:val="bullet"/>
      <w:lvlText w:val=""/>
      <w:lvlJc w:val="left"/>
      <w:pPr>
        <w:ind w:left="2880" w:hanging="360"/>
      </w:pPr>
      <w:rPr>
        <w:rFonts w:ascii="Symbol" w:hAnsi="Symbol" w:hint="default"/>
      </w:rPr>
    </w:lvl>
    <w:lvl w:ilvl="4" w:tplc="F2E0FA52">
      <w:start w:val="1"/>
      <w:numFmt w:val="bullet"/>
      <w:lvlText w:val="o"/>
      <w:lvlJc w:val="left"/>
      <w:pPr>
        <w:ind w:left="3600" w:hanging="360"/>
      </w:pPr>
      <w:rPr>
        <w:rFonts w:ascii="Courier New" w:hAnsi="Courier New" w:hint="default"/>
      </w:rPr>
    </w:lvl>
    <w:lvl w:ilvl="5" w:tplc="AD926C72">
      <w:start w:val="1"/>
      <w:numFmt w:val="bullet"/>
      <w:lvlText w:val=""/>
      <w:lvlJc w:val="left"/>
      <w:pPr>
        <w:ind w:left="4320" w:hanging="360"/>
      </w:pPr>
      <w:rPr>
        <w:rFonts w:ascii="Wingdings" w:hAnsi="Wingdings" w:hint="default"/>
      </w:rPr>
    </w:lvl>
    <w:lvl w:ilvl="6" w:tplc="D520ED3A">
      <w:start w:val="1"/>
      <w:numFmt w:val="bullet"/>
      <w:lvlText w:val=""/>
      <w:lvlJc w:val="left"/>
      <w:pPr>
        <w:ind w:left="5040" w:hanging="360"/>
      </w:pPr>
      <w:rPr>
        <w:rFonts w:ascii="Symbol" w:hAnsi="Symbol" w:hint="default"/>
      </w:rPr>
    </w:lvl>
    <w:lvl w:ilvl="7" w:tplc="66901ABC">
      <w:start w:val="1"/>
      <w:numFmt w:val="bullet"/>
      <w:lvlText w:val="o"/>
      <w:lvlJc w:val="left"/>
      <w:pPr>
        <w:ind w:left="5760" w:hanging="360"/>
      </w:pPr>
      <w:rPr>
        <w:rFonts w:ascii="Courier New" w:hAnsi="Courier New" w:hint="default"/>
      </w:rPr>
    </w:lvl>
    <w:lvl w:ilvl="8" w:tplc="15C0D020">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8837C69"/>
    <w:multiLevelType w:val="multilevel"/>
    <w:tmpl w:val="1A36CCD0"/>
    <w:lvl w:ilvl="0">
      <w:start w:val="1"/>
      <w:numFmt w:val="decimal"/>
      <w:lvlText w:val="%1"/>
      <w:lvlJc w:val="left"/>
      <w:pPr>
        <w:ind w:left="398" w:hanging="398"/>
      </w:pPr>
      <w:rPr>
        <w:rFonts w:hint="default"/>
      </w:rPr>
    </w:lvl>
    <w:lvl w:ilvl="1">
      <w:start w:val="1"/>
      <w:numFmt w:val="decimal"/>
      <w:lvlText w:val="%1.%2"/>
      <w:lvlJc w:val="left"/>
      <w:pPr>
        <w:ind w:left="398" w:hanging="39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4A224439"/>
    <w:multiLevelType w:val="hybridMultilevel"/>
    <w:tmpl w:val="FE34AF76"/>
    <w:lvl w:ilvl="0" w:tplc="D2CA5064">
      <w:start w:val="1"/>
      <w:numFmt w:val="bullet"/>
      <w:lvlText w:val=""/>
      <w:lvlJc w:val="left"/>
      <w:pPr>
        <w:ind w:left="720" w:hanging="360"/>
      </w:pPr>
      <w:rPr>
        <w:rFonts w:ascii="Symbol" w:hAnsi="Symbol" w:hint="default"/>
      </w:rPr>
    </w:lvl>
    <w:lvl w:ilvl="1" w:tplc="6C0C800A">
      <w:start w:val="1"/>
      <w:numFmt w:val="bullet"/>
      <w:lvlText w:val="o"/>
      <w:lvlJc w:val="left"/>
      <w:pPr>
        <w:ind w:left="1440" w:hanging="360"/>
      </w:pPr>
      <w:rPr>
        <w:rFonts w:ascii="Courier New" w:hAnsi="Courier New" w:hint="default"/>
      </w:rPr>
    </w:lvl>
    <w:lvl w:ilvl="2" w:tplc="966EA792">
      <w:start w:val="1"/>
      <w:numFmt w:val="bullet"/>
      <w:lvlText w:val=""/>
      <w:lvlJc w:val="left"/>
      <w:pPr>
        <w:ind w:left="2160" w:hanging="360"/>
      </w:pPr>
      <w:rPr>
        <w:rFonts w:ascii="Wingdings" w:hAnsi="Wingdings" w:hint="default"/>
      </w:rPr>
    </w:lvl>
    <w:lvl w:ilvl="3" w:tplc="378C42B2">
      <w:start w:val="1"/>
      <w:numFmt w:val="bullet"/>
      <w:lvlText w:val=""/>
      <w:lvlJc w:val="left"/>
      <w:pPr>
        <w:ind w:left="2880" w:hanging="360"/>
      </w:pPr>
      <w:rPr>
        <w:rFonts w:ascii="Symbol" w:hAnsi="Symbol" w:hint="default"/>
      </w:rPr>
    </w:lvl>
    <w:lvl w:ilvl="4" w:tplc="1D80F7F8">
      <w:start w:val="1"/>
      <w:numFmt w:val="bullet"/>
      <w:lvlText w:val="o"/>
      <w:lvlJc w:val="left"/>
      <w:pPr>
        <w:ind w:left="3600" w:hanging="360"/>
      </w:pPr>
      <w:rPr>
        <w:rFonts w:ascii="Courier New" w:hAnsi="Courier New" w:hint="default"/>
      </w:rPr>
    </w:lvl>
    <w:lvl w:ilvl="5" w:tplc="90C0948A">
      <w:start w:val="1"/>
      <w:numFmt w:val="bullet"/>
      <w:lvlText w:val=""/>
      <w:lvlJc w:val="left"/>
      <w:pPr>
        <w:ind w:left="4320" w:hanging="360"/>
      </w:pPr>
      <w:rPr>
        <w:rFonts w:ascii="Wingdings" w:hAnsi="Wingdings" w:hint="default"/>
      </w:rPr>
    </w:lvl>
    <w:lvl w:ilvl="6" w:tplc="15AA7680">
      <w:start w:val="1"/>
      <w:numFmt w:val="bullet"/>
      <w:lvlText w:val=""/>
      <w:lvlJc w:val="left"/>
      <w:pPr>
        <w:ind w:left="5040" w:hanging="360"/>
      </w:pPr>
      <w:rPr>
        <w:rFonts w:ascii="Symbol" w:hAnsi="Symbol" w:hint="default"/>
      </w:rPr>
    </w:lvl>
    <w:lvl w:ilvl="7" w:tplc="AC0E230A">
      <w:start w:val="1"/>
      <w:numFmt w:val="bullet"/>
      <w:lvlText w:val="o"/>
      <w:lvlJc w:val="left"/>
      <w:pPr>
        <w:ind w:left="5760" w:hanging="360"/>
      </w:pPr>
      <w:rPr>
        <w:rFonts w:ascii="Courier New" w:hAnsi="Courier New" w:hint="default"/>
      </w:rPr>
    </w:lvl>
    <w:lvl w:ilvl="8" w:tplc="9524268C">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0A4662F6"/>
    <w:lvl w:ilvl="0" w:tplc="EC4473AA">
      <w:start w:val="1"/>
      <w:numFmt w:val="bullet"/>
      <w:lvlText w:val=""/>
      <w:lvlJc w:val="left"/>
      <w:pPr>
        <w:ind w:left="720" w:hanging="360"/>
      </w:pPr>
      <w:rPr>
        <w:rFonts w:ascii="Symbol" w:hAnsi="Symbol" w:hint="default"/>
      </w:rPr>
    </w:lvl>
    <w:lvl w:ilvl="1" w:tplc="BAAE55F2">
      <w:start w:val="1"/>
      <w:numFmt w:val="bullet"/>
      <w:lvlText w:val="o"/>
      <w:lvlJc w:val="left"/>
      <w:pPr>
        <w:ind w:left="1440" w:hanging="360"/>
      </w:pPr>
      <w:rPr>
        <w:rFonts w:ascii="Courier New" w:hAnsi="Courier New" w:hint="default"/>
      </w:rPr>
    </w:lvl>
    <w:lvl w:ilvl="2" w:tplc="93B05E0A">
      <w:start w:val="1"/>
      <w:numFmt w:val="bullet"/>
      <w:lvlText w:val=""/>
      <w:lvlJc w:val="left"/>
      <w:pPr>
        <w:ind w:left="2160" w:hanging="360"/>
      </w:pPr>
      <w:rPr>
        <w:rFonts w:ascii="Wingdings" w:hAnsi="Wingdings" w:hint="default"/>
      </w:rPr>
    </w:lvl>
    <w:lvl w:ilvl="3" w:tplc="2D1CE3BE">
      <w:start w:val="1"/>
      <w:numFmt w:val="bullet"/>
      <w:lvlText w:val=""/>
      <w:lvlJc w:val="left"/>
      <w:pPr>
        <w:ind w:left="2880" w:hanging="360"/>
      </w:pPr>
      <w:rPr>
        <w:rFonts w:ascii="Symbol" w:hAnsi="Symbol" w:hint="default"/>
      </w:rPr>
    </w:lvl>
    <w:lvl w:ilvl="4" w:tplc="A26A470A">
      <w:start w:val="1"/>
      <w:numFmt w:val="bullet"/>
      <w:lvlText w:val="o"/>
      <w:lvlJc w:val="left"/>
      <w:pPr>
        <w:ind w:left="3600" w:hanging="360"/>
      </w:pPr>
      <w:rPr>
        <w:rFonts w:ascii="Courier New" w:hAnsi="Courier New" w:hint="default"/>
      </w:rPr>
    </w:lvl>
    <w:lvl w:ilvl="5" w:tplc="9BEAEFDC">
      <w:start w:val="1"/>
      <w:numFmt w:val="bullet"/>
      <w:lvlText w:val=""/>
      <w:lvlJc w:val="left"/>
      <w:pPr>
        <w:ind w:left="4320" w:hanging="360"/>
      </w:pPr>
      <w:rPr>
        <w:rFonts w:ascii="Wingdings" w:hAnsi="Wingdings" w:hint="default"/>
      </w:rPr>
    </w:lvl>
    <w:lvl w:ilvl="6" w:tplc="72A6AC54">
      <w:start w:val="1"/>
      <w:numFmt w:val="bullet"/>
      <w:lvlText w:val=""/>
      <w:lvlJc w:val="left"/>
      <w:pPr>
        <w:ind w:left="5040" w:hanging="360"/>
      </w:pPr>
      <w:rPr>
        <w:rFonts w:ascii="Symbol" w:hAnsi="Symbol" w:hint="default"/>
      </w:rPr>
    </w:lvl>
    <w:lvl w:ilvl="7" w:tplc="9ED6DDFC">
      <w:start w:val="1"/>
      <w:numFmt w:val="bullet"/>
      <w:lvlText w:val="o"/>
      <w:lvlJc w:val="left"/>
      <w:pPr>
        <w:ind w:left="5760" w:hanging="360"/>
      </w:pPr>
      <w:rPr>
        <w:rFonts w:ascii="Courier New" w:hAnsi="Courier New" w:hint="default"/>
      </w:rPr>
    </w:lvl>
    <w:lvl w:ilvl="8" w:tplc="BB206920">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0284958">
    <w:abstractNumId w:val="11"/>
  </w:num>
  <w:num w:numId="2" w16cid:durableId="1436826144">
    <w:abstractNumId w:val="12"/>
  </w:num>
  <w:num w:numId="3" w16cid:durableId="1256286688">
    <w:abstractNumId w:val="1"/>
  </w:num>
  <w:num w:numId="4" w16cid:durableId="1627808503">
    <w:abstractNumId w:val="3"/>
  </w:num>
  <w:num w:numId="5" w16cid:durableId="734856496">
    <w:abstractNumId w:val="16"/>
  </w:num>
  <w:num w:numId="6" w16cid:durableId="602495949">
    <w:abstractNumId w:val="24"/>
  </w:num>
  <w:num w:numId="7" w16cid:durableId="52895227">
    <w:abstractNumId w:val="8"/>
  </w:num>
  <w:num w:numId="8" w16cid:durableId="351032333">
    <w:abstractNumId w:val="2"/>
  </w:num>
  <w:num w:numId="9" w16cid:durableId="1067413603">
    <w:abstractNumId w:val="13"/>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9"/>
  </w:num>
  <w:num w:numId="15" w16cid:durableId="1393503788">
    <w:abstractNumId w:val="5"/>
  </w:num>
  <w:num w:numId="16" w16cid:durableId="1579359955">
    <w:abstractNumId w:val="17"/>
  </w:num>
  <w:num w:numId="17" w16cid:durableId="806699681">
    <w:abstractNumId w:val="18"/>
  </w:num>
  <w:num w:numId="18" w16cid:durableId="1314750107">
    <w:abstractNumId w:val="14"/>
  </w:num>
  <w:num w:numId="19" w16cid:durableId="1766919701">
    <w:abstractNumId w:val="21"/>
  </w:num>
  <w:num w:numId="20" w16cid:durableId="1957908719">
    <w:abstractNumId w:val="10"/>
  </w:num>
  <w:num w:numId="21" w16cid:durableId="1132019979">
    <w:abstractNumId w:val="4"/>
  </w:num>
  <w:num w:numId="22" w16cid:durableId="1457524365">
    <w:abstractNumId w:val="7"/>
  </w:num>
  <w:num w:numId="23" w16cid:durableId="1386294306">
    <w:abstractNumId w:val="30"/>
  </w:num>
  <w:num w:numId="24" w16cid:durableId="1838374920">
    <w:abstractNumId w:val="25"/>
  </w:num>
  <w:num w:numId="25" w16cid:durableId="1827044992">
    <w:abstractNumId w:val="9"/>
  </w:num>
  <w:num w:numId="26" w16cid:durableId="895820667">
    <w:abstractNumId w:val="20"/>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193242478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71B59"/>
    <w:rsid w:val="0008238F"/>
    <w:rsid w:val="00082EC6"/>
    <w:rsid w:val="00085388"/>
    <w:rsid w:val="000D41DC"/>
    <w:rsid w:val="001248C4"/>
    <w:rsid w:val="00125D37"/>
    <w:rsid w:val="00127C1A"/>
    <w:rsid w:val="00150D81"/>
    <w:rsid w:val="00166CEB"/>
    <w:rsid w:val="00183CB9"/>
    <w:rsid w:val="00184A9A"/>
    <w:rsid w:val="001947DF"/>
    <w:rsid w:val="001B22BB"/>
    <w:rsid w:val="001B619C"/>
    <w:rsid w:val="001C161D"/>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329B1"/>
    <w:rsid w:val="003458DB"/>
    <w:rsid w:val="003523D3"/>
    <w:rsid w:val="003548FC"/>
    <w:rsid w:val="00364C35"/>
    <w:rsid w:val="00372D80"/>
    <w:rsid w:val="00396F60"/>
    <w:rsid w:val="003A51D6"/>
    <w:rsid w:val="003B125E"/>
    <w:rsid w:val="003B2A5E"/>
    <w:rsid w:val="003C7C97"/>
    <w:rsid w:val="00406B8D"/>
    <w:rsid w:val="00410068"/>
    <w:rsid w:val="0041618E"/>
    <w:rsid w:val="0042295C"/>
    <w:rsid w:val="00426EEC"/>
    <w:rsid w:val="004466C3"/>
    <w:rsid w:val="004552CE"/>
    <w:rsid w:val="00481FF7"/>
    <w:rsid w:val="004B7279"/>
    <w:rsid w:val="00500295"/>
    <w:rsid w:val="00501AAF"/>
    <w:rsid w:val="00527AFA"/>
    <w:rsid w:val="005419DA"/>
    <w:rsid w:val="00546452"/>
    <w:rsid w:val="005639F2"/>
    <w:rsid w:val="005678AC"/>
    <w:rsid w:val="005679BD"/>
    <w:rsid w:val="005709B1"/>
    <w:rsid w:val="00572B3B"/>
    <w:rsid w:val="00576409"/>
    <w:rsid w:val="005836D2"/>
    <w:rsid w:val="00587C58"/>
    <w:rsid w:val="005A7FD4"/>
    <w:rsid w:val="005B1A84"/>
    <w:rsid w:val="005D1AF9"/>
    <w:rsid w:val="005D5457"/>
    <w:rsid w:val="005E2699"/>
    <w:rsid w:val="005E44B5"/>
    <w:rsid w:val="00612DEA"/>
    <w:rsid w:val="00614572"/>
    <w:rsid w:val="0062070F"/>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2775A"/>
    <w:rsid w:val="007632A9"/>
    <w:rsid w:val="00774092"/>
    <w:rsid w:val="00782830"/>
    <w:rsid w:val="0078664A"/>
    <w:rsid w:val="007A384E"/>
    <w:rsid w:val="007B0F6D"/>
    <w:rsid w:val="007B4802"/>
    <w:rsid w:val="007C62C3"/>
    <w:rsid w:val="007D25AA"/>
    <w:rsid w:val="007F0873"/>
    <w:rsid w:val="007F694D"/>
    <w:rsid w:val="00805726"/>
    <w:rsid w:val="00810FEF"/>
    <w:rsid w:val="00815117"/>
    <w:rsid w:val="00824CB1"/>
    <w:rsid w:val="00833AEE"/>
    <w:rsid w:val="00837AF1"/>
    <w:rsid w:val="008520F8"/>
    <w:rsid w:val="00855F34"/>
    <w:rsid w:val="008826B6"/>
    <w:rsid w:val="008B0B22"/>
    <w:rsid w:val="008C58B0"/>
    <w:rsid w:val="008C591B"/>
    <w:rsid w:val="008C6182"/>
    <w:rsid w:val="008F3B9E"/>
    <w:rsid w:val="0090779E"/>
    <w:rsid w:val="00926458"/>
    <w:rsid w:val="00933720"/>
    <w:rsid w:val="0094046B"/>
    <w:rsid w:val="009947AA"/>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BF7CB3"/>
    <w:rsid w:val="00C164DE"/>
    <w:rsid w:val="00C3215E"/>
    <w:rsid w:val="00C45272"/>
    <w:rsid w:val="00C47770"/>
    <w:rsid w:val="00C732EA"/>
    <w:rsid w:val="00C75856"/>
    <w:rsid w:val="00C85A7C"/>
    <w:rsid w:val="00C95214"/>
    <w:rsid w:val="00CC3F59"/>
    <w:rsid w:val="00CD4774"/>
    <w:rsid w:val="00CE1732"/>
    <w:rsid w:val="00D10AAF"/>
    <w:rsid w:val="00D27540"/>
    <w:rsid w:val="00D375A3"/>
    <w:rsid w:val="00D4006B"/>
    <w:rsid w:val="00D40D7A"/>
    <w:rsid w:val="00D64A0D"/>
    <w:rsid w:val="00D676C3"/>
    <w:rsid w:val="00D750B4"/>
    <w:rsid w:val="00D81C18"/>
    <w:rsid w:val="00D8461A"/>
    <w:rsid w:val="00D95CAF"/>
    <w:rsid w:val="00DB60B6"/>
    <w:rsid w:val="00DC1CC6"/>
    <w:rsid w:val="00DD5135"/>
    <w:rsid w:val="00E02B9A"/>
    <w:rsid w:val="00E067A8"/>
    <w:rsid w:val="00E13924"/>
    <w:rsid w:val="00E15FD5"/>
    <w:rsid w:val="00E1725A"/>
    <w:rsid w:val="00E33758"/>
    <w:rsid w:val="00E53E5E"/>
    <w:rsid w:val="00E64325"/>
    <w:rsid w:val="00E673C5"/>
    <w:rsid w:val="00E67967"/>
    <w:rsid w:val="00E82723"/>
    <w:rsid w:val="00EA29A5"/>
    <w:rsid w:val="00EB7A00"/>
    <w:rsid w:val="00EC107C"/>
    <w:rsid w:val="00EC7EBE"/>
    <w:rsid w:val="00EC7FD2"/>
    <w:rsid w:val="00ED5964"/>
    <w:rsid w:val="00F1720B"/>
    <w:rsid w:val="00F215EB"/>
    <w:rsid w:val="00F36ADC"/>
    <w:rsid w:val="00F605C6"/>
    <w:rsid w:val="00F6785B"/>
    <w:rsid w:val="00F9012D"/>
    <w:rsid w:val="00F915D6"/>
    <w:rsid w:val="00F97CCE"/>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C732EA"/>
    <w:rPr>
      <w:color w:val="605E5C"/>
      <w:shd w:val="clear" w:color="auto" w:fill="E1DFDD"/>
    </w:rPr>
  </w:style>
  <w:style w:type="character" w:styleId="FollowedHyperlink">
    <w:name w:val="FollowedHyperlink"/>
    <w:basedOn w:val="DefaultParagraphFont"/>
    <w:uiPriority w:val="99"/>
    <w:semiHidden/>
    <w:unhideWhenUsed/>
    <w:rsid w:val="00833AE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rospects.ac.uk/job-profiles/health-visitor"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hv.org.uk/for-health-visitors/what-is-a-health-visitor/"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lthecareers.com/career-resources/nurse-career/ways-to-improve-critical-thinking-in-nursing" TargetMode="External"/><Relationship Id="rId5" Type="http://schemas.openxmlformats.org/officeDocument/2006/relationships/webSettings" Target="webSettings.xml"/><Relationship Id="rId15" Type="http://schemas.openxmlformats.org/officeDocument/2006/relationships/hyperlink" Target="https://xpresshealthni.co.uk/essential-skills-for-healthcare-professionals-beyond-clinical-knowledge" TargetMode="External"/><Relationship Id="rId10" Type="http://schemas.openxmlformats.org/officeDocument/2006/relationships/hyperlink" Target="https://www.healthcareers.nhs.uk/explore-roles/public-health/roles-public-health/health-visitor"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linicspots.com/blog/effective-communication-strategies-in-health-and-social-care%20Accessed%205/12/2025" TargetMode="External"/><Relationship Id="rId14" Type="http://schemas.openxmlformats.org/officeDocument/2006/relationships/hyperlink" Target="https://www.skillsforhealth.org.uk/article/six-time-management-tips-for-busy-healthcare-profession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7</Pages>
  <Words>1573</Words>
  <Characters>10744</Characters>
  <Application>Microsoft Office Word</Application>
  <DocSecurity>0</DocSecurity>
  <Lines>233</Lines>
  <Paragraphs>64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Maria Gabriela Ion (2509672)</cp:lastModifiedBy>
  <cp:revision>10</cp:revision>
  <dcterms:created xsi:type="dcterms:W3CDTF">2025-12-05T22:46:00Z</dcterms:created>
  <dcterms:modified xsi:type="dcterms:W3CDTF">2025-12-06T16:09:00Z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90ae0aad-ffde-4f35-8b2b-bc706b975b7d</vt:lpwstr>
  </property>
</Properties>
</file>