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FA2B20" w14:textId="77777777" w:rsidR="00B52AEA" w:rsidRDefault="002E5BB8" w:rsidP="00545A81">
      <w:pPr>
        <w:rPr>
          <w:rFonts w:ascii="Arial" w:eastAsia="Times New Roman" w:hAnsi="Arial" w:cs="Arial"/>
          <w:b/>
          <w:bCs/>
          <w:sz w:val="28"/>
          <w:szCs w:val="28"/>
        </w:rPr>
      </w:pPr>
      <w:bookmarkStart w:id="0" w:name="_Toc233832750"/>
      <w:bookmarkStart w:id="1" w:name="_Toc233835653"/>
      <w:bookmarkStart w:id="2" w:name="_Toc234090265"/>
      <w:r>
        <w:rPr>
          <w:rFonts w:eastAsia="Times New Roman"/>
          <w:noProof/>
        </w:rPr>
        <w:drawing>
          <wp:inline distT="0" distB="0" distL="0" distR="0" wp14:anchorId="5060CC45" wp14:editId="11F0C078">
            <wp:extent cx="5724525" cy="5724525"/>
            <wp:effectExtent l="0" t="0" r="0" b="0"/>
            <wp:docPr id="104245882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4525" cy="5724525"/>
                    </a:xfrm>
                    <a:prstGeom prst="rect">
                      <a:avLst/>
                    </a:prstGeom>
                    <a:noFill/>
                  </pic:spPr>
                </pic:pic>
              </a:graphicData>
            </a:graphic>
          </wp:inline>
        </w:drawing>
      </w:r>
    </w:p>
    <w:p w14:paraId="111FC9B9" w14:textId="77777777" w:rsidR="00B52AEA" w:rsidRDefault="00B52AEA" w:rsidP="00545A81">
      <w:pPr>
        <w:rPr>
          <w:rFonts w:ascii="Arial" w:eastAsia="Times New Roman" w:hAnsi="Arial" w:cs="Arial"/>
          <w:b/>
          <w:bCs/>
          <w:sz w:val="28"/>
          <w:szCs w:val="28"/>
        </w:rPr>
      </w:pPr>
    </w:p>
    <w:p w14:paraId="22BA1AA3" w14:textId="0B8A6CE4" w:rsidR="00A37A41" w:rsidRPr="00EC0CFC" w:rsidRDefault="00A37A41" w:rsidP="00545A81">
      <w:pPr>
        <w:rPr>
          <w:rFonts w:ascii="Arial" w:eastAsia="Times New Roman" w:hAnsi="Arial" w:cs="Arial"/>
          <w:b/>
          <w:bCs/>
        </w:rPr>
      </w:pPr>
      <w:r w:rsidRPr="00EC0CFC">
        <w:rPr>
          <w:rFonts w:ascii="Arial" w:eastAsia="Times New Roman" w:hAnsi="Arial" w:cs="Arial"/>
          <w:b/>
          <w:bCs/>
          <w:sz w:val="28"/>
          <w:szCs w:val="28"/>
        </w:rPr>
        <w:t>BMSW5009: Managing Projects in the Organi</w:t>
      </w:r>
      <w:r w:rsidR="00E95F9F" w:rsidRPr="00EC0CFC">
        <w:rPr>
          <w:rFonts w:ascii="Arial" w:eastAsia="Times New Roman" w:hAnsi="Arial" w:cs="Arial"/>
          <w:b/>
          <w:bCs/>
          <w:sz w:val="28"/>
          <w:szCs w:val="28"/>
        </w:rPr>
        <w:t>s</w:t>
      </w:r>
      <w:r w:rsidRPr="00EC0CFC">
        <w:rPr>
          <w:rFonts w:ascii="Arial" w:eastAsia="Times New Roman" w:hAnsi="Arial" w:cs="Arial"/>
          <w:b/>
          <w:bCs/>
          <w:sz w:val="28"/>
          <w:szCs w:val="28"/>
        </w:rPr>
        <w:t>ation</w:t>
      </w:r>
      <w:bookmarkEnd w:id="0"/>
      <w:bookmarkEnd w:id="1"/>
      <w:bookmarkEnd w:id="2"/>
    </w:p>
    <w:p w14:paraId="589C9589" w14:textId="77777777" w:rsidR="00A37A41" w:rsidRPr="00EC0CFC" w:rsidRDefault="00A37A41" w:rsidP="00EC0CFC">
      <w:pPr>
        <w:rPr>
          <w:rFonts w:ascii="Arial" w:eastAsia="Times New Roman" w:hAnsi="Arial" w:cs="Arial"/>
          <w:sz w:val="28"/>
          <w:szCs w:val="28"/>
        </w:rPr>
      </w:pPr>
      <w:bookmarkStart w:id="3" w:name="_Toc233832751"/>
      <w:bookmarkStart w:id="4" w:name="_Toc233835654"/>
      <w:bookmarkStart w:id="5" w:name="_Toc234090266"/>
      <w:r w:rsidRPr="00EC0CFC">
        <w:rPr>
          <w:rFonts w:ascii="Arial" w:eastAsia="Times New Roman" w:hAnsi="Arial" w:cs="Arial"/>
          <w:sz w:val="28"/>
          <w:szCs w:val="28"/>
        </w:rPr>
        <w:t xml:space="preserve">Technical Project Report: </w:t>
      </w:r>
      <w:proofErr w:type="spellStart"/>
      <w:r w:rsidRPr="00EC0CFC">
        <w:rPr>
          <w:rFonts w:ascii="Arial" w:eastAsia="Times New Roman" w:hAnsi="Arial" w:cs="Arial"/>
          <w:sz w:val="28"/>
          <w:szCs w:val="28"/>
        </w:rPr>
        <w:t>ArtBridge</w:t>
      </w:r>
      <w:proofErr w:type="spellEnd"/>
      <w:r w:rsidRPr="00EC0CFC">
        <w:rPr>
          <w:rFonts w:ascii="Arial" w:eastAsia="Times New Roman" w:hAnsi="Arial" w:cs="Arial"/>
          <w:sz w:val="28"/>
          <w:szCs w:val="28"/>
        </w:rPr>
        <w:t xml:space="preserve"> Social Enterprise Gallery</w:t>
      </w:r>
      <w:bookmarkEnd w:id="3"/>
      <w:bookmarkEnd w:id="4"/>
      <w:bookmarkEnd w:id="5"/>
    </w:p>
    <w:p w14:paraId="0A219D10" w14:textId="493F56A1" w:rsidR="00A37A41" w:rsidRPr="00AD5C1A" w:rsidRDefault="00A37A41" w:rsidP="00460116">
      <w:pPr>
        <w:pStyle w:val="NormalWeb"/>
        <w:jc w:val="both"/>
        <w:rPr>
          <w:rFonts w:ascii="Arial" w:hAnsi="Arial" w:cs="Arial"/>
        </w:rPr>
      </w:pPr>
      <w:r w:rsidRPr="00AD5C1A">
        <w:rPr>
          <w:rStyle w:val="Strong"/>
          <w:rFonts w:ascii="Arial" w:hAnsi="Arial" w:cs="Arial"/>
        </w:rPr>
        <w:t>Module Code:</w:t>
      </w:r>
      <w:r w:rsidRPr="00AD5C1A">
        <w:rPr>
          <w:rFonts w:ascii="Arial" w:hAnsi="Arial" w:cs="Arial"/>
        </w:rPr>
        <w:t xml:space="preserve"> BMSW5009-CARD</w:t>
      </w:r>
      <w:r w:rsidR="001B22C8">
        <w:rPr>
          <w:rFonts w:ascii="Arial" w:hAnsi="Arial" w:cs="Arial"/>
        </w:rPr>
        <w:t xml:space="preserve"> </w:t>
      </w:r>
      <w:r w:rsidR="001B22C8" w:rsidRPr="005E68A5">
        <w:rPr>
          <w:rFonts w:ascii="Arial" w:hAnsi="Arial" w:cs="Arial"/>
          <w:b/>
          <w:bCs/>
        </w:rPr>
        <w:t>Module Lead:</w:t>
      </w:r>
      <w:r w:rsidR="005E68A5" w:rsidRPr="005E68A5">
        <w:rPr>
          <w:rFonts w:ascii="Arial" w:eastAsia="Arial" w:hAnsi="Arial" w:cs="Arial"/>
          <w:b/>
          <w:bCs/>
          <w:snapToGrid w:val="0"/>
          <w:color w:val="000000"/>
          <w:sz w:val="21"/>
          <w:szCs w:val="21"/>
          <w:lang w:val="en-US"/>
        </w:rPr>
        <w:t xml:space="preserve"> </w:t>
      </w:r>
      <w:r w:rsidR="005E68A5" w:rsidRPr="005E68A5">
        <w:rPr>
          <w:rFonts w:ascii="Arial" w:hAnsi="Arial" w:cs="Arial"/>
          <w:lang w:val="en-US"/>
        </w:rPr>
        <w:t>Maggie Zhang</w:t>
      </w:r>
    </w:p>
    <w:p w14:paraId="4BDEFE3C" w14:textId="77777777" w:rsidR="001D27A5" w:rsidRPr="00B9147F" w:rsidRDefault="00A37A41" w:rsidP="00B9147F">
      <w:pPr>
        <w:pStyle w:val="NormalWeb"/>
        <w:jc w:val="both"/>
        <w:rPr>
          <w:rFonts w:ascii="Arial" w:hAnsi="Arial" w:cs="Arial"/>
        </w:rPr>
      </w:pPr>
      <w:r w:rsidRPr="00AD5C1A">
        <w:rPr>
          <w:rStyle w:val="Strong"/>
          <w:rFonts w:ascii="Arial" w:hAnsi="Arial" w:cs="Arial"/>
        </w:rPr>
        <w:t>Student ID:</w:t>
      </w:r>
      <w:r w:rsidRPr="00AD5C1A">
        <w:rPr>
          <w:rFonts w:ascii="Arial" w:hAnsi="Arial" w:cs="Arial"/>
        </w:rPr>
        <w:t xml:space="preserve"> 2311561</w:t>
      </w:r>
      <w:r w:rsidR="00094E4B">
        <w:rPr>
          <w:rFonts w:ascii="Arial" w:hAnsi="Arial" w:cs="Arial"/>
        </w:rPr>
        <w:t xml:space="preserve"> </w:t>
      </w:r>
      <w:r w:rsidRPr="00AD5C1A">
        <w:rPr>
          <w:rStyle w:val="Strong"/>
          <w:rFonts w:ascii="Arial" w:hAnsi="Arial" w:cs="Arial"/>
        </w:rPr>
        <w:t>Project Role:</w:t>
      </w:r>
      <w:r w:rsidRPr="00AD5C1A">
        <w:rPr>
          <w:rFonts w:ascii="Arial" w:hAnsi="Arial" w:cs="Arial"/>
        </w:rPr>
        <w:t xml:space="preserve"> Project Coordination Lead</w:t>
      </w:r>
      <w:r w:rsidR="00094E4B">
        <w:rPr>
          <w:rFonts w:ascii="Arial" w:hAnsi="Arial" w:cs="Arial"/>
        </w:rPr>
        <w:t xml:space="preserve"> </w:t>
      </w:r>
      <w:r w:rsidR="00870F63">
        <w:rPr>
          <w:rStyle w:val="Strong"/>
          <w:rFonts w:ascii="Arial" w:hAnsi="Arial" w:cs="Arial"/>
        </w:rPr>
        <w:t>Project Team:</w:t>
      </w:r>
      <w:r w:rsidR="00870F63">
        <w:rPr>
          <w:rFonts w:ascii="Arial" w:hAnsi="Arial" w:cs="Arial"/>
        </w:rPr>
        <w:t xml:space="preserve"> Marian (Project Team Leader), Sebastian (Stakeholder Lead), Sorina (Funding Lead), Cristian (Marketing Assistant), Florina (Logistics Assistant), Adina (Evaluation and Impact Supp</w:t>
      </w:r>
      <w:r w:rsidR="00696589">
        <w:rPr>
          <w:rFonts w:ascii="Arial" w:hAnsi="Arial" w:cs="Arial"/>
        </w:rPr>
        <w:t>ort)</w:t>
      </w:r>
    </w:p>
    <w:bookmarkStart w:id="6" w:name="_Toc233835655" w:displacedByCustomXml="next"/>
    <w:bookmarkStart w:id="7" w:name="_Toc233832752" w:displacedByCustomXml="next"/>
    <w:sdt>
      <w:sdtPr>
        <w:id w:val="1087569534"/>
        <w:docPartObj>
          <w:docPartGallery w:val="Table of Contents"/>
          <w:docPartUnique/>
        </w:docPartObj>
      </w:sdtPr>
      <w:sdtEndPr>
        <w:rPr>
          <w:rFonts w:asciiTheme="minorHAnsi" w:eastAsiaTheme="minorEastAsia" w:hAnsiTheme="minorHAnsi" w:cstheme="minorBidi"/>
          <w:b/>
          <w:bCs/>
          <w:noProof/>
          <w:color w:val="auto"/>
          <w:sz w:val="24"/>
          <w:szCs w:val="24"/>
        </w:rPr>
      </w:sdtEndPr>
      <w:sdtContent>
        <w:p w14:paraId="37AB69A5" w14:textId="77777777" w:rsidR="00B52AEA" w:rsidRDefault="00B52AEA">
          <w:pPr>
            <w:pStyle w:val="TOCHeading"/>
          </w:pPr>
        </w:p>
        <w:p w14:paraId="741FA163" w14:textId="15AA0C6D" w:rsidR="00B1794B" w:rsidRDefault="00B1794B">
          <w:pPr>
            <w:pStyle w:val="TOCHeading"/>
          </w:pPr>
          <w:r>
            <w:t>Contents</w:t>
          </w:r>
        </w:p>
        <w:p w14:paraId="27E4B0ED" w14:textId="77777777" w:rsidR="00254023" w:rsidRDefault="00254023" w:rsidP="00254023">
          <w:pPr>
            <w:rPr>
              <w:sz w:val="2"/>
              <w:szCs w:val="2"/>
              <w:lang w:eastAsia="en-GB"/>
            </w:rPr>
          </w:pPr>
          <w:r>
            <w:rPr>
              <w:rFonts w:ascii="Arial" w:hAnsi="Arial" w:cs="Arial"/>
              <w:sz w:val="2"/>
              <w:szCs w:val="2"/>
            </w:rPr>
            <w:t>​</w:t>
          </w:r>
        </w:p>
        <w:p w14:paraId="294DC1CE" w14:textId="50F49776" w:rsidR="00B52AEA" w:rsidRDefault="00254023">
          <w:pPr>
            <w:pStyle w:val="TOC1"/>
            <w:tabs>
              <w:tab w:val="right" w:leader="dot" w:pos="9350"/>
            </w:tabs>
            <w:rPr>
              <w:noProof/>
              <w:lang w:eastAsia="en-GB"/>
            </w:rPr>
          </w:pPr>
          <w:r>
            <w:rPr>
              <w:sz w:val="2"/>
              <w:szCs w:val="2"/>
              <w:lang w:eastAsia="en-GB"/>
            </w:rPr>
            <w:fldChar w:fldCharType="begin"/>
          </w:r>
          <w:r>
            <w:rPr>
              <w:rFonts w:ascii="Arial" w:hAnsi="Arial" w:cs="Arial"/>
              <w:sz w:val="2"/>
              <w:szCs w:val="2"/>
            </w:rPr>
            <w:instrText xml:space="preserve"> TOC \o "1-3" \h \* MERGEFORMAT </w:instrText>
          </w:r>
          <w:r>
            <w:rPr>
              <w:sz w:val="2"/>
              <w:szCs w:val="2"/>
              <w:lang w:eastAsia="en-GB"/>
            </w:rPr>
            <w:fldChar w:fldCharType="separate"/>
          </w:r>
          <w:hyperlink w:anchor="_Toc234090793" w:history="1">
            <w:r w:rsidR="00B52AEA" w:rsidRPr="005F24BA">
              <w:rPr>
                <w:rStyle w:val="Hyperlink"/>
                <w:rFonts w:ascii="Arial" w:eastAsia="Times New Roman" w:hAnsi="Arial" w:cs="Arial"/>
                <w:noProof/>
              </w:rPr>
              <w:t>Executive Summary</w:t>
            </w:r>
            <w:r w:rsidR="00B52AEA">
              <w:rPr>
                <w:noProof/>
              </w:rPr>
              <w:tab/>
            </w:r>
            <w:r w:rsidR="00B52AEA">
              <w:rPr>
                <w:noProof/>
              </w:rPr>
              <w:fldChar w:fldCharType="begin"/>
            </w:r>
            <w:r w:rsidR="00B52AEA">
              <w:rPr>
                <w:noProof/>
              </w:rPr>
              <w:instrText xml:space="preserve"> PAGEREF _Toc234090793 \h </w:instrText>
            </w:r>
            <w:r w:rsidR="00B52AEA">
              <w:rPr>
                <w:noProof/>
              </w:rPr>
            </w:r>
            <w:r w:rsidR="00B52AEA">
              <w:rPr>
                <w:noProof/>
              </w:rPr>
              <w:fldChar w:fldCharType="separate"/>
            </w:r>
            <w:r w:rsidR="00B52AEA">
              <w:rPr>
                <w:noProof/>
              </w:rPr>
              <w:t>2</w:t>
            </w:r>
            <w:r w:rsidR="00B52AEA">
              <w:rPr>
                <w:noProof/>
              </w:rPr>
              <w:fldChar w:fldCharType="end"/>
            </w:r>
          </w:hyperlink>
        </w:p>
        <w:p w14:paraId="2710CB56" w14:textId="4DAF3D7D" w:rsidR="00B52AEA" w:rsidRDefault="00B52AEA">
          <w:pPr>
            <w:pStyle w:val="TOC1"/>
            <w:tabs>
              <w:tab w:val="right" w:leader="dot" w:pos="9350"/>
            </w:tabs>
            <w:rPr>
              <w:noProof/>
              <w:lang w:eastAsia="en-GB"/>
            </w:rPr>
          </w:pPr>
          <w:hyperlink w:anchor="_Toc234090794" w:history="1">
            <w:r w:rsidRPr="005F24BA">
              <w:rPr>
                <w:rStyle w:val="Hyperlink"/>
                <w:rFonts w:ascii="Arial" w:hAnsi="Arial" w:cs="Arial"/>
                <w:noProof/>
              </w:rPr>
              <w:t>1.0 Introduction</w:t>
            </w:r>
            <w:r>
              <w:rPr>
                <w:noProof/>
              </w:rPr>
              <w:tab/>
            </w:r>
            <w:r>
              <w:rPr>
                <w:noProof/>
              </w:rPr>
              <w:fldChar w:fldCharType="begin"/>
            </w:r>
            <w:r>
              <w:rPr>
                <w:noProof/>
              </w:rPr>
              <w:instrText xml:space="preserve"> PAGEREF _Toc234090794 \h </w:instrText>
            </w:r>
            <w:r>
              <w:rPr>
                <w:noProof/>
              </w:rPr>
            </w:r>
            <w:r>
              <w:rPr>
                <w:noProof/>
              </w:rPr>
              <w:fldChar w:fldCharType="separate"/>
            </w:r>
            <w:r>
              <w:rPr>
                <w:noProof/>
              </w:rPr>
              <w:t>3</w:t>
            </w:r>
            <w:r>
              <w:rPr>
                <w:noProof/>
              </w:rPr>
              <w:fldChar w:fldCharType="end"/>
            </w:r>
          </w:hyperlink>
        </w:p>
        <w:p w14:paraId="4A55715E" w14:textId="092A9975" w:rsidR="00B52AEA" w:rsidRDefault="00B52AEA">
          <w:pPr>
            <w:pStyle w:val="TOC1"/>
            <w:tabs>
              <w:tab w:val="right" w:leader="dot" w:pos="9350"/>
            </w:tabs>
            <w:rPr>
              <w:noProof/>
              <w:lang w:eastAsia="en-GB"/>
            </w:rPr>
          </w:pPr>
          <w:hyperlink w:anchor="_Toc234090795" w:history="1">
            <w:r w:rsidRPr="005F24BA">
              <w:rPr>
                <w:rStyle w:val="Hyperlink"/>
                <w:rFonts w:ascii="Arial" w:eastAsia="Times New Roman" w:hAnsi="Arial" w:cs="Arial"/>
                <w:noProof/>
              </w:rPr>
              <w:t>2.0 Findings and Critical Discussion</w:t>
            </w:r>
            <w:r>
              <w:rPr>
                <w:noProof/>
              </w:rPr>
              <w:tab/>
            </w:r>
            <w:r>
              <w:rPr>
                <w:noProof/>
              </w:rPr>
              <w:fldChar w:fldCharType="begin"/>
            </w:r>
            <w:r>
              <w:rPr>
                <w:noProof/>
              </w:rPr>
              <w:instrText xml:space="preserve"> PAGEREF _Toc234090795 \h </w:instrText>
            </w:r>
            <w:r>
              <w:rPr>
                <w:noProof/>
              </w:rPr>
            </w:r>
            <w:r>
              <w:rPr>
                <w:noProof/>
              </w:rPr>
              <w:fldChar w:fldCharType="separate"/>
            </w:r>
            <w:r>
              <w:rPr>
                <w:noProof/>
              </w:rPr>
              <w:t>3</w:t>
            </w:r>
            <w:r>
              <w:rPr>
                <w:noProof/>
              </w:rPr>
              <w:fldChar w:fldCharType="end"/>
            </w:r>
          </w:hyperlink>
        </w:p>
        <w:p w14:paraId="4AEAF5CB" w14:textId="3F3CF482" w:rsidR="00B52AEA" w:rsidRDefault="00B52AEA">
          <w:pPr>
            <w:pStyle w:val="TOC2"/>
            <w:tabs>
              <w:tab w:val="right" w:leader="dot" w:pos="9350"/>
            </w:tabs>
            <w:rPr>
              <w:noProof/>
              <w:lang w:eastAsia="en-GB"/>
            </w:rPr>
          </w:pPr>
          <w:hyperlink w:anchor="_Toc234090796" w:history="1">
            <w:r w:rsidRPr="005F24BA">
              <w:rPr>
                <w:rStyle w:val="Hyperlink"/>
                <w:rFonts w:ascii="Arial" w:eastAsia="Times New Roman" w:hAnsi="Arial" w:cs="Arial"/>
                <w:noProof/>
              </w:rPr>
              <w:t>2.1 Critical Discussion of Project Management Tools and Techniques</w:t>
            </w:r>
            <w:r>
              <w:rPr>
                <w:noProof/>
              </w:rPr>
              <w:tab/>
            </w:r>
            <w:r>
              <w:rPr>
                <w:noProof/>
              </w:rPr>
              <w:fldChar w:fldCharType="begin"/>
            </w:r>
            <w:r>
              <w:rPr>
                <w:noProof/>
              </w:rPr>
              <w:instrText xml:space="preserve"> PAGEREF _Toc234090796 \h </w:instrText>
            </w:r>
            <w:r>
              <w:rPr>
                <w:noProof/>
              </w:rPr>
            </w:r>
            <w:r>
              <w:rPr>
                <w:noProof/>
              </w:rPr>
              <w:fldChar w:fldCharType="separate"/>
            </w:r>
            <w:r>
              <w:rPr>
                <w:noProof/>
              </w:rPr>
              <w:t>3</w:t>
            </w:r>
            <w:r>
              <w:rPr>
                <w:noProof/>
              </w:rPr>
              <w:fldChar w:fldCharType="end"/>
            </w:r>
          </w:hyperlink>
        </w:p>
        <w:p w14:paraId="32E45400" w14:textId="77B078B9" w:rsidR="00B52AEA" w:rsidRDefault="00B52AEA">
          <w:pPr>
            <w:pStyle w:val="TOC2"/>
            <w:tabs>
              <w:tab w:val="right" w:leader="dot" w:pos="9350"/>
            </w:tabs>
            <w:rPr>
              <w:noProof/>
              <w:lang w:eastAsia="en-GB"/>
            </w:rPr>
          </w:pPr>
          <w:hyperlink w:anchor="_Toc234090797" w:history="1">
            <w:r w:rsidRPr="005F24BA">
              <w:rPr>
                <w:rStyle w:val="Hyperlink"/>
                <w:rFonts w:ascii="Arial" w:hAnsi="Arial" w:cs="Arial"/>
                <w:noProof/>
              </w:rPr>
              <w:t>2.2 Planning, Implementation and Stakeholder Communication</w:t>
            </w:r>
            <w:r>
              <w:rPr>
                <w:noProof/>
              </w:rPr>
              <w:tab/>
            </w:r>
            <w:r>
              <w:rPr>
                <w:noProof/>
              </w:rPr>
              <w:fldChar w:fldCharType="begin"/>
            </w:r>
            <w:r>
              <w:rPr>
                <w:noProof/>
              </w:rPr>
              <w:instrText xml:space="preserve"> PAGEREF _Toc234090797 \h </w:instrText>
            </w:r>
            <w:r>
              <w:rPr>
                <w:noProof/>
              </w:rPr>
            </w:r>
            <w:r>
              <w:rPr>
                <w:noProof/>
              </w:rPr>
              <w:fldChar w:fldCharType="separate"/>
            </w:r>
            <w:r>
              <w:rPr>
                <w:noProof/>
              </w:rPr>
              <w:t>5</w:t>
            </w:r>
            <w:r>
              <w:rPr>
                <w:noProof/>
              </w:rPr>
              <w:fldChar w:fldCharType="end"/>
            </w:r>
          </w:hyperlink>
        </w:p>
        <w:p w14:paraId="7C774303" w14:textId="4A6DA9F7" w:rsidR="00B52AEA" w:rsidRDefault="00B52AEA">
          <w:pPr>
            <w:pStyle w:val="TOC2"/>
            <w:tabs>
              <w:tab w:val="right" w:leader="dot" w:pos="9350"/>
            </w:tabs>
            <w:rPr>
              <w:noProof/>
              <w:lang w:eastAsia="en-GB"/>
            </w:rPr>
          </w:pPr>
          <w:hyperlink w:anchor="_Toc234090798" w:history="1">
            <w:r w:rsidRPr="005F24BA">
              <w:rPr>
                <w:rStyle w:val="Hyperlink"/>
                <w:rFonts w:ascii="Arial" w:hAnsi="Arial" w:cs="Arial"/>
                <w:noProof/>
              </w:rPr>
              <w:t>2.3 Stakeholder Communication and Evaluation</w:t>
            </w:r>
            <w:r>
              <w:rPr>
                <w:noProof/>
              </w:rPr>
              <w:tab/>
            </w:r>
            <w:r>
              <w:rPr>
                <w:noProof/>
              </w:rPr>
              <w:fldChar w:fldCharType="begin"/>
            </w:r>
            <w:r>
              <w:rPr>
                <w:noProof/>
              </w:rPr>
              <w:instrText xml:space="preserve"> PAGEREF _Toc234090798 \h </w:instrText>
            </w:r>
            <w:r>
              <w:rPr>
                <w:noProof/>
              </w:rPr>
            </w:r>
            <w:r>
              <w:rPr>
                <w:noProof/>
              </w:rPr>
              <w:fldChar w:fldCharType="separate"/>
            </w:r>
            <w:r>
              <w:rPr>
                <w:noProof/>
              </w:rPr>
              <w:t>6</w:t>
            </w:r>
            <w:r>
              <w:rPr>
                <w:noProof/>
              </w:rPr>
              <w:fldChar w:fldCharType="end"/>
            </w:r>
          </w:hyperlink>
        </w:p>
        <w:p w14:paraId="0652C114" w14:textId="617C3ABC" w:rsidR="00B52AEA" w:rsidRDefault="00B52AEA">
          <w:pPr>
            <w:pStyle w:val="TOC1"/>
            <w:tabs>
              <w:tab w:val="right" w:leader="dot" w:pos="9350"/>
            </w:tabs>
            <w:rPr>
              <w:noProof/>
              <w:lang w:eastAsia="en-GB"/>
            </w:rPr>
          </w:pPr>
          <w:hyperlink w:anchor="_Toc234090799" w:history="1">
            <w:r w:rsidRPr="005F24BA">
              <w:rPr>
                <w:rStyle w:val="Hyperlink"/>
                <w:rFonts w:ascii="Arial" w:eastAsia="Times New Roman" w:hAnsi="Arial" w:cs="Arial"/>
                <w:noProof/>
              </w:rPr>
              <w:t>3.0 Conclusion</w:t>
            </w:r>
            <w:r>
              <w:rPr>
                <w:noProof/>
              </w:rPr>
              <w:tab/>
            </w:r>
            <w:r>
              <w:rPr>
                <w:noProof/>
              </w:rPr>
              <w:fldChar w:fldCharType="begin"/>
            </w:r>
            <w:r>
              <w:rPr>
                <w:noProof/>
              </w:rPr>
              <w:instrText xml:space="preserve"> PAGEREF _Toc234090799 \h </w:instrText>
            </w:r>
            <w:r>
              <w:rPr>
                <w:noProof/>
              </w:rPr>
            </w:r>
            <w:r>
              <w:rPr>
                <w:noProof/>
              </w:rPr>
              <w:fldChar w:fldCharType="separate"/>
            </w:r>
            <w:r>
              <w:rPr>
                <w:noProof/>
              </w:rPr>
              <w:t>7</w:t>
            </w:r>
            <w:r>
              <w:rPr>
                <w:noProof/>
              </w:rPr>
              <w:fldChar w:fldCharType="end"/>
            </w:r>
          </w:hyperlink>
        </w:p>
        <w:p w14:paraId="2FC5E0D4" w14:textId="178F0482" w:rsidR="00B52AEA" w:rsidRDefault="00B52AEA">
          <w:pPr>
            <w:pStyle w:val="TOC1"/>
            <w:tabs>
              <w:tab w:val="right" w:leader="dot" w:pos="9350"/>
            </w:tabs>
            <w:rPr>
              <w:noProof/>
              <w:lang w:eastAsia="en-GB"/>
            </w:rPr>
          </w:pPr>
          <w:hyperlink w:anchor="_Toc234090800" w:history="1">
            <w:r w:rsidRPr="005F24BA">
              <w:rPr>
                <w:rStyle w:val="Hyperlink"/>
                <w:rFonts w:ascii="Arial" w:eastAsia="Times New Roman" w:hAnsi="Arial" w:cs="Arial"/>
                <w:noProof/>
              </w:rPr>
              <w:t>4.0 Future Improvements</w:t>
            </w:r>
            <w:r>
              <w:rPr>
                <w:noProof/>
              </w:rPr>
              <w:tab/>
            </w:r>
            <w:r>
              <w:rPr>
                <w:noProof/>
              </w:rPr>
              <w:fldChar w:fldCharType="begin"/>
            </w:r>
            <w:r>
              <w:rPr>
                <w:noProof/>
              </w:rPr>
              <w:instrText xml:space="preserve"> PAGEREF _Toc234090800 \h </w:instrText>
            </w:r>
            <w:r>
              <w:rPr>
                <w:noProof/>
              </w:rPr>
            </w:r>
            <w:r>
              <w:rPr>
                <w:noProof/>
              </w:rPr>
              <w:fldChar w:fldCharType="separate"/>
            </w:r>
            <w:r>
              <w:rPr>
                <w:noProof/>
              </w:rPr>
              <w:t>8</w:t>
            </w:r>
            <w:r>
              <w:rPr>
                <w:noProof/>
              </w:rPr>
              <w:fldChar w:fldCharType="end"/>
            </w:r>
          </w:hyperlink>
        </w:p>
        <w:p w14:paraId="554EE035" w14:textId="5251725E" w:rsidR="00B52AEA" w:rsidRDefault="00B52AEA">
          <w:pPr>
            <w:pStyle w:val="TOC1"/>
            <w:tabs>
              <w:tab w:val="right" w:leader="dot" w:pos="9350"/>
            </w:tabs>
            <w:rPr>
              <w:noProof/>
              <w:lang w:eastAsia="en-GB"/>
            </w:rPr>
          </w:pPr>
          <w:hyperlink w:anchor="_Toc234090801" w:history="1">
            <w:r w:rsidRPr="005F24BA">
              <w:rPr>
                <w:rStyle w:val="Hyperlink"/>
                <w:rFonts w:ascii="Arial" w:hAnsi="Arial" w:cs="Arial"/>
                <w:noProof/>
              </w:rPr>
              <w:t>References</w:t>
            </w:r>
            <w:r>
              <w:rPr>
                <w:noProof/>
              </w:rPr>
              <w:tab/>
            </w:r>
            <w:r>
              <w:rPr>
                <w:noProof/>
              </w:rPr>
              <w:fldChar w:fldCharType="begin"/>
            </w:r>
            <w:r>
              <w:rPr>
                <w:noProof/>
              </w:rPr>
              <w:instrText xml:space="preserve"> PAGEREF _Toc234090801 \h </w:instrText>
            </w:r>
            <w:r>
              <w:rPr>
                <w:noProof/>
              </w:rPr>
            </w:r>
            <w:r>
              <w:rPr>
                <w:noProof/>
              </w:rPr>
              <w:fldChar w:fldCharType="separate"/>
            </w:r>
            <w:r>
              <w:rPr>
                <w:noProof/>
              </w:rPr>
              <w:t>9</w:t>
            </w:r>
            <w:r>
              <w:rPr>
                <w:noProof/>
              </w:rPr>
              <w:fldChar w:fldCharType="end"/>
            </w:r>
          </w:hyperlink>
        </w:p>
        <w:p w14:paraId="1BE0BAFE" w14:textId="4DFC3E20" w:rsidR="00254023" w:rsidRDefault="00254023" w:rsidP="00254023">
          <w:pPr>
            <w:rPr>
              <w:sz w:val="2"/>
              <w:szCs w:val="2"/>
              <w:lang w:eastAsia="en-GB"/>
            </w:rPr>
          </w:pPr>
          <w:r>
            <w:rPr>
              <w:sz w:val="2"/>
              <w:szCs w:val="2"/>
              <w:lang w:eastAsia="en-GB"/>
            </w:rPr>
            <w:fldChar w:fldCharType="end"/>
          </w:r>
        </w:p>
        <w:p w14:paraId="73587BC6" w14:textId="77777777" w:rsidR="00254023" w:rsidRDefault="00254023" w:rsidP="00254023">
          <w:pPr>
            <w:rPr>
              <w:sz w:val="2"/>
              <w:szCs w:val="2"/>
              <w:lang w:eastAsia="en-GB"/>
            </w:rPr>
          </w:pPr>
          <w:r>
            <w:rPr>
              <w:rFonts w:ascii="Arial" w:hAnsi="Arial" w:cs="Arial"/>
              <w:sz w:val="2"/>
              <w:szCs w:val="2"/>
            </w:rPr>
            <w:t>​</w:t>
          </w:r>
        </w:p>
        <w:p w14:paraId="7C7F53D7" w14:textId="6FE747F8" w:rsidR="00B1794B" w:rsidRDefault="00B1794B"/>
      </w:sdtContent>
    </w:sdt>
    <w:p w14:paraId="1156B167" w14:textId="37AFF2B6" w:rsidR="00A37A41" w:rsidRPr="00CD1BB5" w:rsidRDefault="00A37A41" w:rsidP="00AD4E7F">
      <w:pPr>
        <w:pStyle w:val="Heading1"/>
        <w:jc w:val="both"/>
        <w:rPr>
          <w:rFonts w:ascii="Arial" w:eastAsia="Times New Roman" w:hAnsi="Arial" w:cs="Arial"/>
          <w:sz w:val="32"/>
          <w:szCs w:val="32"/>
        </w:rPr>
      </w:pPr>
      <w:bookmarkStart w:id="8" w:name="_Toc234090267"/>
      <w:bookmarkStart w:id="9" w:name="_Toc234090793"/>
      <w:r w:rsidRPr="00CD1BB5">
        <w:rPr>
          <w:rFonts w:ascii="Arial" w:eastAsia="Times New Roman" w:hAnsi="Arial" w:cs="Arial"/>
          <w:sz w:val="32"/>
          <w:szCs w:val="32"/>
        </w:rPr>
        <w:t>Executive Summary</w:t>
      </w:r>
      <w:bookmarkEnd w:id="7"/>
      <w:bookmarkEnd w:id="6"/>
      <w:bookmarkEnd w:id="8"/>
      <w:bookmarkEnd w:id="9"/>
    </w:p>
    <w:p w14:paraId="656BCA38" w14:textId="23988405" w:rsidR="00A37A41" w:rsidRDefault="00E53BCF">
      <w:pPr>
        <w:jc w:val="both"/>
      </w:pPr>
      <w:r w:rsidRPr="00E53BCF">
        <w:rPr>
          <w:rFonts w:ascii="Arial" w:hAnsi="Arial" w:cs="Arial"/>
        </w:rPr>
        <w:t xml:space="preserve">This executive summary provides additional context that supports the report. </w:t>
      </w:r>
      <w:proofErr w:type="spellStart"/>
      <w:r w:rsidRPr="00E53BCF">
        <w:rPr>
          <w:rFonts w:ascii="Arial" w:hAnsi="Arial" w:cs="Arial"/>
        </w:rPr>
        <w:t>ArtBridge</w:t>
      </w:r>
      <w:proofErr w:type="spellEnd"/>
      <w:r w:rsidRPr="00E53BCF">
        <w:rPr>
          <w:rFonts w:ascii="Arial" w:hAnsi="Arial" w:cs="Arial"/>
        </w:rPr>
        <w:t xml:space="preserve"> is a proposed small-scale social enterprise gallery designed to support</w:t>
      </w:r>
      <w:r w:rsidR="00B67487" w:rsidRPr="00AD5C1A">
        <w:rPr>
          <w:rFonts w:ascii="Arial" w:hAnsi="Arial" w:cs="Arial"/>
        </w:rPr>
        <w:t xml:space="preserve"> disadvantaged young people </w:t>
      </w:r>
      <w:r w:rsidRPr="00E53BCF">
        <w:rPr>
          <w:rFonts w:ascii="Arial" w:hAnsi="Arial" w:cs="Arial"/>
        </w:rPr>
        <w:t xml:space="preserve">through accessible art workshops </w:t>
      </w:r>
      <w:r w:rsidR="00B67487" w:rsidRPr="00AD5C1A">
        <w:rPr>
          <w:rFonts w:ascii="Arial" w:hAnsi="Arial" w:cs="Arial"/>
        </w:rPr>
        <w:t xml:space="preserve">while </w:t>
      </w:r>
      <w:r w:rsidRPr="00E53BCF">
        <w:rPr>
          <w:rFonts w:ascii="Arial" w:hAnsi="Arial" w:cs="Arial"/>
        </w:rPr>
        <w:t>also</w:t>
      </w:r>
      <w:r w:rsidR="00B67487" w:rsidRPr="00AD5C1A">
        <w:rPr>
          <w:rFonts w:ascii="Arial" w:hAnsi="Arial" w:cs="Arial"/>
        </w:rPr>
        <w:t xml:space="preserve"> creating exhibition and income opportunities for emerging local artists.</w:t>
      </w:r>
      <w:r w:rsidRPr="00E53BCF">
        <w:rPr>
          <w:rFonts w:ascii="Arial" w:hAnsi="Arial" w:cs="Arial"/>
        </w:rPr>
        <w:t xml:space="preserve"> The project was developed by a team with defined roles: project coordination, stakeholder engagement, funding, marketing and logistics.</w:t>
      </w:r>
    </w:p>
    <w:p w14:paraId="79A5A886" w14:textId="77777777" w:rsidR="00A37A41" w:rsidRDefault="00B67487">
      <w:pPr>
        <w:jc w:val="both"/>
      </w:pPr>
      <w:r w:rsidRPr="00AD5C1A">
        <w:rPr>
          <w:rFonts w:ascii="Arial" w:hAnsi="Arial" w:cs="Arial"/>
        </w:rPr>
        <w:t xml:space="preserve">The </w:t>
      </w:r>
      <w:r w:rsidR="00257BC1" w:rsidRPr="00257BC1">
        <w:rPr>
          <w:rFonts w:ascii="Arial" w:hAnsi="Arial" w:cs="Arial"/>
        </w:rPr>
        <w:t xml:space="preserve">main </w:t>
      </w:r>
      <w:r w:rsidRPr="00AD5C1A">
        <w:rPr>
          <w:rFonts w:ascii="Arial" w:hAnsi="Arial" w:cs="Arial"/>
        </w:rPr>
        <w:t xml:space="preserve">report </w:t>
      </w:r>
      <w:r w:rsidR="00257BC1" w:rsidRPr="00257BC1">
        <w:rPr>
          <w:rFonts w:ascii="Arial" w:hAnsi="Arial" w:cs="Arial"/>
        </w:rPr>
        <w:t xml:space="preserve">focuses on critical discussion rather than long description. It </w:t>
      </w:r>
      <w:r w:rsidRPr="00AD5C1A">
        <w:rPr>
          <w:rFonts w:ascii="Arial" w:hAnsi="Arial" w:cs="Arial"/>
        </w:rPr>
        <w:t xml:space="preserve">examines </w:t>
      </w:r>
      <w:r w:rsidR="00257BC1" w:rsidRPr="00257BC1">
        <w:rPr>
          <w:rFonts w:ascii="Arial" w:hAnsi="Arial" w:cs="Arial"/>
        </w:rPr>
        <w:t>how</w:t>
      </w:r>
      <w:r w:rsidRPr="00AD5C1A">
        <w:rPr>
          <w:rFonts w:ascii="Arial" w:hAnsi="Arial" w:cs="Arial"/>
        </w:rPr>
        <w:t xml:space="preserve"> project management tools </w:t>
      </w:r>
      <w:r w:rsidR="00257BC1" w:rsidRPr="00257BC1">
        <w:rPr>
          <w:rFonts w:ascii="Arial" w:hAnsi="Arial" w:cs="Arial"/>
        </w:rPr>
        <w:t>were</w:t>
      </w:r>
      <w:r w:rsidRPr="00AD5C1A">
        <w:rPr>
          <w:rFonts w:ascii="Arial" w:hAnsi="Arial" w:cs="Arial"/>
        </w:rPr>
        <w:t xml:space="preserve"> used </w:t>
      </w:r>
      <w:r w:rsidR="00257BC1" w:rsidRPr="00257BC1">
        <w:rPr>
          <w:rFonts w:ascii="Arial" w:hAnsi="Arial" w:cs="Arial"/>
        </w:rPr>
        <w:t xml:space="preserve">to plan </w:t>
      </w:r>
      <w:proofErr w:type="spellStart"/>
      <w:r w:rsidR="00257BC1" w:rsidRPr="00257BC1">
        <w:rPr>
          <w:rFonts w:ascii="Arial" w:hAnsi="Arial" w:cs="Arial"/>
        </w:rPr>
        <w:t>ArtBridge</w:t>
      </w:r>
      <w:proofErr w:type="spellEnd"/>
      <w:r w:rsidRPr="00AD5C1A">
        <w:rPr>
          <w:rFonts w:ascii="Arial" w:hAnsi="Arial" w:cs="Arial"/>
        </w:rPr>
        <w:t xml:space="preserve">, including scope management, </w:t>
      </w:r>
      <w:r w:rsidR="00257BC1" w:rsidRPr="00257BC1">
        <w:rPr>
          <w:rFonts w:ascii="Arial" w:hAnsi="Arial" w:cs="Arial"/>
        </w:rPr>
        <w:t xml:space="preserve">stakeholder analysis, communication planning, the </w:t>
      </w:r>
      <w:r w:rsidRPr="00AD5C1A">
        <w:rPr>
          <w:rFonts w:ascii="Arial" w:hAnsi="Arial" w:cs="Arial"/>
        </w:rPr>
        <w:t xml:space="preserve">Work Breakdown </w:t>
      </w:r>
      <w:r w:rsidR="00257BC1" w:rsidRPr="00257BC1">
        <w:rPr>
          <w:rFonts w:ascii="Arial" w:hAnsi="Arial" w:cs="Arial"/>
        </w:rPr>
        <w:t>Structure,</w:t>
      </w:r>
      <w:r w:rsidRPr="00AD5C1A">
        <w:rPr>
          <w:rFonts w:ascii="Arial" w:hAnsi="Arial" w:cs="Arial"/>
        </w:rPr>
        <w:t xml:space="preserve"> Gantt chart scheduling, risk management and </w:t>
      </w:r>
      <w:r w:rsidR="00257BC1" w:rsidRPr="00257BC1">
        <w:rPr>
          <w:rFonts w:ascii="Arial" w:hAnsi="Arial" w:cs="Arial"/>
        </w:rPr>
        <w:t>the iron triangle. The report also considers how project plans were communicated to stakeholders and what could be improved in future projects.</w:t>
      </w:r>
    </w:p>
    <w:p w14:paraId="53FC7C06" w14:textId="306F706F" w:rsidR="00A37A41" w:rsidRDefault="004269E8">
      <w:pPr>
        <w:jc w:val="both"/>
      </w:pPr>
      <w:r w:rsidRPr="004269E8">
        <w:rPr>
          <w:rFonts w:ascii="Arial" w:hAnsi="Arial" w:cs="Arial"/>
        </w:rPr>
        <w:t xml:space="preserve">The main finding is that the tools were useful when </w:t>
      </w:r>
      <w:r w:rsidR="00610E0D" w:rsidRPr="004269E8">
        <w:rPr>
          <w:rFonts w:ascii="Arial" w:hAnsi="Arial" w:cs="Arial"/>
        </w:rPr>
        <w:t>connected</w:t>
      </w:r>
      <w:r w:rsidRPr="004269E8">
        <w:rPr>
          <w:rFonts w:ascii="Arial" w:hAnsi="Arial" w:cs="Arial"/>
        </w:rPr>
        <w:t xml:space="preserve">. The WBS clarified tasks and roles, the Gantt chart showed sequencing, scope management and the iron triangle helped control ambition, and risk management highlighted threats such as funding gaps and venue delays. Stakeholder analysis and communication planning were especially important because </w:t>
      </w:r>
      <w:proofErr w:type="spellStart"/>
      <w:r w:rsidRPr="004269E8">
        <w:rPr>
          <w:rFonts w:ascii="Arial" w:hAnsi="Arial" w:cs="Arial"/>
        </w:rPr>
        <w:t>ArtBridge</w:t>
      </w:r>
      <w:proofErr w:type="spellEnd"/>
      <w:r w:rsidRPr="004269E8">
        <w:rPr>
          <w:rFonts w:ascii="Arial" w:hAnsi="Arial" w:cs="Arial"/>
        </w:rPr>
        <w:t xml:space="preserve"> depends on funders, schools, community groups, artists, volunteers, local authorities, venue owners and young participants.</w:t>
      </w:r>
    </w:p>
    <w:p w14:paraId="38A6033A" w14:textId="77777777" w:rsidR="00A37A41" w:rsidRDefault="003E3EAE">
      <w:pPr>
        <w:jc w:val="both"/>
      </w:pPr>
      <w:r w:rsidRPr="003E3EAE">
        <w:rPr>
          <w:rFonts w:ascii="Arial" w:hAnsi="Arial" w:cs="Arial"/>
        </w:rPr>
        <w:lastRenderedPageBreak/>
        <w:t xml:space="preserve">The report concludes that </w:t>
      </w:r>
      <w:proofErr w:type="spellStart"/>
      <w:r w:rsidRPr="003E3EAE">
        <w:rPr>
          <w:rFonts w:ascii="Arial" w:hAnsi="Arial" w:cs="Arial"/>
        </w:rPr>
        <w:t>ArtBridge</w:t>
      </w:r>
      <w:proofErr w:type="spellEnd"/>
      <w:r w:rsidRPr="003E3EAE">
        <w:rPr>
          <w:rFonts w:ascii="Arial" w:hAnsi="Arial" w:cs="Arial"/>
        </w:rPr>
        <w:t xml:space="preserve"> was managed well as a planned proposal, but it would need stronger monitoring if implemented as a live project. Key future improvements include a more realistic scope, a communication matrix, a live risk register, clearer budgeting, more detailed scheduling, action logs and regular stakeholder feedback. These points reflect the lecturer’s advice to move beyond description and focus on why tools were used, how useful they were, what problems appeared and what should be improved.</w:t>
      </w:r>
    </w:p>
    <w:p w14:paraId="71C9AC10" w14:textId="77777777" w:rsidR="00A37A41" w:rsidRPr="00AD5C1A" w:rsidRDefault="00A37A41" w:rsidP="00460116">
      <w:pPr>
        <w:jc w:val="both"/>
        <w:rPr>
          <w:rFonts w:ascii="Arial" w:eastAsia="Times New Roman" w:hAnsi="Arial" w:cs="Arial"/>
        </w:rPr>
      </w:pPr>
      <w:r w:rsidRPr="00AD5C1A">
        <w:rPr>
          <w:rFonts w:ascii="Arial" w:eastAsia="Times New Roman" w:hAnsi="Arial" w:cs="Arial"/>
          <w:noProof/>
        </w:rPr>
        <mc:AlternateContent>
          <mc:Choice Requires="wps">
            <w:drawing>
              <wp:inline distT="0" distB="0" distL="0" distR="0" wp14:anchorId="4C403A87" wp14:editId="57123A10">
                <wp:extent cx="5943600" cy="1270"/>
                <wp:effectExtent l="0" t="31750" r="0" b="36830"/>
                <wp:docPr id="1536667426"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3DB11BA" id="Rectangle 7"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" filled="f">
                <w10:anchorlock/>
              </v:rect>
            </w:pict>
          </mc:Fallback>
        </mc:AlternateContent>
      </w:r>
    </w:p>
    <w:p w14:paraId="54A72350" w14:textId="77777777" w:rsidR="00A37A41" w:rsidRDefault="00B67487" w:rsidP="003E08B4">
      <w:pPr>
        <w:pStyle w:val="Heading1"/>
        <w:rPr>
          <w:rFonts w:cstheme="minorBidi"/>
        </w:rPr>
      </w:pPr>
      <w:bookmarkStart w:id="10" w:name="_Toc233832753"/>
      <w:bookmarkStart w:id="11" w:name="_Toc233835656"/>
      <w:bookmarkStart w:id="12" w:name="_Toc234090268"/>
      <w:bookmarkStart w:id="13" w:name="_Toc234090794"/>
      <w:r w:rsidRPr="003E08B4">
        <w:rPr>
          <w:rFonts w:ascii="Arial" w:hAnsi="Arial" w:cs="Arial"/>
          <w:sz w:val="32"/>
          <w:szCs w:val="32"/>
        </w:rPr>
        <w:t>1.0 Introduction</w:t>
      </w:r>
      <w:bookmarkEnd w:id="10"/>
      <w:bookmarkEnd w:id="11"/>
      <w:bookmarkEnd w:id="12"/>
      <w:bookmarkEnd w:id="13"/>
    </w:p>
    <w:p w14:paraId="33E9504A" w14:textId="77777777" w:rsidR="009F58B0" w:rsidRDefault="009F58B0">
      <w:pPr>
        <w:jc w:val="both"/>
        <w:rPr>
          <w:lang w:eastAsia="en-GB"/>
        </w:rPr>
      </w:pPr>
      <w:proofErr w:type="spellStart"/>
      <w:r>
        <w:rPr>
          <w:rFonts w:ascii="Arial" w:hAnsi="Arial" w:cs="Arial"/>
        </w:rPr>
        <w:t>ArtBridge</w:t>
      </w:r>
      <w:proofErr w:type="spellEnd"/>
      <w:r>
        <w:rPr>
          <w:rFonts w:ascii="Arial" w:hAnsi="Arial" w:cs="Arial"/>
        </w:rPr>
        <w:t xml:space="preserve"> was developed by our group as a proposed small-scale social enterprise gallery. The project aimed to create an accessible creative space that supports disadvantaged young people through art workshops while also giving emerging local artists affordable opportunities to exhibit and sell work. The organisational context is a community-focused project that must balance social impact with practical issues such as funding, stakeholder support, venue access and sustainability.</w:t>
      </w:r>
    </w:p>
    <w:p w14:paraId="54AB85F0" w14:textId="77777777" w:rsidR="009F58B0" w:rsidRDefault="009F58B0">
      <w:pPr>
        <w:jc w:val="both"/>
        <w:rPr>
          <w:lang w:eastAsia="en-GB"/>
        </w:rPr>
      </w:pPr>
      <w:r>
        <w:rPr>
          <w:rFonts w:ascii="Arial" w:hAnsi="Arial" w:cs="Arial"/>
        </w:rPr>
        <w:t>The main aim was to provide an inclusive environment where young people could build confidence, develop skills and connect with artists. The objectives were to organise workshops, provide exhibition opportunities, explore income streams such as art sales, sponsorship and venue hire, and build relationships with schools, community groups, funders and local authorities.</w:t>
      </w:r>
    </w:p>
    <w:p w14:paraId="1B76F31A" w14:textId="77777777" w:rsidR="009F58B0" w:rsidRDefault="009F58B0">
      <w:pPr>
        <w:jc w:val="both"/>
        <w:rPr>
          <w:lang w:eastAsia="en-GB"/>
        </w:rPr>
      </w:pPr>
      <w:r>
        <w:rPr>
          <w:rFonts w:ascii="Arial" w:hAnsi="Arial" w:cs="Arial"/>
        </w:rPr>
        <w:t xml:space="preserve">This report critically evaluates how </w:t>
      </w:r>
      <w:proofErr w:type="spellStart"/>
      <w:r>
        <w:rPr>
          <w:rFonts w:ascii="Arial" w:hAnsi="Arial" w:cs="Arial"/>
        </w:rPr>
        <w:t>ArtBridge</w:t>
      </w:r>
      <w:proofErr w:type="spellEnd"/>
      <w:r>
        <w:rPr>
          <w:rFonts w:ascii="Arial" w:hAnsi="Arial" w:cs="Arial"/>
        </w:rPr>
        <w:t xml:space="preserve"> was planned and managed across the project lifecycle. It focuses on scope management, the Work Breakdown Structure, Gantt chart scheduling, risk management and stakeholder analysis, considering why these tools were used, how useful they were, what limitations appeared, how plans were communicated and what could be improved.</w:t>
      </w:r>
    </w:p>
    <w:p w14:paraId="1A140F3D" w14:textId="77777777" w:rsidR="00A37A41" w:rsidRPr="00AD5C1A" w:rsidRDefault="00A37A41" w:rsidP="000D5C82">
      <w:pPr>
        <w:jc w:val="both"/>
        <w:rPr>
          <w:rFonts w:ascii="Arial" w:eastAsia="Times New Roman" w:hAnsi="Arial" w:cs="Arial"/>
        </w:rPr>
      </w:pPr>
      <w:r w:rsidRPr="00AD5C1A">
        <w:rPr>
          <w:rFonts w:ascii="Arial" w:eastAsia="Times New Roman" w:hAnsi="Arial" w:cs="Arial"/>
          <w:noProof/>
        </w:rPr>
        <mc:AlternateContent>
          <mc:Choice Requires="wps">
            <w:drawing>
              <wp:inline distT="0" distB="0" distL="0" distR="0" wp14:anchorId="714A5CAA" wp14:editId="4CD1D254">
                <wp:extent cx="5943600" cy="1270"/>
                <wp:effectExtent l="0" t="31750" r="0" b="36830"/>
                <wp:docPr id="1216829267"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7AF06FB" id="Rectangle 6"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" filled="f">
                <w10:anchorlock/>
              </v:rect>
            </w:pict>
          </mc:Fallback>
        </mc:AlternateContent>
      </w:r>
    </w:p>
    <w:p w14:paraId="0E996696" w14:textId="77777777" w:rsidR="00A37A41" w:rsidRPr="00CD1BB5" w:rsidRDefault="00A37A41" w:rsidP="000D5C82">
      <w:pPr>
        <w:pStyle w:val="Heading1"/>
        <w:jc w:val="both"/>
        <w:rPr>
          <w:rFonts w:ascii="Arial" w:eastAsia="Times New Roman" w:hAnsi="Arial" w:cs="Arial"/>
          <w:sz w:val="32"/>
          <w:szCs w:val="32"/>
        </w:rPr>
      </w:pPr>
      <w:bookmarkStart w:id="14" w:name="_Toc233832754"/>
      <w:bookmarkStart w:id="15" w:name="_Toc233835657"/>
      <w:bookmarkStart w:id="16" w:name="_Toc234090269"/>
      <w:bookmarkStart w:id="17" w:name="_Toc234090795"/>
      <w:r w:rsidRPr="00CD1BB5">
        <w:rPr>
          <w:rFonts w:ascii="Arial" w:eastAsia="Times New Roman" w:hAnsi="Arial" w:cs="Arial"/>
          <w:sz w:val="32"/>
          <w:szCs w:val="32"/>
        </w:rPr>
        <w:t>2.0 Findings and Critical Discussion</w:t>
      </w:r>
      <w:bookmarkEnd w:id="14"/>
      <w:bookmarkEnd w:id="15"/>
      <w:bookmarkEnd w:id="16"/>
      <w:bookmarkEnd w:id="17"/>
    </w:p>
    <w:p w14:paraId="2E0150A6" w14:textId="77777777" w:rsidR="00A37A41" w:rsidRPr="00CD1BB5" w:rsidRDefault="00A37A41" w:rsidP="000D5C82">
      <w:pPr>
        <w:pStyle w:val="Heading2"/>
        <w:jc w:val="both"/>
        <w:rPr>
          <w:rFonts w:ascii="Arial" w:eastAsia="Times New Roman" w:hAnsi="Arial" w:cs="Arial"/>
          <w:sz w:val="28"/>
          <w:szCs w:val="28"/>
        </w:rPr>
      </w:pPr>
      <w:bookmarkStart w:id="18" w:name="_Toc233832755"/>
      <w:bookmarkStart w:id="19" w:name="_Toc233835658"/>
      <w:bookmarkStart w:id="20" w:name="_Toc234090270"/>
      <w:bookmarkStart w:id="21" w:name="_Toc234090796"/>
      <w:r w:rsidRPr="00CD1BB5">
        <w:rPr>
          <w:rFonts w:ascii="Arial" w:eastAsia="Times New Roman" w:hAnsi="Arial" w:cs="Arial"/>
          <w:sz w:val="28"/>
          <w:szCs w:val="28"/>
        </w:rPr>
        <w:t>2.1 Critical Discussion of Project Management Tools and Techniques</w:t>
      </w:r>
      <w:bookmarkEnd w:id="18"/>
      <w:bookmarkEnd w:id="19"/>
      <w:bookmarkEnd w:id="20"/>
      <w:bookmarkEnd w:id="21"/>
    </w:p>
    <w:p w14:paraId="3A7258DF" w14:textId="77777777" w:rsidR="005C4BFD" w:rsidRDefault="005C4BFD">
      <w:pPr>
        <w:jc w:val="both"/>
        <w:rPr>
          <w:lang w:eastAsia="en-GB"/>
        </w:rPr>
      </w:pPr>
      <w:r>
        <w:rPr>
          <w:rFonts w:ascii="Arial" w:hAnsi="Arial" w:cs="Arial"/>
        </w:rPr>
        <w:t xml:space="preserve">Project management tools helped turn a broad social enterprise idea into a manageable plan. The project lifecycle linked initiation, planning, implementation and review, although these stages overlapped in practice. This fits the view that project management should create value through decisions, relationships and outcomes, not only through completing tasks (Clegg, </w:t>
      </w:r>
      <w:proofErr w:type="spellStart"/>
      <w:r>
        <w:rPr>
          <w:rFonts w:ascii="Arial" w:hAnsi="Arial" w:cs="Arial"/>
        </w:rPr>
        <w:t>Skyttermoen</w:t>
      </w:r>
      <w:proofErr w:type="spellEnd"/>
      <w:r>
        <w:rPr>
          <w:rFonts w:ascii="Arial" w:hAnsi="Arial" w:cs="Arial"/>
        </w:rPr>
        <w:t xml:space="preserve"> and </w:t>
      </w:r>
      <w:proofErr w:type="spellStart"/>
      <w:r>
        <w:rPr>
          <w:rFonts w:ascii="Arial" w:hAnsi="Arial" w:cs="Arial"/>
        </w:rPr>
        <w:t>Vaagaasar</w:t>
      </w:r>
      <w:proofErr w:type="spellEnd"/>
      <w:r>
        <w:rPr>
          <w:rFonts w:ascii="Arial" w:hAnsi="Arial" w:cs="Arial"/>
        </w:rPr>
        <w:t xml:space="preserve">, 2020). For example, stakeholder discussions </w:t>
      </w:r>
      <w:r>
        <w:rPr>
          <w:rFonts w:ascii="Arial" w:hAnsi="Arial" w:cs="Arial"/>
        </w:rPr>
        <w:lastRenderedPageBreak/>
        <w:t>about funding or venues could change earlier assumptions, so the tools had to be treated as guides rather than fixed documents.</w:t>
      </w:r>
    </w:p>
    <w:p w14:paraId="0DA8AAE1" w14:textId="77777777" w:rsidR="009F58B0" w:rsidRDefault="009F58B0">
      <w:pPr>
        <w:jc w:val="both"/>
        <w:rPr>
          <w:lang w:eastAsia="en-GB"/>
        </w:rPr>
      </w:pPr>
      <w:r>
        <w:rPr>
          <w:rFonts w:ascii="Arial" w:hAnsi="Arial" w:cs="Arial"/>
        </w:rPr>
        <w:t xml:space="preserve">Scope management was important because </w:t>
      </w:r>
      <w:proofErr w:type="spellStart"/>
      <w:r>
        <w:rPr>
          <w:rFonts w:ascii="Arial" w:hAnsi="Arial" w:cs="Arial"/>
        </w:rPr>
        <w:t>ArtBridge</w:t>
      </w:r>
      <w:proofErr w:type="spellEnd"/>
      <w:r>
        <w:rPr>
          <w:rFonts w:ascii="Arial" w:hAnsi="Arial" w:cs="Arial"/>
        </w:rPr>
        <w:t xml:space="preserve"> could easily become too broad. The team needed to focus on workshops, exhibitions and community partnerships rather than adding too many activities. This helped reduce scope creep, where extra work is added without extra time, money or people (Heagney, 2016). However, scope planning was limited by uncertain resources, so clearer acceptance criteria should be set before delivery.</w:t>
      </w:r>
    </w:p>
    <w:p w14:paraId="5CA44F21" w14:textId="77777777" w:rsidR="009F58B0" w:rsidRDefault="009F58B0">
      <w:pPr>
        <w:jc w:val="both"/>
        <w:rPr>
          <w:lang w:eastAsia="en-GB"/>
        </w:rPr>
      </w:pPr>
      <w:r>
        <w:rPr>
          <w:rFonts w:ascii="Arial" w:hAnsi="Arial" w:cs="Arial"/>
        </w:rPr>
        <w:t xml:space="preserve">The iron triangle helped the team understand the link between scope, time and cost. If </w:t>
      </w:r>
      <w:proofErr w:type="spellStart"/>
      <w:r>
        <w:rPr>
          <w:rFonts w:ascii="Arial" w:hAnsi="Arial" w:cs="Arial"/>
        </w:rPr>
        <w:t>ArtBridge</w:t>
      </w:r>
      <w:proofErr w:type="spellEnd"/>
      <w:r>
        <w:rPr>
          <w:rFonts w:ascii="Arial" w:hAnsi="Arial" w:cs="Arial"/>
        </w:rPr>
        <w:t xml:space="preserve"> added more workshops or exhibitions, it would need more funding, volunteers and time. However, the iron triangle does not fully measure social value, inclusion or participant experience. It should therefore be used alongside quality and stakeholder value measures because contemporary project management should focus on value creation, not only technical delivery (Clegg, </w:t>
      </w:r>
      <w:proofErr w:type="spellStart"/>
      <w:r>
        <w:rPr>
          <w:rFonts w:ascii="Arial" w:hAnsi="Arial" w:cs="Arial"/>
        </w:rPr>
        <w:t>Skyttermoen</w:t>
      </w:r>
      <w:proofErr w:type="spellEnd"/>
      <w:r>
        <w:rPr>
          <w:rFonts w:ascii="Arial" w:hAnsi="Arial" w:cs="Arial"/>
        </w:rPr>
        <w:t xml:space="preserve"> and </w:t>
      </w:r>
      <w:proofErr w:type="spellStart"/>
      <w:r>
        <w:rPr>
          <w:rFonts w:ascii="Arial" w:hAnsi="Arial" w:cs="Arial"/>
        </w:rPr>
        <w:t>Vaagaasar</w:t>
      </w:r>
      <w:proofErr w:type="spellEnd"/>
      <w:r>
        <w:rPr>
          <w:rFonts w:ascii="Arial" w:hAnsi="Arial" w:cs="Arial"/>
        </w:rPr>
        <w:t>, 2020).</w:t>
      </w:r>
    </w:p>
    <w:p w14:paraId="774F3EAC" w14:textId="77777777" w:rsidR="009F58B0" w:rsidRDefault="009F58B0">
      <w:pPr>
        <w:jc w:val="both"/>
        <w:rPr>
          <w:lang w:eastAsia="en-GB"/>
        </w:rPr>
      </w:pPr>
      <w:r>
        <w:rPr>
          <w:rFonts w:ascii="Arial" w:hAnsi="Arial" w:cs="Arial"/>
        </w:rPr>
        <w:t>The WBS divided the project into planning, stakeholder engagement, funding, marketing, workshop preparation, delivery and evaluation. It made the work manageable and helped team members understand responsibilities. Heagney (2016) presents the WBS as a practical tool for breaking goals into smaller deliverables and work packages. Its limitation was that it showed what needed doing but not when tasks should happen, so it had to be used with the Gantt chart.</w:t>
      </w:r>
    </w:p>
    <w:p w14:paraId="438530A1" w14:textId="77777777" w:rsidR="009F58B0" w:rsidRDefault="009F58B0">
      <w:pPr>
        <w:jc w:val="both"/>
        <w:rPr>
          <w:lang w:eastAsia="en-GB"/>
        </w:rPr>
      </w:pPr>
      <w:r>
        <w:rPr>
          <w:rFonts w:ascii="Arial" w:hAnsi="Arial" w:cs="Arial"/>
        </w:rPr>
        <w:t xml:space="preserve">The Gantt chart organised tasks, deadlines and dependencies. It showed that workshop delivery could not be finalised before funding, venue access and promotion had progressed. Gantt charts are useful for communicating schedules clearly (Kidston, Haward and Association for Project Management, 2015), but some </w:t>
      </w:r>
      <w:proofErr w:type="spellStart"/>
      <w:r>
        <w:rPr>
          <w:rFonts w:ascii="Arial" w:hAnsi="Arial" w:cs="Arial"/>
        </w:rPr>
        <w:t>ArtBridge</w:t>
      </w:r>
      <w:proofErr w:type="spellEnd"/>
      <w:r>
        <w:rPr>
          <w:rFonts w:ascii="Arial" w:hAnsi="Arial" w:cs="Arial"/>
        </w:rPr>
        <w:t xml:space="preserve"> durations were estimates because external stakeholders could delay decisions.</w:t>
      </w:r>
    </w:p>
    <w:p w14:paraId="29FBCF6E" w14:textId="77777777" w:rsidR="009F58B0" w:rsidRDefault="009F58B0">
      <w:pPr>
        <w:jc w:val="both"/>
        <w:rPr>
          <w:lang w:eastAsia="en-GB"/>
        </w:rPr>
      </w:pPr>
      <w:r>
        <w:rPr>
          <w:rFonts w:ascii="Arial" w:hAnsi="Arial" w:cs="Arial"/>
        </w:rPr>
        <w:t xml:space="preserve">Risk management helped identify threats such as limited funding, venue delays and weak stakeholder support. It encouraged the team to consider grants, sponsorship, donations, art sales and venue hire rather than one income source. However, risk planning was stronger at the beginning than during monitoring. A live risk </w:t>
      </w:r>
      <w:proofErr w:type="gramStart"/>
      <w:r>
        <w:rPr>
          <w:rFonts w:ascii="Arial" w:hAnsi="Arial" w:cs="Arial"/>
        </w:rPr>
        <w:t>register</w:t>
      </w:r>
      <w:proofErr w:type="gramEnd"/>
      <w:r>
        <w:rPr>
          <w:rFonts w:ascii="Arial" w:hAnsi="Arial" w:cs="Arial"/>
        </w:rPr>
        <w:t xml:space="preserve"> with owners, review dates and probability-impact scores would have strengthened control (Kidston, Haward and Association for Project Management, 2015).</w:t>
      </w:r>
    </w:p>
    <w:p w14:paraId="222F305B" w14:textId="77777777" w:rsidR="00A37A41" w:rsidRDefault="00B67487">
      <w:pPr>
        <w:jc w:val="both"/>
      </w:pPr>
      <w:r w:rsidRPr="00743567">
        <w:rPr>
          <w:rFonts w:ascii="Arial" w:hAnsi="Arial" w:cs="Arial"/>
        </w:rPr>
        <w:t xml:space="preserve">Stakeholder analysis was important because </w:t>
      </w:r>
      <w:proofErr w:type="spellStart"/>
      <w:r w:rsidRPr="00743567">
        <w:rPr>
          <w:rFonts w:ascii="Arial" w:hAnsi="Arial" w:cs="Arial"/>
        </w:rPr>
        <w:t>ArtBridge</w:t>
      </w:r>
      <w:proofErr w:type="spellEnd"/>
      <w:r w:rsidRPr="00743567">
        <w:rPr>
          <w:rFonts w:ascii="Arial" w:hAnsi="Arial" w:cs="Arial"/>
        </w:rPr>
        <w:t xml:space="preserve"> depended on young people, artists, volunteers, funders, schools, community groups, local authorities and venue owners</w:t>
      </w:r>
      <w:r w:rsidR="00FD53DB" w:rsidRPr="00FD53DB">
        <w:rPr>
          <w:rFonts w:ascii="Arial" w:hAnsi="Arial" w:cs="Arial"/>
        </w:rPr>
        <w:t>. Mendelow’s power-interest framework helped the team decide who needed close management and who needed to be kept informed (Mendelow, 1991). Its weakness was that stakeholder positions could change. For example, young participants had lower formal power but were central to judging whether the project created social value.</w:t>
      </w:r>
    </w:p>
    <w:p w14:paraId="12FDB911" w14:textId="77777777" w:rsidR="005C4BFD" w:rsidRDefault="005C4BFD">
      <w:pPr>
        <w:jc w:val="both"/>
        <w:rPr>
          <w:lang w:eastAsia="en-GB"/>
        </w:rPr>
      </w:pPr>
      <w:r>
        <w:rPr>
          <w:rFonts w:ascii="Arial" w:hAnsi="Arial" w:cs="Arial"/>
        </w:rPr>
        <w:lastRenderedPageBreak/>
        <w:t>Communication planning explained what information stakeholders needed, how often they needed it and which method was suitable. Funders needed formal updates on budget and impact, local authorities needed safety and compliance information, and young people needed simple workshop information. This reduced confusion because effective project control depends on clear information flow and regular reporting (Kidston, Haward and Association for Project Management, 2015), but it had to be reviewed as stakeholder needs changed.</w:t>
      </w:r>
    </w:p>
    <w:p w14:paraId="1C73AEF6" w14:textId="0DE6CACE" w:rsidR="00A37A41" w:rsidRDefault="00B67487">
      <w:pPr>
        <w:jc w:val="both"/>
      </w:pPr>
      <w:r>
        <w:rPr>
          <w:rFonts w:ascii="Arial" w:hAnsi="Arial" w:cs="Arial"/>
        </w:rPr>
        <w:t xml:space="preserve">Overall, the tools were </w:t>
      </w:r>
      <w:r w:rsidR="00C00E0A" w:rsidRPr="00C00E0A">
        <w:rPr>
          <w:rFonts w:ascii="Arial" w:hAnsi="Arial" w:cs="Arial"/>
        </w:rPr>
        <w:t>strongest</w:t>
      </w:r>
      <w:r>
        <w:rPr>
          <w:rFonts w:ascii="Arial" w:hAnsi="Arial" w:cs="Arial"/>
        </w:rPr>
        <w:t xml:space="preserve"> when </w:t>
      </w:r>
      <w:r w:rsidR="000C4C7F">
        <w:rPr>
          <w:rFonts w:ascii="Arial" w:hAnsi="Arial" w:cs="Arial"/>
        </w:rPr>
        <w:t>connected</w:t>
      </w:r>
      <w:r w:rsidR="00C00E0A" w:rsidRPr="00C00E0A">
        <w:rPr>
          <w:rFonts w:ascii="Arial" w:hAnsi="Arial" w:cs="Arial"/>
        </w:rPr>
        <w:t>.</w:t>
      </w:r>
      <w:r>
        <w:rPr>
          <w:rFonts w:ascii="Arial" w:hAnsi="Arial" w:cs="Arial"/>
        </w:rPr>
        <w:t xml:space="preserve"> </w:t>
      </w:r>
      <w:r w:rsidRPr="00B961CB">
        <w:rPr>
          <w:rFonts w:ascii="Arial" w:hAnsi="Arial" w:cs="Arial"/>
        </w:rPr>
        <w:t xml:space="preserve">Scope management and the iron triangle </w:t>
      </w:r>
      <w:r w:rsidR="00C00E0A" w:rsidRPr="00C00E0A">
        <w:rPr>
          <w:rFonts w:ascii="Arial" w:hAnsi="Arial" w:cs="Arial"/>
        </w:rPr>
        <w:t>set</w:t>
      </w:r>
      <w:r w:rsidRPr="00B961CB">
        <w:rPr>
          <w:rFonts w:ascii="Arial" w:hAnsi="Arial" w:cs="Arial"/>
        </w:rPr>
        <w:t xml:space="preserve"> boundaries</w:t>
      </w:r>
      <w:r w:rsidR="00C00E0A" w:rsidRPr="00C00E0A">
        <w:rPr>
          <w:rFonts w:ascii="Arial" w:hAnsi="Arial" w:cs="Arial"/>
        </w:rPr>
        <w:t xml:space="preserve">, the </w:t>
      </w:r>
      <w:r>
        <w:rPr>
          <w:rFonts w:ascii="Arial" w:hAnsi="Arial" w:cs="Arial"/>
        </w:rPr>
        <w:t xml:space="preserve">WBS clarified work, the Gantt chart </w:t>
      </w:r>
      <w:r w:rsidR="00C00E0A" w:rsidRPr="00C00E0A">
        <w:rPr>
          <w:rFonts w:ascii="Arial" w:hAnsi="Arial" w:cs="Arial"/>
        </w:rPr>
        <w:t>showed timing</w:t>
      </w:r>
      <w:r>
        <w:rPr>
          <w:rFonts w:ascii="Arial" w:hAnsi="Arial" w:cs="Arial"/>
        </w:rPr>
        <w:t xml:space="preserve">, risk management identified uncertainty, </w:t>
      </w:r>
      <w:r w:rsidR="00C00E0A" w:rsidRPr="00C00E0A">
        <w:rPr>
          <w:rFonts w:ascii="Arial" w:hAnsi="Arial" w:cs="Arial"/>
        </w:rPr>
        <w:t xml:space="preserve">and </w:t>
      </w:r>
      <w:r>
        <w:rPr>
          <w:rFonts w:ascii="Arial" w:hAnsi="Arial" w:cs="Arial"/>
        </w:rPr>
        <w:t xml:space="preserve">stakeholder analysis </w:t>
      </w:r>
      <w:r w:rsidR="00C00E0A" w:rsidRPr="00C00E0A">
        <w:rPr>
          <w:rFonts w:ascii="Arial" w:hAnsi="Arial" w:cs="Arial"/>
        </w:rPr>
        <w:t xml:space="preserve">with </w:t>
      </w:r>
      <w:r w:rsidRPr="00B961CB">
        <w:rPr>
          <w:rFonts w:ascii="Arial" w:hAnsi="Arial" w:cs="Arial"/>
        </w:rPr>
        <w:t xml:space="preserve">communication planning </w:t>
      </w:r>
      <w:r w:rsidR="00C00E0A" w:rsidRPr="00C00E0A">
        <w:rPr>
          <w:rFonts w:ascii="Arial" w:hAnsi="Arial" w:cs="Arial"/>
        </w:rPr>
        <w:t>supported relationships. The main</w:t>
      </w:r>
      <w:r>
        <w:rPr>
          <w:rFonts w:ascii="Arial" w:hAnsi="Arial" w:cs="Arial"/>
        </w:rPr>
        <w:t xml:space="preserve"> weakness was that the tools could create a false sense of control if </w:t>
      </w:r>
      <w:r w:rsidR="00C00E0A" w:rsidRPr="00C00E0A">
        <w:rPr>
          <w:rFonts w:ascii="Arial" w:hAnsi="Arial" w:cs="Arial"/>
        </w:rPr>
        <w:t>they were not reviewed regularly</w:t>
      </w:r>
      <w:r>
        <w:rPr>
          <w:rFonts w:ascii="Arial" w:hAnsi="Arial" w:cs="Arial"/>
        </w:rPr>
        <w:t>.</w:t>
      </w:r>
    </w:p>
    <w:p w14:paraId="02B23DB0" w14:textId="77777777" w:rsidR="00A37A41" w:rsidRPr="00AD5C1A" w:rsidRDefault="00A37A41" w:rsidP="000D5C82">
      <w:pPr>
        <w:jc w:val="both"/>
        <w:rPr>
          <w:rFonts w:ascii="Arial" w:eastAsia="Times New Roman" w:hAnsi="Arial" w:cs="Arial"/>
        </w:rPr>
      </w:pPr>
      <w:r w:rsidRPr="00AD5C1A">
        <w:rPr>
          <w:rFonts w:ascii="Arial" w:eastAsia="Times New Roman" w:hAnsi="Arial" w:cs="Arial"/>
          <w:noProof/>
        </w:rPr>
        <mc:AlternateContent>
          <mc:Choice Requires="wps">
            <w:drawing>
              <wp:inline distT="0" distB="0" distL="0" distR="0" wp14:anchorId="71DD3E2B" wp14:editId="4FA6EC0F">
                <wp:extent cx="5943600" cy="1270"/>
                <wp:effectExtent l="0" t="31750" r="0" b="36830"/>
                <wp:docPr id="88255392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3C0E96A" id="Rectangle 4"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" filled="f">
                <w10:anchorlock/>
              </v:rect>
            </w:pict>
          </mc:Fallback>
        </mc:AlternateContent>
      </w:r>
    </w:p>
    <w:p w14:paraId="6F2EF415" w14:textId="77777777" w:rsidR="00A37A41" w:rsidRDefault="00B67487" w:rsidP="008B054F">
      <w:pPr>
        <w:pStyle w:val="Heading2"/>
        <w:rPr>
          <w:rFonts w:cstheme="minorBidi"/>
        </w:rPr>
      </w:pPr>
      <w:bookmarkStart w:id="22" w:name="_Toc233832756"/>
      <w:bookmarkStart w:id="23" w:name="_Toc233835659"/>
      <w:bookmarkStart w:id="24" w:name="_Toc234090271"/>
      <w:bookmarkStart w:id="25" w:name="_Toc234090797"/>
      <w:r w:rsidRPr="00BF5E9D">
        <w:rPr>
          <w:rFonts w:ascii="Arial" w:hAnsi="Arial" w:cs="Arial"/>
          <w:sz w:val="28"/>
          <w:szCs w:val="28"/>
        </w:rPr>
        <w:t xml:space="preserve">2.2 </w:t>
      </w:r>
      <w:r w:rsidR="008B054F" w:rsidRPr="008B054F">
        <w:rPr>
          <w:rFonts w:ascii="Arial" w:hAnsi="Arial" w:cs="Arial"/>
          <w:sz w:val="28"/>
          <w:szCs w:val="28"/>
        </w:rPr>
        <w:t xml:space="preserve">Planning, Implementation and </w:t>
      </w:r>
      <w:r w:rsidRPr="00BF5E9D">
        <w:rPr>
          <w:rFonts w:ascii="Arial" w:hAnsi="Arial" w:cs="Arial"/>
          <w:sz w:val="28"/>
          <w:szCs w:val="28"/>
        </w:rPr>
        <w:t>Stakeholder Communication</w:t>
      </w:r>
      <w:bookmarkEnd w:id="22"/>
      <w:bookmarkEnd w:id="23"/>
      <w:bookmarkEnd w:id="24"/>
      <w:bookmarkEnd w:id="25"/>
    </w:p>
    <w:p w14:paraId="258FBD06" w14:textId="77777777" w:rsidR="009F58B0" w:rsidRDefault="009F58B0">
      <w:pPr>
        <w:jc w:val="both"/>
        <w:rPr>
          <w:lang w:eastAsia="en-GB"/>
        </w:rPr>
      </w:pPr>
      <w:r>
        <w:rPr>
          <w:rFonts w:ascii="Arial" w:hAnsi="Arial" w:cs="Arial"/>
        </w:rPr>
        <w:t>The project group was organised around clear responsibilities: Marian acted as Project Team Leader and Project Coordination Lead, Sebastian led stakeholder engagement, Sorina focused on funding, Cristian supported marketing, Florina supported logistics and Adina contributed to evaluation and impact support. These roles shaped planning, implementation, communication and review across the team.</w:t>
      </w:r>
    </w:p>
    <w:p w14:paraId="5120BFAE" w14:textId="77777777" w:rsidR="005C4BFD" w:rsidRDefault="005C4BFD">
      <w:pPr>
        <w:jc w:val="both"/>
        <w:rPr>
          <w:lang w:eastAsia="en-GB"/>
        </w:rPr>
      </w:pPr>
      <w:r>
        <w:rPr>
          <w:rFonts w:ascii="Arial" w:hAnsi="Arial" w:cs="Arial"/>
        </w:rPr>
        <w:t xml:space="preserve">In practice, the WBS was used first to break </w:t>
      </w:r>
      <w:proofErr w:type="spellStart"/>
      <w:r>
        <w:rPr>
          <w:rFonts w:ascii="Arial" w:hAnsi="Arial" w:cs="Arial"/>
        </w:rPr>
        <w:t>ArtBridge</w:t>
      </w:r>
      <w:proofErr w:type="spellEnd"/>
      <w:r>
        <w:rPr>
          <w:rFonts w:ascii="Arial" w:hAnsi="Arial" w:cs="Arial"/>
        </w:rPr>
        <w:t xml:space="preserve"> into smaller work areas and connect them to team roles. This reduced confusion about responsibility and linked delivery tasks with later review. Heagney (2016) argues that breaking work into manageable parts improves planning and control, but the WBS did not show timing, so the team used the Gantt chart to organise the sequence.</w:t>
      </w:r>
    </w:p>
    <w:p w14:paraId="43AAA065" w14:textId="77777777" w:rsidR="009F58B0" w:rsidRDefault="009F58B0">
      <w:pPr>
        <w:jc w:val="both"/>
        <w:rPr>
          <w:lang w:eastAsia="en-GB"/>
        </w:rPr>
      </w:pPr>
      <w:r>
        <w:rPr>
          <w:rFonts w:ascii="Arial" w:hAnsi="Arial" w:cs="Arial"/>
        </w:rPr>
        <w:t>The Gantt chart turned the WBS into a timeline. It showed that workshop delivery depended on funding, venue access and promotion. This made task sequencing clearer, but some durations were only estimates because external stakeholders could respond slowly. This supports the view that schedules should be monitored against baselines and adjusted when conditions change (Kidston, Haward and Association for Project Management, 2015).</w:t>
      </w:r>
    </w:p>
    <w:p w14:paraId="3D98F3B8" w14:textId="77777777" w:rsidR="005C4BFD" w:rsidRDefault="005C4BFD">
      <w:pPr>
        <w:jc w:val="both"/>
        <w:rPr>
          <w:lang w:eastAsia="en-GB"/>
        </w:rPr>
      </w:pPr>
      <w:r>
        <w:rPr>
          <w:rFonts w:ascii="Arial" w:hAnsi="Arial" w:cs="Arial"/>
        </w:rPr>
        <w:t xml:space="preserve">Scope management and the iron triangle helped keep the project realistic. The team had ideas for workshops, exhibitions, art sales, partnerships and venue hire, but adding more activities would also increase time and cost. These tools were useful because they controlled ambition, but they did not fully measure quality, inclusion or social impact; therefore, value creation also needed to be considered (Clegg, </w:t>
      </w:r>
      <w:proofErr w:type="spellStart"/>
      <w:r>
        <w:rPr>
          <w:rFonts w:ascii="Arial" w:hAnsi="Arial" w:cs="Arial"/>
        </w:rPr>
        <w:t>Skyttermoen</w:t>
      </w:r>
      <w:proofErr w:type="spellEnd"/>
      <w:r>
        <w:rPr>
          <w:rFonts w:ascii="Arial" w:hAnsi="Arial" w:cs="Arial"/>
        </w:rPr>
        <w:t xml:space="preserve"> and </w:t>
      </w:r>
      <w:proofErr w:type="spellStart"/>
      <w:r>
        <w:rPr>
          <w:rFonts w:ascii="Arial" w:hAnsi="Arial" w:cs="Arial"/>
        </w:rPr>
        <w:t>Vaagaasar</w:t>
      </w:r>
      <w:proofErr w:type="spellEnd"/>
      <w:r>
        <w:rPr>
          <w:rFonts w:ascii="Arial" w:hAnsi="Arial" w:cs="Arial"/>
        </w:rPr>
        <w:t>, 2020).</w:t>
      </w:r>
    </w:p>
    <w:p w14:paraId="5B6F0B87" w14:textId="77777777" w:rsidR="005C4BFD" w:rsidRDefault="005C4BFD">
      <w:pPr>
        <w:jc w:val="both"/>
        <w:rPr>
          <w:lang w:eastAsia="en-GB"/>
        </w:rPr>
      </w:pPr>
      <w:r>
        <w:rPr>
          <w:rFonts w:ascii="Arial" w:hAnsi="Arial" w:cs="Arial"/>
        </w:rPr>
        <w:lastRenderedPageBreak/>
        <w:t>Risk management identified issues that could stop the project working as planned, especially limited funding, venue delays, weak stakeholder support and difficulty reaching disadvantaged young people. It helped the team consider several income sources, but risks were discussed more than actively monitored. A live risk register would have made this stronger because monitoring and control should continue throughout the project, not only at the planning stage (Kidston, Haward and Association for Project Management, 2015).</w:t>
      </w:r>
    </w:p>
    <w:p w14:paraId="111C0695" w14:textId="77777777" w:rsidR="009F58B0" w:rsidRDefault="009F58B0">
      <w:pPr>
        <w:jc w:val="both"/>
        <w:rPr>
          <w:lang w:eastAsia="en-GB"/>
        </w:rPr>
      </w:pPr>
      <w:r>
        <w:rPr>
          <w:rFonts w:ascii="Arial" w:hAnsi="Arial" w:cs="Arial"/>
        </w:rPr>
        <w:t xml:space="preserve">Stakeholder analysis and communication planning were the most useful tools because </w:t>
      </w:r>
      <w:proofErr w:type="spellStart"/>
      <w:r>
        <w:rPr>
          <w:rFonts w:ascii="Arial" w:hAnsi="Arial" w:cs="Arial"/>
        </w:rPr>
        <w:t>ArtBridge</w:t>
      </w:r>
      <w:proofErr w:type="spellEnd"/>
      <w:r>
        <w:rPr>
          <w:rFonts w:ascii="Arial" w:hAnsi="Arial" w:cs="Arial"/>
        </w:rPr>
        <w:t xml:space="preserve"> depended on external support. Funders, local authorities and venue owners had high influence because they affected money, permissions and space. Young people, artists and volunteers had high interest because they were directly affected. This showed that stakeholders needed different levels of communication.</w:t>
      </w:r>
    </w:p>
    <w:p w14:paraId="2EABA1F4" w14:textId="77777777" w:rsidR="00A37A41" w:rsidRDefault="00610E0D">
      <w:pPr>
        <w:jc w:val="both"/>
      </w:pPr>
      <w:r w:rsidRPr="00610E0D">
        <w:rPr>
          <w:rFonts w:ascii="Arial" w:hAnsi="Arial" w:cs="Arial"/>
        </w:rPr>
        <w:t>For example, funders</w:t>
      </w:r>
      <w:r w:rsidR="00B67487" w:rsidRPr="0023778C">
        <w:rPr>
          <w:rFonts w:ascii="Arial" w:hAnsi="Arial" w:cs="Arial"/>
        </w:rPr>
        <w:t xml:space="preserve"> would need </w:t>
      </w:r>
      <w:r w:rsidR="00B67487" w:rsidRPr="004851B9">
        <w:rPr>
          <w:rFonts w:ascii="Arial" w:hAnsi="Arial" w:cs="Arial"/>
        </w:rPr>
        <w:t>formal project summaries</w:t>
      </w:r>
      <w:r w:rsidR="00B67487" w:rsidRPr="0023778C">
        <w:rPr>
          <w:rFonts w:ascii="Arial" w:hAnsi="Arial" w:cs="Arial"/>
        </w:rPr>
        <w:t xml:space="preserve">, budget </w:t>
      </w:r>
      <w:r w:rsidRPr="00610E0D">
        <w:rPr>
          <w:rFonts w:ascii="Arial" w:hAnsi="Arial" w:cs="Arial"/>
        </w:rPr>
        <w:t>information</w:t>
      </w:r>
      <w:r w:rsidR="00B67487" w:rsidRPr="0023778C">
        <w:rPr>
          <w:rFonts w:ascii="Arial" w:hAnsi="Arial" w:cs="Arial"/>
        </w:rPr>
        <w:t xml:space="preserve"> and </w:t>
      </w:r>
      <w:r w:rsidR="00B67487" w:rsidRPr="004851B9">
        <w:rPr>
          <w:rFonts w:ascii="Arial" w:hAnsi="Arial" w:cs="Arial"/>
        </w:rPr>
        <w:t xml:space="preserve">evidence of </w:t>
      </w:r>
      <w:r w:rsidR="00B67487" w:rsidRPr="0023778C">
        <w:rPr>
          <w:rFonts w:ascii="Arial" w:hAnsi="Arial" w:cs="Arial"/>
        </w:rPr>
        <w:t>impact</w:t>
      </w:r>
      <w:r w:rsidRPr="00610E0D">
        <w:rPr>
          <w:rFonts w:ascii="Arial" w:hAnsi="Arial" w:cs="Arial"/>
        </w:rPr>
        <w:t>, while young</w:t>
      </w:r>
      <w:r w:rsidR="00B67487" w:rsidRPr="0023778C">
        <w:rPr>
          <w:rFonts w:ascii="Arial" w:hAnsi="Arial" w:cs="Arial"/>
        </w:rPr>
        <w:t xml:space="preserve"> people would need simple information about workshops</w:t>
      </w:r>
      <w:r w:rsidRPr="00610E0D">
        <w:rPr>
          <w:rFonts w:ascii="Arial" w:hAnsi="Arial" w:cs="Arial"/>
        </w:rPr>
        <w:t xml:space="preserve"> and expectations.</w:t>
      </w:r>
      <w:r w:rsidR="00B67487" w:rsidRPr="0023778C">
        <w:rPr>
          <w:rFonts w:ascii="Arial" w:hAnsi="Arial" w:cs="Arial"/>
        </w:rPr>
        <w:t xml:space="preserve"> Artists would </w:t>
      </w:r>
      <w:r w:rsidRPr="00610E0D">
        <w:rPr>
          <w:rFonts w:ascii="Arial" w:hAnsi="Arial" w:cs="Arial"/>
        </w:rPr>
        <w:t>need details about exhibitions and sales,</w:t>
      </w:r>
      <w:r w:rsidR="00B67487" w:rsidRPr="0023778C">
        <w:rPr>
          <w:rFonts w:ascii="Arial" w:hAnsi="Arial" w:cs="Arial"/>
        </w:rPr>
        <w:t xml:space="preserve"> and </w:t>
      </w:r>
      <w:r w:rsidRPr="00610E0D">
        <w:rPr>
          <w:rFonts w:ascii="Arial" w:hAnsi="Arial" w:cs="Arial"/>
        </w:rPr>
        <w:t>local</w:t>
      </w:r>
      <w:r w:rsidR="00B67487" w:rsidRPr="00A36486">
        <w:rPr>
          <w:rFonts w:ascii="Arial" w:hAnsi="Arial" w:cs="Arial"/>
        </w:rPr>
        <w:t xml:space="preserve"> authorities would need information about safeguarding, insurance</w:t>
      </w:r>
      <w:r w:rsidRPr="00610E0D">
        <w:rPr>
          <w:rFonts w:ascii="Arial" w:hAnsi="Arial" w:cs="Arial"/>
        </w:rPr>
        <w:t xml:space="preserve"> and </w:t>
      </w:r>
      <w:r w:rsidR="00B67487" w:rsidRPr="00A36486">
        <w:rPr>
          <w:rFonts w:ascii="Arial" w:hAnsi="Arial" w:cs="Arial"/>
        </w:rPr>
        <w:t>accessibility</w:t>
      </w:r>
      <w:r w:rsidRPr="00610E0D">
        <w:rPr>
          <w:rFonts w:ascii="Arial" w:hAnsi="Arial" w:cs="Arial"/>
        </w:rPr>
        <w:t>.</w:t>
      </w:r>
      <w:r w:rsidR="00B67487" w:rsidRPr="00A36486">
        <w:rPr>
          <w:rFonts w:ascii="Arial" w:hAnsi="Arial" w:cs="Arial"/>
        </w:rPr>
        <w:t xml:space="preserve"> </w:t>
      </w:r>
      <w:r w:rsidR="00B67487" w:rsidRPr="004851B9">
        <w:rPr>
          <w:rFonts w:ascii="Arial" w:hAnsi="Arial" w:cs="Arial"/>
        </w:rPr>
        <w:t>This shows how</w:t>
      </w:r>
      <w:r w:rsidR="00B67487" w:rsidRPr="0023778C">
        <w:rPr>
          <w:rFonts w:ascii="Arial" w:hAnsi="Arial" w:cs="Arial"/>
        </w:rPr>
        <w:t xml:space="preserve"> stakeholder theory </w:t>
      </w:r>
      <w:r w:rsidR="00B67487" w:rsidRPr="004851B9">
        <w:rPr>
          <w:rFonts w:ascii="Arial" w:hAnsi="Arial" w:cs="Arial"/>
        </w:rPr>
        <w:t xml:space="preserve">was applied </w:t>
      </w:r>
      <w:r w:rsidR="00B67487" w:rsidRPr="0023778C">
        <w:rPr>
          <w:rFonts w:ascii="Arial" w:hAnsi="Arial" w:cs="Arial"/>
        </w:rPr>
        <w:t xml:space="preserve">because </w:t>
      </w:r>
      <w:r w:rsidR="00B67487" w:rsidRPr="004851B9">
        <w:rPr>
          <w:rFonts w:ascii="Arial" w:hAnsi="Arial" w:cs="Arial"/>
        </w:rPr>
        <w:t xml:space="preserve">the team </w:t>
      </w:r>
      <w:r w:rsidRPr="00610E0D">
        <w:rPr>
          <w:rFonts w:ascii="Arial" w:hAnsi="Arial" w:cs="Arial"/>
        </w:rPr>
        <w:t>considered</w:t>
      </w:r>
      <w:r w:rsidR="00B67487" w:rsidRPr="0023778C">
        <w:rPr>
          <w:rFonts w:ascii="Arial" w:hAnsi="Arial" w:cs="Arial"/>
        </w:rPr>
        <w:t xml:space="preserve"> groups who </w:t>
      </w:r>
      <w:r w:rsidR="00B67487" w:rsidRPr="004851B9">
        <w:rPr>
          <w:rFonts w:ascii="Arial" w:hAnsi="Arial" w:cs="Arial"/>
        </w:rPr>
        <w:t>could</w:t>
      </w:r>
      <w:r w:rsidR="00B67487" w:rsidRPr="0023778C">
        <w:rPr>
          <w:rFonts w:ascii="Arial" w:hAnsi="Arial" w:cs="Arial"/>
        </w:rPr>
        <w:t xml:space="preserve"> affect</w:t>
      </w:r>
      <w:r w:rsidR="00B67487" w:rsidRPr="004851B9">
        <w:rPr>
          <w:rFonts w:ascii="Arial" w:hAnsi="Arial" w:cs="Arial"/>
        </w:rPr>
        <w:t>,</w:t>
      </w:r>
      <w:r w:rsidR="00B67487" w:rsidRPr="0023778C">
        <w:rPr>
          <w:rFonts w:ascii="Arial" w:hAnsi="Arial" w:cs="Arial"/>
        </w:rPr>
        <w:t xml:space="preserve"> or </w:t>
      </w:r>
      <w:r w:rsidR="00B67487" w:rsidRPr="004851B9">
        <w:rPr>
          <w:rFonts w:ascii="Arial" w:hAnsi="Arial" w:cs="Arial"/>
        </w:rPr>
        <w:t>be</w:t>
      </w:r>
      <w:r w:rsidR="00B67487" w:rsidRPr="0023778C">
        <w:rPr>
          <w:rFonts w:ascii="Arial" w:hAnsi="Arial" w:cs="Arial"/>
        </w:rPr>
        <w:t xml:space="preserve"> affected by</w:t>
      </w:r>
      <w:r w:rsidR="00B67487" w:rsidRPr="004851B9">
        <w:rPr>
          <w:rFonts w:ascii="Arial" w:hAnsi="Arial" w:cs="Arial"/>
        </w:rPr>
        <w:t xml:space="preserve">, </w:t>
      </w:r>
      <w:proofErr w:type="spellStart"/>
      <w:r w:rsidR="00B67487" w:rsidRPr="004851B9">
        <w:rPr>
          <w:rFonts w:ascii="Arial" w:hAnsi="Arial" w:cs="Arial"/>
        </w:rPr>
        <w:t>ArtBridge</w:t>
      </w:r>
      <w:proofErr w:type="spellEnd"/>
      <w:r w:rsidR="00B67487" w:rsidRPr="004851B9">
        <w:rPr>
          <w:rFonts w:ascii="Arial" w:hAnsi="Arial" w:cs="Arial"/>
        </w:rPr>
        <w:t xml:space="preserve"> </w:t>
      </w:r>
      <w:r w:rsidR="00B67487" w:rsidRPr="0023778C">
        <w:rPr>
          <w:rFonts w:ascii="Arial" w:hAnsi="Arial" w:cs="Arial"/>
        </w:rPr>
        <w:t>(Freeman, 1984).</w:t>
      </w:r>
    </w:p>
    <w:p w14:paraId="7D96523E" w14:textId="77777777" w:rsidR="009F58B0" w:rsidRDefault="009F58B0">
      <w:pPr>
        <w:jc w:val="both"/>
        <w:rPr>
          <w:lang w:eastAsia="en-GB"/>
        </w:rPr>
      </w:pPr>
      <w:r>
        <w:rPr>
          <w:rFonts w:ascii="Arial" w:hAnsi="Arial" w:cs="Arial"/>
        </w:rPr>
        <w:t xml:space="preserve">Overall, stakeholder analysis and communication planning were most valuable because </w:t>
      </w:r>
      <w:proofErr w:type="spellStart"/>
      <w:r>
        <w:rPr>
          <w:rFonts w:ascii="Arial" w:hAnsi="Arial" w:cs="Arial"/>
        </w:rPr>
        <w:t>ArtBridge</w:t>
      </w:r>
      <w:proofErr w:type="spellEnd"/>
      <w:r>
        <w:rPr>
          <w:rFonts w:ascii="Arial" w:hAnsi="Arial" w:cs="Arial"/>
        </w:rPr>
        <w:t xml:space="preserve"> depended on people and relationships. The WBS and Gantt chart organised work and </w:t>
      </w:r>
      <w:proofErr w:type="gramStart"/>
      <w:r>
        <w:rPr>
          <w:rFonts w:ascii="Arial" w:hAnsi="Arial" w:cs="Arial"/>
        </w:rPr>
        <w:t>time, but</w:t>
      </w:r>
      <w:proofErr w:type="gramEnd"/>
      <w:r>
        <w:rPr>
          <w:rFonts w:ascii="Arial" w:hAnsi="Arial" w:cs="Arial"/>
        </w:rPr>
        <w:t xml:space="preserve"> could not solve external uncertainty. Risk management identified threats but needed stronger monitoring. This is consistent with Wysocki’s argument that different project contexts require different management approaches where uncertainty is high (Wysocki, Kaikini and Sneed, 2014).</w:t>
      </w:r>
    </w:p>
    <w:p w14:paraId="12C92DDB" w14:textId="77777777" w:rsidR="005C4BFD" w:rsidRDefault="005C4BFD">
      <w:pPr>
        <w:jc w:val="both"/>
        <w:rPr>
          <w:lang w:eastAsia="en-GB"/>
        </w:rPr>
      </w:pPr>
      <w:bookmarkStart w:id="26" w:name="_Toc233832757"/>
      <w:r>
        <w:rPr>
          <w:rFonts w:ascii="Arial" w:hAnsi="Arial" w:cs="Arial"/>
        </w:rPr>
        <w:t>Overall, the tools were useful when applied to real decisions, but they needed regular review. A stronger approach would combine the WBS, Gantt chart, risk register, communication matrix and action logs so the project remained organised while adapting to funding, venue and stakeholder changes. This reflects the idea that different project situations require flexible approaches rather than one fixed method (Wysocki, Kaikini and Sneed, 2014).</w:t>
      </w:r>
    </w:p>
    <w:p w14:paraId="2F9FCE8E" w14:textId="77777777" w:rsidR="00A37A41" w:rsidRDefault="004A777E" w:rsidP="004A777E">
      <w:pPr>
        <w:pStyle w:val="Heading2"/>
        <w:jc w:val="both"/>
        <w:rPr>
          <w:rFonts w:cstheme="minorBidi"/>
        </w:rPr>
      </w:pPr>
      <w:bookmarkStart w:id="27" w:name="_Toc233835660"/>
      <w:bookmarkStart w:id="28" w:name="_Toc234090272"/>
      <w:bookmarkStart w:id="29" w:name="_Toc234090798"/>
      <w:r w:rsidRPr="004A777E">
        <w:rPr>
          <w:rFonts w:ascii="Arial" w:hAnsi="Arial" w:cs="Arial"/>
          <w:sz w:val="28"/>
          <w:szCs w:val="28"/>
        </w:rPr>
        <w:t>2.3 Stakeholder Communication and Evaluation</w:t>
      </w:r>
      <w:bookmarkEnd w:id="26"/>
      <w:bookmarkEnd w:id="27"/>
      <w:bookmarkEnd w:id="28"/>
      <w:bookmarkEnd w:id="29"/>
    </w:p>
    <w:p w14:paraId="49C6780F" w14:textId="77777777" w:rsidR="009F58B0" w:rsidRDefault="009F58B0">
      <w:pPr>
        <w:jc w:val="both"/>
        <w:rPr>
          <w:lang w:eastAsia="en-GB"/>
        </w:rPr>
      </w:pPr>
      <w:r>
        <w:rPr>
          <w:rFonts w:ascii="Arial" w:hAnsi="Arial" w:cs="Arial"/>
        </w:rPr>
        <w:t>The key stakeholders had different levels of interest and influence. Young people had high interest because they were the main beneficiaries, although they had less formal power. Emerging artists also had high interest because the gallery could provide exhibition space, promotion and income opportunities. Volunteers mattered because they would support delivery, depending on availability and skills.</w:t>
      </w:r>
    </w:p>
    <w:p w14:paraId="53CF69B0" w14:textId="77777777" w:rsidR="00A37A41" w:rsidRDefault="00B67487">
      <w:pPr>
        <w:jc w:val="both"/>
      </w:pPr>
      <w:r w:rsidRPr="00656D36">
        <w:rPr>
          <w:rFonts w:ascii="Arial" w:hAnsi="Arial" w:cs="Arial"/>
        </w:rPr>
        <w:lastRenderedPageBreak/>
        <w:t xml:space="preserve">Funders, sponsors, local authorities and venue owners had higher influence because they </w:t>
      </w:r>
      <w:r w:rsidR="00E768AA" w:rsidRPr="00E768AA">
        <w:rPr>
          <w:rFonts w:ascii="Arial" w:hAnsi="Arial" w:cs="Arial"/>
        </w:rPr>
        <w:t>affected</w:t>
      </w:r>
      <w:r w:rsidRPr="00656D36">
        <w:rPr>
          <w:rFonts w:ascii="Arial" w:hAnsi="Arial" w:cs="Arial"/>
        </w:rPr>
        <w:t xml:space="preserve"> money, </w:t>
      </w:r>
      <w:r w:rsidR="00E768AA" w:rsidRPr="00E768AA">
        <w:rPr>
          <w:rFonts w:ascii="Arial" w:hAnsi="Arial" w:cs="Arial"/>
        </w:rPr>
        <w:t>permissions</w:t>
      </w:r>
      <w:r w:rsidRPr="00656D36">
        <w:rPr>
          <w:rFonts w:ascii="Arial" w:hAnsi="Arial" w:cs="Arial"/>
        </w:rPr>
        <w:t>, space and credibility</w:t>
      </w:r>
      <w:r w:rsidR="00E768AA" w:rsidRPr="00E768AA">
        <w:rPr>
          <w:rFonts w:ascii="Arial" w:hAnsi="Arial" w:cs="Arial"/>
        </w:rPr>
        <w:t>.</w:t>
      </w:r>
      <w:r w:rsidRPr="00656D36">
        <w:rPr>
          <w:rFonts w:ascii="Arial" w:hAnsi="Arial" w:cs="Arial"/>
        </w:rPr>
        <w:t xml:space="preserve"> Schools and community groups </w:t>
      </w:r>
      <w:r w:rsidR="00E768AA" w:rsidRPr="00E768AA">
        <w:rPr>
          <w:rFonts w:ascii="Arial" w:hAnsi="Arial" w:cs="Arial"/>
        </w:rPr>
        <w:t xml:space="preserve">were </w:t>
      </w:r>
      <w:r w:rsidRPr="00656D36">
        <w:rPr>
          <w:rFonts w:ascii="Arial" w:hAnsi="Arial" w:cs="Arial"/>
        </w:rPr>
        <w:t xml:space="preserve">also </w:t>
      </w:r>
      <w:r w:rsidR="00E768AA" w:rsidRPr="00E768AA">
        <w:rPr>
          <w:rFonts w:ascii="Arial" w:hAnsi="Arial" w:cs="Arial"/>
        </w:rPr>
        <w:t>important</w:t>
      </w:r>
      <w:r w:rsidRPr="00656D36">
        <w:rPr>
          <w:rFonts w:ascii="Arial" w:hAnsi="Arial" w:cs="Arial"/>
        </w:rPr>
        <w:t xml:space="preserve"> because they could help </w:t>
      </w:r>
      <w:proofErr w:type="spellStart"/>
      <w:r w:rsidR="00E768AA" w:rsidRPr="00E768AA">
        <w:rPr>
          <w:rFonts w:ascii="Arial" w:hAnsi="Arial" w:cs="Arial"/>
        </w:rPr>
        <w:t>ArtBridge</w:t>
      </w:r>
      <w:proofErr w:type="spellEnd"/>
      <w:r w:rsidR="00E768AA" w:rsidRPr="00E768AA">
        <w:rPr>
          <w:rFonts w:ascii="Arial" w:hAnsi="Arial" w:cs="Arial"/>
        </w:rPr>
        <w:t xml:space="preserve"> </w:t>
      </w:r>
      <w:r w:rsidRPr="00656D36">
        <w:rPr>
          <w:rFonts w:ascii="Arial" w:hAnsi="Arial" w:cs="Arial"/>
        </w:rPr>
        <w:t>reach disadvantaged young people and build trust with families</w:t>
      </w:r>
      <w:r w:rsidR="00E768AA" w:rsidRPr="00E768AA">
        <w:rPr>
          <w:rFonts w:ascii="Arial" w:hAnsi="Arial" w:cs="Arial"/>
        </w:rPr>
        <w:t>. These stakeholders mattered because the project could not be delivered through internal planning alone</w:t>
      </w:r>
      <w:r w:rsidRPr="00656D36">
        <w:rPr>
          <w:rFonts w:ascii="Arial" w:hAnsi="Arial" w:cs="Arial"/>
        </w:rPr>
        <w:t>.</w:t>
      </w:r>
    </w:p>
    <w:p w14:paraId="3ABEB245" w14:textId="77777777" w:rsidR="009F58B0" w:rsidRDefault="009F58B0">
      <w:pPr>
        <w:jc w:val="both"/>
        <w:rPr>
          <w:lang w:eastAsia="en-GB"/>
        </w:rPr>
      </w:pPr>
      <w:r>
        <w:rPr>
          <w:rFonts w:ascii="Arial" w:hAnsi="Arial" w:cs="Arial"/>
        </w:rPr>
        <w:t>The group planned communication by matching the method to stakeholder needs. Funders and local authorities needed written updates about budget, risk and impact. Venue owners needed dates and space requirements. Young people needed accessible messages through schools or community groups, while artists needed information about exhibitions, promotion and sales.</w:t>
      </w:r>
    </w:p>
    <w:p w14:paraId="1DF135FC" w14:textId="77777777" w:rsidR="005C4BFD" w:rsidRDefault="005C4BFD">
      <w:pPr>
        <w:jc w:val="both"/>
        <w:rPr>
          <w:lang w:eastAsia="en-GB"/>
        </w:rPr>
      </w:pPr>
      <w:r>
        <w:rPr>
          <w:rFonts w:ascii="Arial" w:hAnsi="Arial" w:cs="Arial"/>
        </w:rPr>
        <w:t>This approach was mostly appropriate because it recognised that stakeholders needed different levels of detail. Young people would not need a technical Gantt chart or risk register, but they would need a clear workshop timeline. In contrast, funders and local authorities would expect more formal evidence that the project was realistic and responsible, which supports the need for communication to match the audience and purpose (Heagney, 2016).</w:t>
      </w:r>
    </w:p>
    <w:p w14:paraId="511E9C15" w14:textId="77777777" w:rsidR="009F58B0" w:rsidRDefault="009F58B0">
      <w:pPr>
        <w:jc w:val="both"/>
        <w:rPr>
          <w:lang w:eastAsia="en-GB"/>
        </w:rPr>
      </w:pPr>
      <w:r>
        <w:rPr>
          <w:rFonts w:ascii="Arial" w:hAnsi="Arial" w:cs="Arial"/>
        </w:rPr>
        <w:t>Communication could be improved through a formal matrix showing each stakeholder group, interest level, influence level, information needs, method, frequency and responsible team member. For example, funders could receive progress updates from the funding lead, while young people and artists could receive simpler updates through community partners or social media.</w:t>
      </w:r>
    </w:p>
    <w:p w14:paraId="7F23C33F" w14:textId="77777777" w:rsidR="009F58B0" w:rsidRDefault="009F58B0">
      <w:pPr>
        <w:jc w:val="both"/>
        <w:rPr>
          <w:lang w:eastAsia="en-GB"/>
        </w:rPr>
      </w:pPr>
      <w:r>
        <w:rPr>
          <w:rFonts w:ascii="Arial" w:hAnsi="Arial" w:cs="Arial"/>
        </w:rPr>
        <w:t>The team should also collect feedback during the project, not only at the end. Young people and artists should influence workshop design, exhibition opportunities and accessibility. This would make communication two-way rather than only sending information out. Overall, the right stakeholders were identified, but communication needed more structure and feedback loops.</w:t>
      </w:r>
    </w:p>
    <w:p w14:paraId="4519DDB5" w14:textId="77777777" w:rsidR="00A37A41" w:rsidRPr="00AD5C1A" w:rsidRDefault="00A37A41" w:rsidP="000D5C82">
      <w:pPr>
        <w:jc w:val="both"/>
        <w:rPr>
          <w:rFonts w:ascii="Arial" w:eastAsia="Times New Roman" w:hAnsi="Arial" w:cs="Arial"/>
        </w:rPr>
      </w:pPr>
      <w:r w:rsidRPr="00AD5C1A">
        <w:rPr>
          <w:rFonts w:ascii="Arial" w:eastAsia="Times New Roman" w:hAnsi="Arial" w:cs="Arial"/>
          <w:noProof/>
        </w:rPr>
        <mc:AlternateContent>
          <mc:Choice Requires="wps">
            <w:drawing>
              <wp:inline distT="0" distB="0" distL="0" distR="0" wp14:anchorId="51BADFA1" wp14:editId="0921F7B6">
                <wp:extent cx="5943600" cy="1270"/>
                <wp:effectExtent l="0" t="31750" r="0" b="36830"/>
                <wp:docPr id="6823321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3513090" id="Rectangle 3"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" filled="f">
                <w10:anchorlock/>
              </v:rect>
            </w:pict>
          </mc:Fallback>
        </mc:AlternateContent>
      </w:r>
    </w:p>
    <w:p w14:paraId="0C5B41EC" w14:textId="77777777" w:rsidR="00A37A41" w:rsidRPr="0061138D" w:rsidRDefault="00A37A41" w:rsidP="000D5C82">
      <w:pPr>
        <w:pStyle w:val="Heading1"/>
        <w:jc w:val="both"/>
        <w:rPr>
          <w:rFonts w:ascii="Arial" w:eastAsia="Times New Roman" w:hAnsi="Arial" w:cs="Arial"/>
          <w:sz w:val="32"/>
          <w:szCs w:val="32"/>
        </w:rPr>
      </w:pPr>
      <w:bookmarkStart w:id="30" w:name="_Toc233832758"/>
      <w:bookmarkStart w:id="31" w:name="_Toc233835661"/>
      <w:bookmarkStart w:id="32" w:name="_Toc234090273"/>
      <w:bookmarkStart w:id="33" w:name="_Toc234090799"/>
      <w:r w:rsidRPr="0061138D">
        <w:rPr>
          <w:rFonts w:ascii="Arial" w:eastAsia="Times New Roman" w:hAnsi="Arial" w:cs="Arial"/>
          <w:sz w:val="32"/>
          <w:szCs w:val="32"/>
        </w:rPr>
        <w:t>3.0 Conclusion</w:t>
      </w:r>
      <w:bookmarkEnd w:id="30"/>
      <w:bookmarkEnd w:id="31"/>
      <w:bookmarkEnd w:id="32"/>
      <w:bookmarkEnd w:id="33"/>
    </w:p>
    <w:p w14:paraId="1EA8AE98" w14:textId="77777777" w:rsidR="005C4BFD" w:rsidRDefault="005C4BFD">
      <w:pPr>
        <w:jc w:val="both"/>
        <w:rPr>
          <w:lang w:eastAsia="en-GB"/>
        </w:rPr>
      </w:pPr>
      <w:r>
        <w:rPr>
          <w:rFonts w:ascii="Arial" w:hAnsi="Arial" w:cs="Arial"/>
        </w:rPr>
        <w:t xml:space="preserve">The main finding is that </w:t>
      </w:r>
      <w:proofErr w:type="spellStart"/>
      <w:r>
        <w:rPr>
          <w:rFonts w:ascii="Arial" w:hAnsi="Arial" w:cs="Arial"/>
        </w:rPr>
        <w:t>ArtBridge</w:t>
      </w:r>
      <w:proofErr w:type="spellEnd"/>
      <w:r>
        <w:rPr>
          <w:rFonts w:ascii="Arial" w:hAnsi="Arial" w:cs="Arial"/>
        </w:rPr>
        <w:t xml:space="preserve"> was planned with good structure but needed more active review. The tools helped turn a broad social enterprise idea into defined tasks, priorities, stakeholders and risks. The strongest areas were stakeholder analysis, communication planning and scope control because they connected the project to its community context and supported value-focused decision making (Clegg, </w:t>
      </w:r>
      <w:proofErr w:type="spellStart"/>
      <w:r>
        <w:rPr>
          <w:rFonts w:ascii="Arial" w:hAnsi="Arial" w:cs="Arial"/>
        </w:rPr>
        <w:t>Skyttermoen</w:t>
      </w:r>
      <w:proofErr w:type="spellEnd"/>
      <w:r>
        <w:rPr>
          <w:rFonts w:ascii="Arial" w:hAnsi="Arial" w:cs="Arial"/>
        </w:rPr>
        <w:t xml:space="preserve"> and </w:t>
      </w:r>
      <w:proofErr w:type="spellStart"/>
      <w:r>
        <w:rPr>
          <w:rFonts w:ascii="Arial" w:hAnsi="Arial" w:cs="Arial"/>
        </w:rPr>
        <w:t>Vaagaasar</w:t>
      </w:r>
      <w:proofErr w:type="spellEnd"/>
      <w:r>
        <w:rPr>
          <w:rFonts w:ascii="Arial" w:hAnsi="Arial" w:cs="Arial"/>
        </w:rPr>
        <w:t>, 2020).</w:t>
      </w:r>
    </w:p>
    <w:p w14:paraId="38BC508E" w14:textId="77777777" w:rsidR="009F58B0" w:rsidRDefault="009F58B0">
      <w:pPr>
        <w:jc w:val="both"/>
        <w:rPr>
          <w:lang w:eastAsia="en-GB"/>
        </w:rPr>
      </w:pPr>
      <w:r>
        <w:rPr>
          <w:rFonts w:ascii="Arial" w:hAnsi="Arial" w:cs="Arial"/>
        </w:rPr>
        <w:lastRenderedPageBreak/>
        <w:t xml:space="preserve">Overall, the tools were effective because they gave the team direction and organisation, but they were not enough without monitoring. </w:t>
      </w:r>
      <w:proofErr w:type="spellStart"/>
      <w:r>
        <w:rPr>
          <w:rFonts w:ascii="Arial" w:hAnsi="Arial" w:cs="Arial"/>
        </w:rPr>
        <w:t>ArtBridge</w:t>
      </w:r>
      <w:proofErr w:type="spellEnd"/>
      <w:r>
        <w:rPr>
          <w:rFonts w:ascii="Arial" w:hAnsi="Arial" w:cs="Arial"/>
        </w:rPr>
        <w:t xml:space="preserve"> was managed reasonably well as a planned proposal, with clear aims and suitable tools. If implemented as a live project, it would need stronger communication records, updated risk planning, clearer budgeting and regular stakeholder feedback.</w:t>
      </w:r>
    </w:p>
    <w:p w14:paraId="2277E191" w14:textId="77777777" w:rsidR="00A37A41" w:rsidRPr="00AD5C1A" w:rsidRDefault="00A37A41" w:rsidP="000D5C82">
      <w:pPr>
        <w:jc w:val="both"/>
        <w:rPr>
          <w:rFonts w:ascii="Arial" w:eastAsia="Times New Roman" w:hAnsi="Arial" w:cs="Arial"/>
        </w:rPr>
      </w:pPr>
      <w:r w:rsidRPr="00AD5C1A">
        <w:rPr>
          <w:rFonts w:ascii="Arial" w:eastAsia="Times New Roman" w:hAnsi="Arial" w:cs="Arial"/>
          <w:noProof/>
        </w:rPr>
        <mc:AlternateContent>
          <mc:Choice Requires="wps">
            <w:drawing>
              <wp:inline distT="0" distB="0" distL="0" distR="0" wp14:anchorId="7728BAE2" wp14:editId="70967206">
                <wp:extent cx="5943600" cy="1270"/>
                <wp:effectExtent l="0" t="31750" r="0" b="36830"/>
                <wp:docPr id="84950637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1C3B401" id="Rectangle 2"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" filled="f">
                <w10:anchorlock/>
              </v:rect>
            </w:pict>
          </mc:Fallback>
        </mc:AlternateContent>
      </w:r>
    </w:p>
    <w:p w14:paraId="6C1547B2" w14:textId="77777777" w:rsidR="00A37A41" w:rsidRPr="0061138D" w:rsidRDefault="00A37A41" w:rsidP="000D5C82">
      <w:pPr>
        <w:pStyle w:val="Heading1"/>
        <w:jc w:val="both"/>
        <w:rPr>
          <w:rFonts w:ascii="Arial" w:eastAsia="Times New Roman" w:hAnsi="Arial" w:cs="Arial"/>
          <w:sz w:val="32"/>
          <w:szCs w:val="32"/>
        </w:rPr>
      </w:pPr>
      <w:bookmarkStart w:id="34" w:name="_Toc233832759"/>
      <w:bookmarkStart w:id="35" w:name="_Toc233835662"/>
      <w:bookmarkStart w:id="36" w:name="_Toc234090274"/>
      <w:bookmarkStart w:id="37" w:name="_Toc234090800"/>
      <w:r w:rsidRPr="0061138D">
        <w:rPr>
          <w:rFonts w:ascii="Arial" w:eastAsia="Times New Roman" w:hAnsi="Arial" w:cs="Arial"/>
          <w:sz w:val="32"/>
          <w:szCs w:val="32"/>
        </w:rPr>
        <w:t>4.0 Future Improvements</w:t>
      </w:r>
      <w:bookmarkEnd w:id="34"/>
      <w:bookmarkEnd w:id="35"/>
      <w:bookmarkEnd w:id="36"/>
      <w:bookmarkEnd w:id="37"/>
    </w:p>
    <w:p w14:paraId="44917EFB" w14:textId="77777777" w:rsidR="009F58B0" w:rsidRDefault="009F58B0">
      <w:pPr>
        <w:jc w:val="both"/>
        <w:rPr>
          <w:lang w:eastAsia="en-GB"/>
        </w:rPr>
      </w:pPr>
      <w:r>
        <w:rPr>
          <w:rFonts w:ascii="Arial" w:hAnsi="Arial" w:cs="Arial"/>
        </w:rPr>
        <w:t xml:space="preserve">Future projects should begin with a more realistic scope. </w:t>
      </w:r>
      <w:proofErr w:type="spellStart"/>
      <w:r>
        <w:rPr>
          <w:rFonts w:ascii="Arial" w:hAnsi="Arial" w:cs="Arial"/>
        </w:rPr>
        <w:t>ArtBridge</w:t>
      </w:r>
      <w:proofErr w:type="spellEnd"/>
      <w:r>
        <w:rPr>
          <w:rFonts w:ascii="Arial" w:hAnsi="Arial" w:cs="Arial"/>
        </w:rPr>
        <w:t xml:space="preserve"> included valuable ideas such as workshops, exhibitions, sales, sponsorship, venue hire and partnerships, but too many aims can make delivery harder. Next time, the team should define the minimum activities needed for success before expanding.</w:t>
      </w:r>
    </w:p>
    <w:p w14:paraId="2B29DB11" w14:textId="77777777" w:rsidR="005C4BFD" w:rsidRDefault="005C4BFD">
      <w:pPr>
        <w:jc w:val="both"/>
        <w:rPr>
          <w:lang w:eastAsia="en-GB"/>
        </w:rPr>
      </w:pPr>
      <w:r>
        <w:rPr>
          <w:rFonts w:ascii="Arial" w:hAnsi="Arial" w:cs="Arial"/>
        </w:rPr>
        <w:t xml:space="preserve">Scheduling should also be more detailed. Because </w:t>
      </w:r>
      <w:proofErr w:type="spellStart"/>
      <w:r>
        <w:rPr>
          <w:rFonts w:ascii="Arial" w:hAnsi="Arial" w:cs="Arial"/>
        </w:rPr>
        <w:t>ArtBridge</w:t>
      </w:r>
      <w:proofErr w:type="spellEnd"/>
      <w:r>
        <w:rPr>
          <w:rFonts w:ascii="Arial" w:hAnsi="Arial" w:cs="Arial"/>
        </w:rPr>
        <w:t xml:space="preserve"> depends on funding decisions, venue agreements and community partners, the schedule should include milestones, buffer time and regular Gantt chart reviews. The lesson is that scheduling should reflect uncertainty and the time needed for external responses, while still being monitored against progress and updated when necessary (Kidston, Haward and Association for Project Management, 2015).</w:t>
      </w:r>
    </w:p>
    <w:p w14:paraId="4033B2CF" w14:textId="77777777" w:rsidR="00E4033B" w:rsidRDefault="00E4033B">
      <w:pPr>
        <w:jc w:val="both"/>
        <w:rPr>
          <w:lang w:eastAsia="en-GB"/>
        </w:rPr>
      </w:pPr>
      <w:r>
        <w:rPr>
          <w:rFonts w:ascii="Arial" w:hAnsi="Arial" w:cs="Arial"/>
        </w:rPr>
        <w:t>Stakeholder communication should be stronger and more formal. A communication matrix should show each stakeholder group, their interest and influence, the information they need, the method, frequency and responsible person. The lesson is that communication must be planned, recorded and reviewed rather than discussed informally.</w:t>
      </w:r>
    </w:p>
    <w:p w14:paraId="18CC3D42" w14:textId="77777777" w:rsidR="00A37A41" w:rsidRDefault="00204EE4">
      <w:pPr>
        <w:jc w:val="both"/>
      </w:pPr>
      <w:r w:rsidRPr="00204EE4">
        <w:rPr>
          <w:rFonts w:ascii="Arial" w:hAnsi="Arial" w:cs="Arial"/>
        </w:rPr>
        <w:t>Risk</w:t>
      </w:r>
      <w:r w:rsidR="00B67487" w:rsidRPr="003E03B7">
        <w:rPr>
          <w:rFonts w:ascii="Arial" w:hAnsi="Arial" w:cs="Arial"/>
        </w:rPr>
        <w:t xml:space="preserve"> planning should </w:t>
      </w:r>
      <w:r w:rsidRPr="00204EE4">
        <w:rPr>
          <w:rFonts w:ascii="Arial" w:hAnsi="Arial" w:cs="Arial"/>
        </w:rPr>
        <w:t>become a live process.</w:t>
      </w:r>
      <w:r w:rsidR="00B67487" w:rsidRPr="003E03B7">
        <w:rPr>
          <w:rFonts w:ascii="Arial" w:hAnsi="Arial" w:cs="Arial"/>
        </w:rPr>
        <w:t xml:space="preserve"> Next time, the team should use a risk register with owners, review dates, probability and impact scores, warning signs and planned responses. The lesson is that risk management should continue throughout the project rather than </w:t>
      </w:r>
      <w:r w:rsidRPr="00204EE4">
        <w:rPr>
          <w:rFonts w:ascii="Arial" w:hAnsi="Arial" w:cs="Arial"/>
        </w:rPr>
        <w:t>staying</w:t>
      </w:r>
      <w:r w:rsidR="00B67487" w:rsidRPr="003E03B7">
        <w:rPr>
          <w:rFonts w:ascii="Arial" w:hAnsi="Arial" w:cs="Arial"/>
        </w:rPr>
        <w:t xml:space="preserve"> at the planning stage.</w:t>
      </w:r>
    </w:p>
    <w:p w14:paraId="4AE35A0B" w14:textId="77777777" w:rsidR="00A37A41" w:rsidRDefault="00AA64CA">
      <w:pPr>
        <w:jc w:val="both"/>
      </w:pPr>
      <w:r w:rsidRPr="00AA64CA">
        <w:rPr>
          <w:rFonts w:ascii="Arial" w:hAnsi="Arial" w:cs="Arial"/>
        </w:rPr>
        <w:t>Budgeting should also be improved. The</w:t>
      </w:r>
      <w:r w:rsidR="00B67487">
        <w:rPr>
          <w:rFonts w:ascii="Arial" w:hAnsi="Arial" w:cs="Arial"/>
        </w:rPr>
        <w:t xml:space="preserve"> team should estimate core costs such as venue hire, materials, insurance, marketing, accessibility support and workshop resources</w:t>
      </w:r>
      <w:r w:rsidRPr="00AA64CA">
        <w:rPr>
          <w:rFonts w:ascii="Arial" w:hAnsi="Arial" w:cs="Arial"/>
        </w:rPr>
        <w:t xml:space="preserve">, and </w:t>
      </w:r>
      <w:r w:rsidR="00B67487">
        <w:rPr>
          <w:rFonts w:ascii="Arial" w:hAnsi="Arial" w:cs="Arial"/>
        </w:rPr>
        <w:t>separate essential costs from optional costs</w:t>
      </w:r>
      <w:r w:rsidRPr="00AA64CA">
        <w:rPr>
          <w:rFonts w:ascii="Arial" w:hAnsi="Arial" w:cs="Arial"/>
        </w:rPr>
        <w:t>.</w:t>
      </w:r>
      <w:r w:rsidR="00B67487">
        <w:rPr>
          <w:rFonts w:ascii="Arial" w:hAnsi="Arial" w:cs="Arial"/>
        </w:rPr>
        <w:t xml:space="preserve"> The lesson is that budgeting is not only about </w:t>
      </w:r>
      <w:r w:rsidRPr="00AA64CA">
        <w:rPr>
          <w:rFonts w:ascii="Arial" w:hAnsi="Arial" w:cs="Arial"/>
        </w:rPr>
        <w:t>finding</w:t>
      </w:r>
      <w:r w:rsidR="00B67487">
        <w:rPr>
          <w:rFonts w:ascii="Arial" w:hAnsi="Arial" w:cs="Arial"/>
        </w:rPr>
        <w:t xml:space="preserve"> income; it is about </w:t>
      </w:r>
      <w:r w:rsidRPr="00AA64CA">
        <w:rPr>
          <w:rFonts w:ascii="Arial" w:hAnsi="Arial" w:cs="Arial"/>
        </w:rPr>
        <w:t>knowing</w:t>
      </w:r>
      <w:r w:rsidR="00B67487">
        <w:rPr>
          <w:rFonts w:ascii="Arial" w:hAnsi="Arial" w:cs="Arial"/>
        </w:rPr>
        <w:t xml:space="preserve"> what the project can realistically afford.</w:t>
      </w:r>
    </w:p>
    <w:p w14:paraId="504786F0" w14:textId="77777777" w:rsidR="005C4BFD" w:rsidRDefault="005C4BFD">
      <w:pPr>
        <w:jc w:val="both"/>
        <w:rPr>
          <w:lang w:eastAsia="en-GB"/>
        </w:rPr>
      </w:pPr>
      <w:r>
        <w:rPr>
          <w:rFonts w:ascii="Arial" w:hAnsi="Arial" w:cs="Arial"/>
        </w:rPr>
        <w:t>Overall, the team would manage the project differently by combining structure with flexibility. The WBS, Gantt chart, communication matrix, budget plan and risk register should be supported by review meetings, action logs and stakeholder feedback. The key lesson is that social enterprise projects need organised planning and adaptability because they depend on people, funding and community support, so a flexible project approach is more suitable than a rigid plan (Wysocki, Kaikini and Sneed, 2014).</w:t>
      </w:r>
    </w:p>
    <w:p w14:paraId="5D092CA6" w14:textId="77777777" w:rsidR="00D2689C" w:rsidRDefault="00D2689C" w:rsidP="00D2689C">
      <w:pPr>
        <w:pStyle w:val="Heading1"/>
        <w:jc w:val="both"/>
        <w:rPr>
          <w:rFonts w:cstheme="minorBidi"/>
          <w:lang w:eastAsia="en-GB"/>
        </w:rPr>
      </w:pPr>
      <w:bookmarkStart w:id="38" w:name="_Toc233835663"/>
      <w:bookmarkStart w:id="39" w:name="_Toc234090275"/>
      <w:bookmarkStart w:id="40" w:name="_Toc234090801"/>
      <w:r>
        <w:rPr>
          <w:rFonts w:ascii="Arial" w:hAnsi="Arial" w:cs="Arial"/>
          <w:sz w:val="32"/>
          <w:szCs w:val="32"/>
        </w:rPr>
        <w:lastRenderedPageBreak/>
        <w:t>References</w:t>
      </w:r>
      <w:bookmarkEnd w:id="38"/>
      <w:bookmarkEnd w:id="39"/>
      <w:bookmarkEnd w:id="40"/>
    </w:p>
    <w:p w14:paraId="32D5F3B3" w14:textId="77777777" w:rsidR="00D2689C" w:rsidRDefault="00D2689C">
      <w:pPr>
        <w:jc w:val="both"/>
        <w:rPr>
          <w:lang w:eastAsia="en-GB"/>
        </w:rPr>
      </w:pPr>
      <w:r>
        <w:rPr>
          <w:rFonts w:ascii="Arial" w:hAnsi="Arial" w:cs="Arial"/>
        </w:rPr>
        <w:t xml:space="preserve">Clegg, S.R., </w:t>
      </w:r>
      <w:proofErr w:type="spellStart"/>
      <w:r>
        <w:rPr>
          <w:rFonts w:ascii="Arial" w:hAnsi="Arial" w:cs="Arial"/>
        </w:rPr>
        <w:t>Skyttermoen</w:t>
      </w:r>
      <w:proofErr w:type="spellEnd"/>
      <w:r>
        <w:rPr>
          <w:rFonts w:ascii="Arial" w:hAnsi="Arial" w:cs="Arial"/>
        </w:rPr>
        <w:t xml:space="preserve">, T. and </w:t>
      </w:r>
      <w:proofErr w:type="spellStart"/>
      <w:r>
        <w:rPr>
          <w:rFonts w:ascii="Arial" w:hAnsi="Arial" w:cs="Arial"/>
        </w:rPr>
        <w:t>Vaagaasar</w:t>
      </w:r>
      <w:proofErr w:type="spellEnd"/>
      <w:r>
        <w:rPr>
          <w:rFonts w:ascii="Arial" w:hAnsi="Arial" w:cs="Arial"/>
        </w:rPr>
        <w:t xml:space="preserve">, A.L. (2020) </w:t>
      </w:r>
      <w:r>
        <w:rPr>
          <w:rFonts w:ascii="Arial" w:hAnsi="Arial" w:cs="Arial"/>
          <w:i/>
          <w:iCs/>
        </w:rPr>
        <w:t>Project Management: A Value Creation Approach</w:t>
      </w:r>
      <w:r>
        <w:rPr>
          <w:rFonts w:ascii="Arial" w:hAnsi="Arial" w:cs="Arial"/>
        </w:rPr>
        <w:t>. London: SAGE Publications.</w:t>
      </w:r>
    </w:p>
    <w:p w14:paraId="025D26F3" w14:textId="77777777" w:rsidR="00D2689C" w:rsidRDefault="00D2689C">
      <w:pPr>
        <w:jc w:val="both"/>
        <w:rPr>
          <w:lang w:eastAsia="en-GB"/>
        </w:rPr>
      </w:pPr>
      <w:r>
        <w:rPr>
          <w:rFonts w:ascii="Arial" w:hAnsi="Arial" w:cs="Arial"/>
        </w:rPr>
        <w:t xml:space="preserve">Freeman, R.E. (1984) </w:t>
      </w:r>
      <w:r>
        <w:rPr>
          <w:rFonts w:ascii="Arial" w:hAnsi="Arial" w:cs="Arial"/>
          <w:i/>
          <w:iCs/>
        </w:rPr>
        <w:t>Strategic Management: A Stakeholder Approach</w:t>
      </w:r>
      <w:r>
        <w:rPr>
          <w:rFonts w:ascii="Arial" w:hAnsi="Arial" w:cs="Arial"/>
        </w:rPr>
        <w:t>. Boston: Pitman.</w:t>
      </w:r>
    </w:p>
    <w:p w14:paraId="3E04F982" w14:textId="77777777" w:rsidR="00D2689C" w:rsidRDefault="00D2689C">
      <w:pPr>
        <w:jc w:val="both"/>
        <w:rPr>
          <w:lang w:eastAsia="en-GB"/>
        </w:rPr>
      </w:pPr>
      <w:r>
        <w:rPr>
          <w:rFonts w:ascii="Arial" w:hAnsi="Arial" w:cs="Arial"/>
        </w:rPr>
        <w:t xml:space="preserve">Heagney, J. (2016) </w:t>
      </w:r>
      <w:r>
        <w:rPr>
          <w:rFonts w:ascii="Arial" w:hAnsi="Arial" w:cs="Arial"/>
          <w:i/>
          <w:iCs/>
        </w:rPr>
        <w:t>Fundamentals of Project Management</w:t>
      </w:r>
      <w:r>
        <w:rPr>
          <w:rFonts w:ascii="Arial" w:hAnsi="Arial" w:cs="Arial"/>
        </w:rPr>
        <w:t xml:space="preserve">. 5th </w:t>
      </w:r>
      <w:proofErr w:type="spellStart"/>
      <w:r>
        <w:rPr>
          <w:rFonts w:ascii="Arial" w:hAnsi="Arial" w:cs="Arial"/>
        </w:rPr>
        <w:t>edn</w:t>
      </w:r>
      <w:proofErr w:type="spellEnd"/>
      <w:r>
        <w:rPr>
          <w:rFonts w:ascii="Arial" w:hAnsi="Arial" w:cs="Arial"/>
        </w:rPr>
        <w:t>. New York: AMACOM.</w:t>
      </w:r>
    </w:p>
    <w:p w14:paraId="1889C508" w14:textId="77777777" w:rsidR="00601CA6" w:rsidRDefault="00601CA6">
      <w:pPr>
        <w:jc w:val="both"/>
        <w:rPr>
          <w:lang w:eastAsia="en-GB"/>
        </w:rPr>
      </w:pPr>
      <w:r>
        <w:rPr>
          <w:rFonts w:ascii="Arial" w:hAnsi="Arial" w:cs="Arial"/>
        </w:rPr>
        <w:t xml:space="preserve">Kidston, P., Haward, K. and Association for Project Management (2015) </w:t>
      </w:r>
      <w:r>
        <w:rPr>
          <w:rFonts w:ascii="Arial" w:hAnsi="Arial" w:cs="Arial"/>
          <w:i/>
          <w:iCs/>
        </w:rPr>
        <w:t>Planning, Scheduling, Monitoring and Control: The Practical Project Management of Time, Cost and Risk</w:t>
      </w:r>
      <w:r>
        <w:rPr>
          <w:rFonts w:ascii="Arial" w:hAnsi="Arial" w:cs="Arial"/>
        </w:rPr>
        <w:t>. Buckinghamshire: Association for Project Management.</w:t>
      </w:r>
    </w:p>
    <w:p w14:paraId="1D76979B" w14:textId="77777777" w:rsidR="00D2689C" w:rsidRDefault="00D2689C">
      <w:pPr>
        <w:jc w:val="both"/>
        <w:rPr>
          <w:lang w:eastAsia="en-GB"/>
        </w:rPr>
      </w:pPr>
      <w:r>
        <w:rPr>
          <w:rFonts w:ascii="Arial" w:hAnsi="Arial" w:cs="Arial"/>
        </w:rPr>
        <w:t xml:space="preserve">Mendelow, A.L. (1991) ‘Environmental scanning: The impact of the stakeholder concept’, </w:t>
      </w:r>
      <w:r>
        <w:rPr>
          <w:rFonts w:ascii="Arial" w:hAnsi="Arial" w:cs="Arial"/>
          <w:i/>
          <w:iCs/>
        </w:rPr>
        <w:t>Proceedings of the International Conference on Information Systems</w:t>
      </w:r>
      <w:r>
        <w:rPr>
          <w:rFonts w:ascii="Arial" w:hAnsi="Arial" w:cs="Arial"/>
        </w:rPr>
        <w:t>, Cambridge, MA.</w:t>
      </w:r>
    </w:p>
    <w:p w14:paraId="25319993" w14:textId="77777777" w:rsidR="00601CA6" w:rsidRDefault="00601CA6">
      <w:pPr>
        <w:jc w:val="both"/>
        <w:rPr>
          <w:lang w:eastAsia="en-GB"/>
        </w:rPr>
      </w:pPr>
      <w:r>
        <w:rPr>
          <w:rFonts w:ascii="Arial" w:hAnsi="Arial" w:cs="Arial"/>
        </w:rPr>
        <w:t xml:space="preserve">Wysocki, R.K., Kaikini, S. and Sneed, R. (2014) </w:t>
      </w:r>
      <w:r>
        <w:rPr>
          <w:rFonts w:ascii="Arial" w:hAnsi="Arial" w:cs="Arial"/>
          <w:i/>
          <w:iCs/>
        </w:rPr>
        <w:t>Effective Project Management: Traditional, Agile, Extreme</w:t>
      </w:r>
      <w:r>
        <w:rPr>
          <w:rFonts w:ascii="Arial" w:hAnsi="Arial" w:cs="Arial"/>
        </w:rPr>
        <w:t xml:space="preserve">. 7th </w:t>
      </w:r>
      <w:proofErr w:type="spellStart"/>
      <w:r>
        <w:rPr>
          <w:rFonts w:ascii="Arial" w:hAnsi="Arial" w:cs="Arial"/>
        </w:rPr>
        <w:t>edn</w:t>
      </w:r>
      <w:proofErr w:type="spellEnd"/>
      <w:r>
        <w:rPr>
          <w:rFonts w:ascii="Arial" w:hAnsi="Arial" w:cs="Arial"/>
        </w:rPr>
        <w:t>. Indianapolis: Wiley.</w:t>
      </w:r>
    </w:p>
    <w:p w14:paraId="20B9C146" w14:textId="77777777" w:rsidR="00A37A41" w:rsidRDefault="00A37A41">
      <w:pPr>
        <w:rPr>
          <w:rFonts w:eastAsia="Times New Roman"/>
        </w:rPr>
      </w:pPr>
      <w:r>
        <w:rPr>
          <w:rFonts w:eastAsia="Times New Roman"/>
          <w:noProof/>
        </w:rPr>
        <mc:AlternateContent>
          <mc:Choice Requires="wps">
            <w:drawing>
              <wp:inline distT="0" distB="0" distL="0" distR="0" wp14:anchorId="56A14F08" wp14:editId="0561D3AE">
                <wp:extent cx="5943600" cy="1270"/>
                <wp:effectExtent l="0" t="31750" r="0" b="36830"/>
                <wp:docPr id="915030535"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C77B74F" id="Rectangle 1"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" filled="f">
                <w10:anchorlock/>
              </v:rect>
            </w:pict>
          </mc:Fallback>
        </mc:AlternateContent>
      </w:r>
    </w:p>
    <w:sectPr w:rsidR="00A37A41">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6B0333" w14:textId="77777777" w:rsidR="00E23A38" w:rsidRDefault="00E23A38" w:rsidP="00FD7204">
      <w:pPr>
        <w:spacing w:after="0" w:line="240" w:lineRule="auto"/>
      </w:pPr>
      <w:r>
        <w:separator/>
      </w:r>
    </w:p>
  </w:endnote>
  <w:endnote w:type="continuationSeparator" w:id="0">
    <w:p w14:paraId="73B2CCCF" w14:textId="77777777" w:rsidR="00E23A38" w:rsidRDefault="00E23A38" w:rsidP="00FD72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DEBFEA" w14:textId="77777777" w:rsidR="00FD7204" w:rsidRDefault="00FD72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944B5D" w14:textId="63B0AD21" w:rsidR="00FD7204" w:rsidRDefault="00FA45A9">
    <w:pPr>
      <w:pStyle w:val="Footer"/>
    </w:pPr>
    <w:r>
      <w:t xml:space="preserve">Page </w:t>
    </w:r>
    <w:r>
      <w:fldChar w:fldCharType="begin"/>
    </w:r>
    <w:r>
      <w:instrText xml:space="preserve"> PAGE </w:instrText>
    </w:r>
    <w:r>
      <w:fldChar w:fldCharType="separate"/>
    </w:r>
    <w:r>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D29CB" w14:textId="77777777" w:rsidR="00FD7204" w:rsidRDefault="00FD72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3D3F42" w14:textId="77777777" w:rsidR="00E23A38" w:rsidRDefault="00E23A38" w:rsidP="00FD7204">
      <w:pPr>
        <w:spacing w:after="0" w:line="240" w:lineRule="auto"/>
      </w:pPr>
      <w:r>
        <w:separator/>
      </w:r>
    </w:p>
  </w:footnote>
  <w:footnote w:type="continuationSeparator" w:id="0">
    <w:p w14:paraId="1FF3F0A9" w14:textId="77777777" w:rsidR="00E23A38" w:rsidRDefault="00E23A38" w:rsidP="00FD72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77C0A" w14:textId="77777777" w:rsidR="00FD7204" w:rsidRDefault="00FD72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9BAD18" w14:textId="77777777" w:rsidR="00FD7204" w:rsidRDefault="00FD720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E4F67" w14:textId="77777777" w:rsidR="00FD7204" w:rsidRDefault="00FD72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8B478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EBD00F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8B124A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72093573">
    <w:abstractNumId w:val="2"/>
  </w:num>
  <w:num w:numId="2" w16cid:durableId="919217919">
    <w:abstractNumId w:val="1"/>
  </w:num>
  <w:num w:numId="3" w16cid:durableId="20286733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A41"/>
    <w:rsid w:val="00013694"/>
    <w:rsid w:val="00027653"/>
    <w:rsid w:val="00030661"/>
    <w:rsid w:val="00031E11"/>
    <w:rsid w:val="00042A13"/>
    <w:rsid w:val="00044F89"/>
    <w:rsid w:val="00073630"/>
    <w:rsid w:val="0008486F"/>
    <w:rsid w:val="00094E4B"/>
    <w:rsid w:val="00097B00"/>
    <w:rsid w:val="000A2170"/>
    <w:rsid w:val="000B5DBB"/>
    <w:rsid w:val="000C39AE"/>
    <w:rsid w:val="000C46CE"/>
    <w:rsid w:val="000C4C7F"/>
    <w:rsid w:val="000C5CE4"/>
    <w:rsid w:val="000D5C82"/>
    <w:rsid w:val="000D6BC6"/>
    <w:rsid w:val="001022B5"/>
    <w:rsid w:val="0011761C"/>
    <w:rsid w:val="00121D6C"/>
    <w:rsid w:val="00140519"/>
    <w:rsid w:val="0015080E"/>
    <w:rsid w:val="00151FF4"/>
    <w:rsid w:val="00154264"/>
    <w:rsid w:val="001553DB"/>
    <w:rsid w:val="00171C77"/>
    <w:rsid w:val="00172D3D"/>
    <w:rsid w:val="001745C8"/>
    <w:rsid w:val="00180CC2"/>
    <w:rsid w:val="001B22C8"/>
    <w:rsid w:val="001B38C0"/>
    <w:rsid w:val="001D27A5"/>
    <w:rsid w:val="001D7E58"/>
    <w:rsid w:val="001D7EF8"/>
    <w:rsid w:val="00204EE4"/>
    <w:rsid w:val="00210000"/>
    <w:rsid w:val="0021654F"/>
    <w:rsid w:val="0023778C"/>
    <w:rsid w:val="002403A0"/>
    <w:rsid w:val="002424DC"/>
    <w:rsid w:val="00254023"/>
    <w:rsid w:val="00257BC1"/>
    <w:rsid w:val="002B1F3A"/>
    <w:rsid w:val="002B3406"/>
    <w:rsid w:val="002E5BB8"/>
    <w:rsid w:val="00301D46"/>
    <w:rsid w:val="0033647F"/>
    <w:rsid w:val="00343B22"/>
    <w:rsid w:val="0035092E"/>
    <w:rsid w:val="003817EA"/>
    <w:rsid w:val="00382904"/>
    <w:rsid w:val="00396C64"/>
    <w:rsid w:val="003A124C"/>
    <w:rsid w:val="003A2479"/>
    <w:rsid w:val="003A494D"/>
    <w:rsid w:val="003E03B7"/>
    <w:rsid w:val="003E08B4"/>
    <w:rsid w:val="003E3EAE"/>
    <w:rsid w:val="003E6B72"/>
    <w:rsid w:val="003F44C7"/>
    <w:rsid w:val="004202DF"/>
    <w:rsid w:val="004211AB"/>
    <w:rsid w:val="00423B2D"/>
    <w:rsid w:val="004269E8"/>
    <w:rsid w:val="0043196D"/>
    <w:rsid w:val="00435C1A"/>
    <w:rsid w:val="00441FEC"/>
    <w:rsid w:val="00446E40"/>
    <w:rsid w:val="00453C21"/>
    <w:rsid w:val="00460116"/>
    <w:rsid w:val="00462016"/>
    <w:rsid w:val="004851B9"/>
    <w:rsid w:val="00492324"/>
    <w:rsid w:val="00496B0D"/>
    <w:rsid w:val="004A777E"/>
    <w:rsid w:val="004B5A12"/>
    <w:rsid w:val="004E099F"/>
    <w:rsid w:val="00504611"/>
    <w:rsid w:val="00545A81"/>
    <w:rsid w:val="00556E8D"/>
    <w:rsid w:val="00557585"/>
    <w:rsid w:val="00572316"/>
    <w:rsid w:val="00572DB3"/>
    <w:rsid w:val="00575557"/>
    <w:rsid w:val="00585CFD"/>
    <w:rsid w:val="00590402"/>
    <w:rsid w:val="005A749A"/>
    <w:rsid w:val="005C17BF"/>
    <w:rsid w:val="005C4BFD"/>
    <w:rsid w:val="005E0D1A"/>
    <w:rsid w:val="005E68A5"/>
    <w:rsid w:val="00601C57"/>
    <w:rsid w:val="00601CA6"/>
    <w:rsid w:val="00610E0D"/>
    <w:rsid w:val="0061138D"/>
    <w:rsid w:val="00626DC0"/>
    <w:rsid w:val="00656D36"/>
    <w:rsid w:val="0067022E"/>
    <w:rsid w:val="00685CF1"/>
    <w:rsid w:val="00695AE6"/>
    <w:rsid w:val="00696589"/>
    <w:rsid w:val="006A4D60"/>
    <w:rsid w:val="006B6632"/>
    <w:rsid w:val="006C5332"/>
    <w:rsid w:val="006E2348"/>
    <w:rsid w:val="006F3C0B"/>
    <w:rsid w:val="006F7F5B"/>
    <w:rsid w:val="00711A1E"/>
    <w:rsid w:val="0071692D"/>
    <w:rsid w:val="00743567"/>
    <w:rsid w:val="00755D78"/>
    <w:rsid w:val="00773CD7"/>
    <w:rsid w:val="00784030"/>
    <w:rsid w:val="007954A0"/>
    <w:rsid w:val="007A028C"/>
    <w:rsid w:val="007A1D74"/>
    <w:rsid w:val="007B7FF8"/>
    <w:rsid w:val="007C5716"/>
    <w:rsid w:val="007C74C7"/>
    <w:rsid w:val="007F7B29"/>
    <w:rsid w:val="00806366"/>
    <w:rsid w:val="008261EE"/>
    <w:rsid w:val="00854A07"/>
    <w:rsid w:val="00870429"/>
    <w:rsid w:val="00870F63"/>
    <w:rsid w:val="008846A3"/>
    <w:rsid w:val="008B054F"/>
    <w:rsid w:val="008B5FB2"/>
    <w:rsid w:val="008D529D"/>
    <w:rsid w:val="008E3D7E"/>
    <w:rsid w:val="00914500"/>
    <w:rsid w:val="009223ED"/>
    <w:rsid w:val="0092353B"/>
    <w:rsid w:val="00927C19"/>
    <w:rsid w:val="009603C1"/>
    <w:rsid w:val="00963215"/>
    <w:rsid w:val="009755B2"/>
    <w:rsid w:val="009A0C1B"/>
    <w:rsid w:val="009E3F8C"/>
    <w:rsid w:val="009F0C83"/>
    <w:rsid w:val="009F58B0"/>
    <w:rsid w:val="00A04624"/>
    <w:rsid w:val="00A139E4"/>
    <w:rsid w:val="00A24744"/>
    <w:rsid w:val="00A36486"/>
    <w:rsid w:val="00A37A41"/>
    <w:rsid w:val="00A540AD"/>
    <w:rsid w:val="00A56067"/>
    <w:rsid w:val="00AA08B9"/>
    <w:rsid w:val="00AA64CA"/>
    <w:rsid w:val="00AD4E7F"/>
    <w:rsid w:val="00AD5C1A"/>
    <w:rsid w:val="00B06A0D"/>
    <w:rsid w:val="00B11037"/>
    <w:rsid w:val="00B1794B"/>
    <w:rsid w:val="00B25E45"/>
    <w:rsid w:val="00B321D5"/>
    <w:rsid w:val="00B42C36"/>
    <w:rsid w:val="00B52AEA"/>
    <w:rsid w:val="00B5498A"/>
    <w:rsid w:val="00B640A2"/>
    <w:rsid w:val="00B67487"/>
    <w:rsid w:val="00B8581B"/>
    <w:rsid w:val="00B9147F"/>
    <w:rsid w:val="00B961CB"/>
    <w:rsid w:val="00BD42F9"/>
    <w:rsid w:val="00BF0440"/>
    <w:rsid w:val="00BF5E9D"/>
    <w:rsid w:val="00C00E0A"/>
    <w:rsid w:val="00C25ADE"/>
    <w:rsid w:val="00C3764D"/>
    <w:rsid w:val="00C544EE"/>
    <w:rsid w:val="00C578EE"/>
    <w:rsid w:val="00C90CB1"/>
    <w:rsid w:val="00CB360C"/>
    <w:rsid w:val="00CD1BB5"/>
    <w:rsid w:val="00D13E72"/>
    <w:rsid w:val="00D2384B"/>
    <w:rsid w:val="00D26015"/>
    <w:rsid w:val="00D2689C"/>
    <w:rsid w:val="00D4565B"/>
    <w:rsid w:val="00D81642"/>
    <w:rsid w:val="00DA391C"/>
    <w:rsid w:val="00DB56D3"/>
    <w:rsid w:val="00DB696B"/>
    <w:rsid w:val="00DC1CD8"/>
    <w:rsid w:val="00DC6E9C"/>
    <w:rsid w:val="00DD0E4D"/>
    <w:rsid w:val="00DF432E"/>
    <w:rsid w:val="00DF4680"/>
    <w:rsid w:val="00E23A38"/>
    <w:rsid w:val="00E26234"/>
    <w:rsid w:val="00E310D5"/>
    <w:rsid w:val="00E4033B"/>
    <w:rsid w:val="00E53BCF"/>
    <w:rsid w:val="00E768AA"/>
    <w:rsid w:val="00E77998"/>
    <w:rsid w:val="00E871AB"/>
    <w:rsid w:val="00E94C31"/>
    <w:rsid w:val="00E95F9F"/>
    <w:rsid w:val="00EA1EC8"/>
    <w:rsid w:val="00EB2C74"/>
    <w:rsid w:val="00EC0CFC"/>
    <w:rsid w:val="00ED3E6E"/>
    <w:rsid w:val="00EE5200"/>
    <w:rsid w:val="00EF2156"/>
    <w:rsid w:val="00EF47A6"/>
    <w:rsid w:val="00F11D8C"/>
    <w:rsid w:val="00F11DDF"/>
    <w:rsid w:val="00F13ABF"/>
    <w:rsid w:val="00F75327"/>
    <w:rsid w:val="00F753C4"/>
    <w:rsid w:val="00FA45A9"/>
    <w:rsid w:val="00FB3C63"/>
    <w:rsid w:val="00FC7F11"/>
    <w:rsid w:val="00FD53DB"/>
    <w:rsid w:val="00FD7204"/>
    <w:rsid w:val="00FF33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FBB0F"/>
  <w15:chartTrackingRefBased/>
  <w15:docId w15:val="{78207821-9278-CB4F-8220-CE0ADB7AE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7A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37A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37A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7A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7A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7A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7A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7A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7A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7A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37A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37A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7A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7A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7A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7A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7A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7A41"/>
    <w:rPr>
      <w:rFonts w:eastAsiaTheme="majorEastAsia" w:cstheme="majorBidi"/>
      <w:color w:val="272727" w:themeColor="text1" w:themeTint="D8"/>
    </w:rPr>
  </w:style>
  <w:style w:type="paragraph" w:styleId="Title">
    <w:name w:val="Title"/>
    <w:basedOn w:val="Normal"/>
    <w:next w:val="Normal"/>
    <w:link w:val="TitleChar"/>
    <w:uiPriority w:val="10"/>
    <w:qFormat/>
    <w:rsid w:val="00A37A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7A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7A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7A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7A41"/>
    <w:pPr>
      <w:spacing w:before="160"/>
      <w:jc w:val="center"/>
    </w:pPr>
    <w:rPr>
      <w:i/>
      <w:iCs/>
      <w:color w:val="404040" w:themeColor="text1" w:themeTint="BF"/>
    </w:rPr>
  </w:style>
  <w:style w:type="character" w:customStyle="1" w:styleId="QuoteChar">
    <w:name w:val="Quote Char"/>
    <w:basedOn w:val="DefaultParagraphFont"/>
    <w:link w:val="Quote"/>
    <w:uiPriority w:val="29"/>
    <w:rsid w:val="00A37A41"/>
    <w:rPr>
      <w:i/>
      <w:iCs/>
      <w:color w:val="404040" w:themeColor="text1" w:themeTint="BF"/>
    </w:rPr>
  </w:style>
  <w:style w:type="paragraph" w:styleId="ListParagraph">
    <w:name w:val="List Paragraph"/>
    <w:basedOn w:val="Normal"/>
    <w:uiPriority w:val="34"/>
    <w:qFormat/>
    <w:rsid w:val="00A37A41"/>
    <w:pPr>
      <w:ind w:left="720"/>
      <w:contextualSpacing/>
    </w:pPr>
  </w:style>
  <w:style w:type="character" w:styleId="IntenseEmphasis">
    <w:name w:val="Intense Emphasis"/>
    <w:basedOn w:val="DefaultParagraphFont"/>
    <w:uiPriority w:val="21"/>
    <w:qFormat/>
    <w:rsid w:val="00A37A41"/>
    <w:rPr>
      <w:i/>
      <w:iCs/>
      <w:color w:val="0F4761" w:themeColor="accent1" w:themeShade="BF"/>
    </w:rPr>
  </w:style>
  <w:style w:type="paragraph" w:styleId="IntenseQuote">
    <w:name w:val="Intense Quote"/>
    <w:basedOn w:val="Normal"/>
    <w:next w:val="Normal"/>
    <w:link w:val="IntenseQuoteChar"/>
    <w:uiPriority w:val="30"/>
    <w:qFormat/>
    <w:rsid w:val="00A37A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7A41"/>
    <w:rPr>
      <w:i/>
      <w:iCs/>
      <w:color w:val="0F4761" w:themeColor="accent1" w:themeShade="BF"/>
    </w:rPr>
  </w:style>
  <w:style w:type="character" w:styleId="IntenseReference">
    <w:name w:val="Intense Reference"/>
    <w:basedOn w:val="DefaultParagraphFont"/>
    <w:uiPriority w:val="32"/>
    <w:qFormat/>
    <w:rsid w:val="00A37A41"/>
    <w:rPr>
      <w:b/>
      <w:bCs/>
      <w:smallCaps/>
      <w:color w:val="0F4761" w:themeColor="accent1" w:themeShade="BF"/>
      <w:spacing w:val="5"/>
    </w:rPr>
  </w:style>
  <w:style w:type="paragraph" w:styleId="NormalWeb">
    <w:name w:val="Normal (Web)"/>
    <w:basedOn w:val="Normal"/>
    <w:uiPriority w:val="99"/>
    <w:unhideWhenUsed/>
    <w:rsid w:val="00A37A41"/>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A37A41"/>
    <w:rPr>
      <w:b/>
      <w:bCs/>
    </w:rPr>
  </w:style>
  <w:style w:type="character" w:styleId="Emphasis">
    <w:name w:val="Emphasis"/>
    <w:basedOn w:val="DefaultParagraphFont"/>
    <w:uiPriority w:val="20"/>
    <w:qFormat/>
    <w:rsid w:val="00A37A41"/>
    <w:rPr>
      <w:i/>
      <w:iCs/>
    </w:rPr>
  </w:style>
  <w:style w:type="character" w:styleId="BookTitle">
    <w:name w:val="Book Title"/>
    <w:basedOn w:val="DefaultParagraphFont"/>
    <w:uiPriority w:val="33"/>
    <w:qFormat/>
    <w:rsid w:val="00927C19"/>
    <w:rPr>
      <w:b/>
      <w:bCs/>
      <w:i/>
      <w:iCs/>
      <w:spacing w:val="5"/>
    </w:rPr>
  </w:style>
  <w:style w:type="paragraph" w:styleId="Caption">
    <w:name w:val="caption"/>
    <w:basedOn w:val="Normal"/>
    <w:next w:val="Normal"/>
    <w:uiPriority w:val="35"/>
    <w:semiHidden/>
    <w:unhideWhenUsed/>
    <w:qFormat/>
    <w:rsid w:val="00927C19"/>
    <w:pPr>
      <w:spacing w:after="200" w:line="240" w:lineRule="auto"/>
    </w:pPr>
    <w:rPr>
      <w:i/>
      <w:iCs/>
      <w:color w:val="0E2841" w:themeColor="text2"/>
      <w:sz w:val="18"/>
      <w:szCs w:val="18"/>
    </w:rPr>
  </w:style>
  <w:style w:type="paragraph" w:styleId="NoSpacing">
    <w:name w:val="No Spacing"/>
    <w:uiPriority w:val="1"/>
    <w:qFormat/>
    <w:rsid w:val="00927C19"/>
    <w:pPr>
      <w:spacing w:after="0" w:line="240" w:lineRule="auto"/>
    </w:pPr>
  </w:style>
  <w:style w:type="character" w:styleId="SubtleEmphasis">
    <w:name w:val="Subtle Emphasis"/>
    <w:basedOn w:val="DefaultParagraphFont"/>
    <w:uiPriority w:val="19"/>
    <w:qFormat/>
    <w:rsid w:val="00927C19"/>
    <w:rPr>
      <w:i/>
      <w:iCs/>
      <w:color w:val="404040" w:themeColor="text1" w:themeTint="BF"/>
    </w:rPr>
  </w:style>
  <w:style w:type="character" w:styleId="SubtleReference">
    <w:name w:val="Subtle Reference"/>
    <w:basedOn w:val="DefaultParagraphFont"/>
    <w:uiPriority w:val="31"/>
    <w:qFormat/>
    <w:rsid w:val="00927C19"/>
    <w:rPr>
      <w:smallCaps/>
      <w:color w:val="5A5A5A" w:themeColor="text1" w:themeTint="A5"/>
    </w:rPr>
  </w:style>
  <w:style w:type="paragraph" w:styleId="TOCHeading">
    <w:name w:val="TOC Heading"/>
    <w:basedOn w:val="Heading1"/>
    <w:next w:val="Normal"/>
    <w:uiPriority w:val="39"/>
    <w:unhideWhenUsed/>
    <w:qFormat/>
    <w:rsid w:val="00927C19"/>
    <w:pPr>
      <w:spacing w:before="240" w:after="0"/>
      <w:outlineLvl w:val="9"/>
    </w:pPr>
    <w:rPr>
      <w:sz w:val="32"/>
      <w:szCs w:val="32"/>
    </w:rPr>
  </w:style>
  <w:style w:type="paragraph" w:styleId="TOC1">
    <w:name w:val="toc 1"/>
    <w:basedOn w:val="Normal"/>
    <w:next w:val="Normal"/>
    <w:autoRedefine/>
    <w:uiPriority w:val="39"/>
    <w:unhideWhenUsed/>
    <w:rsid w:val="00B42C36"/>
    <w:pPr>
      <w:spacing w:after="100"/>
    </w:pPr>
  </w:style>
  <w:style w:type="paragraph" w:styleId="TOC2">
    <w:name w:val="toc 2"/>
    <w:basedOn w:val="Normal"/>
    <w:next w:val="Normal"/>
    <w:autoRedefine/>
    <w:uiPriority w:val="39"/>
    <w:unhideWhenUsed/>
    <w:rsid w:val="00B42C36"/>
    <w:pPr>
      <w:spacing w:after="100"/>
      <w:ind w:left="240"/>
    </w:pPr>
  </w:style>
  <w:style w:type="character" w:styleId="Hyperlink">
    <w:name w:val="Hyperlink"/>
    <w:basedOn w:val="DefaultParagraphFont"/>
    <w:uiPriority w:val="99"/>
    <w:unhideWhenUsed/>
    <w:rsid w:val="00B42C36"/>
    <w:rPr>
      <w:color w:val="467886" w:themeColor="hyperlink"/>
      <w:u w:val="single"/>
    </w:rPr>
  </w:style>
  <w:style w:type="paragraph" w:styleId="Header">
    <w:name w:val="header"/>
    <w:basedOn w:val="Normal"/>
    <w:link w:val="HeaderChar"/>
    <w:uiPriority w:val="99"/>
    <w:unhideWhenUsed/>
    <w:rsid w:val="00FD72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7204"/>
  </w:style>
  <w:style w:type="paragraph" w:styleId="Footer">
    <w:name w:val="footer"/>
    <w:basedOn w:val="Normal"/>
    <w:link w:val="FooterChar"/>
    <w:uiPriority w:val="99"/>
    <w:unhideWhenUsed/>
    <w:rsid w:val="00FD72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7204"/>
  </w:style>
  <w:style w:type="paragraph" w:styleId="TOC3">
    <w:name w:val="toc 3"/>
    <w:basedOn w:val="Normal"/>
    <w:next w:val="Normal"/>
    <w:autoRedefine/>
    <w:uiPriority w:val="39"/>
    <w:unhideWhenUsed/>
    <w:rsid w:val="00254023"/>
    <w:pPr>
      <w:spacing w:after="100" w:line="259" w:lineRule="auto"/>
      <w:ind w:left="440"/>
    </w:pPr>
    <w:rPr>
      <w:rFonts w:cs="Times New Roman"/>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26C3A1-CA07-4FBC-A1AF-2E832F43DF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9</Pages>
  <Words>2696</Words>
  <Characters>16557</Characters>
  <Application>Microsoft Office Word</Application>
  <DocSecurity>0</DocSecurity>
  <Lines>280</Lines>
  <Paragraphs>83</Paragraphs>
  <ScaleCrop>false</ScaleCrop>
  <Company/>
  <LinksUpToDate>false</LinksUpToDate>
  <CharactersWithSpaces>19170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Floarea</dc:creator>
  <cp:keywords/>
  <dc:description/>
  <cp:lastModifiedBy>Marian Floarea</cp:lastModifiedBy>
  <cp:revision>85</cp:revision>
  <dcterms:created xsi:type="dcterms:W3CDTF">2026-06-30T08:47:00Z</dcterms:created>
  <dcterms:modified xsi:type="dcterms:W3CDTF">2026-07-04T19:53:00Z</dcterms:modified>
</cp:coreProperties>
</file>