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EAF18" w14:textId="77777777" w:rsidR="0011132A" w:rsidRPr="0011132A" w:rsidRDefault="0011132A" w:rsidP="0011132A">
      <w:pPr>
        <w:rPr>
          <w:b/>
          <w:bCs/>
        </w:rPr>
      </w:pPr>
      <w:r w:rsidRPr="0011132A">
        <w:rPr>
          <w:b/>
          <w:bCs/>
        </w:rPr>
        <w:t xml:space="preserve">Baker, M. (2024) </w:t>
      </w:r>
      <w:r w:rsidRPr="0011132A">
        <w:rPr>
          <w:b/>
          <w:bCs/>
          <w:i/>
          <w:iCs/>
        </w:rPr>
        <w:t xml:space="preserve">Making the case for mentoring as a development tool. </w:t>
      </w:r>
      <w:r w:rsidRPr="0011132A">
        <w:rPr>
          <w:b/>
          <w:bCs/>
        </w:rPr>
        <w:t xml:space="preserve">Available at: </w:t>
      </w:r>
      <w:hyperlink r:id="rId5" w:history="1">
        <w:r w:rsidRPr="0011132A">
          <w:rPr>
            <w:rStyle w:val="Hyperlink"/>
            <w:b/>
            <w:bCs/>
          </w:rPr>
          <w:t xml:space="preserve">Making the case for mentoring as a development </w:t>
        </w:r>
      </w:hyperlink>
      <w:hyperlink r:id="rId6" w:history="1">
        <w:r w:rsidRPr="0011132A">
          <w:rPr>
            <w:rStyle w:val="Hyperlink"/>
            <w:b/>
            <w:bCs/>
          </w:rPr>
          <w:t>tool</w:t>
        </w:r>
      </w:hyperlink>
      <w:r w:rsidRPr="0011132A">
        <w:rPr>
          <w:b/>
          <w:bCs/>
        </w:rPr>
        <w:t xml:space="preserve"> (Accessed: 1 October 2025)</w:t>
      </w:r>
    </w:p>
    <w:p w14:paraId="30A5C3C0" w14:textId="77777777" w:rsidR="00514936" w:rsidRPr="00514936" w:rsidRDefault="00514936" w:rsidP="00514936">
      <w:pPr>
        <w:rPr>
          <w:b/>
          <w:bCs/>
        </w:rPr>
      </w:pPr>
      <w:r w:rsidRPr="00514936">
        <w:rPr>
          <w:b/>
          <w:bCs/>
        </w:rPr>
        <w:t>Making the case for mentoring as a development tool</w:t>
      </w:r>
    </w:p>
    <w:p w14:paraId="62536E0C" w14:textId="77777777" w:rsidR="00514936" w:rsidRPr="00514936" w:rsidRDefault="00514936" w:rsidP="00514936">
      <w:r w:rsidRPr="00514936">
        <w:t>Technology is enabling mentoring to be provided at scale and, with over half of companies offering it, those that don’t are in danger of losing out on talent, says Martin Baker</w:t>
      </w:r>
    </w:p>
    <w:p w14:paraId="63D59734" w14:textId="786842AE" w:rsidR="00514936" w:rsidRPr="00514936" w:rsidRDefault="00514936" w:rsidP="0011132A">
      <w:r w:rsidRPr="00514936">
        <w:t>by Martin Baker 2 August 2024</w:t>
      </w:r>
    </w:p>
    <w:p w14:paraId="14168F2B" w14:textId="77777777" w:rsidR="00514936" w:rsidRPr="00514936" w:rsidRDefault="00514936" w:rsidP="00514936">
      <w:r w:rsidRPr="00514936">
        <w:t>Mentoring is a hugely important, effective and low-cost learning and development tool that benefits mentors, mentees, organisations and the sector in which they operate. When organisations provide mentoring opportunities to employees, it helps foster a culture of collaboration and knowledge exchange, demonstrating a commitment to people learning from and with each other in the workplace. </w:t>
      </w:r>
    </w:p>
    <w:p w14:paraId="407F1FF7" w14:textId="77777777" w:rsidR="00514936" w:rsidRPr="00514936" w:rsidRDefault="00514936" w:rsidP="00514936">
      <w:r w:rsidRPr="00514936">
        <w:t>L&amp;D professionals participating in </w:t>
      </w:r>
      <w:hyperlink r:id="rId7" w:history="1">
        <w:r w:rsidRPr="00514936">
          <w:rPr>
            <w:rStyle w:val="Hyperlink"/>
          </w:rPr>
          <w:t>LinkedIn Learning’s 2024 Workplace Learning Report</w:t>
        </w:r>
      </w:hyperlink>
      <w:r w:rsidRPr="00514936">
        <w:t> identified mentoring as a top career development priority, with 57 per cent of ‘mature career development’ companies already offering mentorship programmes. The report also found that 47 per cent of companies are investing in career mentoring and coaching in a drive to improve employee retention.</w:t>
      </w:r>
    </w:p>
    <w:p w14:paraId="67FA1B2C" w14:textId="77777777" w:rsidR="00514936" w:rsidRPr="00514936" w:rsidRDefault="00514936" w:rsidP="00514936">
      <w:r w:rsidRPr="00514936">
        <w:t>With mentoring, employees learn from the skills, experience and knowledge of more senior people in their organisation or their network and draw on their mentor’s advice to develop their own skills and expertise. Mentors also benefit from the relationship, gaining insight into what their mentee says about the workplace and about any emerging organisational and sector trends at an operational level.</w:t>
      </w:r>
    </w:p>
    <w:p w14:paraId="00F15C07" w14:textId="77777777" w:rsidR="00514936" w:rsidRPr="00514936" w:rsidRDefault="00514936" w:rsidP="00514936">
      <w:r w:rsidRPr="00514936">
        <w:t>It's a developmental tool used by a huge variety of organisations, big and small, across the voluntary, private and public sector. It’s particularly useful when learning budgets are tight, such as in the charity sector, and can help with recruitment and retention. </w:t>
      </w:r>
    </w:p>
    <w:p w14:paraId="46642161" w14:textId="77777777" w:rsidR="00514936" w:rsidRPr="00514936" w:rsidRDefault="00514936" w:rsidP="00514936">
      <w:r w:rsidRPr="00514936">
        <w:t>The Charity Mentoring Network, launched in January, enables all workers across the charity sector to become mentors and mentees to develop their skills and careers. Until recently, such a project would not have been possible because the technology wasn’t available to support mentoring at scale. That has changed and now a variety of mentoring platforms provide the infrastructure to match mentors and mentees and help manage the relationship. </w:t>
      </w:r>
    </w:p>
    <w:p w14:paraId="0A615FDB" w14:textId="77777777" w:rsidR="00514936" w:rsidRPr="00514936" w:rsidRDefault="00514936" w:rsidP="00514936">
      <w:r w:rsidRPr="00514936">
        <w:t>So, what have we learned about launching a mentoring platform?</w:t>
      </w:r>
    </w:p>
    <w:p w14:paraId="54A71CCA" w14:textId="77777777" w:rsidR="00514936" w:rsidRPr="00514936" w:rsidRDefault="00514936" w:rsidP="00514936">
      <w:r w:rsidRPr="00514936">
        <w:t>First, there are misconceptions about what mentoring is and it is often confused with coaching. Being clear on the differences is important, especially where one can be more expensive and a benefit to more senior colleagues or top talent. But what are the differences?</w:t>
      </w:r>
    </w:p>
    <w:p w14:paraId="2A084F1F" w14:textId="77777777" w:rsidR="00514936" w:rsidRPr="00514936" w:rsidRDefault="00514936" w:rsidP="00514936">
      <w:pPr>
        <w:rPr>
          <w:b/>
          <w:bCs/>
        </w:rPr>
      </w:pPr>
      <w:r w:rsidRPr="00514936">
        <w:rPr>
          <w:b/>
          <w:bCs/>
        </w:rPr>
        <w:lastRenderedPageBreak/>
        <w:t>Mentoring</w:t>
      </w:r>
    </w:p>
    <w:p w14:paraId="1BD014A8" w14:textId="77777777" w:rsidR="00514936" w:rsidRPr="00514936" w:rsidRDefault="00514936" w:rsidP="00514936">
      <w:r w:rsidRPr="00514936">
        <w:t>Mentoring is when a more experienced colleague or person in the mentee’s network shares their knowledge, experience and advice. Mentors act as a guide, giving answers to questions and solutions to problems. They are often subject-matter experts, that is, they have been through the same or similar challenges, potentially in the same organisation, and can use that experience to offer support and guidance. </w:t>
      </w:r>
    </w:p>
    <w:p w14:paraId="18B533F2" w14:textId="77777777" w:rsidR="00514936" w:rsidRPr="00514936" w:rsidRDefault="00514936" w:rsidP="00514936">
      <w:pPr>
        <w:rPr>
          <w:b/>
          <w:bCs/>
        </w:rPr>
      </w:pPr>
      <w:r w:rsidRPr="00514936">
        <w:rPr>
          <w:b/>
          <w:bCs/>
        </w:rPr>
        <w:t>Coaching</w:t>
      </w:r>
    </w:p>
    <w:p w14:paraId="7A968641" w14:textId="77777777" w:rsidR="00514936" w:rsidRPr="00514936" w:rsidRDefault="00514936" w:rsidP="00514936">
      <w:r w:rsidRPr="00514936">
        <w:t xml:space="preserve">Coaching is a non-directive way of developing people. The focus is on helping the </w:t>
      </w:r>
      <w:proofErr w:type="spellStart"/>
      <w:r w:rsidRPr="00514936">
        <w:t>coachee</w:t>
      </w:r>
      <w:proofErr w:type="spellEnd"/>
      <w:r w:rsidRPr="00514936">
        <w:t xml:space="preserve"> find their own answers and reach their own conclusions. It’s about giving people the space to think and explore. Coaches ask questions rather than give answers. And they don’t have to be subject-matter experts – their expertise is in coaching. </w:t>
      </w:r>
    </w:p>
    <w:p w14:paraId="7BA9666B" w14:textId="77777777" w:rsidR="00514936" w:rsidRPr="00514936" w:rsidRDefault="00514936" w:rsidP="00514936">
      <w:r w:rsidRPr="00514936">
        <w:t>It is important to note that mentors can also use coaching tools and techniques during the mentoring relationship, but it does not work the other way round: a coach should never use mentoring tools and techniques. </w:t>
      </w:r>
    </w:p>
    <w:p w14:paraId="2CCB0BFC" w14:textId="77777777" w:rsidR="00514936" w:rsidRPr="00514936" w:rsidRDefault="00514936" w:rsidP="00514936">
      <w:r w:rsidRPr="00514936">
        <w:t>Second, to promote mentoring as a development tool, it is important to engage the organisation around the benefits, such as:</w:t>
      </w:r>
    </w:p>
    <w:p w14:paraId="049798CB" w14:textId="77777777" w:rsidR="00514936" w:rsidRPr="00514936" w:rsidRDefault="00514936" w:rsidP="00514936">
      <w:pPr>
        <w:numPr>
          <w:ilvl w:val="0"/>
          <w:numId w:val="2"/>
        </w:numPr>
      </w:pPr>
      <w:r w:rsidRPr="00514936">
        <w:t>Mentoring boosts individual, team, organisational and sectoral skills.</w:t>
      </w:r>
    </w:p>
    <w:p w14:paraId="46CD59D8" w14:textId="77777777" w:rsidR="00514936" w:rsidRPr="00514936" w:rsidRDefault="00514936" w:rsidP="00514936">
      <w:pPr>
        <w:numPr>
          <w:ilvl w:val="0"/>
          <w:numId w:val="2"/>
        </w:numPr>
      </w:pPr>
      <w:r w:rsidRPr="00514936">
        <w:t>People who have been mentored are more likely to be promoted.</w:t>
      </w:r>
    </w:p>
    <w:p w14:paraId="4EFC92DA" w14:textId="77777777" w:rsidR="00514936" w:rsidRPr="00514936" w:rsidRDefault="00514936" w:rsidP="00514936">
      <w:pPr>
        <w:numPr>
          <w:ilvl w:val="0"/>
          <w:numId w:val="2"/>
        </w:numPr>
      </w:pPr>
      <w:r w:rsidRPr="00514936">
        <w:t>Mentoring encourages internal and external networking, collaboration and cross-departmental, cross-functional and, potentially, cross-sector working.</w:t>
      </w:r>
    </w:p>
    <w:p w14:paraId="4A9A97CD" w14:textId="77777777" w:rsidR="00514936" w:rsidRPr="00514936" w:rsidRDefault="00514936" w:rsidP="00514936">
      <w:pPr>
        <w:numPr>
          <w:ilvl w:val="0"/>
          <w:numId w:val="2"/>
        </w:numPr>
      </w:pPr>
      <w:r w:rsidRPr="00514936">
        <w:t>Mentees typically report higher levels of engagement, job satisfaction and loyalty.</w:t>
      </w:r>
    </w:p>
    <w:p w14:paraId="27BE6ED0" w14:textId="77777777" w:rsidR="00514936" w:rsidRPr="00514936" w:rsidRDefault="00514936" w:rsidP="00514936">
      <w:pPr>
        <w:numPr>
          <w:ilvl w:val="0"/>
          <w:numId w:val="2"/>
        </w:numPr>
      </w:pPr>
      <w:r w:rsidRPr="00514936">
        <w:t>Mentoring boosts confidence and helps onboard employees into new roles.</w:t>
      </w:r>
    </w:p>
    <w:p w14:paraId="4FADE526" w14:textId="77777777" w:rsidR="00514936" w:rsidRPr="00514936" w:rsidRDefault="00514936" w:rsidP="00514936">
      <w:pPr>
        <w:numPr>
          <w:ilvl w:val="0"/>
          <w:numId w:val="2"/>
        </w:numPr>
      </w:pPr>
      <w:r w:rsidRPr="00514936">
        <w:t>Organisations that offer mentoring often outperform organisations that do not.</w:t>
      </w:r>
    </w:p>
    <w:p w14:paraId="5D3CB680" w14:textId="77777777" w:rsidR="00514936" w:rsidRPr="00514936" w:rsidRDefault="00514936" w:rsidP="00514936">
      <w:pPr>
        <w:numPr>
          <w:ilvl w:val="0"/>
          <w:numId w:val="2"/>
        </w:numPr>
      </w:pPr>
      <w:r w:rsidRPr="00514936">
        <w:t>Mentoring schemes improve talent pipelines, internal mobility, recruitment and retention rates.</w:t>
      </w:r>
    </w:p>
    <w:p w14:paraId="7D322237" w14:textId="77777777" w:rsidR="00514936" w:rsidRPr="00514936" w:rsidRDefault="00514936" w:rsidP="00514936">
      <w:pPr>
        <w:numPr>
          <w:ilvl w:val="0"/>
          <w:numId w:val="2"/>
        </w:numPr>
      </w:pPr>
      <w:r w:rsidRPr="00514936">
        <w:t>Mentoring enables the mentor and mentee to work on challenges specific to the needs of the individual, their role and the organisation.</w:t>
      </w:r>
    </w:p>
    <w:p w14:paraId="07579065" w14:textId="77777777" w:rsidR="00514936" w:rsidRPr="00514936" w:rsidRDefault="00514936" w:rsidP="00514936">
      <w:r w:rsidRPr="00514936">
        <w:t>Third, mentoring can help tackle some of the biggest workforce challenges, including reskilling and upskilling, employee engagement, internal mobility and wellbeing. Reverse mentoring, when a less experienced or junior colleague mentors a more senior colleague, is increasingly important with today’s multi-generational workforce. It is a great way for older, more senior workers to learn from less experienced staff.</w:t>
      </w:r>
    </w:p>
    <w:p w14:paraId="454B2245" w14:textId="77777777" w:rsidR="00514936" w:rsidRPr="00514936" w:rsidRDefault="00514936" w:rsidP="00514936">
      <w:r w:rsidRPr="00514936">
        <w:lastRenderedPageBreak/>
        <w:t>And, finally, working with the 51 charities and more than 500 mentors and mentees who have signed up to the platform since its launch, we have discovered how learning and HR teams can engage the organisation around mentoring. Here are my top 10 tips:</w:t>
      </w:r>
    </w:p>
    <w:p w14:paraId="6E6E9804" w14:textId="77777777" w:rsidR="00514936" w:rsidRPr="00514936" w:rsidRDefault="00514936" w:rsidP="00514936">
      <w:pPr>
        <w:numPr>
          <w:ilvl w:val="0"/>
          <w:numId w:val="3"/>
        </w:numPr>
        <w:rPr>
          <w:b/>
          <w:bCs/>
        </w:rPr>
      </w:pPr>
      <w:r w:rsidRPr="00514936">
        <w:rPr>
          <w:b/>
          <w:bCs/>
        </w:rPr>
        <w:t>Engage senior leadership </w:t>
      </w:r>
    </w:p>
    <w:p w14:paraId="23CAC153" w14:textId="77777777" w:rsidR="00514936" w:rsidRPr="00514936" w:rsidRDefault="00514936" w:rsidP="00514936">
      <w:r w:rsidRPr="00514936">
        <w:t>Ask senior leaders to become mentors. By becoming mentors, they are endorsing mentoring and signalling to the organisation that it is an important part of employee and organisational development. Leaders also stand to learn a lot from becoming mentors. </w:t>
      </w:r>
    </w:p>
    <w:p w14:paraId="346747F9" w14:textId="77777777" w:rsidR="00514936" w:rsidRPr="00514936" w:rsidRDefault="00514936" w:rsidP="00514936">
      <w:pPr>
        <w:numPr>
          <w:ilvl w:val="0"/>
          <w:numId w:val="4"/>
        </w:numPr>
        <w:rPr>
          <w:b/>
          <w:bCs/>
        </w:rPr>
      </w:pPr>
      <w:r w:rsidRPr="00514936">
        <w:rPr>
          <w:b/>
          <w:bCs/>
        </w:rPr>
        <w:t>Embed it into your L&amp;D strategy</w:t>
      </w:r>
    </w:p>
    <w:p w14:paraId="7940E57C" w14:textId="77777777" w:rsidR="00514936" w:rsidRPr="00514936" w:rsidRDefault="00514936" w:rsidP="00514936">
      <w:r w:rsidRPr="00514936">
        <w:t>Mentoring is a low-cost, high-impact development tool that reaches across the organisation, engaging colleagues at all levels and in all roles. For this reason, it is a powerful tool for L&amp;D teams in charities.</w:t>
      </w:r>
    </w:p>
    <w:p w14:paraId="49B0B192" w14:textId="77777777" w:rsidR="00514936" w:rsidRPr="00514936" w:rsidRDefault="00514936" w:rsidP="00514936">
      <w:pPr>
        <w:numPr>
          <w:ilvl w:val="0"/>
          <w:numId w:val="5"/>
        </w:numPr>
        <w:rPr>
          <w:b/>
          <w:bCs/>
        </w:rPr>
      </w:pPr>
      <w:r w:rsidRPr="00514936">
        <w:rPr>
          <w:b/>
          <w:bCs/>
        </w:rPr>
        <w:t>Align mentoring with your appraisal/performance process</w:t>
      </w:r>
    </w:p>
    <w:p w14:paraId="1A98FAB1" w14:textId="77777777" w:rsidR="00514936" w:rsidRPr="00514936" w:rsidRDefault="00514936" w:rsidP="00514936">
      <w:r w:rsidRPr="00514936">
        <w:t>Mentoring is an effective development tool so align your mentoring scheme with your organisational appraisal process. This helps integrate it into development activities that are aligned with appraisal objectives and helps engage managers with mentoring too.</w:t>
      </w:r>
    </w:p>
    <w:p w14:paraId="79D62B2B" w14:textId="77777777" w:rsidR="00514936" w:rsidRPr="00514936" w:rsidRDefault="00514936" w:rsidP="00514936">
      <w:pPr>
        <w:numPr>
          <w:ilvl w:val="0"/>
          <w:numId w:val="6"/>
        </w:numPr>
        <w:rPr>
          <w:b/>
          <w:bCs/>
        </w:rPr>
      </w:pPr>
      <w:r w:rsidRPr="00514936">
        <w:rPr>
          <w:b/>
          <w:bCs/>
        </w:rPr>
        <w:t>Make it a part of your onboarding process </w:t>
      </w:r>
    </w:p>
    <w:p w14:paraId="28430CC7" w14:textId="77777777" w:rsidR="00514936" w:rsidRPr="00514936" w:rsidRDefault="00514936" w:rsidP="00514936">
      <w:r w:rsidRPr="00514936">
        <w:t>Mentoring is a great tool to use in the onboarding process. Not only does it help new starters get up to speed in their new role more quickly, it also demonstrates the organisation’s focus on employee development. Consider other moments of need, such as a promotion, when mentoring can help support an individual.</w:t>
      </w:r>
    </w:p>
    <w:p w14:paraId="2F4E0762" w14:textId="77777777" w:rsidR="00514936" w:rsidRPr="00514936" w:rsidRDefault="00514936" w:rsidP="00514936">
      <w:pPr>
        <w:numPr>
          <w:ilvl w:val="0"/>
          <w:numId w:val="7"/>
        </w:numPr>
        <w:rPr>
          <w:b/>
          <w:bCs/>
        </w:rPr>
      </w:pPr>
      <w:r w:rsidRPr="00514936">
        <w:rPr>
          <w:b/>
          <w:bCs/>
        </w:rPr>
        <w:t>Use all communications channels </w:t>
      </w:r>
    </w:p>
    <w:p w14:paraId="5F7E1351" w14:textId="77777777" w:rsidR="00514936" w:rsidRPr="00514936" w:rsidRDefault="00514936" w:rsidP="00514936">
      <w:r w:rsidRPr="00514936">
        <w:t>Make the most of the communication channels at your disposal, including your intranet, internal newsletters and all-staff emails to announce the launch, post news updates and continuously remind staff about mentoring network. Consistent communications are key, so don’t stop after an initial burst of activity.</w:t>
      </w:r>
    </w:p>
    <w:p w14:paraId="02B7E6AB" w14:textId="77777777" w:rsidR="00514936" w:rsidRPr="00514936" w:rsidRDefault="00514936" w:rsidP="00514936">
      <w:pPr>
        <w:numPr>
          <w:ilvl w:val="0"/>
          <w:numId w:val="8"/>
        </w:numPr>
        <w:rPr>
          <w:b/>
          <w:bCs/>
        </w:rPr>
      </w:pPr>
      <w:r w:rsidRPr="00514936">
        <w:rPr>
          <w:b/>
          <w:bCs/>
        </w:rPr>
        <w:t>… including offline promotions</w:t>
      </w:r>
    </w:p>
    <w:p w14:paraId="6418D23C" w14:textId="77777777" w:rsidR="00514936" w:rsidRPr="00514936" w:rsidRDefault="00514936" w:rsidP="00514936">
      <w:r w:rsidRPr="00514936">
        <w:t>Distribute posters in work locations such as reception areas, social spaces and the back of toilet doors. Include QR codes on posters so colleagues can sign up easily. Ensure all communications are accessible to all colleagues.</w:t>
      </w:r>
    </w:p>
    <w:p w14:paraId="274636C5" w14:textId="77777777" w:rsidR="00514936" w:rsidRPr="00514936" w:rsidRDefault="00514936" w:rsidP="00514936">
      <w:pPr>
        <w:numPr>
          <w:ilvl w:val="0"/>
          <w:numId w:val="9"/>
        </w:numPr>
        <w:rPr>
          <w:b/>
          <w:bCs/>
        </w:rPr>
      </w:pPr>
      <w:r w:rsidRPr="00514936">
        <w:rPr>
          <w:b/>
          <w:bCs/>
        </w:rPr>
        <w:t>Promote early </w:t>
      </w:r>
    </w:p>
    <w:p w14:paraId="4BAFEE6B" w14:textId="77777777" w:rsidR="00514936" w:rsidRPr="00514936" w:rsidRDefault="00514936" w:rsidP="00514936">
      <w:r w:rsidRPr="00514936">
        <w:t>Begin promoting the mentoring network well in advance of its launch, using all-staff briefings and email reminders.</w:t>
      </w:r>
    </w:p>
    <w:p w14:paraId="375A6A52" w14:textId="77777777" w:rsidR="00514936" w:rsidRPr="00514936" w:rsidRDefault="00514936" w:rsidP="00514936">
      <w:pPr>
        <w:numPr>
          <w:ilvl w:val="0"/>
          <w:numId w:val="10"/>
        </w:numPr>
        <w:rPr>
          <w:b/>
          <w:bCs/>
        </w:rPr>
      </w:pPr>
      <w:r w:rsidRPr="00514936">
        <w:rPr>
          <w:b/>
          <w:bCs/>
        </w:rPr>
        <w:t>Target your communications to specific audiences</w:t>
      </w:r>
    </w:p>
    <w:p w14:paraId="22AD9166" w14:textId="77777777" w:rsidR="00514936" w:rsidRPr="00514936" w:rsidRDefault="00514936" w:rsidP="00514936">
      <w:r w:rsidRPr="00514936">
        <w:lastRenderedPageBreak/>
        <w:t>Consider the needs of specific audiences – senior leaders, new starters, managers, apprentices – and craft your messaging to show how mentoring can benefit them and their teams/peers.</w:t>
      </w:r>
    </w:p>
    <w:p w14:paraId="77AFC613" w14:textId="77777777" w:rsidR="00514936" w:rsidRPr="00514936" w:rsidRDefault="00514936" w:rsidP="00514936">
      <w:pPr>
        <w:numPr>
          <w:ilvl w:val="0"/>
          <w:numId w:val="11"/>
        </w:numPr>
        <w:rPr>
          <w:b/>
          <w:bCs/>
        </w:rPr>
      </w:pPr>
      <w:r w:rsidRPr="00514936">
        <w:rPr>
          <w:b/>
          <w:bCs/>
        </w:rPr>
        <w:t>And keep promoting it consistently</w:t>
      </w:r>
    </w:p>
    <w:p w14:paraId="2D4EC6CE" w14:textId="77777777" w:rsidR="00514936" w:rsidRPr="00514936" w:rsidRDefault="00514936" w:rsidP="00514936">
      <w:r w:rsidRPr="00514936">
        <w:t>Did we already mention this?! Seriously, consistent communication matters not only to promote mentoring but to ensure mentors and mentees are active and responsive to mentoring requests.</w:t>
      </w:r>
    </w:p>
    <w:p w14:paraId="422DA913" w14:textId="77777777" w:rsidR="00514936" w:rsidRPr="00514936" w:rsidRDefault="00514936" w:rsidP="00514936">
      <w:pPr>
        <w:numPr>
          <w:ilvl w:val="0"/>
          <w:numId w:val="12"/>
        </w:numPr>
        <w:rPr>
          <w:b/>
          <w:bCs/>
        </w:rPr>
      </w:pPr>
      <w:r w:rsidRPr="00514936">
        <w:rPr>
          <w:b/>
          <w:bCs/>
        </w:rPr>
        <w:t>Remember, there are plenty of resources to help you</w:t>
      </w:r>
    </w:p>
    <w:p w14:paraId="6CBC0861" w14:textId="77777777" w:rsidR="00514936" w:rsidRPr="00514936" w:rsidRDefault="00514936" w:rsidP="00514936">
      <w:r w:rsidRPr="00514936">
        <w:t xml:space="preserve">Mentoring technology platforms provide a range of resources for how to support mentoring, based on insights gleaned from how the platform is used. Our technology partner </w:t>
      </w:r>
      <w:proofErr w:type="spellStart"/>
      <w:r w:rsidRPr="00514936">
        <w:t>PushFar</w:t>
      </w:r>
      <w:proofErr w:type="spellEnd"/>
      <w:r w:rsidRPr="00514936">
        <w:t>, for example, provides guidelines for mentors and mentees and how to promote mentoring in your organisation. </w:t>
      </w:r>
    </w:p>
    <w:p w14:paraId="049A6036" w14:textId="77777777" w:rsidR="00514936" w:rsidRPr="00514936" w:rsidRDefault="00514936" w:rsidP="00514936">
      <w:r w:rsidRPr="00514936">
        <w:t>As we can see from its many benefits, mentoring is more than just a people development tool. And that is what makes it such a powerful approach. Yes, it can help workers upskill, reskill and develop their careers, but it can also drive engagement, support internal mobility and help encourage a more supportive working culture. And in times of significant – and rapid – change, it can help organisations become more responsive and resilient. Most CEOs would have had a mentor at some time in their career so look to engage your most senior stakeholders to get started now – they are likely to be receptive to the idea.</w:t>
      </w:r>
    </w:p>
    <w:p w14:paraId="42BEBE07"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F4D14"/>
    <w:multiLevelType w:val="multilevel"/>
    <w:tmpl w:val="78FCEB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A577CB"/>
    <w:multiLevelType w:val="hybridMultilevel"/>
    <w:tmpl w:val="E238157C"/>
    <w:lvl w:ilvl="0" w:tplc="8CBEDB10">
      <w:start w:val="1"/>
      <w:numFmt w:val="bullet"/>
      <w:lvlText w:val="•"/>
      <w:lvlJc w:val="left"/>
      <w:pPr>
        <w:tabs>
          <w:tab w:val="num" w:pos="720"/>
        </w:tabs>
        <w:ind w:left="720" w:hanging="360"/>
      </w:pPr>
      <w:rPr>
        <w:rFonts w:ascii="Arial" w:hAnsi="Arial" w:hint="default"/>
      </w:rPr>
    </w:lvl>
    <w:lvl w:ilvl="1" w:tplc="87E6064C" w:tentative="1">
      <w:start w:val="1"/>
      <w:numFmt w:val="bullet"/>
      <w:lvlText w:val="•"/>
      <w:lvlJc w:val="left"/>
      <w:pPr>
        <w:tabs>
          <w:tab w:val="num" w:pos="1440"/>
        </w:tabs>
        <w:ind w:left="1440" w:hanging="360"/>
      </w:pPr>
      <w:rPr>
        <w:rFonts w:ascii="Arial" w:hAnsi="Arial" w:hint="default"/>
      </w:rPr>
    </w:lvl>
    <w:lvl w:ilvl="2" w:tplc="CD1AE51A" w:tentative="1">
      <w:start w:val="1"/>
      <w:numFmt w:val="bullet"/>
      <w:lvlText w:val="•"/>
      <w:lvlJc w:val="left"/>
      <w:pPr>
        <w:tabs>
          <w:tab w:val="num" w:pos="2160"/>
        </w:tabs>
        <w:ind w:left="2160" w:hanging="360"/>
      </w:pPr>
      <w:rPr>
        <w:rFonts w:ascii="Arial" w:hAnsi="Arial" w:hint="default"/>
      </w:rPr>
    </w:lvl>
    <w:lvl w:ilvl="3" w:tplc="9868779A" w:tentative="1">
      <w:start w:val="1"/>
      <w:numFmt w:val="bullet"/>
      <w:lvlText w:val="•"/>
      <w:lvlJc w:val="left"/>
      <w:pPr>
        <w:tabs>
          <w:tab w:val="num" w:pos="2880"/>
        </w:tabs>
        <w:ind w:left="2880" w:hanging="360"/>
      </w:pPr>
      <w:rPr>
        <w:rFonts w:ascii="Arial" w:hAnsi="Arial" w:hint="default"/>
      </w:rPr>
    </w:lvl>
    <w:lvl w:ilvl="4" w:tplc="D9146C8C" w:tentative="1">
      <w:start w:val="1"/>
      <w:numFmt w:val="bullet"/>
      <w:lvlText w:val="•"/>
      <w:lvlJc w:val="left"/>
      <w:pPr>
        <w:tabs>
          <w:tab w:val="num" w:pos="3600"/>
        </w:tabs>
        <w:ind w:left="3600" w:hanging="360"/>
      </w:pPr>
      <w:rPr>
        <w:rFonts w:ascii="Arial" w:hAnsi="Arial" w:hint="default"/>
      </w:rPr>
    </w:lvl>
    <w:lvl w:ilvl="5" w:tplc="CAD29064" w:tentative="1">
      <w:start w:val="1"/>
      <w:numFmt w:val="bullet"/>
      <w:lvlText w:val="•"/>
      <w:lvlJc w:val="left"/>
      <w:pPr>
        <w:tabs>
          <w:tab w:val="num" w:pos="4320"/>
        </w:tabs>
        <w:ind w:left="4320" w:hanging="360"/>
      </w:pPr>
      <w:rPr>
        <w:rFonts w:ascii="Arial" w:hAnsi="Arial" w:hint="default"/>
      </w:rPr>
    </w:lvl>
    <w:lvl w:ilvl="6" w:tplc="C59A3C70" w:tentative="1">
      <w:start w:val="1"/>
      <w:numFmt w:val="bullet"/>
      <w:lvlText w:val="•"/>
      <w:lvlJc w:val="left"/>
      <w:pPr>
        <w:tabs>
          <w:tab w:val="num" w:pos="5040"/>
        </w:tabs>
        <w:ind w:left="5040" w:hanging="360"/>
      </w:pPr>
      <w:rPr>
        <w:rFonts w:ascii="Arial" w:hAnsi="Arial" w:hint="default"/>
      </w:rPr>
    </w:lvl>
    <w:lvl w:ilvl="7" w:tplc="E2E4E93E" w:tentative="1">
      <w:start w:val="1"/>
      <w:numFmt w:val="bullet"/>
      <w:lvlText w:val="•"/>
      <w:lvlJc w:val="left"/>
      <w:pPr>
        <w:tabs>
          <w:tab w:val="num" w:pos="5760"/>
        </w:tabs>
        <w:ind w:left="5760" w:hanging="360"/>
      </w:pPr>
      <w:rPr>
        <w:rFonts w:ascii="Arial" w:hAnsi="Arial" w:hint="default"/>
      </w:rPr>
    </w:lvl>
    <w:lvl w:ilvl="8" w:tplc="809674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9328B0"/>
    <w:multiLevelType w:val="multilevel"/>
    <w:tmpl w:val="2342EE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6D259B"/>
    <w:multiLevelType w:val="multilevel"/>
    <w:tmpl w:val="D950594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2D3E4B"/>
    <w:multiLevelType w:val="multilevel"/>
    <w:tmpl w:val="1D243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D0DF4"/>
    <w:multiLevelType w:val="multilevel"/>
    <w:tmpl w:val="0C846C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1B72C2"/>
    <w:multiLevelType w:val="multilevel"/>
    <w:tmpl w:val="8384C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047A09"/>
    <w:multiLevelType w:val="multilevel"/>
    <w:tmpl w:val="D7CC4A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5E3D40"/>
    <w:multiLevelType w:val="multilevel"/>
    <w:tmpl w:val="EA509D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7C7F70"/>
    <w:multiLevelType w:val="multilevel"/>
    <w:tmpl w:val="6F1284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F11867"/>
    <w:multiLevelType w:val="multilevel"/>
    <w:tmpl w:val="A888ECF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22250A"/>
    <w:multiLevelType w:val="multilevel"/>
    <w:tmpl w:val="5CD499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4512EF"/>
    <w:multiLevelType w:val="multilevel"/>
    <w:tmpl w:val="3768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7410486">
    <w:abstractNumId w:val="4"/>
  </w:num>
  <w:num w:numId="2" w16cid:durableId="587269027">
    <w:abstractNumId w:val="12"/>
  </w:num>
  <w:num w:numId="3" w16cid:durableId="71247661">
    <w:abstractNumId w:val="6"/>
  </w:num>
  <w:num w:numId="4" w16cid:durableId="273903928">
    <w:abstractNumId w:val="2"/>
  </w:num>
  <w:num w:numId="5" w16cid:durableId="1432626262">
    <w:abstractNumId w:val="7"/>
  </w:num>
  <w:num w:numId="6" w16cid:durableId="1536772457">
    <w:abstractNumId w:val="8"/>
  </w:num>
  <w:num w:numId="7" w16cid:durableId="1523862396">
    <w:abstractNumId w:val="0"/>
  </w:num>
  <w:num w:numId="8" w16cid:durableId="1532841941">
    <w:abstractNumId w:val="5"/>
  </w:num>
  <w:num w:numId="9" w16cid:durableId="835924251">
    <w:abstractNumId w:val="11"/>
  </w:num>
  <w:num w:numId="10" w16cid:durableId="2085835466">
    <w:abstractNumId w:val="3"/>
  </w:num>
  <w:num w:numId="11" w16cid:durableId="1362126323">
    <w:abstractNumId w:val="9"/>
  </w:num>
  <w:num w:numId="12" w16cid:durableId="846407399">
    <w:abstractNumId w:val="10"/>
  </w:num>
  <w:num w:numId="13" w16cid:durableId="582954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936"/>
    <w:rsid w:val="0011132A"/>
    <w:rsid w:val="003E1F24"/>
    <w:rsid w:val="003E28CC"/>
    <w:rsid w:val="00514936"/>
    <w:rsid w:val="00976E03"/>
    <w:rsid w:val="00E819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8056E2"/>
  <w15:chartTrackingRefBased/>
  <w15:docId w15:val="{AC04F7C0-E8C8-4A9C-8EDB-8684B850B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9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9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9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9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9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9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9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9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9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9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9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9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9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9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936"/>
    <w:rPr>
      <w:rFonts w:eastAsiaTheme="majorEastAsia" w:cstheme="majorBidi"/>
      <w:color w:val="272727" w:themeColor="text1" w:themeTint="D8"/>
    </w:rPr>
  </w:style>
  <w:style w:type="paragraph" w:styleId="Title">
    <w:name w:val="Title"/>
    <w:basedOn w:val="Normal"/>
    <w:next w:val="Normal"/>
    <w:link w:val="TitleChar"/>
    <w:uiPriority w:val="10"/>
    <w:qFormat/>
    <w:rsid w:val="005149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936"/>
    <w:pPr>
      <w:spacing w:before="160"/>
      <w:jc w:val="center"/>
    </w:pPr>
    <w:rPr>
      <w:i/>
      <w:iCs/>
      <w:color w:val="404040" w:themeColor="text1" w:themeTint="BF"/>
    </w:rPr>
  </w:style>
  <w:style w:type="character" w:customStyle="1" w:styleId="QuoteChar">
    <w:name w:val="Quote Char"/>
    <w:basedOn w:val="DefaultParagraphFont"/>
    <w:link w:val="Quote"/>
    <w:uiPriority w:val="29"/>
    <w:rsid w:val="00514936"/>
    <w:rPr>
      <w:i/>
      <w:iCs/>
      <w:color w:val="404040" w:themeColor="text1" w:themeTint="BF"/>
    </w:rPr>
  </w:style>
  <w:style w:type="paragraph" w:styleId="ListParagraph">
    <w:name w:val="List Paragraph"/>
    <w:basedOn w:val="Normal"/>
    <w:uiPriority w:val="34"/>
    <w:qFormat/>
    <w:rsid w:val="00514936"/>
    <w:pPr>
      <w:ind w:left="720"/>
      <w:contextualSpacing/>
    </w:pPr>
  </w:style>
  <w:style w:type="character" w:styleId="IntenseEmphasis">
    <w:name w:val="Intense Emphasis"/>
    <w:basedOn w:val="DefaultParagraphFont"/>
    <w:uiPriority w:val="21"/>
    <w:qFormat/>
    <w:rsid w:val="00514936"/>
    <w:rPr>
      <w:i/>
      <w:iCs/>
      <w:color w:val="0F4761" w:themeColor="accent1" w:themeShade="BF"/>
    </w:rPr>
  </w:style>
  <w:style w:type="paragraph" w:styleId="IntenseQuote">
    <w:name w:val="Intense Quote"/>
    <w:basedOn w:val="Normal"/>
    <w:next w:val="Normal"/>
    <w:link w:val="IntenseQuoteChar"/>
    <w:uiPriority w:val="30"/>
    <w:qFormat/>
    <w:rsid w:val="005149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936"/>
    <w:rPr>
      <w:i/>
      <w:iCs/>
      <w:color w:val="0F4761" w:themeColor="accent1" w:themeShade="BF"/>
    </w:rPr>
  </w:style>
  <w:style w:type="character" w:styleId="IntenseReference">
    <w:name w:val="Intense Reference"/>
    <w:basedOn w:val="DefaultParagraphFont"/>
    <w:uiPriority w:val="32"/>
    <w:qFormat/>
    <w:rsid w:val="00514936"/>
    <w:rPr>
      <w:b/>
      <w:bCs/>
      <w:smallCaps/>
      <w:color w:val="0F4761" w:themeColor="accent1" w:themeShade="BF"/>
      <w:spacing w:val="5"/>
    </w:rPr>
  </w:style>
  <w:style w:type="character" w:styleId="Hyperlink">
    <w:name w:val="Hyperlink"/>
    <w:basedOn w:val="DefaultParagraphFont"/>
    <w:uiPriority w:val="99"/>
    <w:unhideWhenUsed/>
    <w:rsid w:val="00514936"/>
    <w:rPr>
      <w:color w:val="467886" w:themeColor="hyperlink"/>
      <w:u w:val="single"/>
    </w:rPr>
  </w:style>
  <w:style w:type="character" w:styleId="UnresolvedMention">
    <w:name w:val="Unresolved Mention"/>
    <w:basedOn w:val="DefaultParagraphFont"/>
    <w:uiPriority w:val="99"/>
    <w:semiHidden/>
    <w:unhideWhenUsed/>
    <w:rsid w:val="005149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199865">
      <w:bodyDiv w:val="1"/>
      <w:marLeft w:val="0"/>
      <w:marRight w:val="0"/>
      <w:marTop w:val="0"/>
      <w:marBottom w:val="0"/>
      <w:divBdr>
        <w:top w:val="none" w:sz="0" w:space="0" w:color="auto"/>
        <w:left w:val="none" w:sz="0" w:space="0" w:color="auto"/>
        <w:bottom w:val="none" w:sz="0" w:space="0" w:color="auto"/>
        <w:right w:val="none" w:sz="0" w:space="0" w:color="auto"/>
      </w:divBdr>
      <w:divsChild>
        <w:div w:id="1026908563">
          <w:marLeft w:val="0"/>
          <w:marRight w:val="0"/>
          <w:marTop w:val="0"/>
          <w:marBottom w:val="0"/>
          <w:divBdr>
            <w:top w:val="none" w:sz="0" w:space="0" w:color="auto"/>
            <w:left w:val="none" w:sz="0" w:space="0" w:color="auto"/>
            <w:bottom w:val="none" w:sz="0" w:space="0" w:color="auto"/>
            <w:right w:val="none" w:sz="0" w:space="0" w:color="auto"/>
          </w:divBdr>
        </w:div>
        <w:div w:id="327680268">
          <w:marLeft w:val="0"/>
          <w:marRight w:val="0"/>
          <w:marTop w:val="0"/>
          <w:marBottom w:val="594"/>
          <w:divBdr>
            <w:top w:val="none" w:sz="0" w:space="0" w:color="auto"/>
            <w:left w:val="none" w:sz="0" w:space="0" w:color="auto"/>
            <w:bottom w:val="none" w:sz="0" w:space="0" w:color="auto"/>
            <w:right w:val="none" w:sz="0" w:space="0" w:color="auto"/>
          </w:divBdr>
        </w:div>
      </w:divsChild>
    </w:div>
    <w:div w:id="1273126766">
      <w:bodyDiv w:val="1"/>
      <w:marLeft w:val="0"/>
      <w:marRight w:val="0"/>
      <w:marTop w:val="0"/>
      <w:marBottom w:val="0"/>
      <w:divBdr>
        <w:top w:val="none" w:sz="0" w:space="0" w:color="auto"/>
        <w:left w:val="none" w:sz="0" w:space="0" w:color="auto"/>
        <w:bottom w:val="none" w:sz="0" w:space="0" w:color="auto"/>
        <w:right w:val="none" w:sz="0" w:space="0" w:color="auto"/>
      </w:divBdr>
      <w:divsChild>
        <w:div w:id="667248832">
          <w:marLeft w:val="0"/>
          <w:marRight w:val="0"/>
          <w:marTop w:val="0"/>
          <w:marBottom w:val="0"/>
          <w:divBdr>
            <w:top w:val="none" w:sz="0" w:space="0" w:color="auto"/>
            <w:left w:val="none" w:sz="0" w:space="0" w:color="auto"/>
            <w:bottom w:val="none" w:sz="0" w:space="0" w:color="auto"/>
            <w:right w:val="none" w:sz="0" w:space="0" w:color="auto"/>
          </w:divBdr>
        </w:div>
        <w:div w:id="988705018">
          <w:marLeft w:val="0"/>
          <w:marRight w:val="0"/>
          <w:marTop w:val="0"/>
          <w:marBottom w:val="594"/>
          <w:divBdr>
            <w:top w:val="none" w:sz="0" w:space="0" w:color="auto"/>
            <w:left w:val="none" w:sz="0" w:space="0" w:color="auto"/>
            <w:bottom w:val="none" w:sz="0" w:space="0" w:color="auto"/>
            <w:right w:val="none" w:sz="0" w:space="0" w:color="auto"/>
          </w:divBdr>
        </w:div>
      </w:divsChild>
    </w:div>
    <w:div w:id="1562407241">
      <w:bodyDiv w:val="1"/>
      <w:marLeft w:val="0"/>
      <w:marRight w:val="0"/>
      <w:marTop w:val="0"/>
      <w:marBottom w:val="0"/>
      <w:divBdr>
        <w:top w:val="none" w:sz="0" w:space="0" w:color="auto"/>
        <w:left w:val="none" w:sz="0" w:space="0" w:color="auto"/>
        <w:bottom w:val="none" w:sz="0" w:space="0" w:color="auto"/>
        <w:right w:val="none" w:sz="0" w:space="0" w:color="auto"/>
      </w:divBdr>
      <w:divsChild>
        <w:div w:id="141775189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earning.linkedin.com/content/dam/me/business/en-us/amp/learning-solutions/images/wlr-2024/LinkedIn-Workplace-Learning-Report-202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article/1883035/making-case-mentoring-development-tool" TargetMode="External"/><Relationship Id="rId5" Type="http://schemas.openxmlformats.org/officeDocument/2006/relationships/hyperlink" Target="https://www.peoplemanagement.co.uk/article/1883035/making-case-mentoring-development-too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1359</Words>
  <Characters>7516</Characters>
  <Application>Microsoft Office Word</Application>
  <DocSecurity>0</DocSecurity>
  <Lines>127</Lines>
  <Paragraphs>58</Paragraphs>
  <ScaleCrop>false</ScaleCrop>
  <Company>University of Wales Trinity Saint David</Company>
  <LinksUpToDate>false</LinksUpToDate>
  <CharactersWithSpaces>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2025-10-01T09:27:00Z</dcterms:created>
  <dcterms:modified xsi:type="dcterms:W3CDTF">2025-10-01T09:28:00Z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fa6f12cd-8b61-4764-9b6a-9579d8f9c9fd</vt:lpwstr>
  </property>
</Properties>
</file>