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942A30" w14:textId="77777777" w:rsidR="00B67DA1" w:rsidRPr="003831CD" w:rsidRDefault="00B67DA1" w:rsidP="00B67DA1">
      <w:pPr>
        <w:ind w:left="709" w:hanging="709"/>
        <w:rPr>
          <w:rFonts w:ascii="Cambria" w:hAnsi="Cambria"/>
          <w:b/>
        </w:rPr>
      </w:pPr>
      <w:r w:rsidRPr="003831CD">
        <w:rPr>
          <w:rFonts w:ascii="Cambria" w:hAnsi="Cambria"/>
          <w:b/>
        </w:rPr>
        <w:t>Articles for Assignment 1</w:t>
      </w:r>
    </w:p>
    <w:p w14:paraId="58232B68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>Please choose an article, which you will present in class, from the following list:</w:t>
      </w:r>
    </w:p>
    <w:p w14:paraId="584528EB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</w:p>
    <w:p w14:paraId="703FAE0A" w14:textId="77777777" w:rsidR="00B67DA1" w:rsidRPr="003831CD" w:rsidRDefault="00B67DA1" w:rsidP="00B67DA1">
      <w:pPr>
        <w:ind w:left="709" w:hanging="709"/>
        <w:rPr>
          <w:rFonts w:ascii="Cambria" w:hAnsi="Cambria"/>
          <w:b/>
        </w:rPr>
      </w:pPr>
      <w:r w:rsidRPr="003831CD">
        <w:rPr>
          <w:rFonts w:ascii="Cambria" w:hAnsi="Cambria"/>
          <w:b/>
        </w:rPr>
        <w:t>Near East</w:t>
      </w:r>
    </w:p>
    <w:p w14:paraId="56049A56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 xml:space="preserve">Natufian </w:t>
      </w:r>
    </w:p>
    <w:p w14:paraId="09A1B3E1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proofErr w:type="spellStart"/>
      <w:r w:rsidRPr="003831CD">
        <w:rPr>
          <w:rFonts w:ascii="Cambria" w:hAnsi="Cambria"/>
        </w:rPr>
        <w:t>Bocquetin</w:t>
      </w:r>
      <w:proofErr w:type="spellEnd"/>
      <w:r w:rsidRPr="003831CD">
        <w:rPr>
          <w:rFonts w:ascii="Cambria" w:hAnsi="Cambria"/>
        </w:rPr>
        <w:t xml:space="preserve">, F and </w:t>
      </w:r>
      <w:proofErr w:type="spellStart"/>
      <w:r w:rsidRPr="003831CD">
        <w:rPr>
          <w:rFonts w:ascii="Cambria" w:hAnsi="Cambria"/>
        </w:rPr>
        <w:t>Garrard</w:t>
      </w:r>
      <w:proofErr w:type="spellEnd"/>
      <w:r w:rsidRPr="003831CD">
        <w:rPr>
          <w:rFonts w:ascii="Cambria" w:hAnsi="Cambria"/>
        </w:rPr>
        <w:t xml:space="preserve">, A. 2016. Natufian collective burial practice and cranial pigmentation: A reconstruction from </w:t>
      </w:r>
      <w:proofErr w:type="spellStart"/>
      <w:r w:rsidRPr="003831CD">
        <w:rPr>
          <w:rFonts w:ascii="Cambria" w:hAnsi="Cambria"/>
        </w:rPr>
        <w:t>Azraq</w:t>
      </w:r>
      <w:proofErr w:type="spellEnd"/>
      <w:r w:rsidRPr="003831CD">
        <w:rPr>
          <w:rFonts w:ascii="Cambria" w:hAnsi="Cambria"/>
        </w:rPr>
        <w:t xml:space="preserve"> 18 (Jordan). </w:t>
      </w:r>
      <w:r w:rsidRPr="003831CD">
        <w:rPr>
          <w:rFonts w:ascii="Cambria" w:hAnsi="Cambria"/>
          <w:i/>
        </w:rPr>
        <w:t>Journal of Archaeological Science: Reports</w:t>
      </w:r>
      <w:r w:rsidRPr="003831CD">
        <w:rPr>
          <w:rFonts w:ascii="Cambria" w:hAnsi="Cambria"/>
        </w:rPr>
        <w:t xml:space="preserve"> 10: 693-702.</w:t>
      </w:r>
    </w:p>
    <w:p w14:paraId="1B7E8207" w14:textId="77777777" w:rsidR="00B67DA1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Maher, L.A., Stock, J.T., Finney, S., Heywood, J.J.N., Miracle, P.T. and Banning, E.B. 2011. A unique human-fox burial from a Pre-Natufian cemetery in the Levant (Jordan). </w:t>
      </w:r>
      <w:proofErr w:type="spellStart"/>
      <w:r w:rsidRPr="003831CD">
        <w:rPr>
          <w:rFonts w:ascii="Cambria" w:hAnsi="Cambria"/>
          <w:i/>
        </w:rPr>
        <w:t>PLoS</w:t>
      </w:r>
      <w:proofErr w:type="spellEnd"/>
      <w:r w:rsidRPr="003831CD">
        <w:rPr>
          <w:rFonts w:ascii="Cambria" w:hAnsi="Cambria"/>
          <w:i/>
        </w:rPr>
        <w:t xml:space="preserve"> One</w:t>
      </w:r>
      <w:r w:rsidRPr="003831CD">
        <w:rPr>
          <w:rFonts w:ascii="Cambria" w:hAnsi="Cambria"/>
        </w:rPr>
        <w:t xml:space="preserve"> 6(1): 1-10.</w:t>
      </w:r>
    </w:p>
    <w:p w14:paraId="5F4EFE5D" w14:textId="77777777" w:rsidR="00B67DA1" w:rsidRPr="00D37CE0" w:rsidRDefault="00B67DA1" w:rsidP="00B67DA1">
      <w:pPr>
        <w:ind w:left="709" w:hanging="709"/>
        <w:rPr>
          <w:rFonts w:ascii="Cambria" w:hAnsi="Cambria"/>
        </w:rPr>
      </w:pPr>
      <w:r w:rsidRPr="00D37CE0">
        <w:rPr>
          <w:rFonts w:ascii="Cambria" w:hAnsi="Cambria"/>
        </w:rPr>
        <w:t xml:space="preserve">Rosenberg, D. and Nadel, D. 2014. The sounds of pounding: boulder mortars and their significance to Natufian burial customs. </w:t>
      </w:r>
      <w:r w:rsidRPr="00D37CE0">
        <w:rPr>
          <w:rFonts w:ascii="Cambria" w:hAnsi="Cambria"/>
          <w:i/>
        </w:rPr>
        <w:t>Current Anthropology</w:t>
      </w:r>
      <w:r w:rsidRPr="00D37CE0">
        <w:rPr>
          <w:rFonts w:ascii="Cambria" w:hAnsi="Cambria"/>
        </w:rPr>
        <w:t xml:space="preserve"> 55</w:t>
      </w:r>
      <w:r>
        <w:rPr>
          <w:rFonts w:ascii="Cambria" w:hAnsi="Cambria"/>
        </w:rPr>
        <w:t xml:space="preserve">(6): </w:t>
      </w:r>
      <w:r w:rsidRPr="00D37CE0">
        <w:rPr>
          <w:rFonts w:ascii="Cambria" w:hAnsi="Cambria"/>
        </w:rPr>
        <w:t>784-812</w:t>
      </w:r>
      <w:r>
        <w:rPr>
          <w:rFonts w:ascii="Cambria" w:hAnsi="Cambria"/>
        </w:rPr>
        <w:t>.</w:t>
      </w:r>
    </w:p>
    <w:p w14:paraId="74811BFC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Neolithic</w:t>
      </w:r>
    </w:p>
    <w:p w14:paraId="181B8976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Croucher, K. 2017. Keeping the dead close: grief and bereavement in the treatment of skulls from the Neolithic Middle East. </w:t>
      </w:r>
      <w:r w:rsidRPr="003831CD">
        <w:rPr>
          <w:rFonts w:ascii="Cambria" w:hAnsi="Cambria"/>
          <w:i/>
        </w:rPr>
        <w:t>Mortality: Promoting the Interdisciplinary Study of Death and Dying</w:t>
      </w:r>
      <w:r w:rsidRPr="003831CD">
        <w:rPr>
          <w:rFonts w:ascii="Cambria" w:hAnsi="Cambria"/>
        </w:rPr>
        <w:t>. DOI: 10.1080/13576275.2017.1319347</w:t>
      </w:r>
    </w:p>
    <w:p w14:paraId="73753188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proofErr w:type="spellStart"/>
      <w:r w:rsidRPr="003831CD">
        <w:rPr>
          <w:rFonts w:ascii="Cambria" w:hAnsi="Cambria"/>
        </w:rPr>
        <w:t>Kuijt</w:t>
      </w:r>
      <w:proofErr w:type="spellEnd"/>
      <w:r w:rsidRPr="003831CD">
        <w:rPr>
          <w:rFonts w:ascii="Cambria" w:hAnsi="Cambria"/>
        </w:rPr>
        <w:t xml:space="preserve">, I. 1996. Negotiating equality through ritual: a consideration of Late Natufian and </w:t>
      </w:r>
      <w:proofErr w:type="spellStart"/>
      <w:r w:rsidRPr="003831CD">
        <w:rPr>
          <w:rFonts w:ascii="Cambria" w:hAnsi="Cambria"/>
        </w:rPr>
        <w:t>Prepottery</w:t>
      </w:r>
      <w:proofErr w:type="spellEnd"/>
      <w:r w:rsidRPr="003831CD">
        <w:rPr>
          <w:rFonts w:ascii="Cambria" w:hAnsi="Cambria"/>
        </w:rPr>
        <w:t xml:space="preserve"> Neolithic A period mortuary practices. </w:t>
      </w:r>
      <w:r w:rsidRPr="003831CD">
        <w:rPr>
          <w:rFonts w:ascii="Cambria" w:hAnsi="Cambria"/>
          <w:i/>
        </w:rPr>
        <w:t>Journal of Anthropological Archaeology</w:t>
      </w:r>
      <w:r w:rsidRPr="003831CD">
        <w:rPr>
          <w:rFonts w:ascii="Cambria" w:hAnsi="Cambria"/>
        </w:rPr>
        <w:t xml:space="preserve"> 15: 313-36.</w:t>
      </w:r>
    </w:p>
    <w:p w14:paraId="71FA1B0D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EBA</w:t>
      </w:r>
    </w:p>
    <w:p w14:paraId="0768154D" w14:textId="77777777" w:rsidR="004E16E4" w:rsidRPr="00312774" w:rsidRDefault="004E16E4" w:rsidP="004E16E4">
      <w:pPr>
        <w:ind w:left="709" w:hanging="709"/>
        <w:rPr>
          <w:rFonts w:ascii="Cambria" w:hAnsi="Cambria"/>
        </w:rPr>
      </w:pPr>
      <w:r>
        <w:rPr>
          <w:rFonts w:ascii="Cambria" w:hAnsi="Cambria"/>
        </w:rPr>
        <w:t xml:space="preserve">Chesson, M. 2001. </w:t>
      </w:r>
      <w:r w:rsidRPr="00312774">
        <w:rPr>
          <w:rFonts w:ascii="Cambria" w:hAnsi="Cambria"/>
        </w:rPr>
        <w:t>Embodied memories of place and people: death and society in an early urban community</w:t>
      </w:r>
      <w:r>
        <w:rPr>
          <w:rFonts w:ascii="Cambria" w:hAnsi="Cambria"/>
        </w:rPr>
        <w:t xml:space="preserve">. In M. Chesson (ed.) </w:t>
      </w:r>
      <w:r>
        <w:rPr>
          <w:rFonts w:ascii="Cambria" w:hAnsi="Cambria"/>
          <w:i/>
        </w:rPr>
        <w:t>Social Memory, Identity and Death: Anthropological Perspectives on Mortuary Rituals</w:t>
      </w:r>
      <w:r>
        <w:rPr>
          <w:rFonts w:ascii="Cambria" w:hAnsi="Cambria"/>
        </w:rPr>
        <w:t xml:space="preserve">, 100-13. </w:t>
      </w:r>
      <w:proofErr w:type="spellStart"/>
      <w:r w:rsidRPr="00312774">
        <w:rPr>
          <w:rFonts w:ascii="Cambria" w:hAnsi="Cambria"/>
        </w:rPr>
        <w:t>Archeological</w:t>
      </w:r>
      <w:proofErr w:type="spellEnd"/>
      <w:r w:rsidRPr="00312774">
        <w:rPr>
          <w:rFonts w:ascii="Cambria" w:hAnsi="Cambria"/>
        </w:rPr>
        <w:t xml:space="preserve"> Papers of The American Anthropological Association</w:t>
      </w:r>
      <w:r>
        <w:rPr>
          <w:rFonts w:ascii="Cambria" w:hAnsi="Cambria"/>
        </w:rPr>
        <w:t xml:space="preserve"> 10.</w:t>
      </w:r>
      <w:r w:rsidRPr="00312774">
        <w:rPr>
          <w:rFonts w:ascii="Cambria" w:hAnsi="Cambria"/>
        </w:rPr>
        <w:t xml:space="preserve"> </w:t>
      </w:r>
      <w:r>
        <w:rPr>
          <w:rFonts w:ascii="Cambria" w:hAnsi="Cambria"/>
        </w:rPr>
        <w:t xml:space="preserve">Arlington: </w:t>
      </w:r>
      <w:r w:rsidRPr="00312774">
        <w:rPr>
          <w:rFonts w:ascii="Cambria" w:hAnsi="Cambria"/>
        </w:rPr>
        <w:t>American Anthropological Association</w:t>
      </w:r>
      <w:r>
        <w:rPr>
          <w:rFonts w:ascii="Cambria" w:hAnsi="Cambria"/>
        </w:rPr>
        <w:t>.</w:t>
      </w:r>
    </w:p>
    <w:p w14:paraId="22ECAA40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Porter, A. 2002. The dynamics of death: ancestors, pastoralism, and the origins of a third-millennium city in Syria. </w:t>
      </w:r>
      <w:r w:rsidRPr="003831CD">
        <w:rPr>
          <w:rFonts w:ascii="Cambria" w:hAnsi="Cambria"/>
          <w:i/>
        </w:rPr>
        <w:t>Bulletin of the American Schools of Oriental Research</w:t>
      </w:r>
      <w:r w:rsidRPr="003831CD">
        <w:rPr>
          <w:rFonts w:ascii="Cambria" w:hAnsi="Cambria"/>
        </w:rPr>
        <w:t xml:space="preserve"> 325: 1-36.</w:t>
      </w:r>
    </w:p>
    <w:p w14:paraId="6C4C1BB6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>Schwartz, G.M. 2013. Memory and its demolition: ancestors, animals and sacrifice at Umm el-</w:t>
      </w:r>
      <w:proofErr w:type="spellStart"/>
      <w:r w:rsidRPr="003831CD">
        <w:rPr>
          <w:rFonts w:ascii="Cambria" w:hAnsi="Cambria"/>
        </w:rPr>
        <w:t>Marra</w:t>
      </w:r>
      <w:proofErr w:type="spellEnd"/>
      <w:r w:rsidRPr="003831CD">
        <w:rPr>
          <w:rFonts w:ascii="Cambria" w:hAnsi="Cambria"/>
        </w:rPr>
        <w:t xml:space="preserve">, Syria. </w:t>
      </w:r>
      <w:r w:rsidRPr="003831CD">
        <w:rPr>
          <w:rFonts w:ascii="Cambria" w:hAnsi="Cambria"/>
          <w:i/>
        </w:rPr>
        <w:t>Cambridge Archaeological Journal</w:t>
      </w:r>
      <w:r w:rsidRPr="003831CD">
        <w:rPr>
          <w:rFonts w:ascii="Cambria" w:hAnsi="Cambria"/>
        </w:rPr>
        <w:t xml:space="preserve"> 23(3): 495-522.</w:t>
      </w:r>
    </w:p>
    <w:p w14:paraId="3ECFF361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MBA-LBA</w:t>
      </w:r>
    </w:p>
    <w:p w14:paraId="4AB89732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proofErr w:type="spellStart"/>
      <w:r w:rsidRPr="003831CD">
        <w:rPr>
          <w:rFonts w:ascii="Cambria" w:hAnsi="Cambria"/>
        </w:rPr>
        <w:t>Kletter</w:t>
      </w:r>
      <w:proofErr w:type="spellEnd"/>
      <w:r w:rsidRPr="003831CD">
        <w:rPr>
          <w:rFonts w:ascii="Cambria" w:hAnsi="Cambria"/>
        </w:rPr>
        <w:t xml:space="preserve">, R. and Levi, Y. 2016. Middle Bronze Age burials in the southern Levant: Spartan warriors or ordinary people? </w:t>
      </w:r>
      <w:r w:rsidRPr="003831CD">
        <w:rPr>
          <w:rFonts w:ascii="Cambria" w:hAnsi="Cambria"/>
          <w:i/>
        </w:rPr>
        <w:t>Oxford Journal of Archaeology</w:t>
      </w:r>
      <w:r w:rsidRPr="003831CD">
        <w:rPr>
          <w:rFonts w:ascii="Cambria" w:hAnsi="Cambria"/>
        </w:rPr>
        <w:t xml:space="preserve"> 35(1): 5-27</w:t>
      </w:r>
    </w:p>
    <w:p w14:paraId="268D3388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proofErr w:type="spellStart"/>
      <w:r w:rsidRPr="003831CD">
        <w:rPr>
          <w:rFonts w:ascii="Cambria" w:hAnsi="Cambria"/>
        </w:rPr>
        <w:t>Pfälzner</w:t>
      </w:r>
      <w:proofErr w:type="spellEnd"/>
      <w:r w:rsidRPr="003831CD">
        <w:rPr>
          <w:rFonts w:ascii="Cambria" w:hAnsi="Cambria"/>
        </w:rPr>
        <w:t xml:space="preserve">, P. 2012. How did they bury the kings of </w:t>
      </w:r>
      <w:proofErr w:type="spellStart"/>
      <w:r w:rsidRPr="003831CD">
        <w:rPr>
          <w:rFonts w:ascii="Cambria" w:hAnsi="Cambria"/>
        </w:rPr>
        <w:t>Qatna</w:t>
      </w:r>
      <w:proofErr w:type="spellEnd"/>
      <w:r w:rsidRPr="003831CD">
        <w:rPr>
          <w:rFonts w:ascii="Cambria" w:hAnsi="Cambria"/>
        </w:rPr>
        <w:t xml:space="preserve">? In P. </w:t>
      </w:r>
      <w:proofErr w:type="spellStart"/>
      <w:r w:rsidRPr="003831CD">
        <w:rPr>
          <w:rFonts w:ascii="Cambria" w:hAnsi="Cambria"/>
        </w:rPr>
        <w:t>Pfälzner</w:t>
      </w:r>
      <w:proofErr w:type="spellEnd"/>
      <w:r w:rsidRPr="003831CD">
        <w:rPr>
          <w:rFonts w:ascii="Cambria" w:hAnsi="Cambria"/>
        </w:rPr>
        <w:t xml:space="preserve"> (ed.) </w:t>
      </w:r>
      <w:proofErr w:type="spellStart"/>
      <w:r w:rsidRPr="003831CD">
        <w:rPr>
          <w:rFonts w:ascii="Cambria" w:hAnsi="Cambria"/>
          <w:i/>
        </w:rPr>
        <w:t>Qatna</w:t>
      </w:r>
      <w:proofErr w:type="spellEnd"/>
      <w:r w:rsidRPr="003831CD">
        <w:rPr>
          <w:rFonts w:ascii="Cambria" w:hAnsi="Cambria"/>
          <w:i/>
        </w:rPr>
        <w:t xml:space="preserve"> </w:t>
      </w:r>
      <w:proofErr w:type="spellStart"/>
      <w:r w:rsidRPr="003831CD">
        <w:rPr>
          <w:rFonts w:ascii="Cambria" w:hAnsi="Cambria"/>
          <w:i/>
        </w:rPr>
        <w:t>Studien</w:t>
      </w:r>
      <w:proofErr w:type="spellEnd"/>
      <w:r w:rsidRPr="003831CD">
        <w:rPr>
          <w:rFonts w:ascii="Cambria" w:hAnsi="Cambria"/>
          <w:i/>
        </w:rPr>
        <w:t xml:space="preserve"> </w:t>
      </w:r>
      <w:proofErr w:type="spellStart"/>
      <w:r w:rsidRPr="003831CD">
        <w:rPr>
          <w:rFonts w:ascii="Cambria" w:hAnsi="Cambria"/>
          <w:i/>
        </w:rPr>
        <w:t>Supplementa</w:t>
      </w:r>
      <w:proofErr w:type="spellEnd"/>
      <w:r w:rsidRPr="003831CD">
        <w:rPr>
          <w:rFonts w:ascii="Cambria" w:hAnsi="Cambria"/>
        </w:rPr>
        <w:t xml:space="preserve"> 1: </w:t>
      </w:r>
      <w:r w:rsidRPr="003831CD">
        <w:rPr>
          <w:rFonts w:ascii="Cambria" w:hAnsi="Cambria"/>
          <w:i/>
        </w:rPr>
        <w:t>(Re-)Constructing Funerary Rituals in the Ancient Near East</w:t>
      </w:r>
      <w:r w:rsidRPr="003831CD">
        <w:rPr>
          <w:rFonts w:ascii="Cambria" w:hAnsi="Cambria"/>
        </w:rPr>
        <w:t xml:space="preserve">, 205-20. Wiesbaden: </w:t>
      </w:r>
      <w:proofErr w:type="spellStart"/>
      <w:r w:rsidRPr="003831CD">
        <w:rPr>
          <w:rFonts w:ascii="Cambria" w:hAnsi="Cambria"/>
        </w:rPr>
        <w:t>Harrassowitz</w:t>
      </w:r>
      <w:proofErr w:type="spellEnd"/>
      <w:r w:rsidRPr="003831CD">
        <w:rPr>
          <w:rFonts w:ascii="Cambria" w:hAnsi="Cambria"/>
        </w:rPr>
        <w:t xml:space="preserve"> Verlag.</w:t>
      </w:r>
    </w:p>
    <w:p w14:paraId="70053AE4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</w:p>
    <w:p w14:paraId="13B1340B" w14:textId="77777777" w:rsidR="00B67DA1" w:rsidRPr="003831CD" w:rsidRDefault="00B67DA1" w:rsidP="00B67DA1">
      <w:pPr>
        <w:ind w:left="709" w:hanging="709"/>
        <w:rPr>
          <w:rFonts w:ascii="Cambria" w:hAnsi="Cambria"/>
          <w:b/>
        </w:rPr>
      </w:pPr>
      <w:r w:rsidRPr="003831CD">
        <w:rPr>
          <w:rFonts w:ascii="Cambria" w:hAnsi="Cambria"/>
          <w:b/>
        </w:rPr>
        <w:lastRenderedPageBreak/>
        <w:t>Cyprus</w:t>
      </w:r>
    </w:p>
    <w:p w14:paraId="241D40D9" w14:textId="633E441C" w:rsidR="00476981" w:rsidRDefault="00476981" w:rsidP="00B67DA1">
      <w:pPr>
        <w:ind w:left="709" w:hanging="709"/>
        <w:rPr>
          <w:rFonts w:ascii="Cambria" w:hAnsi="Cambria"/>
          <w:iCs/>
        </w:rPr>
      </w:pPr>
      <w:r>
        <w:rPr>
          <w:rFonts w:ascii="Cambria" w:hAnsi="Cambria"/>
          <w:i/>
        </w:rPr>
        <w:t>Chalcolithic</w:t>
      </w:r>
    </w:p>
    <w:p w14:paraId="5AA80267" w14:textId="77777777" w:rsidR="0009672E" w:rsidRPr="0009672E" w:rsidRDefault="0009672E" w:rsidP="0009672E">
      <w:pPr>
        <w:spacing w:before="120"/>
        <w:ind w:left="735" w:hanging="735"/>
        <w:rPr>
          <w:rFonts w:ascii="Cambria" w:hAnsi="Cambria" w:cs="Arial"/>
          <w:szCs w:val="24"/>
        </w:rPr>
      </w:pPr>
      <w:r w:rsidRPr="0009672E">
        <w:rPr>
          <w:rFonts w:ascii="Cambria" w:hAnsi="Cambria" w:cs="Arial"/>
          <w:szCs w:val="24"/>
        </w:rPr>
        <w:t xml:space="preserve">Bolger, D. 2002. Gender and mortuary ritual in Chalcolithic Cyprus. In: D. Bolger and N. </w:t>
      </w:r>
      <w:proofErr w:type="spellStart"/>
      <w:r w:rsidRPr="0009672E">
        <w:rPr>
          <w:rFonts w:ascii="Cambria" w:hAnsi="Cambria" w:cs="Arial"/>
          <w:szCs w:val="24"/>
        </w:rPr>
        <w:t>Serwint</w:t>
      </w:r>
      <w:proofErr w:type="spellEnd"/>
      <w:r w:rsidRPr="0009672E">
        <w:rPr>
          <w:rFonts w:ascii="Cambria" w:hAnsi="Cambria" w:cs="Arial"/>
          <w:szCs w:val="24"/>
        </w:rPr>
        <w:t xml:space="preserve">, (eds) </w:t>
      </w:r>
      <w:r w:rsidRPr="0009672E">
        <w:rPr>
          <w:rFonts w:ascii="Cambria" w:hAnsi="Cambria" w:cs="Arial"/>
          <w:i/>
          <w:iCs/>
          <w:szCs w:val="24"/>
        </w:rPr>
        <w:t>Engendering Aphrodite: Women and Society in Ancient Cyprus</w:t>
      </w:r>
      <w:r w:rsidRPr="0009672E">
        <w:rPr>
          <w:rFonts w:ascii="Cambria" w:hAnsi="Cambria" w:cs="Arial"/>
          <w:szCs w:val="24"/>
        </w:rPr>
        <w:t>. Cyprus American Archaeological Research Institute Monographs 3, 67–86. Boston, Massachusetts: American Schools of Oriental Research.</w:t>
      </w:r>
    </w:p>
    <w:p w14:paraId="5D65C356" w14:textId="77777777" w:rsidR="0009672E" w:rsidRPr="0009672E" w:rsidRDefault="0009672E" w:rsidP="0009672E">
      <w:pPr>
        <w:spacing w:before="120"/>
        <w:ind w:left="735" w:hanging="735"/>
        <w:rPr>
          <w:rFonts w:ascii="Cambria" w:hAnsi="Cambria" w:cs="Arial"/>
          <w:szCs w:val="24"/>
        </w:rPr>
      </w:pPr>
      <w:r w:rsidRPr="0009672E">
        <w:rPr>
          <w:rFonts w:ascii="Cambria" w:hAnsi="Cambria" w:cs="Arial"/>
          <w:szCs w:val="24"/>
        </w:rPr>
        <w:t xml:space="preserve">Lorentz, K.O. 2016. Challenges for funerary taphonomy viewed through prehistoric Cyprus. </w:t>
      </w:r>
      <w:r w:rsidRPr="0009672E">
        <w:rPr>
          <w:rFonts w:ascii="Cambria" w:hAnsi="Cambria" w:cs="Arial"/>
          <w:i/>
          <w:iCs/>
          <w:szCs w:val="24"/>
        </w:rPr>
        <w:t>Journal of Archaeological Science: Reports</w:t>
      </w:r>
      <w:r w:rsidRPr="0009672E">
        <w:rPr>
          <w:rFonts w:ascii="Cambria" w:hAnsi="Cambria" w:cs="Arial"/>
          <w:szCs w:val="24"/>
        </w:rPr>
        <w:t xml:space="preserve"> 10: 757-68.</w:t>
      </w:r>
    </w:p>
    <w:p w14:paraId="10263D2D" w14:textId="3F686CA8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Prehistoric Bronze Age</w:t>
      </w:r>
    </w:p>
    <w:p w14:paraId="67CB33C1" w14:textId="3BD8738D" w:rsidR="008A35DF" w:rsidRPr="008A35DF" w:rsidRDefault="008A35DF" w:rsidP="008A35DF">
      <w:pPr>
        <w:spacing w:before="120"/>
        <w:ind w:left="735" w:hanging="735"/>
        <w:rPr>
          <w:rFonts w:ascii="Cambria" w:hAnsi="Cambria" w:cs="Arial"/>
          <w:szCs w:val="28"/>
        </w:rPr>
      </w:pPr>
      <w:r w:rsidRPr="008A35DF">
        <w:rPr>
          <w:rFonts w:ascii="Cambria" w:hAnsi="Cambria" w:cs="Arial"/>
          <w:szCs w:val="28"/>
        </w:rPr>
        <w:t xml:space="preserve">Webb, J.M. 2018. Spatial and social discontinuities in burial practice and the privatisation of mortuary space in Bronze Age Cyprus. </w:t>
      </w:r>
      <w:r w:rsidRPr="008A35DF">
        <w:rPr>
          <w:rFonts w:ascii="Cambria" w:hAnsi="Cambria" w:cs="Arial"/>
          <w:i/>
          <w:szCs w:val="28"/>
        </w:rPr>
        <w:t>Journal of Mediterranean Archaeology</w:t>
      </w:r>
      <w:r>
        <w:rPr>
          <w:rFonts w:ascii="Cambria" w:hAnsi="Cambria" w:cs="Arial"/>
          <w:i/>
          <w:szCs w:val="28"/>
        </w:rPr>
        <w:t xml:space="preserve"> </w:t>
      </w:r>
      <w:r>
        <w:rPr>
          <w:rFonts w:ascii="AGaramondPro-Regular" w:hAnsi="AGaramondPro-Regular" w:cs="AGaramondPro-Regular"/>
          <w:sz w:val="22"/>
        </w:rPr>
        <w:t>31</w:t>
      </w:r>
      <w:r>
        <w:rPr>
          <w:rFonts w:ascii="AGaramondPro-Regular" w:hAnsi="AGaramondPro-Regular" w:cs="AGaramondPro-Regular"/>
          <w:sz w:val="22"/>
        </w:rPr>
        <w:t>(</w:t>
      </w:r>
      <w:r>
        <w:rPr>
          <w:rFonts w:ascii="AGaramondPro-Regular" w:hAnsi="AGaramondPro-Regular" w:cs="AGaramondPro-Regular"/>
          <w:sz w:val="22"/>
        </w:rPr>
        <w:t>2</w:t>
      </w:r>
      <w:r>
        <w:rPr>
          <w:rFonts w:ascii="AGaramondPro-Regular" w:hAnsi="AGaramondPro-Regular" w:cs="AGaramondPro-Regular"/>
          <w:sz w:val="22"/>
        </w:rPr>
        <w:t>)</w:t>
      </w:r>
      <w:r>
        <w:rPr>
          <w:rFonts w:ascii="AGaramondPro-Regular" w:hAnsi="AGaramondPro-Regular" w:cs="AGaramondPro-Regular"/>
          <w:sz w:val="22"/>
        </w:rPr>
        <w:t xml:space="preserve"> 203-28</w:t>
      </w:r>
      <w:r>
        <w:rPr>
          <w:rFonts w:ascii="AGaramondPro-Regular" w:hAnsi="AGaramondPro-Regular" w:cs="AGaramondPro-Regular"/>
          <w:sz w:val="22"/>
        </w:rPr>
        <w:t>.</w:t>
      </w:r>
    </w:p>
    <w:p w14:paraId="406A7E51" w14:textId="05406C51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Webb, J.M. &amp; Frankel, D. 2010. Social strategies, ritual and cosmology in Early Bronze Age Cyprus: an investigation of burial data from the north coast. </w:t>
      </w:r>
      <w:r w:rsidRPr="003831CD">
        <w:rPr>
          <w:rFonts w:ascii="Cambria" w:hAnsi="Cambria"/>
          <w:i/>
        </w:rPr>
        <w:t>Levant</w:t>
      </w:r>
      <w:r w:rsidRPr="003831CD">
        <w:rPr>
          <w:rFonts w:ascii="Cambria" w:hAnsi="Cambria"/>
        </w:rPr>
        <w:t xml:space="preserve"> 42(2): 185-209</w:t>
      </w:r>
    </w:p>
    <w:p w14:paraId="507CB627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Protohistoric Bronze Age</w:t>
      </w:r>
    </w:p>
    <w:p w14:paraId="5B64D001" w14:textId="056443D9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Crewe, L. </w:t>
      </w:r>
      <w:r>
        <w:rPr>
          <w:rFonts w:ascii="Cambria" w:hAnsi="Cambria"/>
        </w:rPr>
        <w:t xml:space="preserve">2009. </w:t>
      </w:r>
      <w:r w:rsidRPr="003831CD">
        <w:rPr>
          <w:rFonts w:ascii="Cambria" w:hAnsi="Cambria"/>
        </w:rPr>
        <w:t xml:space="preserve">Feasting with the dead? Tomb 66 at Enkomi. In T, Kiely (ed.) </w:t>
      </w:r>
      <w:r w:rsidRPr="003831CD">
        <w:rPr>
          <w:rFonts w:ascii="Cambria" w:hAnsi="Cambria"/>
          <w:i/>
        </w:rPr>
        <w:t>Ancient Cyprus in the British Museum: Studies in Honour of Veronica Tatton-Brown</w:t>
      </w:r>
      <w:r w:rsidRPr="003831CD">
        <w:rPr>
          <w:rFonts w:ascii="Cambria" w:hAnsi="Cambria"/>
        </w:rPr>
        <w:t>,</w:t>
      </w:r>
      <w:r w:rsidRPr="003831CD">
        <w:rPr>
          <w:rFonts w:ascii="Cambria" w:hAnsi="Cambria"/>
          <w:i/>
        </w:rPr>
        <w:t xml:space="preserve"> </w:t>
      </w:r>
      <w:r w:rsidRPr="003831CD">
        <w:rPr>
          <w:rFonts w:ascii="Cambria" w:hAnsi="Cambria"/>
        </w:rPr>
        <w:t>27-48. London</w:t>
      </w:r>
      <w:r w:rsidR="004E16E4">
        <w:rPr>
          <w:rFonts w:ascii="Cambria" w:hAnsi="Cambria"/>
        </w:rPr>
        <w:t>:</w:t>
      </w:r>
      <w:r w:rsidRPr="003831CD">
        <w:rPr>
          <w:rFonts w:ascii="Cambria" w:hAnsi="Cambria"/>
        </w:rPr>
        <w:t xml:space="preserve"> The British Museum.</w:t>
      </w:r>
    </w:p>
    <w:p w14:paraId="458CAE66" w14:textId="728BA0C3" w:rsidR="00B67DA1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Knapp, A.B. 2018. Wealth, inequality and complexity: mortuary practices at Kalavasos </w:t>
      </w:r>
      <w:proofErr w:type="spellStart"/>
      <w:r w:rsidRPr="003831CD">
        <w:rPr>
          <w:rFonts w:ascii="Cambria" w:hAnsi="Cambria"/>
        </w:rPr>
        <w:t>Ayios</w:t>
      </w:r>
      <w:proofErr w:type="spellEnd"/>
      <w:r w:rsidRPr="003831CD">
        <w:rPr>
          <w:rFonts w:ascii="Cambria" w:hAnsi="Cambria"/>
        </w:rPr>
        <w:t xml:space="preserve"> </w:t>
      </w:r>
      <w:proofErr w:type="spellStart"/>
      <w:r w:rsidRPr="003831CD">
        <w:rPr>
          <w:rFonts w:ascii="Cambria" w:hAnsi="Cambria"/>
        </w:rPr>
        <w:t>Dhimitrios</w:t>
      </w:r>
      <w:proofErr w:type="spellEnd"/>
      <w:r w:rsidRPr="003831CD">
        <w:rPr>
          <w:rFonts w:ascii="Cambria" w:hAnsi="Cambria"/>
        </w:rPr>
        <w:t xml:space="preserve">. In L. Crewe, L. Hulin and J.M. Webb (eds) </w:t>
      </w:r>
      <w:r w:rsidRPr="003831CD">
        <w:rPr>
          <w:rFonts w:ascii="Cambria" w:hAnsi="Cambria"/>
          <w:i/>
        </w:rPr>
        <w:t>Structures of Inequality. Studies in Honour of Alison K. South</w:t>
      </w:r>
      <w:r w:rsidRPr="003831CD">
        <w:rPr>
          <w:rFonts w:ascii="Cambria" w:hAnsi="Cambria"/>
        </w:rPr>
        <w:t xml:space="preserve">, 7-19. SIMA Pocketbook 187. </w:t>
      </w:r>
      <w:proofErr w:type="spellStart"/>
      <w:r w:rsidRPr="003831CD">
        <w:rPr>
          <w:rFonts w:ascii="Cambria" w:hAnsi="Cambria"/>
        </w:rPr>
        <w:t>Jonsered</w:t>
      </w:r>
      <w:proofErr w:type="spellEnd"/>
      <w:r w:rsidRPr="003831CD">
        <w:rPr>
          <w:rFonts w:ascii="Cambria" w:hAnsi="Cambria"/>
        </w:rPr>
        <w:t xml:space="preserve">: P. </w:t>
      </w:r>
      <w:proofErr w:type="spellStart"/>
      <w:r w:rsidRPr="003831CD">
        <w:rPr>
          <w:rFonts w:ascii="Cambria" w:hAnsi="Cambria"/>
        </w:rPr>
        <w:t>Åströms</w:t>
      </w:r>
      <w:proofErr w:type="spellEnd"/>
      <w:r w:rsidRPr="003831CD">
        <w:rPr>
          <w:rFonts w:ascii="Cambria" w:hAnsi="Cambria"/>
        </w:rPr>
        <w:t xml:space="preserve"> </w:t>
      </w:r>
      <w:proofErr w:type="spellStart"/>
      <w:r w:rsidRPr="003831CD">
        <w:rPr>
          <w:rFonts w:ascii="Cambria" w:hAnsi="Cambria"/>
        </w:rPr>
        <w:t>Förlag</w:t>
      </w:r>
      <w:proofErr w:type="spellEnd"/>
      <w:r w:rsidRPr="003831CD">
        <w:rPr>
          <w:rFonts w:ascii="Cambria" w:hAnsi="Cambria"/>
        </w:rPr>
        <w:t>.</w:t>
      </w:r>
    </w:p>
    <w:p w14:paraId="4354DF1E" w14:textId="3E129A72" w:rsidR="00AC0803" w:rsidRPr="003831CD" w:rsidRDefault="00AC0803" w:rsidP="00B67DA1">
      <w:pPr>
        <w:ind w:left="709" w:hanging="709"/>
        <w:rPr>
          <w:rFonts w:ascii="Cambria" w:hAnsi="Cambria"/>
        </w:rPr>
      </w:pPr>
      <w:r>
        <w:rPr>
          <w:rFonts w:ascii="Cambria" w:hAnsi="Cambria"/>
        </w:rPr>
        <w:t xml:space="preserve">Lorenz, K. 2005. Late Bronze Age burial </w:t>
      </w:r>
      <w:proofErr w:type="spellStart"/>
      <w:r>
        <w:rPr>
          <w:rFonts w:ascii="Cambria" w:hAnsi="Cambria"/>
        </w:rPr>
        <w:t>pratices</w:t>
      </w:r>
      <w:proofErr w:type="spellEnd"/>
      <w:r>
        <w:rPr>
          <w:rFonts w:ascii="Cambria" w:hAnsi="Cambria"/>
        </w:rPr>
        <w:t xml:space="preserve">: age as a form of social difference. In V. Karageorghis, H. </w:t>
      </w:r>
      <w:proofErr w:type="spellStart"/>
      <w:r>
        <w:rPr>
          <w:rFonts w:ascii="Cambria" w:hAnsi="Cambria"/>
        </w:rPr>
        <w:t>Matthäus</w:t>
      </w:r>
      <w:proofErr w:type="spellEnd"/>
      <w:r>
        <w:rPr>
          <w:rFonts w:ascii="Cambria" w:hAnsi="Cambria"/>
        </w:rPr>
        <w:t xml:space="preserve"> and S. Rogge (eds) </w:t>
      </w:r>
      <w:r>
        <w:rPr>
          <w:rFonts w:ascii="Cambria" w:hAnsi="Cambria"/>
          <w:i/>
        </w:rPr>
        <w:t>Cyprus: Religion and Society from the Late Bronze Age to the end of the Archaic period</w:t>
      </w:r>
      <w:r>
        <w:rPr>
          <w:rFonts w:ascii="Cambria" w:hAnsi="Cambria"/>
        </w:rPr>
        <w:t>, 41-55.</w:t>
      </w:r>
      <w:r w:rsidR="000C427E">
        <w:rPr>
          <w:rFonts w:ascii="Cambria" w:hAnsi="Cambria"/>
        </w:rPr>
        <w:t xml:space="preserve"> Liège:</w:t>
      </w:r>
      <w:r>
        <w:rPr>
          <w:rFonts w:ascii="Cambria" w:hAnsi="Cambria"/>
        </w:rPr>
        <w:t xml:space="preserve"> </w:t>
      </w:r>
      <w:proofErr w:type="spellStart"/>
      <w:r>
        <w:rPr>
          <w:rFonts w:ascii="Cambria" w:hAnsi="Cambria"/>
        </w:rPr>
        <w:t>Bibliopolis</w:t>
      </w:r>
      <w:proofErr w:type="spellEnd"/>
      <w:r>
        <w:rPr>
          <w:rFonts w:ascii="Cambria" w:hAnsi="Cambria"/>
        </w:rPr>
        <w:t>.</w:t>
      </w:r>
    </w:p>
    <w:p w14:paraId="410B5872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</w:p>
    <w:p w14:paraId="6B4CDBA3" w14:textId="77777777" w:rsidR="00B67DA1" w:rsidRPr="003831CD" w:rsidRDefault="00B67DA1" w:rsidP="00B67DA1">
      <w:pPr>
        <w:ind w:left="709" w:hanging="709"/>
        <w:rPr>
          <w:rFonts w:ascii="Cambria" w:hAnsi="Cambria"/>
          <w:b/>
        </w:rPr>
      </w:pPr>
      <w:r w:rsidRPr="003831CD">
        <w:rPr>
          <w:rFonts w:ascii="Cambria" w:hAnsi="Cambria"/>
          <w:b/>
        </w:rPr>
        <w:t>Aegean</w:t>
      </w:r>
    </w:p>
    <w:p w14:paraId="7E92EE54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Early Minoan Crete</w:t>
      </w:r>
    </w:p>
    <w:p w14:paraId="65CDFEEE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Herrero, B.J. 2009. The Minoan fallacy: cultural diversity and mortuary behaviour on Crete at the beginning of the Bronze Age. </w:t>
      </w:r>
      <w:r w:rsidRPr="003831CD">
        <w:rPr>
          <w:rFonts w:ascii="Cambria" w:hAnsi="Cambria"/>
          <w:i/>
        </w:rPr>
        <w:t>Oxford Journal of Archaeology</w:t>
      </w:r>
      <w:r w:rsidRPr="003831CD">
        <w:rPr>
          <w:rFonts w:ascii="Cambria" w:hAnsi="Cambria"/>
        </w:rPr>
        <w:t xml:space="preserve"> 28(1): 29-57.</w:t>
      </w:r>
    </w:p>
    <w:p w14:paraId="2AB9D863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Soar, K. 2015. Cultural performances at the beginning of the Bronze Age: Early Minoan I and II cemeteries as stages for performance. In S. </w:t>
      </w:r>
      <w:proofErr w:type="spellStart"/>
      <w:r w:rsidRPr="003831CD">
        <w:rPr>
          <w:rFonts w:ascii="Cambria" w:hAnsi="Cambria"/>
        </w:rPr>
        <w:t>Cappel</w:t>
      </w:r>
      <w:proofErr w:type="spellEnd"/>
      <w:r w:rsidRPr="003831CD">
        <w:rPr>
          <w:rFonts w:ascii="Cambria" w:hAnsi="Cambria"/>
        </w:rPr>
        <w:t xml:space="preserve">, U. </w:t>
      </w:r>
      <w:proofErr w:type="spellStart"/>
      <w:r w:rsidRPr="003831CD">
        <w:rPr>
          <w:rFonts w:ascii="Cambria" w:hAnsi="Cambria"/>
        </w:rPr>
        <w:t>Günkel-Maschek</w:t>
      </w:r>
      <w:proofErr w:type="spellEnd"/>
      <w:r w:rsidRPr="003831CD">
        <w:rPr>
          <w:rFonts w:ascii="Cambria" w:hAnsi="Cambria"/>
        </w:rPr>
        <w:t xml:space="preserve"> and D. </w:t>
      </w:r>
      <w:proofErr w:type="spellStart"/>
      <w:r w:rsidRPr="003831CD">
        <w:rPr>
          <w:rFonts w:ascii="Cambria" w:hAnsi="Cambria"/>
        </w:rPr>
        <w:t>Panagiotopoulos</w:t>
      </w:r>
      <w:proofErr w:type="spellEnd"/>
      <w:r w:rsidRPr="003831CD">
        <w:rPr>
          <w:rFonts w:ascii="Cambria" w:hAnsi="Cambria"/>
        </w:rPr>
        <w:t xml:space="preserve"> (eds), </w:t>
      </w:r>
      <w:r w:rsidRPr="003831CD">
        <w:rPr>
          <w:rFonts w:ascii="Cambria" w:hAnsi="Cambria"/>
          <w:i/>
        </w:rPr>
        <w:t>Minoan Archaeology: Perspectives for the 21st Century</w:t>
      </w:r>
      <w:r w:rsidRPr="003831CD">
        <w:rPr>
          <w:rFonts w:ascii="Cambria" w:hAnsi="Cambria"/>
        </w:rPr>
        <w:t>, 283-97. Louvain-la-</w:t>
      </w:r>
      <w:proofErr w:type="spellStart"/>
      <w:r w:rsidRPr="003831CD">
        <w:rPr>
          <w:rFonts w:ascii="Cambria" w:hAnsi="Cambria"/>
        </w:rPr>
        <w:t>Neuve</w:t>
      </w:r>
      <w:proofErr w:type="spellEnd"/>
      <w:r w:rsidRPr="003831CD">
        <w:rPr>
          <w:rFonts w:ascii="Cambria" w:hAnsi="Cambria"/>
        </w:rPr>
        <w:t xml:space="preserve">: Presses </w:t>
      </w:r>
      <w:proofErr w:type="spellStart"/>
      <w:r w:rsidRPr="003831CD">
        <w:rPr>
          <w:rFonts w:ascii="Cambria" w:hAnsi="Cambria"/>
        </w:rPr>
        <w:t>Universitaires</w:t>
      </w:r>
      <w:proofErr w:type="spellEnd"/>
      <w:r w:rsidRPr="003831CD">
        <w:rPr>
          <w:rFonts w:ascii="Cambria" w:hAnsi="Cambria"/>
        </w:rPr>
        <w:t xml:space="preserve"> de Louvain.</w:t>
      </w:r>
    </w:p>
    <w:p w14:paraId="36AF2555" w14:textId="77777777" w:rsidR="00B67DA1" w:rsidRPr="003831CD" w:rsidRDefault="00B67DA1" w:rsidP="00B67DA1">
      <w:pPr>
        <w:ind w:left="709" w:hanging="709"/>
        <w:rPr>
          <w:rFonts w:ascii="Cambria" w:hAnsi="Cambria"/>
          <w:i/>
        </w:rPr>
      </w:pPr>
      <w:r w:rsidRPr="003831CD">
        <w:rPr>
          <w:rFonts w:ascii="Cambria" w:hAnsi="Cambria"/>
          <w:i/>
        </w:rPr>
        <w:t>Mycenaean</w:t>
      </w:r>
    </w:p>
    <w:p w14:paraId="7837FFC6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t xml:space="preserve">Boyd, M.J. 2014. The materiality of performance in Mycenaean funerary practices. </w:t>
      </w:r>
      <w:r w:rsidRPr="003831CD">
        <w:rPr>
          <w:rFonts w:ascii="Cambria" w:hAnsi="Cambria"/>
          <w:i/>
        </w:rPr>
        <w:t>World Archaeology</w:t>
      </w:r>
      <w:r w:rsidRPr="003831CD">
        <w:rPr>
          <w:rFonts w:ascii="Cambria" w:hAnsi="Cambria"/>
        </w:rPr>
        <w:t xml:space="preserve"> 46(2): 192-205.</w:t>
      </w:r>
    </w:p>
    <w:p w14:paraId="175C3D3A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</w:rPr>
        <w:lastRenderedPageBreak/>
        <w:t xml:space="preserve">Chapin, A.P. Davis, B., Hitchcock, L.A. and </w:t>
      </w:r>
      <w:proofErr w:type="spellStart"/>
      <w:r w:rsidRPr="003831CD">
        <w:rPr>
          <w:rFonts w:ascii="Cambria" w:hAnsi="Cambria"/>
        </w:rPr>
        <w:t>Banou</w:t>
      </w:r>
      <w:proofErr w:type="spellEnd"/>
      <w:r w:rsidRPr="003831CD">
        <w:rPr>
          <w:rFonts w:ascii="Cambria" w:hAnsi="Cambria"/>
        </w:rPr>
        <w:t xml:space="preserve">, E. 2014. The </w:t>
      </w:r>
      <w:proofErr w:type="spellStart"/>
      <w:r w:rsidRPr="003831CD">
        <w:rPr>
          <w:rFonts w:ascii="Cambria" w:hAnsi="Cambria"/>
        </w:rPr>
        <w:t>Vapheio</w:t>
      </w:r>
      <w:proofErr w:type="spellEnd"/>
      <w:r w:rsidRPr="003831CD">
        <w:rPr>
          <w:rFonts w:ascii="Cambria" w:hAnsi="Cambria"/>
        </w:rPr>
        <w:t xml:space="preserve"> tholos tomb and the construction of a symbolic landscape in Laconia, Greece. In G. </w:t>
      </w:r>
      <w:proofErr w:type="spellStart"/>
      <w:r w:rsidRPr="003831CD">
        <w:rPr>
          <w:rFonts w:ascii="Cambria" w:hAnsi="Cambria"/>
        </w:rPr>
        <w:t>Touchais</w:t>
      </w:r>
      <w:proofErr w:type="spellEnd"/>
      <w:r w:rsidRPr="003831CD">
        <w:rPr>
          <w:rFonts w:ascii="Cambria" w:hAnsi="Cambria"/>
        </w:rPr>
        <w:t xml:space="preserve">, R. </w:t>
      </w:r>
      <w:proofErr w:type="spellStart"/>
      <w:r w:rsidRPr="003831CD">
        <w:rPr>
          <w:rFonts w:ascii="Cambria" w:hAnsi="Cambria"/>
        </w:rPr>
        <w:t>Laffineur</w:t>
      </w:r>
      <w:proofErr w:type="spellEnd"/>
      <w:r w:rsidRPr="003831CD">
        <w:rPr>
          <w:rFonts w:ascii="Cambria" w:hAnsi="Cambria"/>
        </w:rPr>
        <w:t xml:space="preserve"> and F. Rougemont (eds), </w:t>
      </w:r>
      <w:r w:rsidRPr="003831CD">
        <w:rPr>
          <w:rFonts w:ascii="Cambria" w:hAnsi="Cambria"/>
          <w:i/>
        </w:rPr>
        <w:t xml:space="preserve">Physis: </w:t>
      </w:r>
      <w:proofErr w:type="spellStart"/>
      <w:r w:rsidRPr="003831CD">
        <w:rPr>
          <w:rFonts w:ascii="Cambria" w:hAnsi="Cambria"/>
          <w:i/>
        </w:rPr>
        <w:t>L’Environnement</w:t>
      </w:r>
      <w:proofErr w:type="spellEnd"/>
      <w:r w:rsidRPr="003831CD">
        <w:rPr>
          <w:rFonts w:ascii="Cambria" w:hAnsi="Cambria"/>
          <w:i/>
        </w:rPr>
        <w:t xml:space="preserve"> Naturel et la Relation Homme-Milieu dans le Monde </w:t>
      </w:r>
      <w:proofErr w:type="spellStart"/>
      <w:r w:rsidRPr="003831CD">
        <w:rPr>
          <w:rFonts w:ascii="Cambria" w:hAnsi="Cambria"/>
          <w:i/>
        </w:rPr>
        <w:t>Égéen</w:t>
      </w:r>
      <w:proofErr w:type="spellEnd"/>
      <w:r w:rsidRPr="003831CD">
        <w:rPr>
          <w:rFonts w:ascii="Cambria" w:hAnsi="Cambria"/>
          <w:i/>
        </w:rPr>
        <w:t xml:space="preserve"> </w:t>
      </w:r>
      <w:proofErr w:type="spellStart"/>
      <w:r w:rsidRPr="003831CD">
        <w:rPr>
          <w:rFonts w:ascii="Cambria" w:hAnsi="Cambria"/>
          <w:i/>
        </w:rPr>
        <w:t>Protohistorique</w:t>
      </w:r>
      <w:proofErr w:type="spellEnd"/>
      <w:r w:rsidRPr="003831CD">
        <w:rPr>
          <w:rFonts w:ascii="Cambria" w:hAnsi="Cambria"/>
        </w:rPr>
        <w:t xml:space="preserve">, AEGAUEM 37, 145-52. Liège: </w:t>
      </w:r>
      <w:proofErr w:type="spellStart"/>
      <w:r w:rsidRPr="003831CD">
        <w:rPr>
          <w:rFonts w:ascii="Cambria" w:hAnsi="Cambria"/>
        </w:rPr>
        <w:t>Peeters</w:t>
      </w:r>
      <w:proofErr w:type="spellEnd"/>
      <w:r w:rsidRPr="003831CD">
        <w:rPr>
          <w:rFonts w:ascii="Cambria" w:hAnsi="Cambria"/>
        </w:rPr>
        <w:t>.</w:t>
      </w:r>
    </w:p>
    <w:p w14:paraId="48A59BEF" w14:textId="77777777" w:rsidR="00B67DA1" w:rsidRPr="003831CD" w:rsidRDefault="00B67DA1" w:rsidP="00B67DA1">
      <w:pPr>
        <w:ind w:left="709" w:hanging="709"/>
        <w:rPr>
          <w:rFonts w:ascii="Cambria" w:hAnsi="Cambria"/>
        </w:rPr>
      </w:pPr>
      <w:r w:rsidRPr="003831CD">
        <w:rPr>
          <w:rFonts w:ascii="Cambria" w:hAnsi="Cambria"/>
          <w:i/>
        </w:rPr>
        <w:t xml:space="preserve">Hybrid: </w:t>
      </w:r>
      <w:proofErr w:type="spellStart"/>
      <w:r w:rsidRPr="003831CD">
        <w:rPr>
          <w:rFonts w:ascii="Cambria" w:hAnsi="Cambria"/>
          <w:i/>
        </w:rPr>
        <w:t>Mycenaeanising</w:t>
      </w:r>
      <w:proofErr w:type="spellEnd"/>
    </w:p>
    <w:p w14:paraId="145BECB4" w14:textId="77777777" w:rsidR="00B67DA1" w:rsidRPr="003831CD" w:rsidRDefault="00B67DA1" w:rsidP="00B67DA1">
      <w:pPr>
        <w:spacing w:line="240" w:lineRule="auto"/>
        <w:ind w:left="720" w:hanging="720"/>
        <w:rPr>
          <w:rFonts w:ascii="Cambria" w:eastAsia="Calibri" w:hAnsi="Cambria"/>
          <w:szCs w:val="24"/>
        </w:rPr>
      </w:pPr>
      <w:r w:rsidRPr="003831CD">
        <w:rPr>
          <w:rFonts w:ascii="Cambria" w:eastAsia="Calibri" w:hAnsi="Cambria"/>
          <w:szCs w:val="24"/>
        </w:rPr>
        <w:t xml:space="preserve">Preston, L. 1999. Mortuary practices and the negotiation of social identities at LM II Knossos. </w:t>
      </w:r>
      <w:r w:rsidRPr="003831CD">
        <w:rPr>
          <w:rFonts w:ascii="Cambria" w:eastAsia="Calibri" w:hAnsi="Cambria"/>
          <w:i/>
          <w:szCs w:val="24"/>
        </w:rPr>
        <w:t>Annual of the British School at Athens</w:t>
      </w:r>
      <w:r w:rsidRPr="003831CD">
        <w:rPr>
          <w:rFonts w:ascii="Cambria" w:eastAsia="Calibri" w:hAnsi="Cambria"/>
          <w:szCs w:val="24"/>
        </w:rPr>
        <w:t xml:space="preserve"> 94: 131-43.</w:t>
      </w:r>
    </w:p>
    <w:p w14:paraId="259476CE" w14:textId="77777777" w:rsidR="00B67DA1" w:rsidRPr="003831CD" w:rsidRDefault="00B67DA1" w:rsidP="00B67DA1">
      <w:pPr>
        <w:spacing w:line="240" w:lineRule="auto"/>
        <w:ind w:left="720" w:hanging="720"/>
        <w:rPr>
          <w:rFonts w:ascii="Cambria" w:eastAsia="Calibri" w:hAnsi="Cambria"/>
          <w:szCs w:val="24"/>
        </w:rPr>
      </w:pPr>
      <w:r w:rsidRPr="003831CD">
        <w:rPr>
          <w:rFonts w:ascii="Cambria" w:eastAsia="Calibri" w:hAnsi="Cambria"/>
          <w:szCs w:val="24"/>
        </w:rPr>
        <w:t xml:space="preserve"> Preston, L. 2005. The </w:t>
      </w:r>
      <w:proofErr w:type="spellStart"/>
      <w:r w:rsidRPr="003831CD">
        <w:rPr>
          <w:rFonts w:ascii="Cambria" w:eastAsia="Calibri" w:hAnsi="Cambria"/>
          <w:szCs w:val="24"/>
        </w:rPr>
        <w:t>Kephala</w:t>
      </w:r>
      <w:proofErr w:type="spellEnd"/>
      <w:r w:rsidRPr="003831CD">
        <w:rPr>
          <w:rFonts w:ascii="Cambria" w:eastAsia="Calibri" w:hAnsi="Cambria"/>
          <w:szCs w:val="24"/>
        </w:rPr>
        <w:t xml:space="preserve"> tholos at Knossos: a study in the reuse of the past. </w:t>
      </w:r>
      <w:r w:rsidRPr="003831CD">
        <w:rPr>
          <w:rFonts w:ascii="Cambria" w:eastAsia="Calibri" w:hAnsi="Cambria"/>
          <w:i/>
          <w:szCs w:val="24"/>
        </w:rPr>
        <w:t>Annual of the British School at Athens: Centennial Volume</w:t>
      </w:r>
      <w:r w:rsidRPr="003831CD">
        <w:rPr>
          <w:rFonts w:ascii="Cambria" w:eastAsia="Calibri" w:hAnsi="Cambria"/>
          <w:szCs w:val="24"/>
        </w:rPr>
        <w:t xml:space="preserve"> 100: 61-123.</w:t>
      </w:r>
    </w:p>
    <w:p w14:paraId="57A9C296" w14:textId="51FA4EC8" w:rsidR="00410F84" w:rsidRDefault="006C304B">
      <w:r>
        <w:t xml:space="preserve"> </w:t>
      </w:r>
    </w:p>
    <w:sectPr w:rsidR="00410F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GaramondPro-Regular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DA1"/>
    <w:rsid w:val="0009672E"/>
    <w:rsid w:val="000C427E"/>
    <w:rsid w:val="002825F6"/>
    <w:rsid w:val="00410F84"/>
    <w:rsid w:val="00476981"/>
    <w:rsid w:val="004E16E4"/>
    <w:rsid w:val="006C304B"/>
    <w:rsid w:val="008500C5"/>
    <w:rsid w:val="008A35DF"/>
    <w:rsid w:val="00AC0803"/>
    <w:rsid w:val="00B67DA1"/>
    <w:rsid w:val="00F46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DDBC2"/>
  <w15:chartTrackingRefBased/>
  <w15:docId w15:val="{F95CF61B-D6AC-448F-8447-FFEF5A55C1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7D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751</Words>
  <Characters>4285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cp:lastPrinted>2019-04-09T09:01:00Z</cp:lastPrinted>
  <dcterms:created xsi:type="dcterms:W3CDTF">2020-11-10T16:01:00Z</dcterms:created>
  <dcterms:modified xsi:type="dcterms:W3CDTF">2020-11-10T16:01:00Z</dcterms:modified>
</cp:coreProperties>
</file>