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4DAC77">
      <w:pPr>
        <w:rPr>
          <w:rFonts w:hint="eastAsia"/>
          <w:b/>
          <w:bCs/>
          <w:sz w:val="30"/>
          <w:szCs w:val="30"/>
        </w:rPr>
      </w:pPr>
      <w:r>
        <w:rPr>
          <w:rFonts w:hint="eastAsia"/>
          <w:b/>
          <w:bCs/>
          <w:sz w:val="30"/>
          <w:szCs w:val="30"/>
        </w:rPr>
        <w:t>Philosophical Foundations of Depicting Collective Affect Behind the Doomer Meme</w:t>
      </w:r>
    </w:p>
    <w:p w14:paraId="6B69B95D">
      <w:pPr>
        <w:rPr>
          <w:rFonts w:hint="eastAsia"/>
          <w:b/>
          <w:bCs/>
          <w:sz w:val="30"/>
          <w:szCs w:val="30"/>
        </w:rPr>
      </w:pPr>
    </w:p>
    <w:p w14:paraId="19BC0D13">
      <w:pPr>
        <w:rPr>
          <w:rFonts w:hint="eastAsia"/>
          <w:b/>
          <w:bCs/>
          <w:sz w:val="30"/>
          <w:szCs w:val="30"/>
        </w:rPr>
      </w:pPr>
    </w:p>
    <w:p w14:paraId="28CD844D">
      <w:pPr>
        <w:rPr>
          <w:rFonts w:hint="eastAsia"/>
          <w:lang w:val="en-US" w:eastAsia="zh-CN"/>
        </w:rPr>
      </w:pPr>
      <w:r>
        <w:rPr>
          <w:rFonts w:hint="eastAsia"/>
          <w:lang w:val="en-US" w:eastAsia="zh-CN"/>
        </w:rPr>
        <w:t>This essay explores the philosophical foundations underlying my research on how contemporary figurative oil painters express the collective affect behind the doomer meme. By integrating ontological social constructivism and interpretivist epistemology, I investigate how shared meanings and subjective interpretations shape my understanding of young artists</w:t>
      </w:r>
      <w:r>
        <w:rPr>
          <w:rFonts w:hint="default"/>
          <w:lang w:val="en-US" w:eastAsia="zh-CN"/>
        </w:rPr>
        <w:t>’</w:t>
      </w:r>
      <w:r>
        <w:rPr>
          <w:rFonts w:hint="eastAsia"/>
          <w:lang w:val="en-US" w:eastAsia="zh-CN"/>
        </w:rPr>
        <w:t xml:space="preserve"> practices. Additionally, the values informing my work emphasize the existential dilemmas and emotional resonance inherent in this phenomenon. This foundation not only aligns with my academic objectives but also guides my methodological choices, ensuring a reflective and context-sensitive exploration of this intersection between digital subcultures and traditional art forms.</w:t>
      </w:r>
    </w:p>
    <w:p w14:paraId="09A14456">
      <w:pPr>
        <w:rPr>
          <w:rFonts w:hint="default"/>
          <w:lang w:val="en-US" w:eastAsia="zh-CN"/>
        </w:rPr>
      </w:pPr>
    </w:p>
    <w:p w14:paraId="23F4D450">
      <w:pPr>
        <w:rPr>
          <w:rFonts w:hint="eastAsia"/>
          <w:b/>
          <w:bCs/>
          <w:sz w:val="30"/>
          <w:szCs w:val="30"/>
        </w:rPr>
      </w:pPr>
    </w:p>
    <w:p w14:paraId="09ADED44">
      <w:pPr>
        <w:rPr>
          <w:rFonts w:hint="eastAsia"/>
          <w:b/>
          <w:bCs/>
          <w:sz w:val="30"/>
          <w:szCs w:val="30"/>
        </w:rPr>
      </w:pPr>
      <w:r>
        <w:rPr>
          <w:rFonts w:hint="eastAsia"/>
          <w:b/>
          <w:bCs/>
          <w:sz w:val="30"/>
          <w:szCs w:val="30"/>
        </w:rPr>
        <w:t>Understanding Theory: Epistemology, Ontology, and Axiology</w:t>
      </w:r>
    </w:p>
    <w:p w14:paraId="3B25EE6C">
      <w:pPr>
        <w:rPr>
          <w:rFonts w:hint="eastAsia"/>
        </w:rPr>
      </w:pPr>
    </w:p>
    <w:p w14:paraId="0A11FCBB">
      <w:pPr>
        <w:rPr>
          <w:rFonts w:hint="eastAsia"/>
          <w:b/>
          <w:bCs/>
          <w:sz w:val="28"/>
          <w:szCs w:val="28"/>
        </w:rPr>
      </w:pPr>
      <w:r>
        <w:rPr>
          <w:rFonts w:hint="eastAsia"/>
          <w:b/>
          <w:bCs/>
          <w:sz w:val="28"/>
          <w:szCs w:val="28"/>
        </w:rPr>
        <w:t>Theory</w:t>
      </w:r>
    </w:p>
    <w:p w14:paraId="4283B4BC">
      <w:pPr>
        <w:rPr>
          <w:rFonts w:hint="eastAsia"/>
        </w:rPr>
      </w:pPr>
      <w:r>
        <w:rPr>
          <w:rFonts w:hint="eastAsia"/>
        </w:rPr>
        <w:t>In the field of research, theory is used to define and discuss the applicability and significance of research findings, particularly when evaluating the relevance of research to social, political, and cultural issues (Rösler &amp; Ryan, 2011). My research question is: How do contemporary figurative oil painters express the collective affect behind the doomer meme? This means that my research will sit at the intersection of digital subcultures, identity exploration, and visual arts, trying to explore young painters’ self-identity through contemporary figurative oil painting. This research direction determines that I will use the following theoretical frameworks to assess the practicality and real-world significance of my research. These theories are: Identity Construction Theory, Dasein Theory, and Digital Mythology.</w:t>
      </w:r>
    </w:p>
    <w:p w14:paraId="2C358B61">
      <w:pPr>
        <w:rPr>
          <w:rFonts w:hint="eastAsia"/>
        </w:rPr>
      </w:pPr>
    </w:p>
    <w:p w14:paraId="13075E6B">
      <w:pPr>
        <w:rPr>
          <w:rFonts w:hint="eastAsia"/>
          <w:b/>
          <w:bCs/>
          <w:sz w:val="24"/>
          <w:szCs w:val="24"/>
        </w:rPr>
      </w:pPr>
      <w:r>
        <w:rPr>
          <w:rFonts w:hint="eastAsia"/>
          <w:b/>
          <w:bCs/>
          <w:sz w:val="24"/>
          <w:szCs w:val="24"/>
        </w:rPr>
        <w:t>The Influence of These Theories on My Research</w:t>
      </w:r>
    </w:p>
    <w:p w14:paraId="49026125">
      <w:pPr>
        <w:rPr>
          <w:rFonts w:hint="eastAsia"/>
          <w:b/>
          <w:bCs/>
          <w:sz w:val="24"/>
          <w:szCs w:val="24"/>
        </w:rPr>
      </w:pPr>
    </w:p>
    <w:p w14:paraId="71B001CD">
      <w:pPr>
        <w:rPr>
          <w:rFonts w:hint="eastAsia"/>
        </w:rPr>
      </w:pPr>
      <w:r>
        <w:rPr>
          <w:rFonts w:hint="eastAsia"/>
        </w:rPr>
        <w:t>Identity Construction Theory</w:t>
      </w:r>
    </w:p>
    <w:p w14:paraId="209E86A7">
      <w:pPr>
        <w:rPr>
          <w:rFonts w:hint="eastAsia"/>
        </w:rPr>
      </w:pPr>
      <w:r>
        <w:rPr>
          <w:rFonts w:hint="eastAsia"/>
        </w:rPr>
        <w:t>Identity construction theory explores how identity is formed, negotiated, and maintained in different social environments. It emphasizes that identity is dynamic and influenced by social interactions and external factors. A significant feature of this theory is that identity is the result of negotiation among multiple stakeholders, and its characteristics include Intentionality, Temporality, Relationality, and External Influences (Ran &amp; Golden, 2011). Among these, Intentionality refers to the purposeful shaping of identity. Temporality refers to the dynamic nature of identity, which changes according to the historical context. Relationality suggests that identity is constructed through interactions with others. External Influences refer to the external social environment affecting identity construction.</w:t>
      </w:r>
    </w:p>
    <w:p w14:paraId="53E9B13E">
      <w:pPr>
        <w:rPr>
          <w:rFonts w:hint="eastAsia"/>
        </w:rPr>
      </w:pPr>
      <w:r>
        <w:rPr>
          <w:rFonts w:hint="eastAsia"/>
        </w:rPr>
        <w:t>Identity construction theory in my research helps me explore the reasons behind the emergence of the doomer meme. I will approach the creation process of the doomer meme from three aspects to demonstrate that it is an identity construction activity by young people. First, from the temporal and social external environment perspective, the doomer meme began to take shape around the time of the COVID-19 pandemic, where anxiety about the unknown disease and concerns about political instability were reflected in the doomer figure. At the same time, the doomer is often portrayed as a character filled with pessimism about reality and the future. This creation clearly carries a strong intention. Young people use this image to determine their position in today’s society and express their dissatisfaction with the present and concerns about the future. Finally, it should be noted that the doomer meme originated on the anonymous chat board 4chan, making it a product of collective creation by a young group.</w:t>
      </w:r>
    </w:p>
    <w:p w14:paraId="17A47BAA">
      <w:pPr>
        <w:rPr>
          <w:rFonts w:hint="eastAsia"/>
        </w:rPr>
      </w:pPr>
    </w:p>
    <w:p w14:paraId="01B3AB2E">
      <w:pPr>
        <w:rPr>
          <w:rFonts w:hint="eastAsia"/>
        </w:rPr>
      </w:pPr>
      <w:r>
        <w:rPr>
          <w:rFonts w:hint="eastAsia"/>
        </w:rPr>
        <w:t>Heidegger</w:t>
      </w:r>
      <w:r>
        <w:rPr>
          <w:rFonts w:hint="default"/>
          <w:lang w:val="en-US" w:eastAsia="zh-CN"/>
        </w:rPr>
        <w:t>’</w:t>
      </w:r>
      <w:r>
        <w:rPr>
          <w:rFonts w:hint="eastAsia"/>
        </w:rPr>
        <w:t>s Dasein</w:t>
      </w:r>
    </w:p>
    <w:p w14:paraId="3B24F16B">
      <w:pPr>
        <w:rPr>
          <w:rFonts w:hint="eastAsia"/>
        </w:rPr>
      </w:pPr>
      <w:r>
        <w:rPr>
          <w:rFonts w:hint="eastAsia"/>
        </w:rPr>
        <w:t>Dasein is a core existential concept proposed by Martin Heidegger in his philosophical work Being and Time. This concept suggests that human existence is not defined by fixed characteristics like appearance and personality, but by human actions. This means that individuals can discern their way of being in society through their interactions with the environment and others (Zuckerman, 2015).</w:t>
      </w:r>
    </w:p>
    <w:p w14:paraId="4D439E46">
      <w:pPr>
        <w:rPr>
          <w:rFonts w:hint="eastAsia"/>
        </w:rPr>
      </w:pPr>
      <w:r>
        <w:rPr>
          <w:rFonts w:hint="eastAsia"/>
        </w:rPr>
        <w:t>Dasein emphasizes the uniqueness of human existence, particularly how individuals interact with the surrounding world and others. It helps me understand why young people, including myself, see themselves as doomers. Faced with the inevitable approach of the apocalypse, we feel powerless. In the face of this awareness of our vulnerability and compromise, we express our emotions through humor and sarcasm. This emotional expression is a coping strategy when facing difficulties and reflects our awareness of our existence. Additionally, Heidegger emphasized that Dasein is not isolated; people’s existence is influenced by external environments and their interactions with the outside world (MAŁECKA &amp; MRÓZ, 2021). Through the internet, young people collectively construct the doomer figure. In this collective identity of doomers, we express our self-recognition and illustrate our way of being in this era. Heidegger also suggests that many individuals fail to live authentically because they do not realize their true potential and become absorbed in the mundane aspects of daily life. Clearly, the perspective of doomers has transcended the limitations of everyday life. Young people release their collective affect, which carries characteristics of defeatism and pessimism, through the internet. By expressing this collective affect, they transcend the everyday and recognize their limitations in this era.</w:t>
      </w:r>
    </w:p>
    <w:p w14:paraId="676840A9">
      <w:pPr>
        <w:rPr>
          <w:rFonts w:hint="eastAsia"/>
        </w:rPr>
      </w:pPr>
    </w:p>
    <w:p w14:paraId="47E09F30">
      <w:pPr>
        <w:rPr>
          <w:rFonts w:hint="eastAsia"/>
        </w:rPr>
      </w:pPr>
    </w:p>
    <w:p w14:paraId="32112261">
      <w:pPr>
        <w:rPr>
          <w:rFonts w:hint="eastAsia"/>
        </w:rPr>
      </w:pPr>
      <w:r>
        <w:rPr>
          <w:rFonts w:hint="eastAsia"/>
        </w:rPr>
        <w:t>Digital Mythology</w:t>
      </w:r>
    </w:p>
    <w:p w14:paraId="6DB32FF3">
      <w:pPr>
        <w:rPr>
          <w:rFonts w:hint="eastAsia"/>
        </w:rPr>
      </w:pPr>
      <w:r>
        <w:rPr>
          <w:rFonts w:hint="eastAsia"/>
        </w:rPr>
        <w:t>Digital mythology refers to the narratives and symbolic meanings generated by the interaction between technology, media, and society in the context of the digital age (Rezvushkina, 2023). With the popularity of the internet, traditional social myths have gradually been replaced by digital “myths,” forming new narrative structures adapted to modern virtual realities. The mythologization of internet technology suggests that people in the digital age no longer view the internet merely as a tool, but as a profound cultural phenomenon that significantly impacts human existence and social relationships.</w:t>
      </w:r>
    </w:p>
    <w:p w14:paraId="172CF341">
      <w:pPr>
        <w:rPr>
          <w:rFonts w:hint="eastAsia"/>
        </w:rPr>
      </w:pPr>
      <w:r>
        <w:rPr>
          <w:rFonts w:hint="eastAsia"/>
        </w:rPr>
        <w:t>Digital mythology theory can help us understand how, in the digital age, young people shape their collective identities by creating “myths” through social media and online platforms. In the article The 'Slender Man' Mythos: A Structuralist Analysis of an Online Mythology, the author points out that urban legends like the Slender Man demonstrate how digital narratives develop through collective contributions. This collaborative creation process reflects the cooperation and interactive behavior in digital culture, suggesting that the formation of myths no longer relies solely on a single author but is a collective process created by a group in a specific socio-cultural context (Asimos, 2019). This collective creation process indicates that myth formation in the digital age has gone beyond traditional narrative patterns and has become a dynamic, real-time cultural production phenomenon. Therefore, from the perspective of digital mythology, the doomer meme is not only a network culture phenomenon but also a tool for identity construction in the digital age. As a cultural symbol spontaneously created by the younger generation in cyberspace, it not only reflects their reflection on society and personal identity but also carries their collective emotional expression. By combining personal experience with group narratives, the doomer meme provides young people with a new perspective. Researchers can use this perspective to interpret the social and economic pressures, loneliness, and uncertainty about the future that today</w:t>
      </w:r>
      <w:r>
        <w:rPr>
          <w:rFonts w:hint="default"/>
          <w:lang w:val="en-US" w:eastAsia="zh-CN"/>
        </w:rPr>
        <w:t>’</w:t>
      </w:r>
      <w:r>
        <w:rPr>
          <w:rFonts w:hint="eastAsia"/>
        </w:rPr>
        <w:t>s young people face.</w:t>
      </w:r>
    </w:p>
    <w:p w14:paraId="5BB0652B">
      <w:pPr>
        <w:rPr>
          <w:rFonts w:hint="eastAsia"/>
          <w:b/>
          <w:bCs/>
          <w:sz w:val="28"/>
          <w:szCs w:val="28"/>
        </w:rPr>
      </w:pPr>
      <w:r>
        <w:rPr>
          <w:rFonts w:hint="eastAsia"/>
          <w:b/>
          <w:bCs/>
          <w:sz w:val="28"/>
          <w:szCs w:val="28"/>
        </w:rPr>
        <w:t>Ontology</w:t>
      </w:r>
    </w:p>
    <w:p w14:paraId="29F57EBD">
      <w:pPr>
        <w:rPr>
          <w:rFonts w:hint="eastAsia"/>
        </w:rPr>
      </w:pPr>
    </w:p>
    <w:p w14:paraId="36552622">
      <w:pPr>
        <w:rPr>
          <w:rFonts w:hint="eastAsia"/>
        </w:rPr>
      </w:pPr>
      <w:r>
        <w:rPr>
          <w:rFonts w:hint="eastAsia"/>
        </w:rPr>
        <w:t>Ontology is a branch of philosophy that focuses on exploring questions about existence, essence, and the classification of entities. It analyzes these through their applications and significance in different fields, particularly within anthropological and philosophical contexts (Turska &amp; Ludwig, 2023). In these disciplines, the study of ontology not only helps us understand the way things exist but also delves into how culture, identity, and social interactions shape our worldview and understanding of knowledge. It provides us with a method to reveal the commonalities and differences across various domains and cultural contexts, offering valuable perspectives and theoretical frameworks for interdisciplinary research.</w:t>
      </w:r>
    </w:p>
    <w:p w14:paraId="5F359CF4">
      <w:pPr>
        <w:rPr>
          <w:rFonts w:hint="eastAsia"/>
        </w:rPr>
      </w:pPr>
    </w:p>
    <w:p w14:paraId="1618C032">
      <w:pPr>
        <w:rPr>
          <w:rFonts w:hint="eastAsia"/>
        </w:rPr>
      </w:pPr>
      <w:r>
        <w:rPr>
          <w:rFonts w:hint="eastAsia"/>
        </w:rPr>
        <w:t>The ontological perspective in my research is based on social constructivism. As a branch of constructivism, social constructivism emphasizes that the acquisition of knowledge is not just an individual cognitive process but is profoundly influenced by cooperation and shared meanings between individuals. Knowledge and meaning are jointly constructed through social interactions and shared cultural backgrounds, rather than being passively absorbed from the environment (Adams, 2006). This viewpoint provides a powerful tool for analyzing how young internet users co-construct emotions, identity, and cultural meanings through the interactions of social media and online culture within the doomer meme. Social constructivism also posits that phenomena do not emerge naturally. The birth of the doomer meme, as an internet subcultural phenomenon, ultimately stems from interactions between people and society. Therefore, the appearance of the doomer meme is not independent of society but is continuously constructed and redefined through social processes and interactions, providing profound theoretical support and an analytical framework for the core themes of my research.</w:t>
      </w:r>
    </w:p>
    <w:p w14:paraId="0D2FAC08">
      <w:pPr>
        <w:rPr>
          <w:rFonts w:hint="eastAsia"/>
        </w:rPr>
      </w:pPr>
    </w:p>
    <w:p w14:paraId="4A99734D">
      <w:pPr>
        <w:rPr>
          <w:rFonts w:hint="eastAsia"/>
        </w:rPr>
      </w:pPr>
      <w:r>
        <w:rPr>
          <w:rFonts w:hint="eastAsia"/>
        </w:rPr>
        <w:t>The social constructivism of ontology offers a systematic method for categorizing and defining core concepts and themes in my research. Through the lens of social constructivism, I can more clearly define and analyze complex social phenomena such as collective affect, identity, and collective memory behind the doomer meme. Particularly in the digital age, the doomer meme, as a cultural phenomenon, reflects both individual emotions and thoughts and has deep social construct characteristics. Using the framework of social constructivism to explore this phenomenon helps uncover the social and cultural roots and influences behind it.</w:t>
      </w:r>
    </w:p>
    <w:p w14:paraId="36377856">
      <w:pPr>
        <w:rPr>
          <w:rFonts w:hint="eastAsia"/>
        </w:rPr>
      </w:pPr>
    </w:p>
    <w:p w14:paraId="7EFDC61F">
      <w:pPr>
        <w:rPr>
          <w:rFonts w:hint="eastAsia"/>
        </w:rPr>
      </w:pPr>
    </w:p>
    <w:p w14:paraId="357114E5">
      <w:pPr>
        <w:rPr>
          <w:rFonts w:hint="eastAsia"/>
        </w:rPr>
      </w:pPr>
    </w:p>
    <w:p w14:paraId="7D53990F">
      <w:pPr>
        <w:rPr>
          <w:rFonts w:hint="eastAsia"/>
        </w:rPr>
      </w:pPr>
    </w:p>
    <w:p w14:paraId="52C1230A">
      <w:pPr>
        <w:rPr>
          <w:rFonts w:hint="eastAsia"/>
        </w:rPr>
      </w:pPr>
    </w:p>
    <w:p w14:paraId="7EDF4D3A">
      <w:pPr>
        <w:rPr>
          <w:rFonts w:hint="eastAsia"/>
        </w:rPr>
      </w:pPr>
    </w:p>
    <w:p w14:paraId="76A21778">
      <w:pPr>
        <w:rPr>
          <w:rFonts w:hint="eastAsia"/>
        </w:rPr>
      </w:pPr>
    </w:p>
    <w:p w14:paraId="72C56D98">
      <w:pPr>
        <w:rPr>
          <w:rFonts w:hint="eastAsia"/>
        </w:rPr>
      </w:pPr>
    </w:p>
    <w:p w14:paraId="1F42BF42">
      <w:pPr>
        <w:rPr>
          <w:rFonts w:hint="eastAsia"/>
        </w:rPr>
      </w:pPr>
    </w:p>
    <w:p w14:paraId="066EA3D1">
      <w:pPr>
        <w:rPr>
          <w:rFonts w:hint="eastAsia"/>
        </w:rPr>
      </w:pPr>
    </w:p>
    <w:p w14:paraId="7C2396AE">
      <w:pPr>
        <w:rPr>
          <w:rFonts w:hint="eastAsia"/>
        </w:rPr>
      </w:pPr>
    </w:p>
    <w:p w14:paraId="7E32D34A">
      <w:pPr>
        <w:rPr>
          <w:rFonts w:hint="eastAsia"/>
          <w:b/>
          <w:bCs/>
          <w:sz w:val="28"/>
          <w:szCs w:val="28"/>
        </w:rPr>
      </w:pPr>
      <w:r>
        <w:rPr>
          <w:rFonts w:hint="eastAsia"/>
          <w:b/>
          <w:bCs/>
          <w:sz w:val="28"/>
          <w:szCs w:val="28"/>
        </w:rPr>
        <w:t>Epistemology</w:t>
      </w:r>
    </w:p>
    <w:p w14:paraId="5F4AA247">
      <w:pPr>
        <w:rPr>
          <w:rFonts w:hint="eastAsia"/>
        </w:rPr>
      </w:pPr>
    </w:p>
    <w:p w14:paraId="55EF2F99">
      <w:pPr>
        <w:rPr>
          <w:rFonts w:hint="eastAsia"/>
        </w:rPr>
      </w:pPr>
      <w:r>
        <w:rPr>
          <w:rFonts w:hint="eastAsia"/>
        </w:rPr>
        <w:t>Traditionally, knowledge is defined as 'justified true belief.' Epistemology explores fundamental questions related to knowledge, such as its sources, the truth of knowledge, and how to validate its effectiveness. Classical epistemology has raised the dichotomy between mental representations and material reality, triggering inquiries into how accurately we can reflect the external objective world. Rationalists advocate for a priori knowledge, while empiricists emphasize posteriori knowledge derived from experience (Adams, 2006).</w:t>
      </w:r>
    </w:p>
    <w:p w14:paraId="3B2C3FBF">
      <w:pPr>
        <w:rPr>
          <w:rFonts w:hint="eastAsia"/>
        </w:rPr>
      </w:pPr>
    </w:p>
    <w:p w14:paraId="4860475B">
      <w:pPr>
        <w:rPr>
          <w:rFonts w:hint="eastAsia"/>
        </w:rPr>
      </w:pPr>
      <w:r>
        <w:rPr>
          <w:rFonts w:hint="eastAsia"/>
        </w:rPr>
        <w:t>My research involves how young people use oil painting to express the collective emotions behind the doomer meme. These emotions and memories are not simple objective facts but are meanings constructed through social interactions and cultural contexts. Therefore, interpretivism can help me better understand the subjective aspects of these phenomena. Interpretivism, originating from philosophers like Kant, focuses on individual actions and beliefs to understand the meanings and context behind these actions. It also emphasizes the importance of individual perception and interpretation in research. The methodology guided by interpretivism is based on subjective understanding of human behavior, believing that each individual's experiences and background influence their view of and interpretation of the world (Ryan, 2018). Thus, interpretivism requires researchers to provide subjective interpretations of human behavior and social phenomena, rather than relying on natural science methods, marking a significant difference from positivism.</w:t>
      </w:r>
    </w:p>
    <w:p w14:paraId="168AE050">
      <w:pPr>
        <w:rPr>
          <w:rFonts w:hint="eastAsia"/>
        </w:rPr>
      </w:pPr>
    </w:p>
    <w:p w14:paraId="30E237E9">
      <w:pPr>
        <w:rPr>
          <w:rFonts w:hint="eastAsia"/>
        </w:rPr>
      </w:pPr>
      <w:r>
        <w:rPr>
          <w:rFonts w:hint="eastAsia"/>
        </w:rPr>
        <w:t>Within the framework of interpretivism, I recognize that the acquisition of knowledge does not rely solely on objective facts. My observations and analyses are not completely objective but are influenced by personal experiences, cultural background, and the research context. I acquire knowledge through my subjective interpretations of phenomena. In the study of the doomer meme network subculture, I realize that my judgments are significantly related to my cultural background, value system, and research interests, which are inherently subjective. This subjectivity requires me to analyze the doomer meme cultural phenomenon within the context of the digital age, the psychological characteristics of young people, and the globalized social environment. This approach also reflects another feature of interpretivism: contextuality. Interpretivism posits that knowledge is always embedded in specific contexts, including social, cultural, historical, and personal backgrounds. Researchers need to pay attention to the specific context of phenomena and avoid analyzing them in isolation, thus gaining deeper understanding (Greeff, 2015). Therefore, interpretivism not only helps me explore the meaning of phenomena but also allows me to comprehensively analyze the connection between phenomena and social contexts. Although subjectivity may bring certain limitations, by continuously critiquing and validating my interpretations and integrating other perspectives, I ensure that my research retains reliability and persuasiveness.</w:t>
      </w:r>
    </w:p>
    <w:p w14:paraId="1DF91F95">
      <w:pPr>
        <w:rPr>
          <w:rFonts w:hint="eastAsia"/>
        </w:rPr>
      </w:pPr>
    </w:p>
    <w:p w14:paraId="754C30DA">
      <w:pPr>
        <w:rPr>
          <w:rFonts w:hint="eastAsia"/>
        </w:rPr>
      </w:pPr>
    </w:p>
    <w:p w14:paraId="1AD96963">
      <w:pPr>
        <w:rPr>
          <w:rFonts w:hint="eastAsia"/>
        </w:rPr>
      </w:pPr>
    </w:p>
    <w:p w14:paraId="15EBCF2B">
      <w:pPr>
        <w:rPr>
          <w:rFonts w:hint="eastAsia"/>
          <w:b/>
          <w:bCs/>
          <w:sz w:val="28"/>
          <w:szCs w:val="28"/>
        </w:rPr>
      </w:pPr>
      <w:r>
        <w:rPr>
          <w:rFonts w:hint="eastAsia"/>
          <w:b/>
          <w:bCs/>
          <w:sz w:val="28"/>
          <w:szCs w:val="28"/>
        </w:rPr>
        <w:t>Axiology</w:t>
      </w:r>
    </w:p>
    <w:p w14:paraId="51996891">
      <w:pPr>
        <w:rPr>
          <w:rFonts w:hint="eastAsia"/>
        </w:rPr>
      </w:pPr>
    </w:p>
    <w:p w14:paraId="2F3A7D77">
      <w:pPr>
        <w:rPr>
          <w:rFonts w:hint="eastAsia"/>
        </w:rPr>
      </w:pPr>
      <w:r>
        <w:rPr>
          <w:rFonts w:hint="eastAsia"/>
        </w:rPr>
        <w:t>Axiology is an important branch of philosophy that studies the nature of value, types of value, and the standards for value judgments. Existentialist value theory argues that value is a response to critical issues such as death, loneliness, and freedom. These responses reflect that each person's values are formed based on personal experience and the pursuit of life's meaning, rather than being determined by external social norms or objective standards (Baeva, 2012). In my research, the perspective of existentialist value theory helps me understand how young groups express their feelings about contemporary society, particularly their feelings of uncertainty, loneliness, and anxiety about the future.</w:t>
      </w:r>
    </w:p>
    <w:p w14:paraId="79DF7B25">
      <w:pPr>
        <w:rPr>
          <w:rFonts w:hint="eastAsia"/>
        </w:rPr>
      </w:pPr>
    </w:p>
    <w:p w14:paraId="582F2AF8">
      <w:pPr>
        <w:rPr>
          <w:rFonts w:hint="eastAsia"/>
        </w:rPr>
      </w:pPr>
      <w:r>
        <w:rPr>
          <w:rFonts w:hint="eastAsia"/>
        </w:rPr>
        <w:t>Some symbols that appear in the doomer meme and figurative paintings with doomer emotions, such as black, white, and gray color schemes, cool tones, and industrialized mass-produced products, often reflect the internal response of individuals facing the complexities of modern society. These symbols, through the creator's personal experience and emotions, materialize the anxiety, pressure, and uncertainty felt in the real world, allowing viewers not only to see the symbols themselves but also to feel the deeper value judgments behind these emotions. Therefore, the doomer meme is not only a cultural phenomenon but also a symbol of contemporary young people's emotions and thoughts. This emotion deeply reflects the existentialist questioning of the meaning of life.</w:t>
      </w:r>
    </w:p>
    <w:p w14:paraId="2E103F0F">
      <w:pPr>
        <w:rPr>
          <w:rFonts w:hint="eastAsia"/>
        </w:rPr>
      </w:pPr>
    </w:p>
    <w:p w14:paraId="5C3865EF">
      <w:pPr>
        <w:rPr>
          <w:rFonts w:hint="eastAsia"/>
        </w:rPr>
      </w:pPr>
      <w:r>
        <w:rPr>
          <w:rFonts w:hint="eastAsia"/>
        </w:rPr>
        <w:t>In conclusion, existentialist value theory provides an analytical framework that allows me to better understand how young people use the internet or oil painting as a medium to reflect their existential dilemmas in contemporary society and how these dilemmas shape their views on the world and self-identity.</w:t>
      </w:r>
    </w:p>
    <w:p w14:paraId="2F685489">
      <w:pPr>
        <w:rPr>
          <w:rFonts w:hint="eastAsia"/>
          <w:b/>
          <w:bCs/>
          <w:sz w:val="28"/>
          <w:szCs w:val="28"/>
        </w:rPr>
      </w:pPr>
      <w:r>
        <w:rPr>
          <w:rFonts w:hint="eastAsia"/>
          <w:b/>
          <w:bCs/>
          <w:sz w:val="28"/>
          <w:szCs w:val="28"/>
        </w:rPr>
        <w:t>Reliability, Validity, and Bias</w:t>
      </w:r>
    </w:p>
    <w:p w14:paraId="1A86EB31">
      <w:pPr>
        <w:rPr>
          <w:rFonts w:hint="eastAsia"/>
        </w:rPr>
      </w:pPr>
    </w:p>
    <w:p w14:paraId="6F6143A9">
      <w:pPr>
        <w:rPr>
          <w:rFonts w:hint="eastAsia"/>
          <w:b/>
          <w:bCs/>
          <w:sz w:val="24"/>
          <w:szCs w:val="24"/>
        </w:rPr>
      </w:pPr>
      <w:r>
        <w:rPr>
          <w:rFonts w:hint="eastAsia"/>
          <w:b/>
          <w:bCs/>
          <w:sz w:val="24"/>
          <w:szCs w:val="24"/>
        </w:rPr>
        <w:t>Concepts of Reliability and Validity</w:t>
      </w:r>
    </w:p>
    <w:p w14:paraId="72CA3B24">
      <w:pPr>
        <w:rPr>
          <w:rFonts w:hint="eastAsia"/>
        </w:rPr>
      </w:pPr>
      <w:r>
        <w:rPr>
          <w:rFonts w:hint="eastAsia"/>
        </w:rPr>
        <w:t>Reliability refers to the consistency of measurement tools in research, meaning whether relatively stable results can be obtained under different circumstances. The reliability of a measurement tool can be assessed in the following ways: First, stability, which tests whether the measurement results are consistent over time. Second, internal consistency, which tests whether different parts of the measurement tool assess the same content. Third, interrater reliability, which examines whether different evaluators provide consistent ratings of the same phenomenon (Kimberlin, 2008).</w:t>
      </w:r>
    </w:p>
    <w:p w14:paraId="6224295D">
      <w:pPr>
        <w:rPr>
          <w:rFonts w:hint="eastAsia"/>
        </w:rPr>
      </w:pPr>
    </w:p>
    <w:p w14:paraId="0C19F9BE">
      <w:pPr>
        <w:rPr>
          <w:rFonts w:hint="eastAsia"/>
        </w:rPr>
      </w:pPr>
      <w:r>
        <w:rPr>
          <w:rFonts w:hint="eastAsia"/>
        </w:rPr>
        <w:t>Validity refers to whether the interpretation of the research results aligns with the intended use of the measurement tool in the study (Kimberlin, 2008). There are three main ways to assess validity: First, content validity, which determines whether the measurement tool covers all necessary content. Second, construct validity, which tests whether the tool truly measures the theoretically defined concept. Finally, criterion-related validity, which examines whether the results align with other relevant results.</w:t>
      </w:r>
    </w:p>
    <w:p w14:paraId="0D1DEEE9">
      <w:pPr>
        <w:rPr>
          <w:rFonts w:hint="eastAsia"/>
        </w:rPr>
      </w:pPr>
    </w:p>
    <w:p w14:paraId="18E707E4">
      <w:pPr>
        <w:rPr>
          <w:rFonts w:hint="eastAsia"/>
          <w:b/>
          <w:bCs/>
          <w:sz w:val="24"/>
          <w:szCs w:val="24"/>
        </w:rPr>
      </w:pPr>
      <w:r>
        <w:rPr>
          <w:rFonts w:hint="eastAsia"/>
          <w:b/>
          <w:bCs/>
          <w:sz w:val="24"/>
          <w:szCs w:val="24"/>
        </w:rPr>
        <w:t>Philosophical Perspectives on Reliability and Validity</w:t>
      </w:r>
    </w:p>
    <w:p w14:paraId="34DE688B">
      <w:pPr>
        <w:rPr>
          <w:rFonts w:hint="eastAsia"/>
        </w:rPr>
      </w:pPr>
    </w:p>
    <w:p w14:paraId="7F44CF19">
      <w:pPr>
        <w:rPr>
          <w:rFonts w:hint="eastAsia"/>
          <w:b/>
          <w:bCs/>
        </w:rPr>
      </w:pPr>
      <w:r>
        <w:rPr>
          <w:rFonts w:hint="eastAsia"/>
          <w:b/>
          <w:bCs/>
        </w:rPr>
        <w:t>Reliability and Validity from a Social Constructivist Perspective</w:t>
      </w:r>
    </w:p>
    <w:p w14:paraId="3FD8F698">
      <w:pPr>
        <w:rPr>
          <w:rFonts w:hint="eastAsia"/>
        </w:rPr>
      </w:pPr>
      <w:r>
        <w:rPr>
          <w:rFonts w:hint="eastAsia"/>
        </w:rPr>
        <w:t>Social constructivism posits that social reality does not exist objectively but is constructed through continuous interaction and communication between people and the external world. From this perspective, I believe that the measurement tools in my research, such as art analysis and semi-structured interviews, focus more on identifying common themes or core ideas by analyzing different measurement results to establish the reliability and validity of the research. In the study Exploratory study of reciprocal parenting scale: based on social constructivist theory, the authors designed a research study based on social constructivism to explore the dynamic relationship between parents and children. Through extensive data collection, the authors confirmed the reliability and validity of the scale and emphasized the importance of context and interaction when assessing parenting-related constructs (Cha and Kweon, 2024).</w:t>
      </w:r>
    </w:p>
    <w:p w14:paraId="05BDF470">
      <w:pPr>
        <w:rPr>
          <w:rFonts w:hint="eastAsia"/>
        </w:rPr>
      </w:pPr>
      <w:r>
        <w:rPr>
          <w:rFonts w:hint="eastAsia"/>
        </w:rPr>
        <w:t>In my research, I plan to conduct face-to-face semi-structured interviews with contemporary figurative painters born after 1990. In the interviews, I will inquire about their personal experiences and the background of their creative works. These interviews will serve as measurement tools in my study. The assessment of reliability and validity will not rely solely on quantitative standardized test results but will be based on a comprehensive analysis of the interview results, observing whether a consistent, core idea can be extracted from the individual experiences of various artists.</w:t>
      </w:r>
    </w:p>
    <w:p w14:paraId="721FF009">
      <w:pPr>
        <w:rPr>
          <w:rFonts w:hint="eastAsia"/>
        </w:rPr>
      </w:pPr>
    </w:p>
    <w:p w14:paraId="4A1E7411">
      <w:pPr>
        <w:rPr>
          <w:rFonts w:hint="eastAsia"/>
        </w:rPr>
      </w:pPr>
    </w:p>
    <w:p w14:paraId="01339882">
      <w:pPr>
        <w:rPr>
          <w:rFonts w:hint="eastAsia"/>
          <w:b/>
          <w:bCs/>
        </w:rPr>
      </w:pPr>
      <w:r>
        <w:rPr>
          <w:rFonts w:hint="eastAsia"/>
          <w:b/>
          <w:bCs/>
        </w:rPr>
        <w:t>Reliability and Validity from an Interpretivist Perspective</w:t>
      </w:r>
    </w:p>
    <w:p w14:paraId="4C5034CE">
      <w:pPr>
        <w:rPr>
          <w:rFonts w:hint="eastAsia"/>
        </w:rPr>
      </w:pPr>
      <w:r>
        <w:rPr>
          <w:rFonts w:hint="eastAsia"/>
        </w:rPr>
        <w:t>Interpretivism emphasizes that the interpretation of phenomena is determined by human subjectivity. Different people may produce different interpretations. Thus, the subjective experiences of participants need special attention in the research process, and researchers must acknowledge that complete objectivity is not possible. Another feature of interpretivism, contextuality, suggests that human behavior and the resulting phenomena are influenced by specific situations and environments, which requires researchers to consider the contexts in which behaviors and phenomena occur. Even the same phenomenon may change in meaning depending on the context in which it arises.</w:t>
      </w:r>
    </w:p>
    <w:p w14:paraId="7D462607">
      <w:pPr>
        <w:rPr>
          <w:rFonts w:hint="eastAsia"/>
        </w:rPr>
      </w:pPr>
      <w:r>
        <w:rPr>
          <w:rFonts w:hint="eastAsia"/>
        </w:rPr>
        <w:t>In qualitative research, the validity and reliability of the study can be assessed through the dimensions of credibility, transferability, dependability, and confirmability (Wang, Hu, and Duan, 2024). From an interpretivist perspective, reliability and validity are not the ultimate goals of research but part of the research process itself. This perspective emphasizes the subjective agency of the researcher. Throughout data collection, analysis, and interpretation, the researcher should continuously reflect on their methods to improve rigor while considering the differences in how the same phenomenon may manifest in different contexts. By engaging in dynamic reflection and contextual comparison, the researcher can more effectively enhance the reliability and validity of the study.</w:t>
      </w:r>
    </w:p>
    <w:p w14:paraId="72CABAD6">
      <w:pPr>
        <w:rPr>
          <w:rFonts w:hint="eastAsia"/>
        </w:rPr>
      </w:pPr>
    </w:p>
    <w:p w14:paraId="30BDBABB">
      <w:pPr>
        <w:rPr>
          <w:rFonts w:hint="eastAsia"/>
        </w:rPr>
      </w:pPr>
    </w:p>
    <w:p w14:paraId="43C71AF6">
      <w:pPr>
        <w:rPr>
          <w:rFonts w:hint="eastAsia"/>
          <w:b/>
          <w:bCs/>
          <w:sz w:val="24"/>
          <w:szCs w:val="24"/>
        </w:rPr>
      </w:pPr>
      <w:r>
        <w:rPr>
          <w:rFonts w:hint="eastAsia"/>
          <w:b/>
          <w:bCs/>
          <w:sz w:val="24"/>
          <w:szCs w:val="24"/>
        </w:rPr>
        <w:t>Potential Biases and How to Mitigate Them</w:t>
      </w:r>
    </w:p>
    <w:p w14:paraId="5235D7B1">
      <w:pPr>
        <w:rPr>
          <w:rFonts w:hint="eastAsia"/>
        </w:rPr>
      </w:pPr>
    </w:p>
    <w:p w14:paraId="75A3F9AD">
      <w:pPr>
        <w:rPr>
          <w:rFonts w:hint="eastAsia"/>
        </w:rPr>
      </w:pPr>
      <w:r>
        <w:rPr>
          <w:rFonts w:hint="eastAsia"/>
        </w:rPr>
        <w:t>Limitations of Constructivist-Influenced Research Approaches</w:t>
      </w:r>
    </w:p>
    <w:p w14:paraId="710FD69A">
      <w:pPr>
        <w:rPr>
          <w:rFonts w:hint="eastAsia"/>
        </w:rPr>
      </w:pPr>
      <w:r>
        <w:rPr>
          <w:rFonts w:hint="eastAsia"/>
        </w:rPr>
        <w:t>Ontologically, constructivism in qualitative research has certain limitations. First, the diversity of constructivism may lead to inconsistencies in research methods. Different people may have different understandings of constructivist grounded theory (Nagel et al., 2015). My research involves Visual Analysis and Semiotic Analysis, both of which have constructivist foundations. Readers may question the rigor of my research methods or the congruence between the methods and ontology. Furthermore, combining constructivism with other paradigms may expand the limitations of qualitative research (Bogna, Raineri, and Dell, 2020). This multi-paradigm approach, while enriching our understanding of the data collected, may shift the focus of the research. My study involves exploring online subcultures, the history of traditional figurative painting, grotesque culture, and historical contexts, which could lead to these issues.</w:t>
      </w:r>
    </w:p>
    <w:p w14:paraId="2327707C">
      <w:pPr>
        <w:rPr>
          <w:rFonts w:hint="eastAsia"/>
        </w:rPr>
      </w:pPr>
    </w:p>
    <w:p w14:paraId="224D1140">
      <w:pPr>
        <w:rPr>
          <w:rFonts w:hint="eastAsia"/>
        </w:rPr>
      </w:pPr>
    </w:p>
    <w:p w14:paraId="1880B007">
      <w:pPr>
        <w:rPr>
          <w:rFonts w:hint="eastAsia"/>
        </w:rPr>
      </w:pPr>
      <w:r>
        <w:rPr>
          <w:rFonts w:hint="eastAsia"/>
        </w:rPr>
        <w:t>Limitations of Interpretivist-Influenced Research Approaches</w:t>
      </w:r>
    </w:p>
    <w:p w14:paraId="26A72DA0">
      <w:pPr>
        <w:rPr>
          <w:rFonts w:hint="eastAsia"/>
        </w:rPr>
      </w:pPr>
      <w:r>
        <w:rPr>
          <w:rFonts w:hint="eastAsia"/>
        </w:rPr>
        <w:t>Epistemologically, interpretivism has its own limitations in qualitative research. First, interpretivism may be influenced by the current academic environment, leading researchers to compromise in execution (Wignall, 1998), which could ultimately reduce the depth and richness of the research. My study focuses on how young figurative painters express the cultural themes of the doomer meme in their works, which is a subjective cultural analysis. However, the field of art research often leans towards traditional formalist or structuralist analysis methods. Under such rational and systematic frameworks, there might be more pressure to rely on quantitative data analysis, which could limit my interpretation of deeper cultural symbols in artworks. Second, the conclusions derived from interpretivist research may suffer from insufficient credibility. When qualitative research moves too far from scientific methods, becoming overly mystical or rigid, the credibility of the study may be questioned (Johnson, 1999). My research involves interpreting artists' works, which inherently carries strong subjective opinions and personal emotional undertones. These interpretations may be seen as lacking objectivity, thereby affecting the rigor of the research results.</w:t>
      </w:r>
    </w:p>
    <w:p w14:paraId="40F5E07D">
      <w:pPr>
        <w:rPr>
          <w:rFonts w:hint="eastAsia"/>
        </w:rPr>
      </w:pPr>
    </w:p>
    <w:p w14:paraId="4184885A">
      <w:pPr>
        <w:rPr>
          <w:rFonts w:hint="eastAsia"/>
        </w:rPr>
      </w:pPr>
    </w:p>
    <w:p w14:paraId="729A41BC">
      <w:pPr>
        <w:rPr>
          <w:rFonts w:hint="eastAsia"/>
          <w:b/>
          <w:bCs/>
        </w:rPr>
      </w:pPr>
      <w:r>
        <w:rPr>
          <w:rFonts w:hint="eastAsia"/>
          <w:b/>
          <w:bCs/>
        </w:rPr>
        <w:t>Measures to Mitigate Bias</w:t>
      </w:r>
    </w:p>
    <w:p w14:paraId="42788586">
      <w:pPr>
        <w:rPr>
          <w:rFonts w:hint="eastAsia"/>
        </w:rPr>
      </w:pPr>
      <w:r>
        <w:rPr>
          <w:rFonts w:hint="eastAsia"/>
        </w:rPr>
        <w:t>To address the potential biases in my research, I will take the following steps. Regarding the limitations of constructivist-influenced research, first, I will clarify the core concepts of social constructivism within the study. Then, using Visual Analysis and Semiotic Analysis, I will examine whether the narratives in the figurative paintings of young artists reflect collective affect in the doomer meme. Social constructivism emphasizes that people construct reality through social interaction and cultural background (Adams, 2006). Visual Analysis views images not just as static objects but as carriers of cultural, historical, and social meanings. Therefore, within the constructivist framework, it allows me to interpret the social and cultural contents behind these figurative paintings. Semiotic Analysis holds that the meanings of symbols are not inherent but are continually constructed through social and cultural interactions. From the perspective of social constructivism, meaning is constructed collectively through social environments and interactions. Therefore, when analyzing figurative paintings that exhibit doomer meme characteristics, I will not only consider individual subjective views but also contextualize these interpretations within today's internet culture.</w:t>
      </w:r>
    </w:p>
    <w:p w14:paraId="05D500D0">
      <w:pPr>
        <w:rPr>
          <w:rFonts w:hint="eastAsia"/>
        </w:rPr>
      </w:pPr>
      <w:r>
        <w:rPr>
          <w:rFonts w:hint="eastAsia"/>
        </w:rPr>
        <w:t>Second, to address the issue of multi-paradigm approaches potentially diluting the focus of the research, my response will be to first delineate the boundaries between different paradigms. Specific paradigms are matched to specific research questions. For example, constructivism will help me understand the symbolic meanings of figurative paintings that embody the doomerism mindset, while critical realism will be used to explore the social and historical backgrounds behind these paintings, such as the causes of youth anxiety in the digital age. Finally, I will clarify these distinctions for the readers, ensuring they understand the unique role of each paradigm and how they are integrated in my study.</w:t>
      </w:r>
    </w:p>
    <w:p w14:paraId="731A8D15">
      <w:pPr>
        <w:rPr>
          <w:rFonts w:hint="eastAsia"/>
        </w:rPr>
      </w:pPr>
      <w:r>
        <w:rPr>
          <w:rFonts w:hint="eastAsia"/>
        </w:rPr>
        <w:t>To mitigate the limitations of interpretivist-influenced research, I will first clarify the goals and methodology of my research. Throughout the study, I will adhere to the principles of interpretivism to ensure depth and richness in the analysis. Additionally, I will incorporate some quantitative research in the qualitative study by including quantifiable questions in the interviews with artists, such as how often they browse internet communities, their frequency of posting in online forums, etc. This approach will help avoid reliance on a single analytical framework and will balance the influence of the broader academic environment. To address potential issues with rigor, I will clearly define the methods and steps used in the interpretation, reducing subjectivity bias. For example, I will document how I interpret the symbols in artworks and the cultural context that informs my interpretation. I will also verify my conclusions by inviting the artists to provide feedback on my interpretations to ensure the reliability of my conclusions. Finally, I will increase the representativeness and diversity of my sample. In addition to analyzing the works of contemporary figurative painters reflecting the doomer meme, I will also analyze historical paintings with similar themes of nihilism and pessimism. By comparing the similarities and differences between works from different historical periods, I can broaden the sample size to enhance the credibility of my findings.</w:t>
      </w:r>
    </w:p>
    <w:p w14:paraId="2490FFF6">
      <w:pPr>
        <w:rPr>
          <w:rFonts w:hint="eastAsia"/>
          <w:b/>
          <w:bCs/>
          <w:sz w:val="28"/>
          <w:szCs w:val="28"/>
        </w:rPr>
      </w:pPr>
      <w:r>
        <w:rPr>
          <w:rFonts w:hint="eastAsia"/>
          <w:b/>
          <w:bCs/>
          <w:sz w:val="28"/>
          <w:szCs w:val="28"/>
        </w:rPr>
        <w:t>Ethical Considerations</w:t>
      </w:r>
    </w:p>
    <w:p w14:paraId="62E80A3F">
      <w:pPr>
        <w:rPr>
          <w:rFonts w:hint="eastAsia"/>
        </w:rPr>
      </w:pPr>
    </w:p>
    <w:p w14:paraId="40BEDB66">
      <w:pPr>
        <w:rPr>
          <w:rFonts w:hint="eastAsia"/>
          <w:lang w:val="en-US" w:eastAsia="zh-CN"/>
        </w:rPr>
      </w:pPr>
      <w:r>
        <w:rPr>
          <w:rFonts w:hint="eastAsia"/>
        </w:rPr>
        <w:t>There may be potential ethical issues arising from the use of Visual Analysis, Semiotic Analysis, and Semi-Structured Interviews to analyze the works of young figurative painters.</w:t>
      </w:r>
      <w:r>
        <w:rPr>
          <w:rFonts w:hint="eastAsia"/>
          <w:lang w:val="en-US" w:eastAsia="zh-CN"/>
        </w:rPr>
        <w:t xml:space="preserve"> </w:t>
      </w:r>
    </w:p>
    <w:p w14:paraId="58E439DB">
      <w:pPr>
        <w:rPr>
          <w:rFonts w:hint="eastAsia"/>
        </w:rPr>
      </w:pPr>
      <w:r>
        <w:rPr>
          <w:rFonts w:hint="eastAsia"/>
        </w:rPr>
        <w:t>Firstly, using Visual Analysis and Semiotic Analysis to interpret the works of young figurative painters could present the following potential ethical problems. First, analyzing these works with these methods might expose the artists’ private emotions and viewpoints to the public. This could lead to criticism from people with opposing opinions, especially if their works contain sensitive or controversial content. Second, the interpretation in Semiotic Analysis is influenced by personal subjectivity, which might introduce bias and deviate from the artist</w:t>
      </w:r>
      <w:r>
        <w:rPr>
          <w:rFonts w:hint="default"/>
          <w:lang w:val="en-US" w:eastAsia="zh-CN"/>
        </w:rPr>
        <w:t>’</w:t>
      </w:r>
      <w:r>
        <w:rPr>
          <w:rFonts w:hint="eastAsia"/>
          <w:lang w:val="en-US" w:eastAsia="zh-CN"/>
        </w:rPr>
        <w:t>s</w:t>
      </w:r>
      <w:r>
        <w:rPr>
          <w:rFonts w:hint="eastAsia"/>
        </w:rPr>
        <w:t xml:space="preserve"> original intent, affecting the validity and reliability of the research results.</w:t>
      </w:r>
    </w:p>
    <w:p w14:paraId="71B6AFD5">
      <w:pPr>
        <w:rPr>
          <w:rFonts w:hint="eastAsia"/>
        </w:rPr>
      </w:pPr>
      <w:r>
        <w:rPr>
          <w:rFonts w:hint="eastAsia"/>
        </w:rPr>
        <w:t>Secondly, conducting Semi-Structured Interviews with young figurative painters may lead to the following potential ethical issues. First, the public nature and recognizability of their works might inevitably expose the identity of the artists. Artists often showcase their works through public exhibitions. Therefore, even if an artist requests that their identity not be directly mentioned, readers may still link the work and artist through public channels when details of the works are discussed. Second, the interviews may touch on sensitive emotional issues and psychological trauma, as they involve asking about the artist’s background and creation process.</w:t>
      </w:r>
    </w:p>
    <w:p w14:paraId="17F9BE02">
      <w:pPr>
        <w:rPr>
          <w:rFonts w:hint="eastAsia"/>
        </w:rPr>
      </w:pPr>
      <w:r>
        <w:rPr>
          <w:rFonts w:hint="eastAsia"/>
        </w:rPr>
        <w:t>To address the potential ethical issues arising from these three research methods, the following possible effective measures are discussed in two parts.</w:t>
      </w:r>
    </w:p>
    <w:p w14:paraId="525D3349">
      <w:pPr>
        <w:rPr>
          <w:rFonts w:hint="eastAsia"/>
        </w:rPr>
      </w:pPr>
      <w:r>
        <w:rPr>
          <w:rFonts w:hint="eastAsia"/>
        </w:rPr>
        <w:t>Firstly, to mitigate potential ethical problems when using Visual Analysis and Semiotic Analysis to interpret the works of young figurative painters, the following measures can be implemented:</w:t>
      </w:r>
    </w:p>
    <w:p w14:paraId="78048AF0">
      <w:pPr>
        <w:rPr>
          <w:rFonts w:hint="eastAsia"/>
        </w:rPr>
      </w:pPr>
      <w:r>
        <w:rPr>
          <w:rFonts w:hint="eastAsia"/>
        </w:rPr>
        <w:t>Ensure that explicit written consent is obtained from the interviewed artists before any interpretation of their works or citation of interview content is presented to the public.</w:t>
      </w:r>
    </w:p>
    <w:p w14:paraId="40FB4954">
      <w:pPr>
        <w:rPr>
          <w:rFonts w:hint="eastAsia"/>
        </w:rPr>
      </w:pPr>
      <w:r>
        <w:rPr>
          <w:rFonts w:hint="eastAsia"/>
        </w:rPr>
        <w:t>To resolve the ethical issue of subjective influence leading to misinterpretation of the artist</w:t>
      </w:r>
      <w:r>
        <w:rPr>
          <w:rFonts w:hint="default"/>
          <w:lang w:val="en-US" w:eastAsia="zh-CN"/>
        </w:rPr>
        <w:t>’</w:t>
      </w:r>
      <w:r>
        <w:rPr>
          <w:rFonts w:hint="eastAsia"/>
          <w:lang w:val="en-US" w:eastAsia="zh-CN"/>
        </w:rPr>
        <w:t xml:space="preserve">s </w:t>
      </w:r>
      <w:r>
        <w:rPr>
          <w:rFonts w:hint="eastAsia"/>
        </w:rPr>
        <w:t>original intent, a feasible solution would be to provide the artists with feedback after the analysis is completed. Their opinions should be solicited to ensure that the interpretation aligns closely with their creative intent.</w:t>
      </w:r>
    </w:p>
    <w:p w14:paraId="4D064FBA">
      <w:pPr>
        <w:rPr>
          <w:rFonts w:hint="eastAsia"/>
        </w:rPr>
      </w:pPr>
      <w:r>
        <w:rPr>
          <w:rFonts w:hint="eastAsia"/>
        </w:rPr>
        <w:t>Secondly, to address the potential biases arising from Semi-Structured Interviews, the following measures can be taken:</w:t>
      </w:r>
      <w:r>
        <w:rPr>
          <w:rFonts w:hint="eastAsia"/>
          <w:lang w:val="en-US" w:eastAsia="zh-CN"/>
        </w:rPr>
        <w:t xml:space="preserve"> </w:t>
      </w:r>
      <w:r>
        <w:rPr>
          <w:rFonts w:hint="eastAsia"/>
        </w:rPr>
        <w:t>Regarding the issue of the public exposure of the artist</w:t>
      </w:r>
      <w:r>
        <w:rPr>
          <w:rFonts w:hint="default"/>
          <w:lang w:val="en-US" w:eastAsia="zh-CN"/>
        </w:rPr>
        <w:t>’</w:t>
      </w:r>
      <w:r>
        <w:rPr>
          <w:rFonts w:hint="eastAsia"/>
          <w:lang w:val="en-US" w:eastAsia="zh-CN"/>
        </w:rPr>
        <w:t>s</w:t>
      </w:r>
      <w:r>
        <w:rPr>
          <w:rFonts w:hint="eastAsia"/>
        </w:rPr>
        <w:t xml:space="preserve"> identity, artists should be asked beforehand whether they wish their works and identity to be publicly cited in the research, and they should be informed about the dissemination scope of the research results. For artists who agree to be public, their works can be cited by name and credited in the study to respect their contributions. For those who prefer not to be publicly identified, more flexible options can be provided. These options could range from complete anonymity (concealing all personal information and details of the works) to partial disclosure (works made public but the artist’s name not explicitly mentioned).</w:t>
      </w:r>
    </w:p>
    <w:p w14:paraId="1D9E81E6">
      <w:pPr>
        <w:rPr>
          <w:rFonts w:hint="eastAsia"/>
        </w:rPr>
      </w:pPr>
      <w:r>
        <w:rPr>
          <w:rFonts w:hint="eastAsia"/>
        </w:rPr>
        <w:t>To address the potential discomfort or emotional trauma caused by certain interview questions, the first step is to inform the interviewed artists in advance about the scope of the interview content to avoid sensitive topics. Furthermore, the artists and interviewer should be allowed to negotiate the questions during the interview. Lastly, the researcher should maintain empathy and an open attitude throughout the interview, avoiding biased language and creating a comfortable interview environment for the participants.</w:t>
      </w:r>
    </w:p>
    <w:p w14:paraId="52AAC397">
      <w:pPr>
        <w:rPr>
          <w:rFonts w:hint="eastAsia"/>
          <w:b/>
          <w:bCs/>
          <w:sz w:val="28"/>
          <w:szCs w:val="28"/>
        </w:rPr>
      </w:pPr>
      <w:r>
        <w:rPr>
          <w:rFonts w:hint="eastAsia"/>
          <w:b/>
          <w:bCs/>
          <w:sz w:val="28"/>
          <w:szCs w:val="28"/>
        </w:rPr>
        <w:t>Integration and Synthesis</w:t>
      </w:r>
    </w:p>
    <w:p w14:paraId="58805DE5">
      <w:pPr>
        <w:rPr>
          <w:rFonts w:hint="eastAsia"/>
          <w:b/>
          <w:bCs/>
          <w:sz w:val="28"/>
          <w:szCs w:val="28"/>
        </w:rPr>
      </w:pPr>
    </w:p>
    <w:p w14:paraId="26E203AC">
      <w:pPr>
        <w:rPr>
          <w:rFonts w:hint="eastAsia"/>
        </w:rPr>
      </w:pPr>
      <w:r>
        <w:rPr>
          <w:rFonts w:hint="eastAsia"/>
        </w:rPr>
        <w:t>In this report, I have outlined the theories that will appear in my research, discussing how constructivism as ontology and interpretivism as epistemology guide my research. I have also reflected on potential biases and ethical issues and proposed possible solutions. Then, I collected and analyzed the existing literature and case studies related to researching online subcultures and figurative oil painting. In the following section, I will critically analyze existing research by combining my understanding of epistemology and ontology. The research findings will propose a new narrative approach to contemporary figurative oil painting, aiming to solve the current dilemma of figurative oil painting being disconnected from the times.</w:t>
      </w:r>
    </w:p>
    <w:p w14:paraId="510AC401">
      <w:pPr>
        <w:rPr>
          <w:rFonts w:hint="eastAsia"/>
          <w:sz w:val="24"/>
          <w:szCs w:val="24"/>
        </w:rPr>
      </w:pPr>
    </w:p>
    <w:p w14:paraId="2732AFC3">
      <w:pPr>
        <w:rPr>
          <w:rFonts w:hint="eastAsia"/>
          <w:b/>
          <w:bCs/>
          <w:sz w:val="24"/>
          <w:szCs w:val="24"/>
        </w:rPr>
      </w:pPr>
      <w:r>
        <w:rPr>
          <w:rFonts w:hint="eastAsia"/>
          <w:b/>
          <w:bCs/>
          <w:sz w:val="24"/>
          <w:szCs w:val="24"/>
        </w:rPr>
        <w:t>Review of Existing Literature and Case Studies</w:t>
      </w:r>
    </w:p>
    <w:p w14:paraId="6A1D7249">
      <w:pPr>
        <w:rPr>
          <w:rFonts w:hint="eastAsia"/>
        </w:rPr>
      </w:pPr>
      <w:r>
        <w:rPr>
          <w:rFonts w:hint="eastAsia"/>
        </w:rPr>
        <w:t>Doomer is a term used in internet culture to describe a particular mindset or subculture characterized by feelings of pessimism, disillusionment, and hopelessness about the future. They often perceive societal problems such as economic instability, political corruption, and environmental degradation as insurmountable, leading to a sense of pessimism or fatalism (Dripta Sarangi, 2023). The term Doomer first appeared in 2008 in online communities discussing oil depletion and societal collapse, with early Doomers resembling Doomsday Preppers (Jason Ray, 2010). By 2018, the term had evolved into a widely recognized meme, originating on the anonymous imageboard 4chan. In the wake of the global economic recession, political conflicts, and the COVID-19 pandemic, a growing sense of pessimism spread among younger generations (Kristina Schellinski, 2021). Many individuals expressed these negative emotions through digital platforms, where the internet acted as a catalyst in aggregating and amplifying these sentiments, contributing to the spread of the Doomer meme and its eventual emergence as a cultural phenomenon.</w:t>
      </w:r>
    </w:p>
    <w:p w14:paraId="476BCA4A">
      <w:pPr>
        <w:rPr>
          <w:rFonts w:hint="eastAsia"/>
        </w:rPr>
      </w:pPr>
      <w:r>
        <w:rPr>
          <w:rFonts w:hint="eastAsia"/>
        </w:rPr>
        <w:t>On one hand, the deterioration of the social environment has given rise to the emergence of the Doomer meme. With the intensification of environmental crises, political unrest, and economic inequality, many young people feel a sense of despair about the future. The pressure from societal issues has led them to develop a pessimistic view about both personal and social futures. This meme reflects the sense of powerlessness and pessimism about the future that characterizes this generation. On the other hand, young people are accustomed to expressing themselves on the internet, where online communities amplify these sentiments. The internet and social media provide platforms for young people to express their emotions through memes and online communities. The Doomer meme is a product of this cultural phenomenon, where groups form identity by sharing common emotions and viewpoints, reinforcing collective pessimism and disappointment about the future.</w:t>
      </w:r>
    </w:p>
    <w:p w14:paraId="65333CAE">
      <w:pPr>
        <w:rPr>
          <w:rFonts w:hint="eastAsia"/>
        </w:rPr>
      </w:pPr>
      <w:r>
        <w:rPr>
          <w:rFonts w:hint="eastAsia"/>
        </w:rPr>
        <w:t>The growing significance of internet memes in shaping identity has been a subject of existing research. Studies have highlighted how memes serve as a medium for identity exploration among younger generations. For example, in the article Zoom Memes for Self-Quaranteens: Generational Humor, Identity, and Conflict During the Pandemic, the author reveals how young adults used memes to express their frustration and disappointment with older generations who downplayed the seriousness of COVID-19 during the pandemic (Aronson and Jaffal, 2022). This study underscores how memes not only reflect young people’s negative attitudes toward older generations but also enhance their sense of identity. Furthermore, the article Humor in Historical Memory: From an Anecdote and Caricature to an Internet Meme explores how internet memes combine public collective memory with popular culture, shaping public attitudes toward specific historical events (Artamonov, 2021). These studies provide valuable insights into how memes influence the identity formation of younger generations by shaping collective memory.</w:t>
      </w:r>
    </w:p>
    <w:p w14:paraId="2DACC222">
      <w:pPr>
        <w:rPr>
          <w:rFonts w:hint="eastAsia"/>
        </w:rPr>
      </w:pPr>
      <w:r>
        <w:rPr>
          <w:rFonts w:hint="eastAsia"/>
        </w:rPr>
        <w:t>However, there is still a lack of research on how traditional mediums, such as oil painting, can similarly reflect the collective memory of young generations born after the 1990s, particularly in relation to the Doomer meme and digital subcultures. By addressing this gap, this study will contribute to a deeper understanding of how contemporary figurative oil painting can reflect collective memory and generational identity, particularly in the context of digital and subcultural phenomena like the Doomer meme.</w:t>
      </w:r>
    </w:p>
    <w:p w14:paraId="10522AA6">
      <w:pPr>
        <w:rPr>
          <w:rFonts w:hint="eastAsia"/>
        </w:rPr>
      </w:pPr>
      <w:r>
        <w:rPr>
          <w:rFonts w:hint="eastAsia"/>
        </w:rPr>
        <w:t>The research attempts to explore whether the collective affect behind the 1990s-born youth, represented by the Doomer meme, can also be expressed through traditional media outside of internet culture. This leads to the consideration of Symbolism, an art movement that emerged in the late 19th century. Symbolism in painting expresses emotions, thoughts, and spiritual experiences through symbols, rather than direct imitation of external reality. It emphasizes subjectivity and inner experience, opposing the realistic and naturalistic imitation of the objective world (Goldwater, 2018).</w:t>
      </w:r>
    </w:p>
    <w:p w14:paraId="5ADB58CE">
      <w:pPr>
        <w:rPr>
          <w:rFonts w:hint="eastAsia"/>
        </w:rPr>
      </w:pPr>
      <w:r>
        <w:rPr>
          <w:rFonts w:hint="eastAsia"/>
        </w:rPr>
        <w:t>In terms of narrative style, Symbolist painting shares certain similarities with contemporary figurative oil painting that conveys Doomer-like emotions. The research article Symbolist Landscapes: The Place of Painting in the Poetry and Criticism of Mallarmé and His Circle introduces the works of poets and critics related to the late 19th-century French Symbolist movement, such as Mallarmé, Kahn, and Jarry. The article also emphasizes how visual arts can serve as a means to convey deep emotions and abstract thoughts, aligning with the Symbolist spirit of evoking rather than depicting reality (Kearns, 1989). Symbolist painting does not attempt to present a mimetic reality to the viewer as traditional figurative oil painting did, but instead evokes associations through metaphor. For example, the German Symbolist painter Franz von Stuck, whose work, while still figurative in style and based on mythological subjects, differs greatly in narrative from both classical and realist traditions. He used mythological figures as metaphorical symbols to convey the unease and anxiety felt by people in his era (Meij, 2016). In Lucifer, as the fallen angel, his posture of solitude and angry gaze suggest a profound reflection on the existence of freedom, similar to the “absurdity of existence” in existential philosophy (Camus, 2013). In Head of Medusa, Stuck makes Medusa a symbol of emotional fear — fear of self-destructive power and deep unease about an unknowable fate. This symbolic expression of emotion bears similarities to the use of symbols in contemporary oil paintings with Doomer-like emotions. Both transform concrete images into emotional vessels, allowing the viewer to resonate internally through the image.Both use symbols of reality to avoid directly depicting it, guiding the viewer to uncover deeper meanings behind the work through their own understanding. This narrative approach not only enhances the universality of the work but also enables the image to resonate across different cultures and eras, offering the viewer space for emotional and philosophical reflection.</w:t>
      </w:r>
    </w:p>
    <w:p w14:paraId="746713B4">
      <w:pPr>
        <w:rPr>
          <w:rFonts w:hint="eastAsia"/>
        </w:rPr>
      </w:pPr>
      <w:r>
        <w:rPr>
          <w:rFonts w:hint="eastAsia"/>
        </w:rPr>
        <w:t>From a social constructivist perspective, comparing the historical contexts of the emergence of Symbolism and the Doomer meme reveals that both reflect common human emotions during specific historical periods, particularly reflecting on identity and societal dilemmas. The research article Decoration and Symbolism in the Late Works of Odilon Redon focuses on the French painter Odilon Redon to explore the development and characteristics of Symbolist painting (Yoder, 2017). Symbolism arose in the second half of the 19th century, a time when the Industrial Revolution in Europe brought about significant social changes. The modern life brought by industrialization and urbanization caused feelings of alienation and anxiety among people. At the same time, rising European nationalism and unstable political situations in the regions created a tense atmosphere before the war. This collective anxiety was a response to the societal crises of that time. Symbolism used figurative oil painting as a medium to express metaphorical emotions and philosophical reflections. Similarly, can the collective affect behind the Doomer meme also be expressed by young artists through figurative oil painting? My research aims to identify how this collective affect, present among young figurative painters, may be expressed and categorized as a new style and characteristic of figurative oil painting. Furthermore, it seeks to argue that this contemporary figurative oil painting approach is an innovation of the traditional medium of figurative oil painting.</w:t>
      </w:r>
    </w:p>
    <w:p w14:paraId="1F4F86FB">
      <w:pPr>
        <w:rPr>
          <w:rFonts w:hint="eastAsia"/>
        </w:rPr>
      </w:pPr>
      <w:r>
        <w:rPr>
          <w:rFonts w:hint="eastAsia"/>
        </w:rPr>
        <w:t>Most existing studies on the Doomer meme, from an epistemological perspective, focus on quantitative analysis. For instance, the study Internet Memes Often Form Cohesive Networks conducted a quantitative analysis of 1,013 meme instances, including videos, images, and texts, to explore the structural patterns of internet memes (Segev, Villar, &amp; Fiske, 2015). Another article, Are Memes Selfish? How Internet Memes Reflect Crisis–Covid-19 Pandemic in Israel, collected the 25 most liked memes from the two largest Facebook groups in Israel during the COVID-19 pandemic, totaling 597 memes. Through quantitative and qualitative analysis, the study concluded that meme culture effectively reflects the state of society and the challenges it faces (Laor, 2023). These articles provide valuable data support for my research. However, my focus is on exploring how the collective affect behind the Doomer meme influences the work of young figurative painters. Rather than simply quantifying their online spread, my research delves into the meanings behind the Doomer meme and the works of young figurative painters.</w:t>
      </w:r>
    </w:p>
    <w:p w14:paraId="0A204113">
      <w:pPr>
        <w:rPr>
          <w:rFonts w:hint="eastAsia"/>
        </w:rPr>
      </w:pPr>
      <w:r>
        <w:rPr>
          <w:rFonts w:hint="eastAsia"/>
        </w:rPr>
        <w:t>Interpretivism, as an epistemological approach, holds that knowledge comes not only from quantitative data but also from the interpretation and understanding of complex cultural phenomena. Therefore, I will employ qualitative research methods, such as visual analysis and semiotic analysis, to interpret the works of young figurative painters. This will allow me to gain a deeper understanding of young people's existential dilemmas and anxieties. In contrast to previous studies on the Doomer meme's birth and spread in online subcultures, my research takes an interdisciplinary approach to uncover the collective affect behind the Doomer meme and merge it with oil painting. This research aims to fill the gap in the exploration of artistic creation in the digital age, advancing the understanding of the relationship between cultural identity, artistic forms, and social dilemmas.</w:t>
      </w:r>
    </w:p>
    <w:p w14:paraId="3A3025FC">
      <w:pPr>
        <w:rPr>
          <w:rFonts w:hint="eastAsia"/>
        </w:rPr>
      </w:pPr>
    </w:p>
    <w:p w14:paraId="6C4DE1E0">
      <w:pPr>
        <w:rPr>
          <w:rFonts w:hint="eastAsia"/>
          <w:b/>
          <w:bCs/>
          <w:sz w:val="24"/>
          <w:szCs w:val="24"/>
        </w:rPr>
      </w:pPr>
      <w:r>
        <w:rPr>
          <w:rFonts w:hint="eastAsia"/>
          <w:b/>
          <w:bCs/>
          <w:sz w:val="24"/>
          <w:szCs w:val="24"/>
        </w:rPr>
        <w:t>Innovation of the Research</w:t>
      </w:r>
    </w:p>
    <w:p w14:paraId="6D65C097">
      <w:pPr>
        <w:rPr>
          <w:rFonts w:hint="eastAsia"/>
        </w:rPr>
      </w:pPr>
      <w:r>
        <w:rPr>
          <w:rFonts w:hint="eastAsia"/>
        </w:rPr>
        <w:t>Traditional figurative oil painting, with its focus on grand narratives, does not align with the lived experiences of modern life. As a result, this medium has gradually been overlooked by contemporary artists (Craig Staff, 2019). Therefore, my research explores the artistic practice of combining contemporary figurative oil painting with the narrative experiences of people in the digital age. Ultimately, it seeks to create a new artistic methodology, offering artists fresh perspectives on choosing mediums to express their thematic ideas. I was born after 1990 and have been creating figurative oil paintings for 9 years. Both my age and identity fit the definition of a young figurative painter. Next, I will use one of my own oil painting practice works as an example to discuss how this contemporary figurative oil painting practice, reflecting the collective affect behind the doomer meme, is innovative compared to traditional figurative oil painting.</w:t>
      </w:r>
    </w:p>
    <w:p w14:paraId="019BD75B">
      <w:pPr>
        <w:rPr>
          <w:rFonts w:hint="eastAsia"/>
        </w:rPr>
      </w:pPr>
      <w:r>
        <w:rPr>
          <w:rFonts w:hint="eastAsia"/>
        </w:rPr>
        <w:t>Firstly, in terms of subject matter selection, unlike traditional figurative oil paintings that reproduce specific physical spaces, in my most recent oil painting practice, I attempted not to depict a concrete physical space but to reconstruct a virtual space using real-world elements. In this practice work, we can see real-world elements like balloons, futuristic-style buildings, and amusement park slides. These elements are associated with a popular art style known as dreamcore. Dreamcore originated from a supernatural theme in the anonymous chat board 4chan. Users in this theme shared a series of images designed to evoke discomfort and nostalgia. While dreamcore is not directly related to the doomer meme, there are similarities in why both became popular. Young people, dissatisfied with reality, want to return to the warmth of their childhood, but childhood is irretrievably gone, turning nostalgia into a nightmare (Wu, 2022). Therefore, I chose these nostalgic real-world elements as symbols in my painting to express my pessimistic emotions about reality. I also tried to use my painting to awaken the collective affect of pessimism and fatalism in the audience, hoping to achieve emotional resonance between the creator and the viewers.</w:t>
      </w:r>
    </w:p>
    <w:p w14:paraId="6C621934">
      <w:pPr>
        <w:rPr>
          <w:rFonts w:hint="eastAsia"/>
        </w:rPr>
      </w:pPr>
      <w:r>
        <w:rPr>
          <w:rFonts w:hint="eastAsia"/>
        </w:rPr>
        <w:t>In terms of narrative, I divided the painting into numerous small narrative spaces. Unlike traditional figurative painting, which serves a single narrative storyline, my work chose a fragmented narrative approach. The article 'SHORT-FORM VIDEO CONTENT AND CONSUMER ENGAGEMENT IN DIGITAL LANDSCAPES' notes that short videos, being information-dense, are more likely to capture modern audiences' attention. This indicates that people in the digital age tend to accept this fragmented, high-information narrative format. Therefore, my work responds to this trend by using fragmented storytelling to break the traditional linear structure of figurative painting, attempting to showcase the complexity of contemporary life from multiple perspectives. This narrative structure is more likely to engage viewers and enhance the work's appeal.</w:t>
      </w:r>
    </w:p>
    <w:p w14:paraId="4758230E">
      <w:pPr>
        <w:rPr>
          <w:rFonts w:hint="eastAsia"/>
        </w:rPr>
      </w:pPr>
    </w:p>
    <w:p w14:paraId="5CF14F12">
      <w:pPr>
        <w:rPr>
          <w:rFonts w:hint="eastAsia"/>
          <w:b/>
          <w:bCs/>
          <w:sz w:val="24"/>
          <w:szCs w:val="24"/>
        </w:rPr>
      </w:pPr>
    </w:p>
    <w:p w14:paraId="2B4C9446">
      <w:pPr>
        <w:rPr>
          <w:rFonts w:hint="eastAsia"/>
          <w:b/>
          <w:bCs/>
          <w:sz w:val="24"/>
          <w:szCs w:val="24"/>
        </w:rPr>
      </w:pPr>
      <w:r>
        <w:rPr>
          <w:rFonts w:hint="eastAsia"/>
          <w:b/>
          <w:bCs/>
          <w:sz w:val="24"/>
          <w:szCs w:val="24"/>
        </w:rPr>
        <w:t>Conclusion</w:t>
      </w:r>
    </w:p>
    <w:p w14:paraId="2BC2EDBF">
      <w:pPr>
        <w:rPr>
          <w:rFonts w:hint="eastAsia"/>
        </w:rPr>
      </w:pPr>
      <w:r>
        <w:rPr>
          <w:rFonts w:hint="eastAsia"/>
        </w:rPr>
        <w:t>In my research, I explored how to combine traditional figurative oil painting with the collective emotions of people in the digital age, attempting to provide contemporary artists with new choices of medium and expression methods. This innovative practice not only breaks the single narrative model of traditional figurative oil painting but also uses fragmented storytelling and real-world elements to demonstrate the complexity of emotions and thoughts in the digital age. Through my artwork, I aim to express the contemporary young generation's disappointment and escapism, while triggering emotional resonance with the audience. As digital culture rapidly develops, traditional art forms face great challenges in expressing contemporary themes. In response to this challenge, I strive to bring new life and vitality to figurative oil painting. This research not only enriches the expressive forms of oil painting but also provides new creative paths for artists, promoting a deep dialogue between artistic practice and the culture of the times.</w:t>
      </w:r>
    </w:p>
    <w:p w14:paraId="32561086">
      <w:pPr>
        <w:rPr>
          <w:rFonts w:hint="eastAsia"/>
        </w:rPr>
      </w:pPr>
    </w:p>
    <w:p w14:paraId="1B47BC32">
      <w:pPr>
        <w:rPr>
          <w:rFonts w:hint="eastAsia"/>
          <w:b/>
          <w:bCs/>
          <w:sz w:val="30"/>
          <w:szCs w:val="30"/>
          <w:lang w:val="en-US" w:eastAsia="zh-CN"/>
        </w:rPr>
      </w:pPr>
      <w:r>
        <w:rPr>
          <w:rFonts w:hint="eastAsia"/>
          <w:b/>
          <w:bCs/>
          <w:sz w:val="30"/>
          <w:szCs w:val="30"/>
          <w:lang w:val="en-US" w:eastAsia="zh-CN"/>
        </w:rPr>
        <w:t>Reference</w:t>
      </w:r>
    </w:p>
    <w:p w14:paraId="1A7133A1">
      <w:pPr>
        <w:rPr>
          <w:rFonts w:hint="eastAsia"/>
          <w:b/>
          <w:bCs/>
          <w:sz w:val="30"/>
          <w:szCs w:val="30"/>
          <w:lang w:val="en-US" w:eastAsia="zh-CN"/>
        </w:rPr>
      </w:pPr>
    </w:p>
    <w:p w14:paraId="0CAA4661">
      <w:pPr>
        <w:rPr>
          <w:rFonts w:hint="eastAsia"/>
          <w:lang w:val="en-US" w:eastAsia="zh-CN"/>
        </w:rPr>
      </w:pPr>
      <w:bookmarkStart w:id="0" w:name="_GoBack"/>
      <w:bookmarkEnd w:id="0"/>
      <w:r>
        <w:rPr>
          <w:rFonts w:hint="eastAsia"/>
          <w:lang w:val="en-US" w:eastAsia="zh-CN"/>
        </w:rPr>
        <w:t xml:space="preserve">Rösler, B.G. and Ryan, L. (2011) ‘Impact’, M/C journal, 14(6). Available at: https://doi.org/10.5204/mcj.455. </w:t>
      </w:r>
    </w:p>
    <w:p w14:paraId="18D3E7AE">
      <w:pPr>
        <w:rPr>
          <w:rFonts w:hint="eastAsia"/>
          <w:lang w:val="en-US" w:eastAsia="zh-CN"/>
        </w:rPr>
      </w:pPr>
    </w:p>
    <w:p w14:paraId="75327027">
      <w:pPr>
        <w:rPr>
          <w:rFonts w:hint="eastAsia"/>
          <w:lang w:val="en-US" w:eastAsia="zh-CN"/>
        </w:rPr>
      </w:pPr>
    </w:p>
    <w:p w14:paraId="2452C019">
      <w:pPr>
        <w:rPr>
          <w:rFonts w:hint="eastAsia"/>
          <w:lang w:val="en-US" w:eastAsia="zh-CN"/>
        </w:rPr>
      </w:pPr>
      <w:r>
        <w:rPr>
          <w:rFonts w:hint="eastAsia"/>
          <w:lang w:val="en-US" w:eastAsia="zh-CN"/>
        </w:rPr>
        <w:t xml:space="preserve">Ran, B. and Golden, T.J. (2011) ‘Who Are We?: The Social Construction of Organizational Identity Through Sense-Exchanging’, Administration &amp; society, 43(4), pp. 417–445. Available at: https://doi.org/10.1177/0095399711412727.  </w:t>
      </w:r>
    </w:p>
    <w:p w14:paraId="789C6F3D">
      <w:pPr>
        <w:rPr>
          <w:rFonts w:hint="eastAsia"/>
          <w:lang w:val="en-US" w:eastAsia="zh-CN"/>
        </w:rPr>
      </w:pPr>
    </w:p>
    <w:p w14:paraId="7E92429E">
      <w:pPr>
        <w:rPr>
          <w:rFonts w:hint="eastAsia"/>
          <w:lang w:val="en-US" w:eastAsia="zh-CN"/>
        </w:rPr>
      </w:pPr>
    </w:p>
    <w:p w14:paraId="3508523B">
      <w:pPr>
        <w:rPr>
          <w:rFonts w:hint="eastAsia"/>
          <w:lang w:val="en-US" w:eastAsia="zh-CN"/>
        </w:rPr>
      </w:pPr>
      <w:r>
        <w:rPr>
          <w:rFonts w:hint="eastAsia"/>
          <w:lang w:val="en-US" w:eastAsia="zh-CN"/>
        </w:rPr>
        <w:t>Zuckerman, N. (2015) ‘Heidegger and the Essence of Dasein’, The Southern journal of philosophy, 53(4), pp. 493–516. Available at: https://doi.org/10.1111/sjp.12151.</w:t>
      </w:r>
    </w:p>
    <w:p w14:paraId="0500BABB">
      <w:pPr>
        <w:rPr>
          <w:rFonts w:hint="eastAsia"/>
          <w:lang w:val="en-US" w:eastAsia="zh-CN"/>
        </w:rPr>
      </w:pPr>
    </w:p>
    <w:p w14:paraId="0EB07388">
      <w:pPr>
        <w:rPr>
          <w:rFonts w:hint="eastAsia"/>
          <w:lang w:val="en-US" w:eastAsia="zh-CN"/>
        </w:rPr>
      </w:pPr>
    </w:p>
    <w:p w14:paraId="6A5A6AA1">
      <w:pPr>
        <w:rPr>
          <w:rFonts w:hint="eastAsia"/>
          <w:lang w:val="en-US" w:eastAsia="zh-CN"/>
        </w:rPr>
      </w:pPr>
    </w:p>
    <w:p w14:paraId="42E8764E">
      <w:pPr>
        <w:rPr>
          <w:rFonts w:hint="eastAsia"/>
          <w:lang w:val="en-US" w:eastAsia="zh-CN"/>
        </w:rPr>
      </w:pPr>
      <w:r>
        <w:rPr>
          <w:rFonts w:hint="eastAsia"/>
          <w:lang w:val="en-US" w:eastAsia="zh-CN"/>
        </w:rPr>
        <w:t xml:space="preserve"> MAŁECKA, A. and MRÓZ, P. (2021) ‘THE HEIDEGGERIAN CONCEPT OF DASEIN AND ITS ONTOLOGICAL MODALITY: DAS MAN’, Horizon. Fenomenologičeskie issledovanija, 10(1), pp. 45–60. Available at: https://doi.org/10.21638/2226-5260-2021-10-1-45-60. </w:t>
      </w:r>
    </w:p>
    <w:p w14:paraId="4F27E5EE">
      <w:pPr>
        <w:rPr>
          <w:rFonts w:hint="eastAsia"/>
          <w:lang w:val="en-US" w:eastAsia="zh-CN"/>
        </w:rPr>
      </w:pPr>
    </w:p>
    <w:p w14:paraId="4262C1A4">
      <w:pPr>
        <w:rPr>
          <w:rFonts w:hint="eastAsia"/>
          <w:lang w:val="en-US" w:eastAsia="zh-CN"/>
        </w:rPr>
      </w:pPr>
    </w:p>
    <w:p w14:paraId="66671683">
      <w:pPr>
        <w:rPr>
          <w:rFonts w:hint="eastAsia"/>
          <w:lang w:val="en-US" w:eastAsia="zh-CN"/>
        </w:rPr>
      </w:pPr>
      <w:r>
        <w:rPr>
          <w:rFonts w:hint="eastAsia"/>
          <w:lang w:val="en-US" w:eastAsia="zh-CN"/>
        </w:rPr>
        <w:t xml:space="preserve">  </w:t>
      </w:r>
    </w:p>
    <w:p w14:paraId="05AEB243">
      <w:pPr>
        <w:rPr>
          <w:rFonts w:hint="eastAsia"/>
          <w:lang w:val="en-US" w:eastAsia="zh-CN"/>
        </w:rPr>
      </w:pPr>
      <w:r>
        <w:rPr>
          <w:rFonts w:hint="eastAsia"/>
          <w:lang w:val="en-US" w:eastAsia="zh-CN"/>
        </w:rPr>
        <w:t xml:space="preserve">  Haj’jari, M.-J., Maleki, N. and Hooti, N. (2018) ‘Dasein’s “Potentiality-for-Being“ in a Wasteland: The Case of Auster’s In the Country of Last Things’, Anafora (Osijek, Croatia), 5(1), pp. 157–181. Available at: https://doi.org/10.29162/ANAFORA.v5i1.6. </w:t>
      </w:r>
    </w:p>
    <w:p w14:paraId="3E04F247">
      <w:pPr>
        <w:rPr>
          <w:rFonts w:hint="eastAsia"/>
          <w:lang w:val="en-US" w:eastAsia="zh-CN"/>
        </w:rPr>
      </w:pPr>
    </w:p>
    <w:p w14:paraId="7FE80B20">
      <w:pPr>
        <w:rPr>
          <w:rFonts w:hint="eastAsia"/>
          <w:lang w:val="en-US" w:eastAsia="zh-CN"/>
        </w:rPr>
      </w:pPr>
    </w:p>
    <w:p w14:paraId="3E60F317">
      <w:pPr>
        <w:rPr>
          <w:rFonts w:hint="eastAsia"/>
          <w:lang w:val="en-US" w:eastAsia="zh-CN"/>
        </w:rPr>
      </w:pPr>
      <w:r>
        <w:rPr>
          <w:rFonts w:hint="eastAsia"/>
          <w:lang w:val="en-US" w:eastAsia="zh-CN"/>
        </w:rPr>
        <w:t xml:space="preserve">  Rezvushkina, S.A. (2023) ‘On the place of the mythology of technology in contemporary digital studies’, Izvestiâ Saratovskogo universiteta. Novaâ seriâ. Seriâ Filosofiâ. Psihologiâ. Pedagogika (Online), 23(3), pp. 282–286. Available at: https://doi.org/10.18500/1819-7671-2023-23-3-282-286. </w:t>
      </w:r>
    </w:p>
    <w:p w14:paraId="09CF4C4D">
      <w:pPr>
        <w:rPr>
          <w:rFonts w:hint="eastAsia"/>
          <w:lang w:val="en-US" w:eastAsia="zh-CN"/>
        </w:rPr>
      </w:pPr>
    </w:p>
    <w:p w14:paraId="7DBBB89F">
      <w:pPr>
        <w:rPr>
          <w:rFonts w:hint="eastAsia"/>
          <w:lang w:val="en-US" w:eastAsia="zh-CN"/>
        </w:rPr>
      </w:pPr>
    </w:p>
    <w:p w14:paraId="0876585C">
      <w:pPr>
        <w:rPr>
          <w:rFonts w:hint="eastAsia"/>
          <w:lang w:val="en-US" w:eastAsia="zh-CN"/>
        </w:rPr>
      </w:pPr>
      <w:r>
        <w:rPr>
          <w:rFonts w:hint="eastAsia"/>
          <w:lang w:val="en-US" w:eastAsia="zh-CN"/>
        </w:rPr>
        <w:t xml:space="preserve">  Asimos, V.M. (2019) The ‘Slender Man’ mythos : a structuralist analysis of an online mythology. ProQuest Dissertations &amp; Theses.   </w:t>
      </w:r>
    </w:p>
    <w:p w14:paraId="7F8F2301">
      <w:pPr>
        <w:rPr>
          <w:rFonts w:hint="eastAsia"/>
          <w:lang w:val="en-US" w:eastAsia="zh-CN"/>
        </w:rPr>
      </w:pPr>
    </w:p>
    <w:p w14:paraId="2CA97919">
      <w:pPr>
        <w:rPr>
          <w:rFonts w:hint="eastAsia"/>
          <w:lang w:val="en-US" w:eastAsia="zh-CN"/>
        </w:rPr>
      </w:pPr>
    </w:p>
    <w:p w14:paraId="7A7350F7">
      <w:pPr>
        <w:rPr>
          <w:rFonts w:hint="eastAsia"/>
          <w:lang w:val="en-US" w:eastAsia="zh-CN"/>
        </w:rPr>
      </w:pPr>
    </w:p>
    <w:p w14:paraId="15BDFE20">
      <w:pPr>
        <w:rPr>
          <w:rFonts w:hint="eastAsia"/>
          <w:lang w:val="en-US" w:eastAsia="zh-CN"/>
        </w:rPr>
      </w:pPr>
      <w:r>
        <w:rPr>
          <w:rFonts w:hint="eastAsia"/>
          <w:lang w:val="en-US" w:eastAsia="zh-CN"/>
        </w:rPr>
        <w:t xml:space="preserve"> Turska, J.J. and Ludwig, D. (2023) ‘Back by popular demand, ontology: Productive tensions between anthropological and philosophical approaches to ontology’, Synthese (Dordrecht), 202(2), pp. 39-. Available at: https://doi.org/10.1007/s11229-023-04243-x. </w:t>
      </w:r>
    </w:p>
    <w:p w14:paraId="5C47ED15">
      <w:pPr>
        <w:rPr>
          <w:rFonts w:hint="eastAsia"/>
          <w:lang w:val="en-US" w:eastAsia="zh-CN"/>
        </w:rPr>
      </w:pPr>
    </w:p>
    <w:p w14:paraId="0AD5FF10">
      <w:pPr>
        <w:rPr>
          <w:rFonts w:hint="eastAsia"/>
          <w:lang w:val="en-US" w:eastAsia="zh-CN"/>
        </w:rPr>
      </w:pPr>
    </w:p>
    <w:p w14:paraId="57A57D54">
      <w:pPr>
        <w:rPr>
          <w:rFonts w:hint="eastAsia"/>
          <w:lang w:val="en-US" w:eastAsia="zh-CN"/>
        </w:rPr>
      </w:pPr>
    </w:p>
    <w:p w14:paraId="0BDAEE60">
      <w:pPr>
        <w:rPr>
          <w:rFonts w:hint="eastAsia"/>
          <w:lang w:val="en-US" w:eastAsia="zh-CN"/>
        </w:rPr>
      </w:pPr>
    </w:p>
    <w:p w14:paraId="2761162D">
      <w:pPr>
        <w:rPr>
          <w:rFonts w:hint="eastAsia"/>
          <w:lang w:val="en-US" w:eastAsia="zh-CN"/>
        </w:rPr>
      </w:pPr>
      <w:r>
        <w:rPr>
          <w:rFonts w:hint="eastAsia"/>
          <w:lang w:val="en-US" w:eastAsia="zh-CN"/>
        </w:rPr>
        <w:t xml:space="preserve">Adams, P. (2006) ‘Exploring social constructivism: theories and practicalities’, Education 3-13, 34(3), pp. 243–257. Available at: https://doi.org/10.1080/03004270600898893. </w:t>
      </w:r>
    </w:p>
    <w:p w14:paraId="4BAECCF5">
      <w:pPr>
        <w:rPr>
          <w:rFonts w:hint="eastAsia"/>
          <w:lang w:val="en-US" w:eastAsia="zh-CN"/>
        </w:rPr>
      </w:pPr>
    </w:p>
    <w:p w14:paraId="73950D84">
      <w:pPr>
        <w:rPr>
          <w:rFonts w:hint="eastAsia"/>
          <w:lang w:val="en-US" w:eastAsia="zh-CN"/>
        </w:rPr>
      </w:pPr>
    </w:p>
    <w:p w14:paraId="6D85884B">
      <w:pPr>
        <w:rPr>
          <w:rFonts w:hint="eastAsia"/>
          <w:lang w:val="en-US" w:eastAsia="zh-CN"/>
        </w:rPr>
      </w:pPr>
      <w:r>
        <w:rPr>
          <w:rFonts w:hint="eastAsia"/>
          <w:lang w:val="en-US" w:eastAsia="zh-CN"/>
        </w:rPr>
        <w:t xml:space="preserve">Ryan, G. (2018) ‘Introduction to positivism, interpretivism and critical theory’, Nurse researcher, 25(4), pp. 14–20. Available at: https://doi.org/10.7748/nr.2018.e1466. </w:t>
      </w:r>
    </w:p>
    <w:p w14:paraId="1249B35F">
      <w:pPr>
        <w:rPr>
          <w:rFonts w:hint="eastAsia"/>
          <w:lang w:val="en-US" w:eastAsia="zh-CN"/>
        </w:rPr>
      </w:pPr>
    </w:p>
    <w:p w14:paraId="09EBE635">
      <w:pPr>
        <w:rPr>
          <w:rFonts w:hint="eastAsia"/>
          <w:lang w:val="en-US" w:eastAsia="zh-CN"/>
        </w:rPr>
      </w:pPr>
    </w:p>
    <w:p w14:paraId="4663393C">
      <w:pPr>
        <w:rPr>
          <w:rFonts w:hint="eastAsia"/>
          <w:lang w:val="en-US" w:eastAsia="zh-CN"/>
        </w:rPr>
      </w:pPr>
    </w:p>
    <w:p w14:paraId="73CFDB7A">
      <w:pPr>
        <w:rPr>
          <w:rFonts w:hint="eastAsia"/>
          <w:lang w:val="en-US" w:eastAsia="zh-CN"/>
        </w:rPr>
      </w:pPr>
      <w:r>
        <w:rPr>
          <w:rFonts w:hint="eastAsia"/>
          <w:lang w:val="en-US" w:eastAsia="zh-CN"/>
        </w:rPr>
        <w:t xml:space="preserve">Greeff, W.J. (2015) ‘Organizational diversity: making the case for contextual interpretivism’, Equality, Diversity and Inclusion: An International Journal, 34(6), pp. 496–509. Available at: https://doi.org/10.1108/EDI-02-2014-0010. </w:t>
      </w:r>
    </w:p>
    <w:p w14:paraId="273C0AAE">
      <w:pPr>
        <w:rPr>
          <w:rFonts w:hint="eastAsia"/>
          <w:lang w:val="en-US" w:eastAsia="zh-CN"/>
        </w:rPr>
      </w:pPr>
    </w:p>
    <w:p w14:paraId="628C004E">
      <w:pPr>
        <w:rPr>
          <w:rFonts w:hint="eastAsia"/>
          <w:lang w:val="en-US" w:eastAsia="zh-CN"/>
        </w:rPr>
      </w:pPr>
      <w:r>
        <w:rPr>
          <w:rFonts w:hint="eastAsia"/>
          <w:lang w:val="en-US" w:eastAsia="zh-CN"/>
        </w:rPr>
        <w:t xml:space="preserve">Baeva, L. (2012) ‘Existential Axiology’, Cultura (Iași, Romania), 9(1), pp. 73–83. Available at: https://doi.org/10.5840/cultura20129122. </w:t>
      </w:r>
    </w:p>
    <w:p w14:paraId="4F023D5A">
      <w:pPr>
        <w:rPr>
          <w:rFonts w:hint="eastAsia"/>
          <w:lang w:val="en-US" w:eastAsia="zh-CN"/>
        </w:rPr>
      </w:pPr>
    </w:p>
    <w:p w14:paraId="718E7681">
      <w:pPr>
        <w:rPr>
          <w:rFonts w:hint="eastAsia"/>
          <w:lang w:val="en-US" w:eastAsia="zh-CN"/>
        </w:rPr>
      </w:pPr>
    </w:p>
    <w:p w14:paraId="6CFEF2A7">
      <w:pPr>
        <w:rPr>
          <w:rFonts w:hint="eastAsia"/>
          <w:lang w:val="en-US" w:eastAsia="zh-CN"/>
        </w:rPr>
      </w:pPr>
      <w:r>
        <w:rPr>
          <w:rFonts w:hint="eastAsia"/>
          <w:lang w:val="en-US" w:eastAsia="zh-CN"/>
        </w:rPr>
        <w:t xml:space="preserve">Kimberlin, C.L. and Winterstein, A.G. (2008) ‘Validity and reliability of measurement instruments used in research’, American journal of health-system pharmacy, 65(23), pp. 2276–2284. Available at: https://doi.org/10.2146/ajhp070364.  </w:t>
      </w:r>
    </w:p>
    <w:p w14:paraId="7D38943A">
      <w:pPr>
        <w:rPr>
          <w:rFonts w:hint="eastAsia"/>
          <w:lang w:val="en-US" w:eastAsia="zh-CN"/>
        </w:rPr>
      </w:pPr>
    </w:p>
    <w:p w14:paraId="671A1E62">
      <w:pPr>
        <w:rPr>
          <w:rFonts w:hint="eastAsia"/>
          <w:lang w:val="en-US" w:eastAsia="zh-CN"/>
        </w:rPr>
      </w:pPr>
    </w:p>
    <w:p w14:paraId="4F394FDB">
      <w:pPr>
        <w:rPr>
          <w:rFonts w:hint="eastAsia"/>
          <w:lang w:val="en-US" w:eastAsia="zh-CN"/>
        </w:rPr>
      </w:pPr>
      <w:r>
        <w:rPr>
          <w:rFonts w:hint="eastAsia"/>
          <w:lang w:val="en-US" w:eastAsia="zh-CN"/>
        </w:rPr>
        <w:t xml:space="preserve">Cha, H.-J. and Kweon, S.-H. (2024) ‘Exploratory study of reciprocal parenting scale: based on social constructivist theory’, Cogent education, 11(1). Available at: https://doi.org/10.1080/2331186X.2024.2351265. </w:t>
      </w:r>
    </w:p>
    <w:p w14:paraId="0688E43C">
      <w:pPr>
        <w:rPr>
          <w:rFonts w:hint="eastAsia"/>
          <w:lang w:val="en-US" w:eastAsia="zh-CN"/>
        </w:rPr>
      </w:pPr>
    </w:p>
    <w:p w14:paraId="150DC91A">
      <w:pPr>
        <w:rPr>
          <w:rFonts w:hint="eastAsia"/>
          <w:lang w:val="en-US" w:eastAsia="zh-CN"/>
        </w:rPr>
      </w:pPr>
    </w:p>
    <w:p w14:paraId="24152132">
      <w:pPr>
        <w:rPr>
          <w:rFonts w:hint="eastAsia"/>
          <w:lang w:val="en-US" w:eastAsia="zh-CN"/>
        </w:rPr>
      </w:pPr>
      <w:r>
        <w:rPr>
          <w:rFonts w:hint="eastAsia"/>
          <w:lang w:val="en-US" w:eastAsia="zh-CN"/>
        </w:rPr>
        <w:t xml:space="preserve">Wang, H., Hu, B. and Duan, Y. (2024) ‘A qualitative simulation checking approach of programmed grounded theory and its application in workers’ involvement: extending Corbin and Struss’ grounded theory checking mechanism’, Quality &amp; quantity, 58(5), pp. 4715–4749. Available at: https://doi.org/10.1007/s11135-024-01864-3. </w:t>
      </w:r>
    </w:p>
    <w:p w14:paraId="2420E74D">
      <w:pPr>
        <w:rPr>
          <w:rFonts w:hint="eastAsia"/>
          <w:lang w:val="en-US" w:eastAsia="zh-CN"/>
        </w:rPr>
      </w:pPr>
    </w:p>
    <w:p w14:paraId="13E44DFB">
      <w:pPr>
        <w:rPr>
          <w:rFonts w:hint="eastAsia"/>
          <w:lang w:val="en-US" w:eastAsia="zh-CN"/>
        </w:rPr>
      </w:pPr>
    </w:p>
    <w:p w14:paraId="4363D998">
      <w:pPr>
        <w:rPr>
          <w:rFonts w:hint="eastAsia"/>
          <w:lang w:val="en-US" w:eastAsia="zh-CN"/>
        </w:rPr>
      </w:pPr>
      <w:r>
        <w:rPr>
          <w:rFonts w:hint="eastAsia"/>
          <w:lang w:val="en-US" w:eastAsia="zh-CN"/>
        </w:rPr>
        <w:t xml:space="preserve">A Nagel, D. et al. (2015) ‘When Novice Researchers Adopt Constructivist Grounded Theory: Navigating Less Travelled Paradigmatic and Methodological Paths in PhD Dissertation Work’, International journal of doctoral studies, 10, pp. 365–383. Available at: https://doi.org/10.28945/2300. </w:t>
      </w:r>
    </w:p>
    <w:p w14:paraId="337FCEA5">
      <w:pPr>
        <w:rPr>
          <w:rFonts w:hint="eastAsia"/>
          <w:lang w:val="en-US" w:eastAsia="zh-CN"/>
        </w:rPr>
      </w:pPr>
    </w:p>
    <w:p w14:paraId="3F3735F1">
      <w:pPr>
        <w:rPr>
          <w:rFonts w:hint="eastAsia"/>
          <w:lang w:val="en-US" w:eastAsia="zh-CN"/>
        </w:rPr>
      </w:pPr>
    </w:p>
    <w:p w14:paraId="7D812199">
      <w:pPr>
        <w:rPr>
          <w:rFonts w:hint="eastAsia"/>
          <w:lang w:val="en-US" w:eastAsia="zh-CN"/>
        </w:rPr>
      </w:pPr>
      <w:r>
        <w:rPr>
          <w:rFonts w:hint="eastAsia"/>
          <w:lang w:val="en-US" w:eastAsia="zh-CN"/>
        </w:rPr>
        <w:t xml:space="preserve">Bogna, F., Raineri, A. and Dell, G. (2020) ‘Critical realism and constructivism: merging research paradigms for a deeper qualitative study’, Qualitative research in organizations and management, 15(4), pp. 461–484. Available at: https://doi.org/10.1108/QROM-06-2019-1778.  </w:t>
      </w:r>
    </w:p>
    <w:p w14:paraId="74E06DBF">
      <w:pPr>
        <w:rPr>
          <w:rFonts w:hint="eastAsia"/>
          <w:lang w:val="en-US" w:eastAsia="zh-CN"/>
        </w:rPr>
      </w:pPr>
    </w:p>
    <w:p w14:paraId="75906E6B">
      <w:pPr>
        <w:rPr>
          <w:rFonts w:hint="eastAsia"/>
          <w:lang w:val="en-US" w:eastAsia="zh-CN"/>
        </w:rPr>
      </w:pPr>
      <w:r>
        <w:rPr>
          <w:rFonts w:hint="eastAsia"/>
          <w:lang w:val="en-US" w:eastAsia="zh-CN"/>
        </w:rPr>
        <w:t xml:space="preserve">Wignall, R. (1998) ‘Challenges for Interpretivist Inquiry’, Alberta journal of educational research, 44(3), pp. 302–319. </w:t>
      </w:r>
    </w:p>
    <w:p w14:paraId="602D0898">
      <w:pPr>
        <w:rPr>
          <w:rFonts w:hint="eastAsia"/>
          <w:lang w:val="en-US" w:eastAsia="zh-CN"/>
        </w:rPr>
      </w:pPr>
    </w:p>
    <w:p w14:paraId="7E99A876">
      <w:pPr>
        <w:rPr>
          <w:rFonts w:hint="eastAsia"/>
          <w:lang w:val="en-US" w:eastAsia="zh-CN"/>
        </w:rPr>
      </w:pPr>
    </w:p>
    <w:p w14:paraId="7B9CE569">
      <w:pPr>
        <w:rPr>
          <w:rFonts w:hint="eastAsia"/>
          <w:lang w:val="en-US" w:eastAsia="zh-CN"/>
        </w:rPr>
      </w:pPr>
      <w:r>
        <w:rPr>
          <w:rFonts w:hint="eastAsia"/>
          <w:lang w:val="en-US" w:eastAsia="zh-CN"/>
        </w:rPr>
        <w:t xml:space="preserve">Johnson, M. (1999) ‘Observations on positivism and pseudoscience in qualitative nursing research’, Journal of advanced nursing, 30(1), pp. 67–73. Available at: https://doi.org/10.1046/j.1365-2648.1999.01050.x. </w:t>
      </w:r>
    </w:p>
    <w:p w14:paraId="0D5A89AF">
      <w:pPr>
        <w:rPr>
          <w:rFonts w:hint="eastAsia"/>
          <w:lang w:val="en-US" w:eastAsia="zh-CN"/>
        </w:rPr>
      </w:pPr>
    </w:p>
    <w:p w14:paraId="13152400">
      <w:pPr>
        <w:rPr>
          <w:rFonts w:hint="eastAsia"/>
          <w:lang w:val="en-US" w:eastAsia="zh-CN"/>
        </w:rPr>
      </w:pPr>
      <w:r>
        <w:rPr>
          <w:rFonts w:hint="eastAsia"/>
          <w:lang w:val="en-US" w:eastAsia="zh-CN"/>
        </w:rPr>
        <w:t>Sarangi, D. (n.d.) Doomer and Dasein: Reading Heidegger in the Context of 21st Century Internet Culture.[pdf] Available at: https://d1wqtxts1xzle7.cloudfront.net/104155904/Article-1-1-_20-Doomer-and-Dasein-Reading-Heidegger-in-the-context-of-21st-Century-libre.pdf [Accessed 17 November 2024].</w:t>
      </w:r>
    </w:p>
    <w:p w14:paraId="52BA3980">
      <w:pPr>
        <w:rPr>
          <w:rFonts w:hint="eastAsia"/>
          <w:lang w:val="en-US" w:eastAsia="zh-CN"/>
        </w:rPr>
      </w:pPr>
    </w:p>
    <w:p w14:paraId="0BA69546">
      <w:pPr>
        <w:rPr>
          <w:rFonts w:hint="eastAsia"/>
          <w:lang w:val="en-US" w:eastAsia="zh-CN"/>
        </w:rPr>
      </w:pPr>
    </w:p>
    <w:p w14:paraId="516D6015">
      <w:pPr>
        <w:rPr>
          <w:rFonts w:hint="eastAsia"/>
          <w:lang w:val="en-US" w:eastAsia="zh-CN"/>
        </w:rPr>
      </w:pPr>
      <w:r>
        <w:rPr>
          <w:rFonts w:hint="eastAsia"/>
          <w:lang w:val="en-US" w:eastAsia="zh-CN"/>
        </w:rPr>
        <w:t>Jason, R. (2010). Sailing away from Lotsageddon. In Culture change (p. N_A-). Sustainable Energy Institute.</w:t>
      </w:r>
    </w:p>
    <w:p w14:paraId="343B5221">
      <w:pPr>
        <w:rPr>
          <w:rFonts w:hint="eastAsia"/>
          <w:lang w:val="en-US" w:eastAsia="zh-CN"/>
        </w:rPr>
      </w:pPr>
    </w:p>
    <w:p w14:paraId="09F85F44">
      <w:pPr>
        <w:rPr>
          <w:rFonts w:hint="eastAsia"/>
          <w:lang w:val="en-US" w:eastAsia="zh-CN"/>
        </w:rPr>
      </w:pPr>
    </w:p>
    <w:p w14:paraId="2DCEC17D">
      <w:pPr>
        <w:rPr>
          <w:rFonts w:hint="eastAsia"/>
          <w:lang w:val="en-US" w:eastAsia="zh-CN"/>
        </w:rPr>
      </w:pPr>
      <w:r>
        <w:rPr>
          <w:rFonts w:hint="eastAsia"/>
          <w:lang w:val="en-US" w:eastAsia="zh-CN"/>
        </w:rPr>
        <w:t>Schellinski, K. (2021). Essential Anxiety: COVID-19 in Analytic Practice. Journal of Analytical Psychology, 66(3), 534–545. https://doi.org/10.1111/1468-5922.12690</w:t>
      </w:r>
    </w:p>
    <w:p w14:paraId="4D7F232D">
      <w:pPr>
        <w:rPr>
          <w:rFonts w:hint="eastAsia"/>
          <w:lang w:val="en-US" w:eastAsia="zh-CN"/>
        </w:rPr>
      </w:pPr>
    </w:p>
    <w:p w14:paraId="15A9627F">
      <w:pPr>
        <w:rPr>
          <w:rFonts w:hint="eastAsia"/>
          <w:lang w:val="en-US" w:eastAsia="zh-CN"/>
        </w:rPr>
      </w:pPr>
      <w:r>
        <w:rPr>
          <w:rFonts w:hint="eastAsia"/>
          <w:lang w:val="en-US" w:eastAsia="zh-CN"/>
        </w:rPr>
        <w:t>Artamonov, D.S. (2021) ‘Humor in Historical Memory: from an Anecdote and Caricature to an Internet Meme’, Galaktika media: žurnal media issledovanij, 3(3), pp. 213–237. Available at: https://doi.org/10.46539/gmd.v3i3.181.</w:t>
      </w:r>
    </w:p>
    <w:p w14:paraId="1D0F9ADF">
      <w:pPr>
        <w:rPr>
          <w:rFonts w:hint="eastAsia"/>
          <w:lang w:val="en-US" w:eastAsia="zh-CN"/>
        </w:rPr>
      </w:pPr>
    </w:p>
    <w:p w14:paraId="611DEDFA">
      <w:pPr>
        <w:rPr>
          <w:rFonts w:hint="eastAsia"/>
          <w:lang w:val="en-US" w:eastAsia="zh-CN"/>
        </w:rPr>
      </w:pPr>
      <w:r>
        <w:rPr>
          <w:rFonts w:hint="eastAsia"/>
          <w:lang w:val="en-US" w:eastAsia="zh-CN"/>
        </w:rPr>
        <w:t xml:space="preserve">Aronson, P. and Jaffal, I. (2022) ‘Zoom Memes for Self-Quaranteens: Generational Humor, Identity, and Conflict During the Pandemic’, Emerging adulthood (Thousand Oaks, CA), 10(2), pp. 519–533. Available at: </w:t>
      </w:r>
      <w:r>
        <w:rPr>
          <w:rFonts w:hint="eastAsia"/>
          <w:lang w:val="en-US" w:eastAsia="zh-CN"/>
        </w:rPr>
        <w:fldChar w:fldCharType="begin"/>
      </w:r>
      <w:r>
        <w:rPr>
          <w:rFonts w:hint="eastAsia"/>
          <w:lang w:val="en-US" w:eastAsia="zh-CN"/>
        </w:rPr>
        <w:instrText xml:space="preserve"> HYPERLINK "https://doi.org/10.1177/21676968211058513." </w:instrText>
      </w:r>
      <w:r>
        <w:rPr>
          <w:rFonts w:hint="eastAsia"/>
          <w:lang w:val="en-US" w:eastAsia="zh-CN"/>
        </w:rPr>
        <w:fldChar w:fldCharType="separate"/>
      </w:r>
      <w:r>
        <w:rPr>
          <w:rStyle w:val="4"/>
          <w:rFonts w:hint="eastAsia"/>
          <w:lang w:val="en-US" w:eastAsia="zh-CN"/>
        </w:rPr>
        <w:t>https://doi.org/10.1177/21676968211058513.</w:t>
      </w:r>
      <w:r>
        <w:rPr>
          <w:rFonts w:hint="eastAsia"/>
          <w:lang w:val="en-US" w:eastAsia="zh-CN"/>
        </w:rPr>
        <w:fldChar w:fldCharType="end"/>
      </w:r>
    </w:p>
    <w:p w14:paraId="4FCC6FAC">
      <w:pPr>
        <w:rPr>
          <w:rFonts w:hint="eastAsia"/>
          <w:lang w:val="en-US" w:eastAsia="zh-CN"/>
        </w:rPr>
      </w:pPr>
    </w:p>
    <w:p w14:paraId="01BE039D">
      <w:pPr>
        <w:rPr>
          <w:rFonts w:hint="eastAsia"/>
          <w:lang w:val="en-US" w:eastAsia="zh-CN"/>
        </w:rPr>
      </w:pPr>
    </w:p>
    <w:p w14:paraId="651B72B2">
      <w:pPr>
        <w:rPr>
          <w:rFonts w:hint="eastAsia"/>
          <w:lang w:val="en-US" w:eastAsia="zh-CN"/>
        </w:rPr>
      </w:pPr>
      <w:r>
        <w:rPr>
          <w:rFonts w:hint="eastAsia"/>
          <w:lang w:val="en-US" w:eastAsia="zh-CN"/>
        </w:rPr>
        <w:t xml:space="preserve">Goldwater, R. (2018) Symbolism. Routledge. </w:t>
      </w:r>
    </w:p>
    <w:p w14:paraId="70FFA189">
      <w:pPr>
        <w:rPr>
          <w:rFonts w:hint="eastAsia"/>
          <w:lang w:val="en-US" w:eastAsia="zh-CN"/>
        </w:rPr>
      </w:pPr>
    </w:p>
    <w:p w14:paraId="33988F86">
      <w:pPr>
        <w:rPr>
          <w:rFonts w:hint="eastAsia"/>
          <w:lang w:val="en-US" w:eastAsia="zh-CN"/>
        </w:rPr>
      </w:pPr>
    </w:p>
    <w:p w14:paraId="7FFB6A2D">
      <w:pPr>
        <w:rPr>
          <w:rFonts w:hint="eastAsia"/>
          <w:lang w:val="en-US" w:eastAsia="zh-CN"/>
        </w:rPr>
      </w:pPr>
      <w:r>
        <w:rPr>
          <w:rFonts w:hint="eastAsia"/>
          <w:lang w:val="en-US" w:eastAsia="zh-CN"/>
        </w:rPr>
        <w:t xml:space="preserve">Kearns, J. (1989) Symbolist Landscapes. The Place of Painting in the Poetry and Criticism of Mallarmé and His Circle. Cambridge: Modern Humanities Research Association. Available at: https://doi.org/10.59860/td.b8cfada. </w:t>
      </w:r>
    </w:p>
    <w:p w14:paraId="2513590D">
      <w:pPr>
        <w:rPr>
          <w:rFonts w:hint="eastAsia"/>
          <w:lang w:val="en-US" w:eastAsia="zh-CN"/>
        </w:rPr>
      </w:pPr>
    </w:p>
    <w:p w14:paraId="21BA18A1">
      <w:pPr>
        <w:rPr>
          <w:rFonts w:hint="eastAsia"/>
          <w:lang w:val="en-US" w:eastAsia="zh-CN"/>
        </w:rPr>
      </w:pPr>
    </w:p>
    <w:p w14:paraId="5564646E">
      <w:pPr>
        <w:rPr>
          <w:rFonts w:hint="eastAsia"/>
          <w:lang w:val="en-US" w:eastAsia="zh-CN"/>
        </w:rPr>
      </w:pPr>
      <w:r>
        <w:rPr>
          <w:rFonts w:hint="eastAsia"/>
          <w:lang w:val="en-US" w:eastAsia="zh-CN"/>
        </w:rPr>
        <w:t xml:space="preserve">Meij, L. van der (2016) ‘Exhibitions : Franz von Stuck’, Burlington magazine, 158(1364), pp. 927–928. </w:t>
      </w:r>
    </w:p>
    <w:p w14:paraId="15BEBC49">
      <w:pPr>
        <w:rPr>
          <w:rFonts w:hint="eastAsia"/>
          <w:lang w:val="en-US" w:eastAsia="zh-CN"/>
        </w:rPr>
      </w:pPr>
    </w:p>
    <w:p w14:paraId="18AA61DB">
      <w:pPr>
        <w:rPr>
          <w:rFonts w:hint="eastAsia"/>
          <w:lang w:val="en-US" w:eastAsia="zh-CN"/>
        </w:rPr>
      </w:pPr>
    </w:p>
    <w:p w14:paraId="29E80346">
      <w:pPr>
        <w:rPr>
          <w:rFonts w:hint="eastAsia"/>
          <w:lang w:val="en-US" w:eastAsia="zh-CN"/>
        </w:rPr>
      </w:pPr>
      <w:r>
        <w:rPr>
          <w:rFonts w:hint="eastAsia"/>
          <w:lang w:val="en-US" w:eastAsia="zh-CN"/>
        </w:rPr>
        <w:t xml:space="preserve">Camus, A. (2013) The myth of Sisyphus. Penguin UK. </w:t>
      </w:r>
    </w:p>
    <w:p w14:paraId="196FF6C7">
      <w:pPr>
        <w:rPr>
          <w:rFonts w:hint="eastAsia"/>
          <w:lang w:val="en-US" w:eastAsia="zh-CN"/>
        </w:rPr>
      </w:pPr>
    </w:p>
    <w:p w14:paraId="41769048">
      <w:pPr>
        <w:rPr>
          <w:rFonts w:hint="eastAsia"/>
          <w:lang w:val="en-US" w:eastAsia="zh-CN"/>
        </w:rPr>
      </w:pPr>
      <w:r>
        <w:rPr>
          <w:rFonts w:hint="eastAsia"/>
          <w:lang w:val="en-US" w:eastAsia="zh-CN"/>
        </w:rPr>
        <w:t xml:space="preserve">Yoder,  Abigail Eileen (2017) Decoration and symbolism in the late works of Odilon Redon. University of Iowa. Available at: https://doi.org/10.17077/etd.7cj02aye.  </w:t>
      </w:r>
    </w:p>
    <w:p w14:paraId="2BD44B15">
      <w:pPr>
        <w:rPr>
          <w:rFonts w:hint="eastAsia"/>
          <w:lang w:val="en-US" w:eastAsia="zh-CN"/>
        </w:rPr>
      </w:pPr>
    </w:p>
    <w:p w14:paraId="553D329D">
      <w:pPr>
        <w:rPr>
          <w:rFonts w:hint="eastAsia"/>
          <w:lang w:val="en-US" w:eastAsia="zh-CN"/>
        </w:rPr>
      </w:pPr>
    </w:p>
    <w:p w14:paraId="5926B5C5">
      <w:pPr>
        <w:rPr>
          <w:rFonts w:hint="eastAsia"/>
          <w:lang w:val="en-US" w:eastAsia="zh-CN"/>
        </w:rPr>
      </w:pPr>
      <w:r>
        <w:rPr>
          <w:rFonts w:hint="eastAsia"/>
          <w:lang w:val="en-US" w:eastAsia="zh-CN"/>
        </w:rPr>
        <w:t xml:space="preserve">Segev, E. et al. (2015) ‘Families and Networks of Internet Memes: The Relationship Between Cohesiveness, Uniqueness, and Quiddity Concreteness’, Journal of computer-mediated communication, 20(4), pp. 417–433. Available at: https://doi.org/10.1111/jcc4.12120. </w:t>
      </w:r>
    </w:p>
    <w:p w14:paraId="1076E9C6">
      <w:pPr>
        <w:rPr>
          <w:rFonts w:hint="eastAsia"/>
          <w:lang w:val="en-US" w:eastAsia="zh-CN"/>
        </w:rPr>
      </w:pPr>
    </w:p>
    <w:p w14:paraId="45BCBA71">
      <w:pPr>
        <w:rPr>
          <w:rFonts w:hint="eastAsia"/>
          <w:lang w:val="en-US" w:eastAsia="zh-CN"/>
        </w:rPr>
      </w:pPr>
    </w:p>
    <w:p w14:paraId="4691C3DC">
      <w:pPr>
        <w:rPr>
          <w:rFonts w:hint="eastAsia"/>
          <w:lang w:val="en-US" w:eastAsia="zh-CN"/>
        </w:rPr>
      </w:pPr>
      <w:r>
        <w:rPr>
          <w:rFonts w:hint="eastAsia"/>
          <w:lang w:val="en-US" w:eastAsia="zh-CN"/>
        </w:rPr>
        <w:t xml:space="preserve">Laor, T. (2023) ‘Are memes selfish? How Internet memes reflect crisis–Covid-19 pandemic in Israel’, Online information review, 47(7), pp. 1377–1395. Available at: https://doi.org/10.1108/OIR-07-2022-0381.   </w:t>
      </w:r>
    </w:p>
    <w:p w14:paraId="3DD9A691">
      <w:pPr>
        <w:rPr>
          <w:rFonts w:hint="eastAsia"/>
          <w:lang w:val="en-US" w:eastAsia="zh-CN"/>
        </w:rPr>
      </w:pPr>
    </w:p>
    <w:p w14:paraId="5F060C22">
      <w:pPr>
        <w:rPr>
          <w:rFonts w:hint="eastAsia"/>
          <w:lang w:val="en-US" w:eastAsia="zh-CN"/>
        </w:rPr>
      </w:pPr>
    </w:p>
    <w:p w14:paraId="5476C6D4">
      <w:pPr>
        <w:rPr>
          <w:rFonts w:hint="eastAsia"/>
          <w:lang w:val="en-US" w:eastAsia="zh-CN"/>
        </w:rPr>
      </w:pPr>
      <w:r>
        <w:rPr>
          <w:rFonts w:hint="eastAsia"/>
          <w:lang w:val="en-US" w:eastAsia="zh-CN"/>
        </w:rPr>
        <w:t xml:space="preserve">Staff, C.G. (2019) After modernist painting : the history of a contemporary practice. First edition. London [England: I.B. Tauris &amp; Co. Ltd. Available at: https://doi.org/10.5040/9780755603404. </w:t>
      </w:r>
    </w:p>
    <w:p w14:paraId="7470B292">
      <w:pPr>
        <w:rPr>
          <w:rFonts w:hint="eastAsia"/>
          <w:lang w:val="en-US" w:eastAsia="zh-CN"/>
        </w:rPr>
      </w:pPr>
    </w:p>
    <w:p w14:paraId="63FB7BFE">
      <w:pPr>
        <w:rPr>
          <w:rFonts w:hint="eastAsia"/>
          <w:lang w:val="en-US" w:eastAsia="zh-CN"/>
        </w:rPr>
      </w:pPr>
    </w:p>
    <w:p w14:paraId="16E8192C">
      <w:pPr>
        <w:rPr>
          <w:rFonts w:hint="eastAsia"/>
          <w:lang w:val="en-US" w:eastAsia="zh-CN"/>
        </w:rPr>
      </w:pPr>
    </w:p>
    <w:p w14:paraId="015C7875">
      <w:pPr>
        <w:rPr>
          <w:rFonts w:hint="eastAsia"/>
          <w:lang w:val="en-US" w:eastAsia="zh-CN"/>
        </w:rPr>
      </w:pPr>
      <w:r>
        <w:rPr>
          <w:rFonts w:hint="eastAsia"/>
          <w:lang w:val="en-US" w:eastAsia="zh-CN"/>
        </w:rPr>
        <w:t xml:space="preserve">Wu, H. (2022) ‘Lost items and exposed shame - dreamcore’s inheritance and transcendence of liminal space and defamiliarization’, Journal for cultural research, 26(2), pp. 153–165. Available at: https://doi.org/10.1080/14797585.2022.2097013. </w:t>
      </w:r>
    </w:p>
    <w:p w14:paraId="2B848974">
      <w:pPr>
        <w:rPr>
          <w:rFonts w:hint="eastAsia"/>
          <w:lang w:val="en-US" w:eastAsia="zh-CN"/>
        </w:rPr>
      </w:pPr>
    </w:p>
    <w:p w14:paraId="2EE205CB">
      <w:pPr>
        <w:rPr>
          <w:rFonts w:hint="eastAsia"/>
          <w:lang w:val="en-US" w:eastAsia="zh-CN"/>
        </w:rPr>
      </w:pPr>
    </w:p>
    <w:p w14:paraId="77D1520A">
      <w:pPr>
        <w:rPr>
          <w:rFonts w:hint="eastAsia"/>
          <w:lang w:val="en-US" w:eastAsia="zh-CN"/>
        </w:rPr>
      </w:pPr>
    </w:p>
    <w:p w14:paraId="0F7685CE">
      <w:pPr>
        <w:rPr>
          <w:rFonts w:hint="default" w:eastAsiaTheme="minorEastAsia"/>
          <w:lang w:val="en-US" w:eastAsia="zh-CN"/>
        </w:rPr>
      </w:pPr>
      <w:r>
        <w:rPr>
          <w:rFonts w:hint="eastAsia"/>
          <w:lang w:val="en-US" w:eastAsia="zh-CN"/>
        </w:rPr>
        <w:t xml:space="preserve">Manic, M. (2024) ‘SHORT-FORM VIDEO CONTENT AND CONSUMER ENGAGEMENT IN DIGITAL LANDSCAPES’, Bulletin of the Transilvania University of Brașov. Series V, Economic science, 17(1), pp. 45–52. Available at: https://doi.org/10.31926/but.es.2024.17.66.14.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B045461"/>
    <w:rsid w:val="07206E6A"/>
    <w:rsid w:val="0C6F453A"/>
    <w:rsid w:val="15BA32B2"/>
    <w:rsid w:val="24B403E6"/>
    <w:rsid w:val="377B3A69"/>
    <w:rsid w:val="4A8C3357"/>
    <w:rsid w:val="562B5EAA"/>
    <w:rsid w:val="61A62889"/>
    <w:rsid w:val="67E957BB"/>
    <w:rsid w:val="78656433"/>
    <w:rsid w:val="7B045461"/>
    <w:rsid w:val="7CF901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6283</Words>
  <Characters>37608</Characters>
  <Lines>0</Lines>
  <Paragraphs>0</Paragraphs>
  <TotalTime>2</TotalTime>
  <ScaleCrop>false</ScaleCrop>
  <LinksUpToDate>false</LinksUpToDate>
  <CharactersWithSpaces>43797</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2024-12-29T23:40:00Z</dcterms:created>
  <dc:creator>微信用户</dc:creator>
  <cp:lastModifiedBy>微信用户</cp:lastModifiedBy>
  <dcterms:modified xsi:type="dcterms:W3CDTF">2025-01-05T18:33:49Z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2052-12.1.0.19770</vt:lpwstr>
  </property>
  <property fmtid="{D5CDD505-2E9C-101B-9397-08002B2CF9AE}" pid="3" name="ICV">
    <vt:lpwstr>3D19880FF6814754A0FD09B63D0A4F85_11</vt:lpwstr>
  </property>
  <property fmtid="{D5CDD505-2E9C-101B-9397-08002B2CF9AE}" pid="4" name="KSOTemplateDocerSaveRecord">
    <vt:lpwstr>eyJoZGlkIjoiYzk2YjdmZWIwZjE4Y2YyODk3MWFkMjRjYjlhZDJhZmQiLCJ1c2VySWQiOiIxMjc3MzcwMDU2In0=</vt:lpwstr>
  </property>
</Properties>
</file>