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F34A6B" w14:textId="77777777" w:rsidR="007C15A1" w:rsidRPr="0012338D" w:rsidRDefault="007C15A1" w:rsidP="00424F02">
      <w:pPr>
        <w:spacing w:line="360" w:lineRule="auto"/>
        <w:ind w:left="360"/>
      </w:pPr>
      <w:r w:rsidRPr="0012338D">
        <w:t>Section 1 – Evidence of a clear understanding of the importance of a variety of play types</w:t>
      </w:r>
    </w:p>
    <w:p w14:paraId="457AABD5" w14:textId="77777777" w:rsidR="007C15A1" w:rsidRPr="0012338D" w:rsidRDefault="007C15A1" w:rsidP="00424F02">
      <w:pPr>
        <w:spacing w:line="360" w:lineRule="auto"/>
      </w:pPr>
    </w:p>
    <w:p w14:paraId="0E1EF6BB" w14:textId="77777777" w:rsidR="007C15A1" w:rsidRPr="0012338D" w:rsidRDefault="007C15A1" w:rsidP="00424F02">
      <w:pPr>
        <w:spacing w:line="360" w:lineRule="auto"/>
        <w:ind w:left="360"/>
      </w:pPr>
      <w:r w:rsidRPr="0012338D">
        <w:t>Play is widely recognised within United Kingdom early years research as a fundamental process through which children learn and develop. Contemporary literature emphasises that a variety of play types is necessary to support children holistically, as development across physical, cognitive, social, emotional, and language domains is interconnected (Moyles, 2015; Howard, 2020). Holistic play enables children to integrate skills, knowledge, and experiences, ensuring balanced development rather than isolated learning outcomes. This section explores physical play and socio-dramatic play, drawing on UK-based research and theory to demonstrate their contribution to children’s holistic development and how they can be supported in practice.</w:t>
      </w:r>
    </w:p>
    <w:p w14:paraId="7E4B3FD5" w14:textId="77777777" w:rsidR="007C15A1" w:rsidRPr="00424F02" w:rsidRDefault="007C15A1" w:rsidP="00424F02">
      <w:pPr>
        <w:spacing w:line="360" w:lineRule="auto"/>
        <w:ind w:left="360"/>
        <w:rPr>
          <w:b/>
          <w:bCs/>
          <w:sz w:val="27"/>
          <w:szCs w:val="27"/>
        </w:rPr>
      </w:pPr>
      <w:r w:rsidRPr="00424F02">
        <w:rPr>
          <w:rFonts w:eastAsia="Times New Roman"/>
          <w:b/>
          <w:bCs/>
          <w:sz w:val="27"/>
          <w:szCs w:val="27"/>
        </w:rPr>
        <w:t>Physical Play</w:t>
      </w:r>
    </w:p>
    <w:p w14:paraId="5D8EF4A2" w14:textId="77777777" w:rsidR="007C15A1" w:rsidRPr="0012338D" w:rsidRDefault="007C15A1" w:rsidP="00424F02">
      <w:pPr>
        <w:spacing w:line="360" w:lineRule="auto"/>
        <w:ind w:left="360"/>
      </w:pPr>
      <w:r w:rsidRPr="0012338D">
        <w:t>Physical play involves movement-based activities that support the development of gross and fine motor skills. Examples include climbing, running, balancing, riding wheeled toys, and manipulating objects. According to Moyles (2015), physical play is a core component of high-quality early years provision, as it underpins children’s health, learning capacity, and engagement with their environment.</w:t>
      </w:r>
    </w:p>
    <w:p w14:paraId="06A8A1C2" w14:textId="77777777" w:rsidR="007C15A1" w:rsidRPr="0012338D" w:rsidRDefault="007C15A1" w:rsidP="00424F02">
      <w:pPr>
        <w:spacing w:line="360" w:lineRule="auto"/>
        <w:ind w:left="360"/>
      </w:pPr>
      <w:r w:rsidRPr="0012338D">
        <w:t>Physical play supports holistic development in several ways. Physically, it promotes strength, coordination, stamina, and spatial awareness. Howard (2020) highlights that regular opportunities for physical play contribute to neurological development and overall wellbeing. Cognitively, children develop problem-solving skills as they judge risk, plan movement, and adapt strategies. Social development is supported when children engage in shared physical activities that require turn-taking, cooperation, and negotiation. Emotionally, physical play supports confidence, self-regulation, and resilience, particularly when children experience challenge and success.</w:t>
      </w:r>
    </w:p>
    <w:p w14:paraId="07C21B14" w14:textId="6D68F223" w:rsidR="007C15A1" w:rsidRPr="0012338D" w:rsidRDefault="007C15A1" w:rsidP="00424F02">
      <w:pPr>
        <w:spacing w:line="360" w:lineRule="auto"/>
        <w:ind w:left="360"/>
      </w:pPr>
      <w:r w:rsidRPr="0012338D">
        <w:t xml:space="preserve">Piaget’s theory positions physical play as essential within the sensorimotor and </w:t>
      </w:r>
      <w:r w:rsidR="007F3F54">
        <w:t>pre operational</w:t>
      </w:r>
      <w:r w:rsidRPr="0012338D">
        <w:t xml:space="preserve"> stages, where learning occurs through active exploration of the environment (Aubrey, 2022). Bruner’s </w:t>
      </w:r>
      <w:r w:rsidR="00901922">
        <w:t>inactive</w:t>
      </w:r>
      <w:r w:rsidRPr="0012338D">
        <w:t xml:space="preserve"> mode of representation further supports the value of physical play, suggesting that children first understand the world through action before </w:t>
      </w:r>
      <w:r w:rsidRPr="0012338D">
        <w:lastRenderedPageBreak/>
        <w:t>progressing to symbolic and language-based understanding (Aubrey, 2022). These theories align with UK research that emphasises learning through movement and first-hand experience (Moyles, 2015).</w:t>
      </w:r>
    </w:p>
    <w:p w14:paraId="2E1C9FA0" w14:textId="77777777" w:rsidR="00E534C8" w:rsidRDefault="007C15A1" w:rsidP="00424F02">
      <w:pPr>
        <w:spacing w:line="360" w:lineRule="auto"/>
        <w:ind w:left="360"/>
      </w:pPr>
      <w:r w:rsidRPr="0012338D">
        <w:t>Physical play develops through identifiable stages of play. Young children often begin with solitary play, focusing on individual movement and exploration. This progresses to parallel play, where children engage in similar activities alongside peers. As development continues, associative and cooperative play emerge, involving shared games, simple rules, and collaborative goals (King, 2020).</w:t>
      </w:r>
    </w:p>
    <w:p w14:paraId="2D304BDA" w14:textId="5F6483AE" w:rsidR="007C15A1" w:rsidRPr="0012338D" w:rsidRDefault="007C15A1" w:rsidP="00424F02">
      <w:pPr>
        <w:spacing w:line="360" w:lineRule="auto"/>
        <w:ind w:left="360"/>
      </w:pPr>
      <w:r w:rsidRPr="0012338D">
        <w:t>In practice, physical play can be supported by providing accessible indoor and outdoor environments that encourage movement. UK guidance highlights the importance of varied, open-ended equipment that promotes both gross and fine motor development (Anon, 2022). Practitioners play a key role through observation, ensuring that physical play is inclusive, appropriately challenging, and responsive to individual needs without unnecessary intervention.</w:t>
      </w:r>
    </w:p>
    <w:p w14:paraId="30DAB9C5" w14:textId="1B2488CE" w:rsidR="007C15A1" w:rsidRPr="0012338D" w:rsidRDefault="007C15A1" w:rsidP="00424F02">
      <w:pPr>
        <w:spacing w:line="360" w:lineRule="auto"/>
        <w:rPr>
          <w:rFonts w:eastAsia="Times New Roman"/>
        </w:rPr>
      </w:pPr>
    </w:p>
    <w:p w14:paraId="521590A9" w14:textId="77777777" w:rsidR="007C15A1" w:rsidRPr="00424F02" w:rsidRDefault="007C15A1" w:rsidP="00424F02">
      <w:pPr>
        <w:spacing w:line="360" w:lineRule="auto"/>
        <w:ind w:left="360"/>
        <w:rPr>
          <w:b/>
          <w:bCs/>
          <w:sz w:val="27"/>
          <w:szCs w:val="27"/>
        </w:rPr>
      </w:pPr>
      <w:r w:rsidRPr="00424F02">
        <w:rPr>
          <w:rFonts w:eastAsia="Times New Roman"/>
          <w:b/>
          <w:bCs/>
          <w:sz w:val="27"/>
          <w:szCs w:val="27"/>
        </w:rPr>
        <w:t>Socio-Dramatic Play</w:t>
      </w:r>
    </w:p>
    <w:p w14:paraId="6F2E2BFF" w14:textId="77777777" w:rsidR="007C15A1" w:rsidRPr="0012338D" w:rsidRDefault="007C15A1" w:rsidP="00424F02">
      <w:pPr>
        <w:spacing w:line="360" w:lineRule="auto"/>
        <w:ind w:left="360"/>
      </w:pPr>
      <w:r w:rsidRPr="0012338D">
        <w:t>Socio-dramatic play involves children engaging in imaginative role play, often based on real-life experiences such as family roles, workplaces, or community settings. This play type is recognised in UK research as a powerful context for learning, particularly in relation to social, emotional, and language development (Howard, 2020; Moyles, 2015).</w:t>
      </w:r>
    </w:p>
    <w:p w14:paraId="083E3F28" w14:textId="77777777" w:rsidR="007C15A1" w:rsidRPr="0012338D" w:rsidRDefault="007C15A1" w:rsidP="00424F02">
      <w:pPr>
        <w:spacing w:line="360" w:lineRule="auto"/>
        <w:ind w:left="360"/>
      </w:pPr>
      <w:r w:rsidRPr="0012338D">
        <w:t>Holistic development is strongly supported through socio-dramatic play. Socially, children practise cooperation, shared decision-making, and conflict resolution. Emotionally, this form of play allows children to explore feelings, relationships, and personal experiences in a safe context. Language development is enhanced through sustained dialogue, narrative construction, and role-specific vocabulary. Cognitively, children develop symbolic thinking, memory, and planning skills as they create and adapt play scenarios (Anon, 2022).</w:t>
      </w:r>
    </w:p>
    <w:p w14:paraId="287D7EAE" w14:textId="77777777" w:rsidR="007C15A1" w:rsidRPr="0012338D" w:rsidRDefault="007C15A1" w:rsidP="00424F02">
      <w:pPr>
        <w:spacing w:line="360" w:lineRule="auto"/>
        <w:ind w:left="360"/>
      </w:pPr>
      <w:r w:rsidRPr="0012338D">
        <w:t xml:space="preserve">Vygotsky’s sociocultural theory is central to understanding socio-dramatic play. Vygotsky viewed play as a leading influence on development, particularly through the zone of </w:t>
      </w:r>
      <w:r w:rsidRPr="0012338D">
        <w:lastRenderedPageBreak/>
        <w:t>proximal development, where children extend their learning through social interaction (Aubrey, 2022). During role play, children adopt roles and follow agreed rules, often performing beyond their typical level of functioning. Language is a key tool in this process, supporting both communication and cognitive growth.</w:t>
      </w:r>
    </w:p>
    <w:p w14:paraId="30D7F7F1" w14:textId="14CFBFA9" w:rsidR="007C15A1" w:rsidRPr="0012338D" w:rsidRDefault="007C15A1" w:rsidP="00424F02">
      <w:pPr>
        <w:spacing w:line="360" w:lineRule="auto"/>
        <w:ind w:left="360"/>
      </w:pPr>
      <w:r w:rsidRPr="0012338D">
        <w:t xml:space="preserve">Piaget associated socio-dramatic play with the </w:t>
      </w:r>
      <w:r w:rsidR="00901922">
        <w:t>pre operational</w:t>
      </w:r>
      <w:r w:rsidRPr="0012338D">
        <w:t xml:space="preserve"> stage, where children use symbols to represent experiences and objects (Aubrey, 2022). Bruner’s emphasis on discovery learning further supports socio-dramatic play, as children actively construct meaning through exploration and interaction (Aubrey, 2022).</w:t>
      </w:r>
    </w:p>
    <w:p w14:paraId="51175F0E" w14:textId="77777777" w:rsidR="007C15A1" w:rsidRPr="0012338D" w:rsidRDefault="007C15A1" w:rsidP="00424F02">
      <w:pPr>
        <w:spacing w:line="360" w:lineRule="auto"/>
        <w:ind w:left="360"/>
      </w:pPr>
      <w:r w:rsidRPr="0012338D">
        <w:t>Socio-dramatic play typically begins as solitary imaginative play, where children act out scenarios independently. This develops into parallel play, with shared themes emerging, and later into cooperative play, where roles, rules, and narratives are jointly negotiated (King, 2020). As children develop, play becomes more complex, sustained, and socially structured.</w:t>
      </w:r>
    </w:p>
    <w:p w14:paraId="777F3A51" w14:textId="293C1D04" w:rsidR="007C15A1" w:rsidRPr="0012338D" w:rsidRDefault="007C15A1" w:rsidP="00424F02">
      <w:pPr>
        <w:spacing w:line="360" w:lineRule="auto"/>
        <w:ind w:left="360"/>
      </w:pPr>
      <w:r w:rsidRPr="0012338D">
        <w:t>In practice, socio-dramatic play can be supported through thoughtfully resourced environments that reflect children’s lived experiences. UK research highlights the importance of open-ended materials and culturally inclusive resources to support meaningful engagement (Moyles, 2015; Anon, 2022). Practitioners support learning</w:t>
      </w:r>
      <w:r w:rsidR="00902F56">
        <w:t xml:space="preserve"> </w:t>
      </w:r>
      <w:r w:rsidRPr="0012338D">
        <w:t>sensitive observation, as outlined by Smidt (2015), extending play when appropriate while maintaining a child-led approach.</w:t>
      </w:r>
    </w:p>
    <w:p w14:paraId="317A9DEA" w14:textId="77777777" w:rsidR="007C15A1" w:rsidRPr="0012338D" w:rsidRDefault="007C15A1" w:rsidP="00424F02">
      <w:pPr>
        <w:spacing w:line="360" w:lineRule="auto"/>
        <w:ind w:left="360"/>
      </w:pPr>
      <w:r w:rsidRPr="0012338D">
        <w:t>Physical play and socio-dramatic play demonstrate the importance of offering a range of play opportunities within early years settings. UK-based research and theory consistently emphasise that varied play types support children holistically, ensuring that learning is integrated, meaningful, and developmentally appropriate.</w:t>
      </w:r>
    </w:p>
    <w:p w14:paraId="123A92BA" w14:textId="77777777" w:rsidR="00221D59" w:rsidRPr="0012338D" w:rsidRDefault="00221D59" w:rsidP="00424F02">
      <w:pPr>
        <w:spacing w:line="360" w:lineRule="auto"/>
        <w:ind w:left="360"/>
      </w:pPr>
      <w:r w:rsidRPr="0012338D">
        <w:t>Section 2 – Evidence of a clear understanding of why it is important for children to choose their own play and the importance of the role of the adult in children’s play</w:t>
      </w:r>
    </w:p>
    <w:p w14:paraId="7BBAB7A3" w14:textId="0899865C" w:rsidR="00221D59" w:rsidRPr="0012338D" w:rsidRDefault="00221D59" w:rsidP="00424F02">
      <w:pPr>
        <w:spacing w:line="360" w:lineRule="auto"/>
        <w:ind w:left="360"/>
      </w:pPr>
      <w:r w:rsidRPr="0012338D">
        <w:t xml:space="preserve">Self-directed play is a well-established principle within United Kingdom early years research and practice. It is widely recognised that children learn most effectively when they are able to initiate, control, and sustain their own play experiences (Moyles, 2015). While play is led by the child, the adult retains a significant role in enabling, supporting, </w:t>
      </w:r>
      <w:r w:rsidRPr="0012338D">
        <w:lastRenderedPageBreak/>
        <w:t>and extending learning without dominating the play process. This section explores the nature of self-directed play, the reasons it is essential for children’s learning, and the role of the adult in supporting play effectively.</w:t>
      </w:r>
    </w:p>
    <w:p w14:paraId="4523F05C" w14:textId="04C43385" w:rsidR="00221D59" w:rsidRPr="0012338D" w:rsidRDefault="00221D59" w:rsidP="00424F02">
      <w:pPr>
        <w:spacing w:line="360" w:lineRule="auto"/>
        <w:rPr>
          <w:rFonts w:eastAsia="Times New Roman"/>
        </w:rPr>
      </w:pPr>
    </w:p>
    <w:p w14:paraId="0EC8D4EA" w14:textId="77777777" w:rsidR="00221D59" w:rsidRPr="00424F02" w:rsidRDefault="00221D59" w:rsidP="00424F02">
      <w:pPr>
        <w:spacing w:line="360" w:lineRule="auto"/>
        <w:ind w:left="360"/>
        <w:rPr>
          <w:b/>
          <w:bCs/>
          <w:sz w:val="27"/>
          <w:szCs w:val="27"/>
        </w:rPr>
      </w:pPr>
      <w:r w:rsidRPr="00424F02">
        <w:rPr>
          <w:rFonts w:eastAsia="Times New Roman"/>
          <w:b/>
          <w:bCs/>
          <w:sz w:val="27"/>
          <w:szCs w:val="27"/>
        </w:rPr>
        <w:t>What is Self-Directed Play?</w:t>
      </w:r>
    </w:p>
    <w:p w14:paraId="1D84FD14" w14:textId="77777777" w:rsidR="00221D59" w:rsidRPr="0012338D" w:rsidRDefault="00221D59" w:rsidP="00424F02">
      <w:pPr>
        <w:spacing w:line="360" w:lineRule="auto"/>
        <w:ind w:left="360"/>
      </w:pPr>
      <w:r w:rsidRPr="0012338D">
        <w:t>Self-directed play refers to play that is initiated and controlled by the child, with decisions made about content, direction, and duration. There are no predetermined outcomes imposed by adults, allowing children to follow their own interests and motivations. Bottrill (2022) identifies self-directed play as a process through which children develop agency, as they actively shape their experiences rather than responding to adult-led tasks.</w:t>
      </w:r>
    </w:p>
    <w:p w14:paraId="62FB3F83" w14:textId="77777777" w:rsidR="00221D59" w:rsidRPr="0012338D" w:rsidRDefault="00221D59" w:rsidP="00424F02">
      <w:pPr>
        <w:spacing w:line="360" w:lineRule="auto"/>
        <w:ind w:left="360"/>
      </w:pPr>
      <w:r w:rsidRPr="0012338D">
        <w:t>UK research views play as a dynamic and evolving process rather than a fixed activity. Moyles (2015) describes play as a vehicle for learning where children revisit experiences, test ideas, and adapt thinking over time. Self-directed play supports holistic development, as children naturally integrate physical movement, communication, social interaction, emotional expression, and cognitive challenge within their play.</w:t>
      </w:r>
    </w:p>
    <w:p w14:paraId="02AD9D31" w14:textId="77777777" w:rsidR="00221D59" w:rsidRPr="0012338D" w:rsidRDefault="00221D59" w:rsidP="00424F02">
      <w:pPr>
        <w:spacing w:line="360" w:lineRule="auto"/>
        <w:ind w:left="360"/>
      </w:pPr>
      <w:r w:rsidRPr="0012338D">
        <w:t>Theoretical perspectives strongly support this approach. Piaget viewed children as active learners who construct knowledge through exploration and interaction with their environment. According to Piaget, learning occurs most effectively when children are free to explore independently, allowing cognitive structures to develop naturally (Aubrey, 2022). Bruner’s theory of discovery learning further reinforces this view, suggesting that children learn best when they are able to investigate, experiment, and problem-solve through self-chosen activity (Aubrey, 2022).</w:t>
      </w:r>
    </w:p>
    <w:p w14:paraId="59740B35" w14:textId="75F91C5A" w:rsidR="00221D59" w:rsidRPr="0012338D" w:rsidRDefault="00221D59" w:rsidP="00424F02">
      <w:pPr>
        <w:spacing w:line="360" w:lineRule="auto"/>
        <w:rPr>
          <w:rFonts w:eastAsia="Times New Roman"/>
        </w:rPr>
      </w:pPr>
    </w:p>
    <w:p w14:paraId="4BBE9DFB" w14:textId="77777777" w:rsidR="00902F56" w:rsidRPr="00424F02" w:rsidRDefault="00221D59" w:rsidP="00424F02">
      <w:pPr>
        <w:spacing w:line="360" w:lineRule="auto"/>
        <w:ind w:left="360"/>
        <w:rPr>
          <w:b/>
          <w:bCs/>
          <w:sz w:val="27"/>
          <w:szCs w:val="27"/>
        </w:rPr>
      </w:pPr>
      <w:r w:rsidRPr="00424F02">
        <w:rPr>
          <w:rFonts w:eastAsia="Times New Roman"/>
          <w:b/>
          <w:bCs/>
          <w:sz w:val="27"/>
          <w:szCs w:val="27"/>
        </w:rPr>
        <w:t>Why Self-Directed Play is Important</w:t>
      </w:r>
    </w:p>
    <w:p w14:paraId="442EA8C0" w14:textId="4E5FC969" w:rsidR="00221D59" w:rsidRPr="00424F02" w:rsidRDefault="00221D59" w:rsidP="00424F02">
      <w:pPr>
        <w:spacing w:line="360" w:lineRule="auto"/>
        <w:ind w:left="360"/>
        <w:rPr>
          <w:b/>
          <w:bCs/>
          <w:sz w:val="27"/>
          <w:szCs w:val="27"/>
        </w:rPr>
      </w:pPr>
      <w:r w:rsidRPr="0012338D">
        <w:t xml:space="preserve">Self-directed play is important because it provides children with freedom and choice, which supports motivation and engagement. Howard (2020) highlights that play selected and sustained by children leads to deeper levels of involvement, enabling learning to </w:t>
      </w:r>
      <w:r w:rsidRPr="0012338D">
        <w:lastRenderedPageBreak/>
        <w:t>become embedded rather than fragmented. When children are motivated by personal interest, they are more likely to persist with challenges and reflect on outcomes.</w:t>
      </w:r>
    </w:p>
    <w:p w14:paraId="78276D4D" w14:textId="77777777" w:rsidR="00221D59" w:rsidRPr="0012338D" w:rsidRDefault="00221D59" w:rsidP="00424F02">
      <w:pPr>
        <w:spacing w:line="360" w:lineRule="auto"/>
        <w:ind w:left="360"/>
      </w:pPr>
      <w:r w:rsidRPr="0012338D">
        <w:t>Choice within play supports emotional development by promoting independence, confidence, and self-regulation. Children learn to make decisions, assess risks, and manage outcomes. Social development is also embedded, as children negotiate roles, share resources, and resolve conflict within play scenarios. Language development is supported through spontaneous conversation, storytelling, and sustained dialogue that arises naturally during play (Anon, 2022).</w:t>
      </w:r>
    </w:p>
    <w:p w14:paraId="5D7140E3" w14:textId="77777777" w:rsidR="00221D59" w:rsidRPr="0012338D" w:rsidRDefault="00221D59" w:rsidP="00424F02">
      <w:pPr>
        <w:spacing w:line="360" w:lineRule="auto"/>
        <w:ind w:left="360"/>
      </w:pPr>
      <w:r w:rsidRPr="0012338D">
        <w:t>Cognitive development is enhanced through self-directed play as children engage in problem-solving, planning, and creative thinking. Children test ideas, adapt strategies, and learn from mistakes in meaningful contexts. Vygotsky’s sociocultural theory supports this process, particularly through the zone of proximal development, where learning is extended through social interaction within play (Aubrey, 2022). Vygotsky emphasised that play enables children to operate beyond their current level of development, particularly when play is socially shared and self-motivated.</w:t>
      </w:r>
    </w:p>
    <w:p w14:paraId="2A52871B" w14:textId="77777777" w:rsidR="00221D59" w:rsidRPr="0012338D" w:rsidRDefault="00221D59" w:rsidP="00424F02">
      <w:pPr>
        <w:spacing w:line="360" w:lineRule="auto"/>
        <w:ind w:left="360"/>
      </w:pPr>
      <w:r w:rsidRPr="0012338D">
        <w:t>King’s (2020) play cycle theory further highlights the importance of uninterrupted self-directed play. The play cycle demonstrates how children revisit play experiences to rehearse, refine, and master skills. When adults interrupt or over-direct play, this cycle may be disrupted, reducing opportunities for deep learning.</w:t>
      </w:r>
    </w:p>
    <w:p w14:paraId="3B15D35A" w14:textId="6ABF820B" w:rsidR="00221D59" w:rsidRPr="0012338D" w:rsidRDefault="00221D59" w:rsidP="00424F02">
      <w:pPr>
        <w:spacing w:line="360" w:lineRule="auto"/>
        <w:rPr>
          <w:rFonts w:eastAsia="Times New Roman"/>
        </w:rPr>
      </w:pPr>
    </w:p>
    <w:p w14:paraId="4F59F48B" w14:textId="77777777" w:rsidR="00221D59" w:rsidRPr="00424F02" w:rsidRDefault="00221D59" w:rsidP="00424F02">
      <w:pPr>
        <w:spacing w:line="360" w:lineRule="auto"/>
        <w:ind w:left="360"/>
        <w:rPr>
          <w:b/>
          <w:bCs/>
          <w:sz w:val="27"/>
          <w:szCs w:val="27"/>
        </w:rPr>
      </w:pPr>
      <w:r w:rsidRPr="00424F02">
        <w:rPr>
          <w:rFonts w:eastAsia="Times New Roman"/>
          <w:b/>
          <w:bCs/>
          <w:sz w:val="27"/>
          <w:szCs w:val="27"/>
        </w:rPr>
        <w:t>The Role of the Adult in Supporting Self-Directed Play</w:t>
      </w:r>
    </w:p>
    <w:p w14:paraId="38E01F90" w14:textId="77777777" w:rsidR="00221D59" w:rsidRPr="0012338D" w:rsidRDefault="00221D59" w:rsidP="00424F02">
      <w:pPr>
        <w:spacing w:line="360" w:lineRule="auto"/>
        <w:ind w:left="360"/>
      </w:pPr>
      <w:r w:rsidRPr="0012338D">
        <w:t>Although self-directed play is child-led, the role of the adult is essential in enabling effective play experiences. Adult support should be based on observation, responsiveness, and professional judgement rather than direct instruction. Smidt (2015) emphasises that skilled observation allows practitioners to identify children’s interests, schemas, and developmental needs, informing appropriate support without controlling play.</w:t>
      </w:r>
    </w:p>
    <w:p w14:paraId="50097644" w14:textId="77777777" w:rsidR="00221D59" w:rsidRPr="0012338D" w:rsidRDefault="00221D59" w:rsidP="00424F02">
      <w:pPr>
        <w:spacing w:line="360" w:lineRule="auto"/>
        <w:ind w:left="360"/>
      </w:pPr>
      <w:r w:rsidRPr="0012338D">
        <w:t xml:space="preserve">Adults support self-directed play by creating enabling environments that provide time, space, and access to open-ended resources. Anon (2022) highlights that environments </w:t>
      </w:r>
      <w:r w:rsidRPr="0012338D">
        <w:lastRenderedPageBreak/>
        <w:t>designed for independence encourage autonomy and sustained engagement. Resources should be flexible and adaptable, allowing children to use them in multiple ways rather than for fixed purposes.</w:t>
      </w:r>
    </w:p>
    <w:p w14:paraId="160AEC11" w14:textId="77777777" w:rsidR="00221D59" w:rsidRPr="0012338D" w:rsidRDefault="00221D59" w:rsidP="00424F02">
      <w:pPr>
        <w:spacing w:line="360" w:lineRule="auto"/>
      </w:pPr>
    </w:p>
    <w:p w14:paraId="3C0F0817" w14:textId="77777777" w:rsidR="00221D59" w:rsidRPr="0012338D" w:rsidRDefault="00221D59" w:rsidP="00424F02">
      <w:pPr>
        <w:spacing w:line="360" w:lineRule="auto"/>
        <w:ind w:left="360"/>
      </w:pPr>
      <w:r w:rsidRPr="0012338D">
        <w:t>Adult interaction within play should be purposeful and minimal. Practitioners may extend learning by modelling language, introducing new vocabulary, or offering gentle prompts, while ensuring that the direction of play remains with the child. This approach aligns with Vygotsky’s concept of scaffolding, where adult support is gradually withdrawn as competence increases (Aubrey, 2022).</w:t>
      </w:r>
    </w:p>
    <w:p w14:paraId="13A417D9" w14:textId="77777777" w:rsidR="00221D59" w:rsidRPr="0012338D" w:rsidRDefault="00221D59" w:rsidP="00424F02">
      <w:pPr>
        <w:spacing w:line="360" w:lineRule="auto"/>
        <w:ind w:left="360"/>
      </w:pPr>
      <w:r w:rsidRPr="0012338D">
        <w:t>Moyles (2015) cautions against excessive adult involvement, as this may reduce creativity and ownership of learning. A balance between involvement and withdrawal is required, enabling adults to recognise when to intervene and when to allow uninterrupted play. This balance supports the continuation of the play cycle and respects children’s autonomy (King, 2020).</w:t>
      </w:r>
    </w:p>
    <w:p w14:paraId="6C7B9A4A" w14:textId="77777777" w:rsidR="00221D59" w:rsidRPr="0012338D" w:rsidRDefault="00221D59" w:rsidP="00424F02">
      <w:pPr>
        <w:spacing w:line="360" w:lineRule="auto"/>
        <w:ind w:left="360"/>
      </w:pPr>
      <w:r w:rsidRPr="0012338D">
        <w:t>Inclusive practice is a further responsibility of the adult. By ensuring that resources, environments, and opportunities reflect diversity and are accessible to all children, practitioners support equitable participation in self-directed play (Bottrill, 2022).</w:t>
      </w:r>
    </w:p>
    <w:p w14:paraId="783EAE11" w14:textId="77777777" w:rsidR="003304F3" w:rsidRPr="0012338D" w:rsidRDefault="003304F3" w:rsidP="00424F02">
      <w:pPr>
        <w:spacing w:line="360" w:lineRule="auto"/>
        <w:ind w:left="360"/>
      </w:pPr>
      <w:r w:rsidRPr="0012338D">
        <w:t>Section 3 – In-depth discussion and understanding of an observation method for young children</w:t>
      </w:r>
    </w:p>
    <w:p w14:paraId="3F66DE4C" w14:textId="77777777" w:rsidR="003304F3" w:rsidRPr="0012338D" w:rsidRDefault="003304F3" w:rsidP="00424F02">
      <w:pPr>
        <w:spacing w:line="360" w:lineRule="auto"/>
        <w:ind w:left="360"/>
      </w:pPr>
      <w:r w:rsidRPr="0012338D">
        <w:t>Observation is a fundamental practice within early years education and care, providing practitioners with systematic information about children’s development, learning, and wellbeing. Observation involves watching, listening to, and recording children’s behaviour and interactions in order to gain insight into their interests, abilities, and needs (Smidt, 2015). It is important because it informs planning, supports assessment, and ensures that provision is responsive to individual children. Effective observation enables practitioners to understand development holistically while maintaining a child-centred approach (Moyles, 2015). This section focuses on running records as an individual child observation method, exploring its purpose, application, benefits, and limitations.</w:t>
      </w:r>
    </w:p>
    <w:p w14:paraId="686ADFC6" w14:textId="5848B0B7" w:rsidR="003304F3" w:rsidRPr="0012338D" w:rsidRDefault="003304F3" w:rsidP="00424F02">
      <w:pPr>
        <w:spacing w:line="360" w:lineRule="auto"/>
        <w:rPr>
          <w:rFonts w:eastAsia="Times New Roman"/>
        </w:rPr>
      </w:pPr>
    </w:p>
    <w:p w14:paraId="6717AAC9" w14:textId="77777777" w:rsidR="003304F3" w:rsidRPr="00424F02" w:rsidRDefault="003304F3" w:rsidP="00424F02">
      <w:pPr>
        <w:spacing w:line="360" w:lineRule="auto"/>
        <w:ind w:left="360"/>
        <w:rPr>
          <w:b/>
          <w:bCs/>
          <w:sz w:val="27"/>
          <w:szCs w:val="27"/>
        </w:rPr>
      </w:pPr>
      <w:r w:rsidRPr="00424F02">
        <w:rPr>
          <w:rFonts w:eastAsia="Times New Roman"/>
          <w:b/>
          <w:bCs/>
          <w:sz w:val="27"/>
          <w:szCs w:val="27"/>
        </w:rPr>
        <w:t>Defining Observation and Its Importance</w:t>
      </w:r>
    </w:p>
    <w:p w14:paraId="1C232AEA" w14:textId="77777777" w:rsidR="003304F3" w:rsidRPr="0012338D" w:rsidRDefault="003304F3" w:rsidP="00424F02">
      <w:pPr>
        <w:spacing w:line="360" w:lineRule="auto"/>
        <w:ind w:left="360"/>
      </w:pPr>
      <w:r w:rsidRPr="0012338D">
        <w:t>Observation in the early years refers to the systematic collection of information about children through direct, purposeful watching and recording. Smidt (2015) emphasises that observation allows practitioners to see children as they are, rather than measuring them against preconceived expectations. Observation supports inclusive practice by recognising individual development patterns and identifying strengths as well as areas requiring support.</w:t>
      </w:r>
    </w:p>
    <w:p w14:paraId="76F02C0D" w14:textId="77777777" w:rsidR="003304F3" w:rsidRPr="0012338D" w:rsidRDefault="003304F3" w:rsidP="00424F02">
      <w:pPr>
        <w:spacing w:line="360" w:lineRule="auto"/>
        <w:ind w:left="360"/>
      </w:pPr>
      <w:r w:rsidRPr="0012338D">
        <w:t>Within United Kingdom practice, observation is closely linked to understanding play and learning. Moyles (2015) highlights that play-based learning cannot be fully understood without observing children within natural contexts. Observation enables practitioners to identify interests, schemas, social interactions, and learning strategies, ensuring that planning is meaningful and developmentally appropriate.</w:t>
      </w:r>
    </w:p>
    <w:p w14:paraId="76D6E6E8" w14:textId="77777777" w:rsidR="003304F3" w:rsidRPr="00424F02" w:rsidRDefault="003304F3" w:rsidP="00424F02">
      <w:pPr>
        <w:spacing w:line="360" w:lineRule="auto"/>
        <w:ind w:left="360"/>
        <w:rPr>
          <w:rFonts w:eastAsia="Times New Roman"/>
        </w:rPr>
      </w:pPr>
      <w:r w:rsidRPr="0012338D">
        <w:rPr>
          <w:rFonts w:eastAsia="Times New Roman"/>
          <w:noProof/>
        </w:rPr>
        <mc:AlternateContent>
          <mc:Choice Requires="wps">
            <w:drawing>
              <wp:inline distT="0" distB="0" distL="0" distR="0" wp14:anchorId="3148C65E" wp14:editId="4FEEC81C">
                <wp:extent cx="5502910" cy="1270"/>
                <wp:effectExtent l="0" t="31750" r="0" b="36830"/>
                <wp:docPr id="1926465669" name="Rectangle 4"/>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2C81917" id="Rectangle 4" o:spid="_x0000_s1026" style="width:433.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19cXYtsAAAAHAQAADwAA&#13;&#10;AAAAAAAAAAAAAACYBAAAZHJzL2Rvd25yZXYueG1sUEsFBgAAAAAEAAQA8wAAAKAFAAAAAA==&#13;&#10;" filled="f">
                <w10:anchorlock/>
              </v:rect>
            </w:pict>
          </mc:Fallback>
        </mc:AlternateContent>
      </w:r>
    </w:p>
    <w:p w14:paraId="2D65399C" w14:textId="77777777" w:rsidR="003304F3" w:rsidRPr="00424F02" w:rsidRDefault="003304F3" w:rsidP="00424F02">
      <w:pPr>
        <w:spacing w:line="360" w:lineRule="auto"/>
        <w:ind w:left="360"/>
        <w:rPr>
          <w:b/>
          <w:bCs/>
          <w:sz w:val="27"/>
          <w:szCs w:val="27"/>
        </w:rPr>
      </w:pPr>
      <w:r w:rsidRPr="00424F02">
        <w:rPr>
          <w:rFonts w:eastAsia="Times New Roman"/>
          <w:b/>
          <w:bCs/>
          <w:sz w:val="27"/>
          <w:szCs w:val="27"/>
        </w:rPr>
        <w:t>Explanation of the Running Record Observation Method</w:t>
      </w:r>
    </w:p>
    <w:p w14:paraId="3B7D6868" w14:textId="77777777" w:rsidR="003304F3" w:rsidRPr="0012338D" w:rsidRDefault="003304F3" w:rsidP="00424F02">
      <w:pPr>
        <w:spacing w:line="360" w:lineRule="auto"/>
        <w:ind w:left="360"/>
      </w:pPr>
      <w:r w:rsidRPr="0012338D">
        <w:t>A running record is a narrative observation method that involves recording everything a child does and says over a set period of time. This observation is written in chronological order and focuses on capturing behaviour, language, movement, and interactions as they naturally occur. Running records are usually time-limited, allowing practitioners to gain a detailed snapshot of a child’s activity and engagement.</w:t>
      </w:r>
    </w:p>
    <w:p w14:paraId="0C718BA2" w14:textId="77777777" w:rsidR="003304F3" w:rsidRPr="0012338D" w:rsidRDefault="003304F3" w:rsidP="00424F02">
      <w:pPr>
        <w:spacing w:line="360" w:lineRule="auto"/>
        <w:ind w:left="360"/>
      </w:pPr>
      <w:r w:rsidRPr="0012338D">
        <w:t>The purpose of a running record is to provide rich, descriptive data without interpretation or judgement. Smidt (2015) emphasises that this method encourages objective recording, ensuring that what is observed is documented accurately before analysis takes place. Running records are commonly used during play-based activities, making them particularly suitable for early years settings where learning is embedded within play.</w:t>
      </w:r>
    </w:p>
    <w:p w14:paraId="41A5E5FB" w14:textId="77777777" w:rsidR="003304F3" w:rsidRPr="0012338D" w:rsidRDefault="003304F3" w:rsidP="00424F02">
      <w:pPr>
        <w:spacing w:line="360" w:lineRule="auto"/>
        <w:ind w:left="360"/>
      </w:pPr>
      <w:r w:rsidRPr="0012338D">
        <w:lastRenderedPageBreak/>
        <w:t>Running records align with play-focused pedagogy by allowing practitioners to observe children within self-directed activity. This supports an understanding of how children learn, interact, and explore, rather than focusing solely on outcomes (Moyles, 2015).</w:t>
      </w:r>
    </w:p>
    <w:p w14:paraId="1474B344" w14:textId="77B04FDE" w:rsidR="003304F3" w:rsidRPr="0012338D" w:rsidRDefault="003304F3" w:rsidP="00424F02">
      <w:pPr>
        <w:spacing w:line="360" w:lineRule="auto"/>
        <w:rPr>
          <w:rFonts w:eastAsia="Times New Roman"/>
        </w:rPr>
      </w:pPr>
    </w:p>
    <w:p w14:paraId="5C0DEC74" w14:textId="77777777" w:rsidR="003304F3" w:rsidRPr="00424F02" w:rsidRDefault="003304F3" w:rsidP="00424F02">
      <w:pPr>
        <w:spacing w:line="360" w:lineRule="auto"/>
        <w:ind w:left="360"/>
        <w:rPr>
          <w:b/>
          <w:bCs/>
          <w:sz w:val="27"/>
          <w:szCs w:val="27"/>
        </w:rPr>
      </w:pPr>
      <w:r w:rsidRPr="00424F02">
        <w:rPr>
          <w:rFonts w:eastAsia="Times New Roman"/>
          <w:b/>
          <w:bCs/>
          <w:sz w:val="27"/>
          <w:szCs w:val="27"/>
        </w:rPr>
        <w:t>Benefits of Running Records</w:t>
      </w:r>
    </w:p>
    <w:p w14:paraId="13623223" w14:textId="77777777" w:rsidR="003304F3" w:rsidRPr="0012338D" w:rsidRDefault="003304F3" w:rsidP="00424F02">
      <w:pPr>
        <w:spacing w:line="360" w:lineRule="auto"/>
        <w:ind w:left="360"/>
      </w:pPr>
      <w:r w:rsidRPr="0012338D">
        <w:t>One key benefit of running records is the depth of information they provide. This observation method captures a wide range of developmental areas simultaneously, including language use, social interaction, emotional responses, physical movement, and cognitive engagement. As a result, running records can support holistic assessment of the child.</w:t>
      </w:r>
    </w:p>
    <w:p w14:paraId="1EBF1E87" w14:textId="77777777" w:rsidR="003304F3" w:rsidRPr="0012338D" w:rsidRDefault="003304F3" w:rsidP="00424F02">
      <w:pPr>
        <w:spacing w:line="360" w:lineRule="auto"/>
        <w:ind w:left="360"/>
      </w:pPr>
      <w:r w:rsidRPr="0012338D">
        <w:t>Running records are particularly effective for identifying patterns of behaviour and interest over time. By analysing repeated observations, practitioners can gain insight into schemas, play preferences, and social relationships. This aligns with King’s (2020) emphasis on understanding play as a cyclical process, where children revisit experiences to deepen learning.</w:t>
      </w:r>
    </w:p>
    <w:p w14:paraId="7B8B225C" w14:textId="77777777" w:rsidR="003304F3" w:rsidRPr="0012338D" w:rsidRDefault="003304F3" w:rsidP="00424F02">
      <w:pPr>
        <w:spacing w:line="360" w:lineRule="auto"/>
        <w:ind w:left="360"/>
      </w:pPr>
      <w:r w:rsidRPr="0012338D">
        <w:t>Another benefit is flexibility. Running records can be adapted to different ages, settings, and purposes, making them accessible for practitioners. They are also useful for supporting reflective practice, as the detailed narrative allows practitioners to review interactions and consider appropriate next steps.</w:t>
      </w:r>
    </w:p>
    <w:p w14:paraId="23B225E0" w14:textId="41F4ED5C" w:rsidR="003304F3" w:rsidRPr="0012338D" w:rsidRDefault="003304F3" w:rsidP="00424F02">
      <w:pPr>
        <w:spacing w:line="360" w:lineRule="auto"/>
        <w:rPr>
          <w:rFonts w:eastAsia="Times New Roman"/>
        </w:rPr>
      </w:pPr>
    </w:p>
    <w:p w14:paraId="0463BEFF" w14:textId="77777777" w:rsidR="003304F3" w:rsidRPr="00424F02" w:rsidRDefault="003304F3" w:rsidP="00424F02">
      <w:pPr>
        <w:spacing w:line="360" w:lineRule="auto"/>
        <w:ind w:left="360"/>
        <w:rPr>
          <w:b/>
          <w:bCs/>
          <w:sz w:val="27"/>
          <w:szCs w:val="27"/>
        </w:rPr>
      </w:pPr>
      <w:r w:rsidRPr="00424F02">
        <w:rPr>
          <w:rFonts w:eastAsia="Times New Roman"/>
          <w:b/>
          <w:bCs/>
          <w:sz w:val="27"/>
          <w:szCs w:val="27"/>
        </w:rPr>
        <w:t>Limitations of Running Records</w:t>
      </w:r>
    </w:p>
    <w:p w14:paraId="6294BDB2" w14:textId="77777777" w:rsidR="003304F3" w:rsidRPr="0012338D" w:rsidRDefault="003304F3" w:rsidP="00424F02">
      <w:pPr>
        <w:spacing w:line="360" w:lineRule="auto"/>
        <w:ind w:left="360"/>
      </w:pPr>
      <w:r w:rsidRPr="0012338D">
        <w:t>Despite their strengths, running records also present limitations. One significant limitation is the time required to conduct and analyse them effectively. Writing detailed narrative observations can be demanding, particularly in busy early years environments. This may reduce the frequency with which running records are completed.</w:t>
      </w:r>
    </w:p>
    <w:p w14:paraId="14CD2A29" w14:textId="77777777" w:rsidR="003304F3" w:rsidRPr="0012338D" w:rsidRDefault="003304F3" w:rsidP="00424F02">
      <w:pPr>
        <w:spacing w:line="360" w:lineRule="auto"/>
        <w:ind w:left="360"/>
      </w:pPr>
      <w:r w:rsidRPr="0012338D">
        <w:t xml:space="preserve">Running records also focus on a short period of time, which may not represent typical behaviour. A child’s mood, health, or environment may influence the observation, </w:t>
      </w:r>
      <w:r w:rsidRPr="0012338D">
        <w:lastRenderedPageBreak/>
        <w:t>potentially limiting its reliability if used in isolation. Smidt (2015) highlights the importance of using multiple observations over time to reduce this limitation.</w:t>
      </w:r>
    </w:p>
    <w:p w14:paraId="5F8BC6A6" w14:textId="77777777" w:rsidR="003304F3" w:rsidRPr="0012338D" w:rsidRDefault="003304F3" w:rsidP="00424F02">
      <w:pPr>
        <w:spacing w:line="360" w:lineRule="auto"/>
        <w:ind w:left="360"/>
      </w:pPr>
      <w:r w:rsidRPr="0012338D">
        <w:t>Another limitation relates to subjectivity. Although running records aim to be objective, practitioner bias may influence what is recorded or omitted. This risk reinforces the importance of professional training and reflective practice to ensure accurate and balanced observations.</w:t>
      </w:r>
    </w:p>
    <w:p w14:paraId="1050B5EF" w14:textId="6C42CA0C" w:rsidR="003304F3" w:rsidRPr="0012338D" w:rsidRDefault="003304F3" w:rsidP="00424F02">
      <w:pPr>
        <w:spacing w:line="360" w:lineRule="auto"/>
        <w:rPr>
          <w:rFonts w:eastAsia="Times New Roman"/>
        </w:rPr>
      </w:pPr>
    </w:p>
    <w:p w14:paraId="03604D52" w14:textId="77777777" w:rsidR="003304F3" w:rsidRPr="00424F02" w:rsidRDefault="003304F3" w:rsidP="00424F02">
      <w:pPr>
        <w:spacing w:line="360" w:lineRule="auto"/>
        <w:ind w:left="360"/>
        <w:rPr>
          <w:b/>
          <w:bCs/>
          <w:sz w:val="27"/>
          <w:szCs w:val="27"/>
        </w:rPr>
      </w:pPr>
      <w:r w:rsidRPr="00424F02">
        <w:rPr>
          <w:rFonts w:eastAsia="Times New Roman"/>
          <w:b/>
          <w:bCs/>
          <w:sz w:val="27"/>
          <w:szCs w:val="27"/>
        </w:rPr>
        <w:t>Holistic Value of Running Records</w:t>
      </w:r>
    </w:p>
    <w:p w14:paraId="5C7611A1" w14:textId="77777777" w:rsidR="003304F3" w:rsidRPr="0012338D" w:rsidRDefault="003304F3" w:rsidP="00424F02">
      <w:pPr>
        <w:spacing w:line="360" w:lineRule="auto"/>
        <w:ind w:left="360"/>
      </w:pPr>
      <w:r w:rsidRPr="0012338D">
        <w:t>Running records provide a largely holistic view of the child, as they capture multiple areas of development within a natural context. Unlike scale-based observations, which may focus on specific skills or behaviours, running records allow practitioners to see how development is interconnected during play (Moyles, 2015).</w:t>
      </w:r>
    </w:p>
    <w:p w14:paraId="6B28E20B" w14:textId="77777777" w:rsidR="003304F3" w:rsidRPr="0012338D" w:rsidRDefault="003304F3" w:rsidP="00424F02">
      <w:pPr>
        <w:spacing w:line="360" w:lineRule="auto"/>
        <w:ind w:left="360"/>
      </w:pPr>
      <w:r w:rsidRPr="0012338D">
        <w:t>However, running records do not measure progress against standardised criteria. This may limit their usefulness for formal assessment or comparison. Their strength lies in understanding the child as an individual rather than measuring attainment. This aligns with UK early years values that prioritise child-centred, play-based approaches to assessment (Anon, 2022).</w:t>
      </w:r>
    </w:p>
    <w:p w14:paraId="47D9FA94" w14:textId="77777777" w:rsidR="004C4297" w:rsidRPr="0012338D" w:rsidRDefault="004C4297" w:rsidP="00424F02">
      <w:pPr>
        <w:spacing w:line="360" w:lineRule="auto"/>
        <w:ind w:left="360"/>
      </w:pPr>
      <w:r w:rsidRPr="0012338D">
        <w:t>Section 4 – Demonstrate an understanding of the role of play when undertaking observations and assessments of children and consider how this affects the child’s engagement and the accuracy of the observation</w:t>
      </w:r>
    </w:p>
    <w:p w14:paraId="0845997C" w14:textId="77777777" w:rsidR="004C4297" w:rsidRPr="0012338D" w:rsidRDefault="004C4297" w:rsidP="00424F02">
      <w:pPr>
        <w:spacing w:line="360" w:lineRule="auto"/>
        <w:ind w:left="360"/>
      </w:pPr>
      <w:r w:rsidRPr="0012338D">
        <w:t>Play has a central role in the observation and assessment of young children within United Kingdom early years practice. Observing children through play-based contexts enables practitioners to gain authentic insight into development, learning, and wellbeing. Research consistently highlights that play supports engagement, motivation, and natural behaviour, all of which contribute to the accuracy and validity of observation and assessment (Moyles, 2015; Howard and McInnes, 2013). This section explores why play is essential when observing and assessing children, how play-based observation provides a more accurate reflection of development, and how adults can support this process effectively.</w:t>
      </w:r>
    </w:p>
    <w:p w14:paraId="711DD43B" w14:textId="3C4A8826" w:rsidR="004C4297" w:rsidRPr="0012338D" w:rsidRDefault="004C4297" w:rsidP="00424F02">
      <w:pPr>
        <w:spacing w:line="360" w:lineRule="auto"/>
        <w:rPr>
          <w:rFonts w:eastAsia="Times New Roman"/>
        </w:rPr>
      </w:pPr>
    </w:p>
    <w:p w14:paraId="141D779F" w14:textId="77777777" w:rsidR="00593FC2" w:rsidRPr="00424F02" w:rsidRDefault="004C4297" w:rsidP="00424F02">
      <w:pPr>
        <w:spacing w:line="360" w:lineRule="auto"/>
        <w:ind w:left="360"/>
        <w:rPr>
          <w:b/>
          <w:bCs/>
          <w:sz w:val="27"/>
          <w:szCs w:val="27"/>
        </w:rPr>
      </w:pPr>
      <w:r w:rsidRPr="00424F02">
        <w:rPr>
          <w:rFonts w:eastAsia="Times New Roman"/>
          <w:b/>
          <w:bCs/>
          <w:sz w:val="27"/>
          <w:szCs w:val="27"/>
        </w:rPr>
        <w:t>The Importance of Play in Observation and Assessment</w:t>
      </w:r>
      <w:r w:rsidR="00593FC2" w:rsidRPr="00424F02">
        <w:rPr>
          <w:b/>
          <w:bCs/>
          <w:sz w:val="27"/>
          <w:szCs w:val="27"/>
        </w:rPr>
        <w:t xml:space="preserve"> </w:t>
      </w:r>
    </w:p>
    <w:p w14:paraId="254E6614" w14:textId="5FF34EA8" w:rsidR="004C4297" w:rsidRPr="00424F02" w:rsidRDefault="004C4297" w:rsidP="00424F02">
      <w:pPr>
        <w:spacing w:line="360" w:lineRule="auto"/>
        <w:ind w:left="360"/>
        <w:rPr>
          <w:b/>
          <w:bCs/>
          <w:sz w:val="27"/>
          <w:szCs w:val="27"/>
        </w:rPr>
      </w:pPr>
      <w:r w:rsidRPr="0012338D">
        <w:t>Play is the primary context through which young children learn and express understanding. Observing children during play allows practitioners to see learning as it naturally occurs, rather than in response to adult-directed tasks. Smidt (2015) emphasises that observation should focus on children’s authentic behaviour, as this provides a more accurate picture of development than isolated or artificial assessment activities.</w:t>
      </w:r>
    </w:p>
    <w:p w14:paraId="0A3C09AA" w14:textId="77777777" w:rsidR="004C4297" w:rsidRPr="0012338D" w:rsidRDefault="004C4297" w:rsidP="00424F02">
      <w:pPr>
        <w:spacing w:line="360" w:lineRule="auto"/>
        <w:ind w:left="360"/>
      </w:pPr>
      <w:r w:rsidRPr="0012338D">
        <w:t>When children are engaged in play, they are more relaxed and motivated, which supports sustained involvement. Howard and McInnes (2013) highlight that play-based experiences encourage deep engagement, enabling children to demonstrate skills and understanding that may not be visible in adult-led contexts. Play allows children to integrate physical, social, emotional, language, and cognitive development simultaneously, supporting holistic assessment.</w:t>
      </w:r>
    </w:p>
    <w:p w14:paraId="3627F0EF" w14:textId="77777777" w:rsidR="004C4297" w:rsidRPr="0012338D" w:rsidRDefault="004C4297" w:rsidP="00424F02">
      <w:pPr>
        <w:spacing w:line="360" w:lineRule="auto"/>
        <w:ind w:left="360"/>
      </w:pPr>
      <w:r w:rsidRPr="0012338D">
        <w:t>In contrast, assessment outside of play may limit children’s responses, particularly for those who are less confident or less responsive to adult direction. Observing play reduces pressure and enables children to act independently, increasing the likelihood that observations reflect true developmental ability rather than performance influenced by adult expectations.</w:t>
      </w:r>
    </w:p>
    <w:p w14:paraId="3552D6C5" w14:textId="4982DA84" w:rsidR="004C4297" w:rsidRPr="0012338D" w:rsidRDefault="004C4297" w:rsidP="00424F02">
      <w:pPr>
        <w:spacing w:line="360" w:lineRule="auto"/>
        <w:rPr>
          <w:rFonts w:eastAsia="Times New Roman"/>
        </w:rPr>
      </w:pPr>
    </w:p>
    <w:p w14:paraId="46060428" w14:textId="77777777" w:rsidR="004C4297" w:rsidRPr="00424F02" w:rsidRDefault="004C4297" w:rsidP="00424F02">
      <w:pPr>
        <w:spacing w:line="360" w:lineRule="auto"/>
        <w:ind w:left="360"/>
        <w:rPr>
          <w:b/>
          <w:bCs/>
          <w:sz w:val="27"/>
          <w:szCs w:val="27"/>
        </w:rPr>
      </w:pPr>
      <w:r w:rsidRPr="00424F02">
        <w:rPr>
          <w:rFonts w:eastAsia="Times New Roman"/>
          <w:b/>
          <w:bCs/>
          <w:sz w:val="27"/>
          <w:szCs w:val="27"/>
        </w:rPr>
        <w:t>Accuracy of Play-Based Observation</w:t>
      </w:r>
    </w:p>
    <w:p w14:paraId="223E0661" w14:textId="77777777" w:rsidR="004C4297" w:rsidRPr="0012338D" w:rsidRDefault="004C4297" w:rsidP="00424F02">
      <w:pPr>
        <w:spacing w:line="360" w:lineRule="auto"/>
        <w:ind w:left="360"/>
      </w:pPr>
      <w:r w:rsidRPr="0012338D">
        <w:t>Observing children within play provides a more accurate reflection of development because play allows children to draw on interests, strengths, and prior experiences. Moyles (2015) argues that play reveals how children think, problem-solve, communicate, and interact, offering insight into both processes and outcomes of learning.</w:t>
      </w:r>
    </w:p>
    <w:p w14:paraId="286BA541" w14:textId="77777777" w:rsidR="004C4297" w:rsidRPr="0012338D" w:rsidRDefault="004C4297" w:rsidP="00424F02">
      <w:pPr>
        <w:spacing w:line="360" w:lineRule="auto"/>
        <w:ind w:left="360"/>
      </w:pPr>
      <w:r w:rsidRPr="0012338D">
        <w:t xml:space="preserve">Howard and McInnes (2013) explored the concept of playful learning and found that children demonstrate higher levels of involvement and cognitive challenge when learning is embedded within play. High levels of engagement are closely linked to </w:t>
      </w:r>
      <w:r w:rsidRPr="0012338D">
        <w:lastRenderedPageBreak/>
        <w:t>effective learning, suggesting that observations made during play are more likely to reflect genuine capability. This is supported by the Leuven approach, which links involvement and wellbeing with meaningful learning experiences.</w:t>
      </w:r>
    </w:p>
    <w:p w14:paraId="1B07735A" w14:textId="77777777" w:rsidR="004C4297" w:rsidRPr="0012338D" w:rsidRDefault="004C4297" w:rsidP="00424F02">
      <w:pPr>
        <w:spacing w:line="360" w:lineRule="auto"/>
        <w:ind w:left="360"/>
      </w:pPr>
      <w:r w:rsidRPr="0012338D">
        <w:t>Play-based observation also supports accuracy by allowing repeated and sustained observation over time. Children revisit play experiences, enabling practitioners to identify patterns, progress, and emerging skills. King’s (2020) play cycle theory highlights that children return to play to rehearse and refine learning, providing multiple opportunities for observation and assessment in varied contexts.</w:t>
      </w:r>
    </w:p>
    <w:p w14:paraId="07E10BDB" w14:textId="3C05C5EE" w:rsidR="004C4297" w:rsidRPr="0012338D" w:rsidRDefault="004C4297" w:rsidP="00424F02">
      <w:pPr>
        <w:spacing w:line="360" w:lineRule="auto"/>
        <w:rPr>
          <w:rFonts w:eastAsia="Times New Roman"/>
        </w:rPr>
      </w:pPr>
    </w:p>
    <w:p w14:paraId="5F9080F6" w14:textId="77777777" w:rsidR="004C4297" w:rsidRPr="00424F02" w:rsidRDefault="004C4297" w:rsidP="00424F02">
      <w:pPr>
        <w:spacing w:line="360" w:lineRule="auto"/>
        <w:ind w:left="360"/>
        <w:rPr>
          <w:b/>
          <w:bCs/>
          <w:sz w:val="27"/>
          <w:szCs w:val="27"/>
        </w:rPr>
      </w:pPr>
      <w:r w:rsidRPr="00424F02">
        <w:rPr>
          <w:rFonts w:eastAsia="Times New Roman"/>
          <w:b/>
          <w:bCs/>
          <w:sz w:val="27"/>
          <w:szCs w:val="27"/>
        </w:rPr>
        <w:t>The Role of the Adult in Supporting Play-Based Observation</w:t>
      </w:r>
    </w:p>
    <w:p w14:paraId="45B0443E" w14:textId="77777777" w:rsidR="004C4297" w:rsidRPr="0012338D" w:rsidRDefault="004C4297" w:rsidP="00424F02">
      <w:pPr>
        <w:spacing w:line="360" w:lineRule="auto"/>
      </w:pPr>
    </w:p>
    <w:p w14:paraId="1636E76D" w14:textId="77777777" w:rsidR="004C4297" w:rsidRPr="0012338D" w:rsidRDefault="004C4297" w:rsidP="00424F02">
      <w:pPr>
        <w:spacing w:line="360" w:lineRule="auto"/>
        <w:ind w:left="360"/>
      </w:pPr>
      <w:r w:rsidRPr="0012338D">
        <w:t>Adults play a critical role in ensuring that play-based observation is effective and accurate. One key aspect of this role is knowing when to stand back. Excessive adult involvement can alter children’s behaviour, reducing the authenticity of the observation. Smidt (2015) emphasises that skilled observation requires practitioners to minimise intrusion and allow play to unfold naturally.</w:t>
      </w:r>
    </w:p>
    <w:p w14:paraId="184D3AEB" w14:textId="77777777" w:rsidR="004C4297" w:rsidRPr="0012338D" w:rsidRDefault="004C4297" w:rsidP="00424F02">
      <w:pPr>
        <w:spacing w:line="360" w:lineRule="auto"/>
        <w:ind w:left="360"/>
      </w:pPr>
      <w:r w:rsidRPr="0012338D">
        <w:t>A strong knowledge and understanding of child development is essential. Practitioners must be able to recognise developmental indicators within play, such as emerging language skills, social interaction, or problem-solving strategies. Aubrey (2022) highlights that theoretical knowledge enables practitioners to interpret observation accurately and avoid misjudging development.</w:t>
      </w:r>
    </w:p>
    <w:p w14:paraId="7A9176CA" w14:textId="77777777" w:rsidR="004C4297" w:rsidRPr="0012338D" w:rsidRDefault="004C4297" w:rsidP="00424F02">
      <w:pPr>
        <w:spacing w:line="360" w:lineRule="auto"/>
        <w:ind w:left="360"/>
      </w:pPr>
      <w:r w:rsidRPr="0012338D">
        <w:t>Knowing children well is also central to effective observation. Understanding children’s interests, preferences, confidence levels, and relationships supports accurate interpretation of behaviour. When practitioners are aware of children’s typical patterns of engagement, they are better able to distinguish between developmental progress and situational variation.</w:t>
      </w:r>
    </w:p>
    <w:p w14:paraId="0E959874" w14:textId="77777777" w:rsidR="004C4297" w:rsidRPr="0012338D" w:rsidRDefault="004C4297" w:rsidP="00424F02">
      <w:pPr>
        <w:spacing w:line="360" w:lineRule="auto"/>
        <w:ind w:left="360"/>
      </w:pPr>
      <w:r w:rsidRPr="0012338D">
        <w:t xml:space="preserve">Observation skills are equally important. Smidt (2015) identifies objectivity, attention to detail, and reflective practice as essential components of high-quality observation. </w:t>
      </w:r>
      <w:r w:rsidRPr="0012338D">
        <w:lastRenderedPageBreak/>
        <w:t>Practitioners must record what is seen and heard rather than assumptions or interpretations, ensuring that assessment decisions are evidence-based.</w:t>
      </w:r>
    </w:p>
    <w:p w14:paraId="1C064574" w14:textId="44871C58" w:rsidR="004C4297" w:rsidRPr="0012338D" w:rsidRDefault="004C4297" w:rsidP="00424F02">
      <w:pPr>
        <w:spacing w:line="360" w:lineRule="auto"/>
        <w:rPr>
          <w:rFonts w:eastAsia="Times New Roman"/>
        </w:rPr>
      </w:pPr>
    </w:p>
    <w:p w14:paraId="37A3262B" w14:textId="77777777" w:rsidR="004C4297" w:rsidRPr="00424F02" w:rsidRDefault="004C4297" w:rsidP="00424F02">
      <w:pPr>
        <w:spacing w:line="360" w:lineRule="auto"/>
        <w:ind w:left="360"/>
        <w:rPr>
          <w:b/>
          <w:bCs/>
          <w:sz w:val="27"/>
          <w:szCs w:val="27"/>
        </w:rPr>
      </w:pPr>
      <w:r w:rsidRPr="00424F02">
        <w:rPr>
          <w:rFonts w:eastAsia="Times New Roman"/>
          <w:b/>
          <w:bCs/>
          <w:sz w:val="27"/>
          <w:szCs w:val="27"/>
        </w:rPr>
        <w:t>The Enabling Environment</w:t>
      </w:r>
    </w:p>
    <w:p w14:paraId="48AC0996" w14:textId="77777777" w:rsidR="004C4297" w:rsidRPr="0012338D" w:rsidRDefault="004C4297" w:rsidP="00424F02">
      <w:pPr>
        <w:spacing w:line="360" w:lineRule="auto"/>
        <w:ind w:left="360"/>
      </w:pPr>
      <w:r w:rsidRPr="0012338D">
        <w:t>An enabling environment supports both play and accurate observation. Howard and McInnes (2013) emphasise that environments designed for playful learning promote autonomy, engagement, and sustained involvement. Open-ended resources, accessible materials, and flexible spaces allow children to lead play, increasing opportunities for observation across developmental areas.</w:t>
      </w:r>
    </w:p>
    <w:p w14:paraId="7C0B5B79" w14:textId="77777777" w:rsidR="004C4297" w:rsidRPr="0012338D" w:rsidRDefault="004C4297" w:rsidP="00424F02">
      <w:pPr>
        <w:spacing w:line="360" w:lineRule="auto"/>
        <w:ind w:left="360"/>
      </w:pPr>
      <w:r w:rsidRPr="0012338D">
        <w:t>When environments reflect children’s interests and provide appropriate challenge, engagement is enhanced. This supports longer periods of play, allowing practitioners to observe learning in depth rather than brief snapshots. Anon (2022) highlights that enabling environments support independence, which further reduces adult influence on behaviour during observation.</w:t>
      </w:r>
    </w:p>
    <w:p w14:paraId="3FBBACC0" w14:textId="77777777" w:rsidR="004C4297" w:rsidRPr="0012338D" w:rsidRDefault="004C4297" w:rsidP="00424F02">
      <w:pPr>
        <w:spacing w:line="360" w:lineRule="auto"/>
        <w:ind w:left="360"/>
      </w:pPr>
      <w:r w:rsidRPr="0012338D">
        <w:t>Play-based observation and assessment are essential for understanding children’s development accurately. United Kingdom research demonstrates that play supports engagement, authenticity, and holistic learning, ensuring that observations reflect children’s true capabilities. Through standing back, applying professional knowledge, knowing children well, and creating enabling environments, adults can ensure that play-based observation remains both meaningful and reliable.</w:t>
      </w:r>
    </w:p>
    <w:p w14:paraId="37B0D677" w14:textId="77777777" w:rsidR="00F90E58" w:rsidRDefault="00F90E58" w:rsidP="00424F02">
      <w:pPr>
        <w:pStyle w:val="p1"/>
        <w:spacing w:line="360" w:lineRule="auto"/>
        <w:ind w:left="360"/>
      </w:pPr>
      <w:r>
        <w:rPr>
          <w:rStyle w:val="s1"/>
        </w:rPr>
        <w:t>Anon</w:t>
      </w:r>
      <w:r>
        <w:rPr>
          <w:rStyle w:val="s2"/>
        </w:rPr>
        <w:t xml:space="preserve"> (2022) </w:t>
      </w:r>
      <w:r>
        <w:rPr>
          <w:rStyle w:val="s3"/>
        </w:rPr>
        <w:t>Introduction to play</w:t>
      </w:r>
      <w:r>
        <w:rPr>
          <w:rStyle w:val="s2"/>
        </w:rPr>
        <w:t>. London: SAGE Publications Ltd.</w:t>
      </w:r>
    </w:p>
    <w:p w14:paraId="16206654" w14:textId="77777777" w:rsidR="00F90E58" w:rsidRDefault="00F90E58" w:rsidP="00424F02">
      <w:pPr>
        <w:pStyle w:val="p1"/>
        <w:spacing w:line="360" w:lineRule="auto"/>
        <w:ind w:left="360"/>
      </w:pPr>
      <w:r>
        <w:rPr>
          <w:rStyle w:val="s1"/>
        </w:rPr>
        <w:t>Aubrey, K.</w:t>
      </w:r>
      <w:r>
        <w:rPr>
          <w:rStyle w:val="s2"/>
        </w:rPr>
        <w:t xml:space="preserve"> (2022) </w:t>
      </w:r>
      <w:r>
        <w:rPr>
          <w:rStyle w:val="s3"/>
        </w:rPr>
        <w:t>Understanding and using educational theories</w:t>
      </w:r>
      <w:r>
        <w:rPr>
          <w:rStyle w:val="s2"/>
        </w:rPr>
        <w:t>. 3rd edn. London: SAGE Publications.</w:t>
      </w:r>
    </w:p>
    <w:p w14:paraId="740268D9" w14:textId="77777777" w:rsidR="00F90E58" w:rsidRDefault="00F90E58" w:rsidP="00424F02">
      <w:pPr>
        <w:pStyle w:val="p1"/>
        <w:spacing w:line="360" w:lineRule="auto"/>
        <w:ind w:left="360"/>
      </w:pPr>
      <w:r>
        <w:rPr>
          <w:rStyle w:val="s1"/>
        </w:rPr>
        <w:t>Besio, S.</w:t>
      </w:r>
      <w:r>
        <w:rPr>
          <w:rStyle w:val="s2"/>
        </w:rPr>
        <w:t xml:space="preserve"> (2018) </w:t>
      </w:r>
      <w:r>
        <w:rPr>
          <w:rStyle w:val="s3"/>
        </w:rPr>
        <w:t>Evaluation of children’s play: tools and methods</w:t>
      </w:r>
      <w:r>
        <w:rPr>
          <w:rStyle w:val="s2"/>
        </w:rPr>
        <w:t>. Warsaw; Berlin: De Gruyter Sciendo. doi: 10.1515/9783110610604.</w:t>
      </w:r>
    </w:p>
    <w:p w14:paraId="1B7D3FD9" w14:textId="77777777" w:rsidR="00F90E58" w:rsidRDefault="00F90E58" w:rsidP="00424F02">
      <w:pPr>
        <w:pStyle w:val="p1"/>
        <w:spacing w:line="360" w:lineRule="auto"/>
        <w:ind w:left="360"/>
      </w:pPr>
      <w:r>
        <w:rPr>
          <w:rStyle w:val="s1"/>
        </w:rPr>
        <w:t>Bottrill, G.</w:t>
      </w:r>
      <w:r>
        <w:rPr>
          <w:rStyle w:val="s2"/>
        </w:rPr>
        <w:t xml:space="preserve"> (2022) </w:t>
      </w:r>
      <w:r>
        <w:rPr>
          <w:rStyle w:val="s3"/>
        </w:rPr>
        <w:t>Can I go and play now?</w:t>
      </w:r>
      <w:r>
        <w:rPr>
          <w:rStyle w:val="s2"/>
        </w:rPr>
        <w:t xml:space="preserve"> 2nd edn. Thousand Oaks: Corwin.</w:t>
      </w:r>
    </w:p>
    <w:p w14:paraId="2F073AC7" w14:textId="77777777" w:rsidR="00F90E58" w:rsidRDefault="00F90E58" w:rsidP="00424F02">
      <w:pPr>
        <w:pStyle w:val="p1"/>
        <w:spacing w:line="360" w:lineRule="auto"/>
        <w:ind w:left="360"/>
      </w:pPr>
      <w:r>
        <w:rPr>
          <w:rStyle w:val="s1"/>
        </w:rPr>
        <w:lastRenderedPageBreak/>
        <w:t>Howard, J.</w:t>
      </w:r>
      <w:r>
        <w:rPr>
          <w:rStyle w:val="s2"/>
        </w:rPr>
        <w:t xml:space="preserve"> (2020) ‘The power of play’, </w:t>
      </w:r>
      <w:r>
        <w:rPr>
          <w:rStyle w:val="s3"/>
        </w:rPr>
        <w:t>The Lancet</w:t>
      </w:r>
      <w:r>
        <w:rPr>
          <w:rStyle w:val="s2"/>
        </w:rPr>
        <w:t>, 395(10220), pp. 261–262. doi: 10.1016/S0140-6736(20)30101-X.</w:t>
      </w:r>
    </w:p>
    <w:p w14:paraId="4366C10E" w14:textId="77777777" w:rsidR="00F90E58" w:rsidRDefault="00F90E58" w:rsidP="00424F02">
      <w:pPr>
        <w:pStyle w:val="p1"/>
        <w:spacing w:line="360" w:lineRule="auto"/>
        <w:ind w:left="360"/>
      </w:pPr>
      <w:r>
        <w:rPr>
          <w:rStyle w:val="s1"/>
        </w:rPr>
        <w:t>Howard, J. and McInnes, K.</w:t>
      </w:r>
      <w:r>
        <w:rPr>
          <w:rStyle w:val="s2"/>
        </w:rPr>
        <w:t xml:space="preserve"> (2013) ‘Play-based learning and assessment’, </w:t>
      </w:r>
      <w:r>
        <w:rPr>
          <w:rStyle w:val="s3"/>
        </w:rPr>
        <w:t>Early Years</w:t>
      </w:r>
      <w:r>
        <w:rPr>
          <w:rStyle w:val="s2"/>
        </w:rPr>
        <w:t>, 33(4), pp. 407–419.</w:t>
      </w:r>
    </w:p>
    <w:p w14:paraId="58090AFB" w14:textId="77777777" w:rsidR="00F90E58" w:rsidRDefault="00F90E58" w:rsidP="00424F02">
      <w:pPr>
        <w:pStyle w:val="p1"/>
        <w:spacing w:line="360" w:lineRule="auto"/>
        <w:ind w:left="360"/>
      </w:pPr>
      <w:r>
        <w:rPr>
          <w:rStyle w:val="s1"/>
        </w:rPr>
        <w:t>King, P.</w:t>
      </w:r>
      <w:r>
        <w:rPr>
          <w:rStyle w:val="s2"/>
        </w:rPr>
        <w:t xml:space="preserve"> (2020) </w:t>
      </w:r>
      <w:r>
        <w:rPr>
          <w:rStyle w:val="s3"/>
        </w:rPr>
        <w:t>Play cycle: theory, research and application</w:t>
      </w:r>
      <w:r>
        <w:rPr>
          <w:rStyle w:val="s2"/>
        </w:rPr>
        <w:t>. 1st edn. Abingdon, Oxon; New York, NY: Routledge.</w:t>
      </w:r>
    </w:p>
    <w:p w14:paraId="6DF7114D" w14:textId="77777777" w:rsidR="00F90E58" w:rsidRDefault="00F90E58" w:rsidP="00424F02">
      <w:pPr>
        <w:pStyle w:val="p1"/>
        <w:spacing w:line="360" w:lineRule="auto"/>
        <w:ind w:left="360"/>
      </w:pPr>
      <w:r>
        <w:rPr>
          <w:rStyle w:val="s1"/>
        </w:rPr>
        <w:t>Moyles, J.R.</w:t>
      </w:r>
      <w:r>
        <w:rPr>
          <w:rStyle w:val="s2"/>
        </w:rPr>
        <w:t xml:space="preserve"> (ed.) (2015) </w:t>
      </w:r>
      <w:r>
        <w:rPr>
          <w:rStyle w:val="s3"/>
        </w:rPr>
        <w:t>The excellence of play</w:t>
      </w:r>
      <w:r>
        <w:rPr>
          <w:rStyle w:val="s2"/>
        </w:rPr>
        <w:t>. 4th edn. Maidenhead, Berkshire; New York: Open University Press.</w:t>
      </w:r>
    </w:p>
    <w:p w14:paraId="3A5FBA2C" w14:textId="77777777" w:rsidR="00F90E58" w:rsidRDefault="00F90E58" w:rsidP="00424F02">
      <w:pPr>
        <w:pStyle w:val="p1"/>
        <w:spacing w:line="360" w:lineRule="auto"/>
        <w:ind w:left="360"/>
      </w:pPr>
      <w:r>
        <w:rPr>
          <w:rStyle w:val="s1"/>
        </w:rPr>
        <w:t>Owen, K.</w:t>
      </w:r>
      <w:r>
        <w:rPr>
          <w:rStyle w:val="s2"/>
        </w:rPr>
        <w:t xml:space="preserve"> (ed.) (2021) </w:t>
      </w:r>
      <w:r>
        <w:rPr>
          <w:rStyle w:val="s3"/>
        </w:rPr>
        <w:t>Play in the early years</w:t>
      </w:r>
      <w:r>
        <w:rPr>
          <w:rStyle w:val="s2"/>
        </w:rPr>
        <w:t>. London; Thousand Oaks, California: SAGE Publications Ltd.</w:t>
      </w:r>
    </w:p>
    <w:p w14:paraId="057605ED" w14:textId="77777777" w:rsidR="00F90E58" w:rsidRDefault="00F90E58" w:rsidP="00424F02">
      <w:pPr>
        <w:pStyle w:val="p1"/>
        <w:spacing w:line="360" w:lineRule="auto"/>
        <w:ind w:left="360"/>
      </w:pPr>
      <w:r>
        <w:rPr>
          <w:rStyle w:val="s1"/>
        </w:rPr>
        <w:t>Smidt, S.</w:t>
      </w:r>
      <w:r>
        <w:rPr>
          <w:rStyle w:val="s2"/>
        </w:rPr>
        <w:t xml:space="preserve"> (2015) </w:t>
      </w:r>
      <w:r>
        <w:rPr>
          <w:rStyle w:val="s3"/>
        </w:rPr>
        <w:t>Observing young children (Essential Guides for Early Years Practitioners)</w:t>
      </w:r>
      <w:r>
        <w:rPr>
          <w:rStyle w:val="s2"/>
        </w:rPr>
        <w:t>. London: Taylor and Francis.</w:t>
      </w:r>
    </w:p>
    <w:p w14:paraId="481EC575" w14:textId="77777777" w:rsidR="004C4297" w:rsidRPr="0012338D" w:rsidRDefault="004C4297" w:rsidP="00424F02">
      <w:pPr>
        <w:spacing w:line="360" w:lineRule="auto"/>
      </w:pPr>
    </w:p>
    <w:sectPr w:rsidR="004C4297" w:rsidRPr="0012338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DE32D6" w14:textId="77777777" w:rsidR="008117FA" w:rsidRDefault="008117FA" w:rsidP="008117FA">
      <w:pPr>
        <w:spacing w:after="0" w:line="240" w:lineRule="auto"/>
      </w:pPr>
      <w:r>
        <w:separator/>
      </w:r>
    </w:p>
  </w:endnote>
  <w:endnote w:type="continuationSeparator" w:id="0">
    <w:p w14:paraId="520774E9" w14:textId="77777777" w:rsidR="008117FA" w:rsidRDefault="008117FA" w:rsidP="008117F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160208" w14:textId="77777777" w:rsidR="008117FA" w:rsidRDefault="008117FA" w:rsidP="008117FA">
      <w:pPr>
        <w:spacing w:after="0" w:line="240" w:lineRule="auto"/>
      </w:pPr>
      <w:r>
        <w:separator/>
      </w:r>
    </w:p>
  </w:footnote>
  <w:footnote w:type="continuationSeparator" w:id="0">
    <w:p w14:paraId="3D7FB0DA" w14:textId="77777777" w:rsidR="008117FA" w:rsidRDefault="008117FA" w:rsidP="008117F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136BE"/>
    <w:multiLevelType w:val="hybridMultilevel"/>
    <w:tmpl w:val="C1EE7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1CC00E1"/>
    <w:multiLevelType w:val="hybridMultilevel"/>
    <w:tmpl w:val="D39493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C0111F5"/>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42973825">
    <w:abstractNumId w:val="1"/>
  </w:num>
  <w:num w:numId="2" w16cid:durableId="131170008">
    <w:abstractNumId w:val="2"/>
  </w:num>
  <w:num w:numId="3" w16cid:durableId="355482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15A1"/>
    <w:rsid w:val="0012338D"/>
    <w:rsid w:val="00132E19"/>
    <w:rsid w:val="00221D59"/>
    <w:rsid w:val="00280710"/>
    <w:rsid w:val="003304F3"/>
    <w:rsid w:val="00424F02"/>
    <w:rsid w:val="00431BFA"/>
    <w:rsid w:val="004C4297"/>
    <w:rsid w:val="00501165"/>
    <w:rsid w:val="00510C55"/>
    <w:rsid w:val="00593FC2"/>
    <w:rsid w:val="005C28D2"/>
    <w:rsid w:val="006B5C56"/>
    <w:rsid w:val="007000C0"/>
    <w:rsid w:val="007C15A1"/>
    <w:rsid w:val="007F3F54"/>
    <w:rsid w:val="008117FA"/>
    <w:rsid w:val="00901922"/>
    <w:rsid w:val="00902F56"/>
    <w:rsid w:val="00A60D5D"/>
    <w:rsid w:val="00C57D94"/>
    <w:rsid w:val="00E534C8"/>
    <w:rsid w:val="00F90E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E652AE"/>
  <w15:chartTrackingRefBased/>
  <w15:docId w15:val="{A67636CA-BF30-6942-8236-28E47B5D9A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C15A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7C15A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7C15A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C15A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7C15A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7C15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C15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C15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C15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C15A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7C15A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C15A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C15A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7C15A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7C15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C15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C15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C15A1"/>
    <w:rPr>
      <w:rFonts w:eastAsiaTheme="majorEastAsia" w:cstheme="majorBidi"/>
      <w:color w:val="272727" w:themeColor="text1" w:themeTint="D8"/>
    </w:rPr>
  </w:style>
  <w:style w:type="paragraph" w:styleId="Title">
    <w:name w:val="Title"/>
    <w:basedOn w:val="Normal"/>
    <w:next w:val="Normal"/>
    <w:link w:val="TitleChar"/>
    <w:uiPriority w:val="10"/>
    <w:qFormat/>
    <w:rsid w:val="007C15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C15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C15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C15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C15A1"/>
    <w:pPr>
      <w:spacing w:before="160"/>
      <w:jc w:val="center"/>
    </w:pPr>
    <w:rPr>
      <w:i/>
      <w:iCs/>
      <w:color w:val="404040" w:themeColor="text1" w:themeTint="BF"/>
    </w:rPr>
  </w:style>
  <w:style w:type="character" w:customStyle="1" w:styleId="QuoteChar">
    <w:name w:val="Quote Char"/>
    <w:basedOn w:val="DefaultParagraphFont"/>
    <w:link w:val="Quote"/>
    <w:uiPriority w:val="29"/>
    <w:rsid w:val="007C15A1"/>
    <w:rPr>
      <w:i/>
      <w:iCs/>
      <w:color w:val="404040" w:themeColor="text1" w:themeTint="BF"/>
    </w:rPr>
  </w:style>
  <w:style w:type="paragraph" w:styleId="ListParagraph">
    <w:name w:val="List Paragraph"/>
    <w:basedOn w:val="Normal"/>
    <w:uiPriority w:val="34"/>
    <w:qFormat/>
    <w:rsid w:val="007C15A1"/>
    <w:pPr>
      <w:ind w:left="720"/>
      <w:contextualSpacing/>
    </w:pPr>
  </w:style>
  <w:style w:type="character" w:styleId="IntenseEmphasis">
    <w:name w:val="Intense Emphasis"/>
    <w:basedOn w:val="DefaultParagraphFont"/>
    <w:uiPriority w:val="21"/>
    <w:qFormat/>
    <w:rsid w:val="007C15A1"/>
    <w:rPr>
      <w:i/>
      <w:iCs/>
      <w:color w:val="2F5496" w:themeColor="accent1" w:themeShade="BF"/>
    </w:rPr>
  </w:style>
  <w:style w:type="paragraph" w:styleId="IntenseQuote">
    <w:name w:val="Intense Quote"/>
    <w:basedOn w:val="Normal"/>
    <w:next w:val="Normal"/>
    <w:link w:val="IntenseQuoteChar"/>
    <w:uiPriority w:val="30"/>
    <w:qFormat/>
    <w:rsid w:val="007C15A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C15A1"/>
    <w:rPr>
      <w:i/>
      <w:iCs/>
      <w:color w:val="2F5496" w:themeColor="accent1" w:themeShade="BF"/>
    </w:rPr>
  </w:style>
  <w:style w:type="character" w:styleId="IntenseReference">
    <w:name w:val="Intense Reference"/>
    <w:basedOn w:val="DefaultParagraphFont"/>
    <w:uiPriority w:val="32"/>
    <w:qFormat/>
    <w:rsid w:val="007C15A1"/>
    <w:rPr>
      <w:b/>
      <w:bCs/>
      <w:smallCaps/>
      <w:color w:val="2F5496" w:themeColor="accent1" w:themeShade="BF"/>
      <w:spacing w:val="5"/>
    </w:rPr>
  </w:style>
  <w:style w:type="paragraph" w:customStyle="1" w:styleId="p1">
    <w:name w:val="p1"/>
    <w:basedOn w:val="Normal"/>
    <w:rsid w:val="007C15A1"/>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7C15A1"/>
  </w:style>
  <w:style w:type="paragraph" w:customStyle="1" w:styleId="p2">
    <w:name w:val="p2"/>
    <w:basedOn w:val="Normal"/>
    <w:rsid w:val="007C15A1"/>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7C15A1"/>
  </w:style>
  <w:style w:type="character" w:customStyle="1" w:styleId="s3">
    <w:name w:val="s3"/>
    <w:basedOn w:val="DefaultParagraphFont"/>
    <w:rsid w:val="007C15A1"/>
  </w:style>
  <w:style w:type="paragraph" w:styleId="Header">
    <w:name w:val="header"/>
    <w:basedOn w:val="Normal"/>
    <w:link w:val="HeaderChar"/>
    <w:uiPriority w:val="99"/>
    <w:unhideWhenUsed/>
    <w:rsid w:val="008117F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17FA"/>
  </w:style>
  <w:style w:type="paragraph" w:styleId="Footer">
    <w:name w:val="footer"/>
    <w:basedOn w:val="Normal"/>
    <w:link w:val="FooterChar"/>
    <w:uiPriority w:val="99"/>
    <w:unhideWhenUsed/>
    <w:rsid w:val="008117F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17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13</Pages>
  <Words>3731</Words>
  <Characters>21272</Characters>
  <Application>Microsoft Office Word</Application>
  <DocSecurity>0</DocSecurity>
  <Lines>177</Lines>
  <Paragraphs>49</Paragraphs>
  <ScaleCrop>false</ScaleCrop>
  <Company/>
  <LinksUpToDate>false</LinksUpToDate>
  <CharactersWithSpaces>24954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2</cp:revision>
  <dcterms:created xsi:type="dcterms:W3CDTF">2026-01-27T18:24:00Z</dcterms:created>
  <dcterms:modified xsi:type="dcterms:W3CDTF">2026-01-27T18:24:00Z</dcterms:modified>
</cp:coreProperties>
</file>