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theme/themeOverride1.xml" ContentType="application/vnd.openxmlformats-officedocument.themeOverride+xml"/>
  <Override PartName="/word/theme/themeOverride2.xml" ContentType="application/vnd.openxmlformats-officedocument.themeOverride+xml"/>
  <Override PartName="/word/theme/themeOverride3.xml" ContentType="application/vnd.openxmlformats-officedocument.themeOverride+xml"/>
  <Override PartName="/word/theme/themeOverride4.xml" ContentType="application/vnd.openxmlformats-officedocument.themeOverride+xml"/>
  <Override PartName="/word/theme/themeOverride5.xml" ContentType="application/vnd.openxmlformats-officedocument.themeOverride+xml"/>
  <Override PartName="/word/theme/themeOverride6.xml" ContentType="application/vnd.openxmlformats-officedocument.themeOverrid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8"/>
          <w:szCs w:val="28"/>
          <w:lang w:val="en-US" w:eastAsia="zh-CN"/>
        </w:rPr>
      </w:pPr>
      <w:r>
        <w:rPr>
          <w:rFonts w:hint="eastAsia" w:ascii="Times New Roman" w:hAnsi="Times New Roman" w:cs="Times New Roman"/>
          <w:sz w:val="28"/>
          <w:szCs w:val="28"/>
          <w:lang w:val="en-US" w:eastAsia="zh-CN"/>
        </w:rPr>
        <w:t>1. Chapter One:Introduction</w:t>
      </w:r>
    </w:p>
    <w:p>
      <w:pPr>
        <w:keepNext w:val="0"/>
        <w:keepLines w:val="0"/>
        <w:pageBreakBefore w:val="0"/>
        <w:widowControl w:val="0"/>
        <w:numPr>
          <w:ilvl w:val="1"/>
          <w:numId w:val="1"/>
        </w:numPr>
        <w:kinsoku/>
        <w:wordWrap/>
        <w:overflowPunct/>
        <w:topLinePunct w:val="0"/>
        <w:autoSpaceDE/>
        <w:autoSpaceDN/>
        <w:bidi w:val="0"/>
        <w:adjustRightInd/>
        <w:snapToGrid/>
        <w:spacing w:line="360" w:lineRule="auto"/>
        <w:ind w:left="0" w:leftChars="0" w:firstLine="0" w:firstLine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Background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1.1.1 The choice of the contradiction between the supplier and the demand of agricultural products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the agricultural product market, there is a contradiction between supply and demand between buyers and sellers on the quality, packaging and price of products. On the one hand, the producers and operators of agricultural products can provide products that meet various levels of consumption, but without fast and effective channels for advertising, consumers will know nothing. On the one hand, there are high-quality and abundant agricultural products, and on the other hand, consumers who do not know the information. This information gap between production and consumers has caused a large amount of agricultural products to be backlogged and cannot be sold, which affects farmers’ income. On the other hand, consumers Hold cash but can not buy the agricultural products they need. Through a combination of online and offline promotion, the product information is released so that the information is ahead of sales. After consumers obtain the relevant information, they can order from offline merchants through online orders. Get the products you need, so as to avoid the waste of agricultural products due to the backlog. Conducive to the development of agriculture.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1.1.2 The inevitable development of e-commerce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With the development of network technology, B2B, B2C, C2C and other e-commerce have developed rapidly in recent years, covering almost all types of commodity transactions, and agricultural products are no exception. Agricultural products must adapt to the changes in the technological age, integrate more deeply, more widely, and more comprehensively with Internet technology, and completely change the circulation and marketing model. It is indisputable and significant for agricultural products to open new markets with new marketing models. On the other hand, agricultural production and circulation have their own laws and are undergoing profound changes. The trend of diversification and hierarchical levels of agricultural products, the rapid development of high-end value-added agricultural products and agricultural tourism products, objectively also needs to be combined with new models. Therefore, this new model of online and offline O2O has emerged. .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1.1.3 The need for market competition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Like all other commodities, agricultural products face competition for quality, service, and price. In addition, the promotion and dissemination channels of agricultural products are also very important. The process of winning the competition is the process of winning the promotion. Today's agricultural producers have to change the passive situation in the past and actively combine with advanced technology to change the communication channels and the speed of communication. This means </w:t>
      </w:r>
      <w:r>
        <w:rPr>
          <w:rFonts w:hint="eastAsia" w:ascii="Times New Roman" w:hAnsi="Times New Roman" w:cs="Times New Roman"/>
          <w:sz w:val="24"/>
          <w:szCs w:val="24"/>
          <w:lang w:val="en-US" w:eastAsia="zh-CN"/>
        </w:rPr>
        <w:t xml:space="preserve">that </w:t>
      </w:r>
      <w:r>
        <w:rPr>
          <w:rFonts w:hint="default" w:ascii="Times New Roman" w:hAnsi="Times New Roman" w:cs="Times New Roman"/>
          <w:sz w:val="24"/>
          <w:szCs w:val="24"/>
          <w:lang w:val="en-US" w:eastAsia="zh-CN"/>
        </w:rPr>
        <w:t>the promot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concept of combining online and offline has become an inevitable choice.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circulation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of agricultural products </w:t>
      </w:r>
      <w:r>
        <w:rPr>
          <w:rFonts w:hint="eastAsia" w:ascii="Times New Roman" w:hAnsi="Times New Roman" w:cs="Times New Roman"/>
          <w:sz w:val="24"/>
          <w:szCs w:val="24"/>
          <w:lang w:val="en-US" w:eastAsia="zh-CN"/>
        </w:rPr>
        <w:t xml:space="preserve">is </w:t>
      </w:r>
      <w:r>
        <w:rPr>
          <w:rFonts w:hint="default" w:ascii="Times New Roman" w:hAnsi="Times New Roman" w:cs="Times New Roman"/>
          <w:sz w:val="24"/>
          <w:szCs w:val="24"/>
          <w:lang w:val="en-US" w:eastAsia="zh-CN"/>
        </w:rPr>
        <w:t xml:space="preserve">relatively </w:t>
      </w:r>
      <w:r>
        <w:rPr>
          <w:rFonts w:hint="eastAsia" w:ascii="Times New Roman" w:hAnsi="Times New Roman" w:cs="Times New Roman"/>
          <w:sz w:val="24"/>
          <w:szCs w:val="24"/>
          <w:lang w:val="en-US" w:eastAsia="zh-CN"/>
        </w:rPr>
        <w:t>inefficient</w:t>
      </w:r>
      <w:r>
        <w:rPr>
          <w:rFonts w:hint="default" w:ascii="Times New Roman" w:hAnsi="Times New Roman" w:cs="Times New Roman"/>
          <w:sz w:val="24"/>
          <w:szCs w:val="24"/>
          <w:lang w:val="en-US" w:eastAsia="zh-CN"/>
        </w:rPr>
        <w:t xml:space="preserve">. However, a new way </w:t>
      </w:r>
      <w:r>
        <w:rPr>
          <w:rFonts w:hint="eastAsia" w:ascii="Times New Roman" w:hAnsi="Times New Roman" w:cs="Times New Roman"/>
          <w:sz w:val="24"/>
          <w:szCs w:val="24"/>
          <w:lang w:val="en-US" w:eastAsia="zh-CN"/>
        </w:rPr>
        <w:t xml:space="preserve">is provided by rapid development of Internet </w:t>
      </w:r>
      <w:r>
        <w:rPr>
          <w:rFonts w:hint="default" w:ascii="Times New Roman" w:hAnsi="Times New Roman" w:cs="Times New Roman"/>
          <w:sz w:val="24"/>
          <w:szCs w:val="24"/>
          <w:lang w:val="en-US" w:eastAsia="zh-CN"/>
        </w:rPr>
        <w:t>to solve these prominent problems in circulation. It can improve the circulation efficiency of agricultural products</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1.2Aim and Significance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current era of the Internet, changing the circulation mode, transaction mode, and promotion mode of agricultural products, so that agriculture can keep up with the rhythm of the information of the times, can fly higher and go further. Therefore, Research on the online and offline promotion of agricultural products is of practical significance to farmers and agricultural economy. Combine online and offline to promote sales and sales to promote circulation.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new agricultural products online trading platform is based on Internet technology, which combines e-commerce with modern agriculture to build an online commodity trading platform. And provides new type of service of agriculture products through the provision of agriculture service, docking rural distribution agencies, and rural retail investors .With fresh agricultural products as the main body, it strengthens the link between production and sales, disintermediaries, links suppliers of agricultural products with purchasers, provides customers with procurement consultation, goods information, online trading, warehousing and distribution, and guides agricultural production to consumption.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new agricultural product e-commerce platform can not only directly connect with food processing enterprises, but also provide a platform for farmers' suppliers. It can not only sell agricultural products to users, but also help farmers sell agricultural products to processing companies, using the advantages of "Internet +" to break the tradition, expand sales, increase farmers' income, and promote the development of modern agriculture. The new agricultural product e-commerce platform adopts the O2O operation model, fully grasps consumer psychology, excellent products from the origin, perfect logistics transportation system and route planning, differentiated sales plans and consumer objects, and comprehensive digital sales. This process forms a complete and independent diet chain based on the new format.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E-commerce services provide a new development direction for the service industry. The service-oriented marketing experience enables platform providers, e-commerce platforms, and consumer users to achieve a win-win situation.</w:t>
      </w:r>
      <w:r>
        <w:rPr>
          <w:rFonts w:hint="eastAsia" w:ascii="Times New Roman" w:hAnsi="Times New Roman" w:cs="Times New Roman"/>
          <w:sz w:val="24"/>
          <w:szCs w:val="24"/>
          <w:lang w:val="en-US" w:eastAsia="zh-CN"/>
        </w:rPr>
        <w:t xml:space="preserve"> E-commerce service provides a new development direction for the service industry.A service-oriented marketing experience is a win-win for platform providers, e-commerce platforms and consumer users.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1.3 Research Structure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research is composed of five chapters. The first chapter is introduction, the second chapter is literature review, the third chapter is methods and methodology, the fourth chapter is data collection and analysis, and the fifth chapter is conclusions and suggestions.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first chapter introduces the research by providing the background, the reason for the research, and the </w:t>
      </w:r>
      <w:r>
        <w:rPr>
          <w:rFonts w:hint="eastAsia" w:ascii="Times New Roman" w:hAnsi="Times New Roman" w:cs="Times New Roman"/>
          <w:sz w:val="24"/>
          <w:szCs w:val="24"/>
          <w:lang w:val="en-US" w:eastAsia="zh-CN"/>
        </w:rPr>
        <w:t>aim</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objective</w:t>
      </w:r>
      <w:r>
        <w:rPr>
          <w:rFonts w:hint="default" w:ascii="Times New Roman" w:hAnsi="Times New Roman" w:cs="Times New Roman"/>
          <w:sz w:val="24"/>
          <w:szCs w:val="24"/>
          <w:lang w:val="en-US" w:eastAsia="zh-CN"/>
        </w:rPr>
        <w:t xml:space="preserve"> of the research.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second chapter is a literature review on the combination of online and offline promotion of agricultural products. A literature review will help to provide an understanding of the issues and research gaps in this topic, which will give </w:t>
      </w:r>
      <w:r>
        <w:rPr>
          <w:rFonts w:hint="eastAsia" w:ascii="Times New Roman" w:hAnsi="Times New Roman" w:cs="Times New Roman"/>
          <w:sz w:val="24"/>
          <w:szCs w:val="24"/>
          <w:lang w:val="en-US" w:eastAsia="zh-CN"/>
        </w:rPr>
        <w:t xml:space="preserve">a </w:t>
      </w:r>
      <w:r>
        <w:rPr>
          <w:rFonts w:hint="default" w:ascii="Times New Roman" w:hAnsi="Times New Roman" w:cs="Times New Roman"/>
          <w:sz w:val="24"/>
          <w:szCs w:val="24"/>
          <w:lang w:val="en-US" w:eastAsia="zh-CN"/>
        </w:rPr>
        <w:t xml:space="preserve">way to the research methods discussed in Chapter 3 to address the above gaps and problems.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third chapter is </w:t>
      </w:r>
      <w:r>
        <w:rPr>
          <w:rFonts w:hint="eastAsia" w:ascii="Times New Roman" w:hAnsi="Times New Roman" w:cs="Times New Roman"/>
          <w:sz w:val="24"/>
          <w:szCs w:val="24"/>
          <w:lang w:val="en-US" w:eastAsia="zh-CN"/>
        </w:rPr>
        <w:t xml:space="preserve">part of </w:t>
      </w:r>
      <w:r>
        <w:rPr>
          <w:rFonts w:hint="default" w:ascii="Times New Roman" w:hAnsi="Times New Roman" w:cs="Times New Roman"/>
          <w:sz w:val="24"/>
          <w:szCs w:val="24"/>
          <w:lang w:val="en-US" w:eastAsia="zh-CN"/>
        </w:rPr>
        <w:t>the method and methodology , it will determine</w:t>
      </w:r>
      <w:r>
        <w:rPr>
          <w:rFonts w:hint="eastAsia" w:ascii="Times New Roman" w:hAnsi="Times New Roman" w:cs="Times New Roman"/>
          <w:sz w:val="24"/>
          <w:szCs w:val="24"/>
          <w:lang w:val="en-US" w:eastAsia="zh-CN"/>
        </w:rPr>
        <w:t xml:space="preserve"> quite </w:t>
      </w:r>
      <w:r>
        <w:rPr>
          <w:rFonts w:hint="default" w:ascii="Times New Roman" w:hAnsi="Times New Roman" w:cs="Times New Roman"/>
          <w:sz w:val="24"/>
          <w:szCs w:val="24"/>
          <w:lang w:val="en-US" w:eastAsia="zh-CN"/>
        </w:rPr>
        <w:t>suitable basic research technology and research procedures. And match the previous literature. The data can then be analyzed</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fourth chapter will analyze the main data collected by the methods discussed in the third chapter. The results will be analyzed </w:t>
      </w:r>
      <w:r>
        <w:rPr>
          <w:rFonts w:hint="eastAsia" w:ascii="Times New Roman" w:hAnsi="Times New Roman" w:cs="Times New Roman"/>
          <w:sz w:val="24"/>
          <w:szCs w:val="24"/>
          <w:lang w:val="en-US" w:eastAsia="zh-CN"/>
        </w:rPr>
        <w:t xml:space="preserve">by SPSS software system </w:t>
      </w:r>
      <w:r>
        <w:rPr>
          <w:rFonts w:hint="default" w:ascii="Times New Roman" w:hAnsi="Times New Roman" w:cs="Times New Roman"/>
          <w:sz w:val="24"/>
          <w:szCs w:val="24"/>
          <w:lang w:val="en-US" w:eastAsia="zh-CN"/>
        </w:rPr>
        <w:t>. We'll use it later in the discussion and review</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w:t>
      </w:r>
      <w:r>
        <w:rPr>
          <w:rFonts w:hint="default" w:ascii="Times New Roman" w:hAnsi="Times New Roman" w:cs="Times New Roman"/>
          <w:sz w:val="24"/>
          <w:szCs w:val="24"/>
          <w:lang w:val="en-US" w:eastAsia="zh-CN"/>
        </w:rPr>
        <w:t>he fifth chapter</w:t>
      </w:r>
      <w:r>
        <w:rPr>
          <w:rFonts w:hint="eastAsia" w:ascii="Times New Roman" w:hAnsi="Times New Roman" w:cs="Times New Roman"/>
          <w:sz w:val="24"/>
          <w:szCs w:val="24"/>
          <w:lang w:val="en-US" w:eastAsia="zh-CN"/>
        </w:rPr>
        <w:t xml:space="preserve">, we </w:t>
      </w:r>
      <w:r>
        <w:rPr>
          <w:rFonts w:hint="default" w:ascii="Times New Roman" w:hAnsi="Times New Roman" w:cs="Times New Roman"/>
          <w:sz w:val="24"/>
          <w:szCs w:val="24"/>
          <w:lang w:val="en-US" w:eastAsia="zh-CN"/>
        </w:rPr>
        <w:t>will discuss the main findings of the statistical analysis in the previous chapter and put forward suggestions</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1.4 Conclusion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 xml:space="preserve">hapter </w:t>
      </w:r>
      <w:r>
        <w:rPr>
          <w:rFonts w:hint="eastAsia" w:ascii="Times New Roman" w:hAnsi="Times New Roman" w:cs="Times New Roman"/>
          <w:sz w:val="24"/>
          <w:szCs w:val="24"/>
          <w:lang w:val="en-US" w:eastAsia="zh-CN"/>
        </w:rPr>
        <w:t xml:space="preserve">one has </w:t>
      </w:r>
      <w:r>
        <w:rPr>
          <w:rFonts w:hint="default" w:ascii="Times New Roman" w:hAnsi="Times New Roman" w:cs="Times New Roman"/>
          <w:sz w:val="24"/>
          <w:szCs w:val="24"/>
          <w:lang w:val="en-US" w:eastAsia="zh-CN"/>
        </w:rPr>
        <w:t>introduce</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 xml:space="preserve"> the background of this research, identifie</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 xml:space="preserve"> this </w:t>
      </w:r>
      <w:r>
        <w:rPr>
          <w:rFonts w:hint="eastAsia" w:ascii="Times New Roman" w:hAnsi="Times New Roman" w:cs="Times New Roman"/>
          <w:sz w:val="24"/>
          <w:szCs w:val="24"/>
          <w:lang w:val="en-US" w:eastAsia="zh-CN"/>
        </w:rPr>
        <w:t>aim</w:t>
      </w:r>
      <w:r>
        <w:rPr>
          <w:rFonts w:hint="default" w:ascii="Times New Roman" w:hAnsi="Times New Roman" w:cs="Times New Roman"/>
          <w:sz w:val="24"/>
          <w:szCs w:val="24"/>
          <w:lang w:val="en-US" w:eastAsia="zh-CN"/>
        </w:rPr>
        <w:t xml:space="preserve"> and why the research on online and offline promotion of agricultural products should be carried out.</w:t>
      </w:r>
      <w:r>
        <w:rPr>
          <w:rFonts w:hint="eastAsia" w:ascii="Times New Roman" w:hAnsi="Times New Roman" w:cs="Times New Roman"/>
          <w:sz w:val="24"/>
          <w:szCs w:val="24"/>
          <w:lang w:val="en-US" w:eastAsia="zh-CN"/>
        </w:rPr>
        <w:t xml:space="preserve"> Then, the research structure of the whole paper is introduced.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2.0 Literature Review</w:t>
      </w: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Introduction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purpose of this chapter is to review the academic literature on the combination of online and offline marketing and promotion of agricultural products.The researcher will extensively read the literature in the field, present research status, and summarize, analyze, and critically evaluate the current literature.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following is from the online library of the University of Wales Trinity St David's (UWTSD) and Google Academic. Search terms include "online and offline shopping", "e-commerce of agriculture products", "on-line trading pattern"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O2O e-commerce</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2.2The overview of O2O Business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r>
        <w:rPr>
          <w:rFonts w:hint="eastAsia" w:ascii="Times New Roman" w:hAnsi="Times New Roman" w:cs="Times New Roman"/>
          <w:sz w:val="24"/>
          <w:szCs w:val="24"/>
          <w:lang w:val="en-US" w:eastAsia="zh-CN"/>
        </w:rPr>
        <w:t>Originating in the United States, O2O model integrates offline business activities on the Internet and turns them into a trading platform. It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is a new type of business model that interacts with the online virtual world and the offline real world in the consumer field in the era of mobile Internet.</w:t>
      </w:r>
      <w:r>
        <w:rPr>
          <w:rFonts w:hint="eastAsia" w:ascii="Times New Roman" w:hAnsi="Times New Roman" w:cs="Times New Roman"/>
          <w:color w:val="000000" w:themeColor="text1"/>
          <w:sz w:val="24"/>
          <w:szCs w:val="24"/>
          <w14:textFill>
            <w14:solidFill>
              <w14:schemeClr w14:val="tx1"/>
            </w14:solidFill>
          </w14:textFill>
        </w:rPr>
        <w:t xml:space="preserve"> Initially, companies used Internet platforms to publish product information</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 through discounts, information provision, service reservations</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eastAsia" w:ascii="Times New Roman" w:hAnsi="Times New Roman" w:cs="Times New Roman"/>
          <w:color w:val="000000" w:themeColor="text1"/>
          <w:sz w:val="24"/>
          <w:szCs w:val="24"/>
          <w14:textFill>
            <w14:solidFill>
              <w14:schemeClr w14:val="tx1"/>
            </w14:solidFill>
          </w14:textFill>
        </w:rPr>
        <w:t>and attract potential customers to their physical stores.</w:t>
      </w:r>
      <w:r>
        <w:rPr>
          <w:rFonts w:hint="eastAsia" w:ascii="Times New Roman" w:hAnsi="Times New Roman" w:cs="Times New Roman"/>
          <w:color w:val="000000" w:themeColor="text1"/>
          <w:sz w:val="24"/>
          <w:szCs w:val="24"/>
          <w:lang w:val="en-US" w:eastAsia="zh-CN"/>
          <w14:textFill>
            <w14:solidFill>
              <w14:schemeClr w14:val="tx1"/>
            </w14:solidFill>
          </w14:textFill>
        </w:rPr>
        <w:t xml:space="preserve"> </w:t>
      </w:r>
      <w:r>
        <w:rPr>
          <w:rFonts w:hint="default" w:ascii="Times New Roman" w:hAnsi="Times New Roman" w:cs="Times New Roman"/>
          <w:color w:val="000000" w:themeColor="text1"/>
          <w:sz w:val="24"/>
          <w:szCs w:val="24"/>
          <w:lang w:val="en-US" w:eastAsia="zh-CN"/>
          <w14:textFill>
            <w14:solidFill>
              <w14:schemeClr w14:val="tx1"/>
            </w14:solidFill>
          </w14:textFill>
        </w:rPr>
        <w:t>After consumers obtain relevant information, they can proceed with the online order process and payment process</w:t>
      </w:r>
      <w:r>
        <w:rPr>
          <w:rFonts w:hint="eastAsia" w:ascii="Times New Roman" w:hAnsi="Times New Roman" w:cs="Times New Roman"/>
          <w:color w:val="000000" w:themeColor="text1"/>
          <w:sz w:val="24"/>
          <w:szCs w:val="24"/>
          <w:lang w:val="en-US" w:eastAsia="zh-CN"/>
          <w14:textFill>
            <w14:solidFill>
              <w14:schemeClr w14:val="tx1"/>
            </w14:solidFill>
          </w14:textFill>
        </w:rPr>
        <w:t>.</w:t>
      </w:r>
      <w:r>
        <w:rPr>
          <w:rFonts w:hint="eastAsia" w:ascii="Times New Roman" w:hAnsi="Times New Roman" w:cs="Times New Roman"/>
          <w:sz w:val="24"/>
          <w:szCs w:val="24"/>
          <w:lang w:val="en-US" w:eastAsia="zh-CN"/>
          <w14:textFill>
            <w14:gradFill>
              <w14:gsLst>
                <w14:gs w14:pos="0">
                  <w14:srgbClr w14:val="FE4444"/>
                </w14:gs>
                <w14:gs w14:pos="100000">
                  <w14:srgbClr w14:val="832B2B"/>
                </w14:gs>
              </w14:gsLst>
              <w14:lin w14:scaled="0"/>
            </w14:gradFill>
          </w14:textFill>
        </w:rPr>
        <w:t xml:space="preserve"> </w:t>
      </w:r>
      <w:r>
        <w:rPr>
          <w:rFonts w:hint="eastAsia" w:ascii="Times New Roman" w:hAnsi="Times New Roman" w:cs="Times New Roman"/>
          <w:sz w:val="24"/>
          <w:szCs w:val="24"/>
        </w:rPr>
        <w:t>Consumers can choose products online, then go to offline (brick and mortar) stores to experience and purchase, thereby reducing consumption risk (Rampell 2010). A unique feature of the O2O model is that it connects information flow and capital flow, while currently providing material flow and business flow offline (Pan et al. 2014).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r>
        <w:rPr>
          <w:rFonts w:hint="eastAsia" w:ascii="Times New Roman" w:hAnsi="Times New Roman" w:cs="Times New Roman"/>
          <w:sz w:val="24"/>
          <w:szCs w:val="24"/>
        </w:rPr>
        <w:t>The rise of a new generation of online payments marked by Alipay in China has led to disruptive changes in O2O. The new O2O large-scale durable goods model represented by furniture and household appliances proposes the integration of "online standardization and offline experience", providing consumers with standardized goods and services through the Internet platform, while traditional sales-oriented physical stores</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 xml:space="preserve">It is upgraded to a new type of Internet store integrating product display, consumer experience, pre-sale and after-sales service, and leisure and entertainment, and communicates with the brand (Ge et al. 2018). Retail enterprises under this O2O model play an intermediary role in the communication and interaction between consumers and manufacturers (Yi </w:t>
      </w: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2016).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r>
        <w:rPr>
          <w:rFonts w:hint="eastAsia" w:ascii="Times New Roman" w:hAnsi="Times New Roman" w:cs="Times New Roman"/>
          <w:sz w:val="24"/>
          <w:szCs w:val="24"/>
        </w:rPr>
        <w:t>The benefit to consumers is that they can get the comparative information and discounts they expect from online shopping, while also getting the same shopping experience and after-sales service as buying in traditional physical stores. In addition, they reduce or eliminate the risk that they did not receive the product they paid for and expect to receive it (Chu 2013). Enterprises also benefit from using the O2O model. Through the Internet, they can promote their products and may attract more customers to experience and purchase their products in physical stores (Cai et al. 2015). The O2O model improves their ability to provide quality services while reducing the need to operate store locations in expensive retail areas (Chi</w:t>
      </w: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2014). Unlike traditional e-commerce, the offline experience of the O2O model may provide consumers with real sensory stimulation that simple online consumption cannot provide. From the experience of the store, consumers can judge the value of the goods and the integrity of the business, which may strengthen the company's brand. For consumers, these factors affect their purchasing decisions (Zhang and Hu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bCs/>
          <w:sz w:val="24"/>
          <w:szCs w:val="24"/>
          <w:lang w:val="en-US" w:eastAsia="zh-CN"/>
          <w14:textFill>
            <w14:gradFill>
              <w14:gsLst>
                <w14:gs w14:pos="0">
                  <w14:srgbClr w14:val="FE4444"/>
                </w14:gs>
                <w14:gs w14:pos="100000">
                  <w14:srgbClr w14:val="832B2B"/>
                </w14:gs>
              </w14:gsLst>
              <w14:lin w14:scaled="0"/>
            </w14:gra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color w:val="000000" w:themeColor="text1"/>
          <w:sz w:val="24"/>
          <w:szCs w:val="24"/>
          <w:lang w:val="en-US" w:eastAsia="zh-CN"/>
          <w14:textFill>
            <w14:solidFill>
              <w14:schemeClr w14:val="tx1"/>
            </w14:solidFill>
          </w14:textFill>
        </w:rPr>
      </w:pPr>
      <w:r>
        <w:rPr>
          <w:rFonts w:hint="default" w:ascii="Times New Roman" w:hAnsi="Times New Roman" w:cs="Times New Roman"/>
          <w:color w:val="000000" w:themeColor="text1"/>
          <w:sz w:val="24"/>
          <w:szCs w:val="24"/>
          <w:lang w:val="en-US" w:eastAsia="zh-CN"/>
          <w14:textFill>
            <w14:solidFill>
              <w14:schemeClr w14:val="tx1"/>
            </w14:solidFill>
          </w14:textFill>
        </w:rPr>
        <w:t>The essence of o2o is the fragmentation and boundlessness of consumer behavior in the mobile Internet era, which directly leads to the two major industries carrying traditional consumer behavior online e-commerce and offline retail</w:t>
      </w:r>
      <w:r>
        <w:rPr>
          <w:rFonts w:hint="eastAsia" w:ascii="Times New Roman" w:hAnsi="Times New Roman" w:cs="Times New Roman"/>
          <w:color w:val="000000" w:themeColor="text1"/>
          <w:sz w:val="24"/>
          <w:szCs w:val="24"/>
          <w:lang w:val="en-US" w:eastAsia="zh-CN"/>
          <w14:textFill>
            <w14:solidFill>
              <w14:schemeClr w14:val="tx1"/>
            </w14:solidFill>
          </w14:textFill>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14:textFill>
            <w14:gradFill>
              <w14:gsLst>
                <w14:gs w14:pos="0">
                  <w14:srgbClr w14:val="FE4444"/>
                </w14:gs>
                <w14:gs w14:pos="100000">
                  <w14:srgbClr w14:val="832B2B"/>
                </w14:gs>
              </w14:gsLst>
              <w14:lin w14:scaled="0"/>
            </w14:gra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2.3Theory of O2O business model</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Most of the research on Internet consumer behavior is based on Davis' Technology Acceptance Model (Davis</w:t>
      </w:r>
      <w:r>
        <w:rPr>
          <w:rFonts w:hint="eastAsia" w:ascii="Times New Roman" w:hAnsi="Times New Roman" w:cs="Times New Roman"/>
          <w:sz w:val="24"/>
          <w:szCs w:val="24"/>
          <w:lang w:val="en-US" w:eastAsia="zh-CN"/>
        </w:rPr>
        <w:t>,1989</w:t>
      </w:r>
      <w:r>
        <w:rPr>
          <w:rFonts w:hint="default" w:ascii="Times New Roman" w:hAnsi="Times New Roman" w:cs="Times New Roman"/>
          <w:sz w:val="24"/>
          <w:szCs w:val="24"/>
          <w:lang w:val="en-US" w:eastAsia="zh-CN"/>
        </w:rPr>
        <w:t xml:space="preserve">). This model is seriously influenced by the rational action theory of </w:t>
      </w:r>
      <w:r>
        <w:rPr>
          <w:rFonts w:hint="eastAsia" w:ascii="Times New Roman" w:hAnsi="Times New Roman" w:cs="Times New Roman"/>
          <w:sz w:val="24"/>
          <w:szCs w:val="24"/>
          <w:lang w:val="en-US" w:eastAsia="zh-CN"/>
        </w:rPr>
        <w:t>F</w:t>
      </w:r>
      <w:r>
        <w:rPr>
          <w:rFonts w:hint="default" w:ascii="Times New Roman" w:hAnsi="Times New Roman" w:cs="Times New Roman"/>
          <w:sz w:val="24"/>
          <w:szCs w:val="24"/>
          <w:lang w:val="en-US" w:eastAsia="zh-CN"/>
        </w:rPr>
        <w:t>ishb</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in and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j</w:t>
      </w:r>
      <w:r>
        <w:rPr>
          <w:rFonts w:hint="eastAsia" w:ascii="Times New Roman" w:hAnsi="Times New Roman" w:cs="Times New Roman"/>
          <w:sz w:val="24"/>
          <w:szCs w:val="24"/>
          <w:lang w:val="en-US" w:eastAsia="zh-CN"/>
        </w:rPr>
        <w:t>zen</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F</w:t>
      </w:r>
      <w:r>
        <w:rPr>
          <w:rFonts w:hint="default" w:ascii="Times New Roman" w:hAnsi="Times New Roman" w:cs="Times New Roman"/>
          <w:sz w:val="24"/>
          <w:szCs w:val="24"/>
          <w:lang w:val="en-US" w:eastAsia="zh-CN"/>
        </w:rPr>
        <w:t>ishb</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in and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j</w:t>
      </w:r>
      <w:r>
        <w:rPr>
          <w:rFonts w:hint="eastAsia" w:ascii="Times New Roman" w:hAnsi="Times New Roman" w:cs="Times New Roman"/>
          <w:sz w:val="24"/>
          <w:szCs w:val="24"/>
          <w:lang w:val="en-US" w:eastAsia="zh-CN"/>
        </w:rPr>
        <w:t>ze</w:t>
      </w:r>
      <w:r>
        <w:rPr>
          <w:rFonts w:hint="default" w:ascii="Times New Roman" w:hAnsi="Times New Roman" w:cs="Times New Roman"/>
          <w:sz w:val="24"/>
          <w:szCs w:val="24"/>
          <w:lang w:val="en-US" w:eastAsia="zh-CN"/>
        </w:rPr>
        <w:t>n</w:t>
      </w:r>
      <w:r>
        <w:rPr>
          <w:rFonts w:hint="eastAsia" w:ascii="Times New Roman" w:hAnsi="Times New Roman" w:cs="Times New Roman"/>
          <w:sz w:val="24"/>
          <w:szCs w:val="24"/>
          <w:lang w:val="en-US" w:eastAsia="zh-CN"/>
        </w:rPr>
        <w:t>,1975</w:t>
      </w:r>
      <w:r>
        <w:rPr>
          <w:rFonts w:hint="default" w:ascii="Times New Roman" w:hAnsi="Times New Roman" w:cs="Times New Roman"/>
          <w:sz w:val="24"/>
          <w:szCs w:val="24"/>
          <w:lang w:val="en-US" w:eastAsia="zh-CN"/>
        </w:rPr>
        <w:t xml:space="preserve">) and the planned behavior theory of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j</w:t>
      </w:r>
      <w:r>
        <w:rPr>
          <w:rFonts w:hint="eastAsia" w:ascii="Times New Roman" w:hAnsi="Times New Roman" w:cs="Times New Roman"/>
          <w:sz w:val="24"/>
          <w:szCs w:val="24"/>
          <w:lang w:val="en-US" w:eastAsia="zh-CN"/>
        </w:rPr>
        <w:t>ze</w:t>
      </w:r>
      <w:r>
        <w:rPr>
          <w:rFonts w:hint="default" w:ascii="Times New Roman" w:hAnsi="Times New Roman" w:cs="Times New Roman"/>
          <w:sz w:val="24"/>
          <w:szCs w:val="24"/>
          <w:lang w:val="en-US" w:eastAsia="zh-CN"/>
        </w:rPr>
        <w:t>n</w:t>
      </w:r>
      <w:r>
        <w:rPr>
          <w:rFonts w:hint="eastAsia" w:ascii="Times New Roman" w:hAnsi="Times New Roman" w:cs="Times New Roman"/>
          <w:sz w:val="24"/>
          <w:szCs w:val="24"/>
          <w:lang w:val="en-US" w:eastAsia="zh-CN"/>
        </w:rPr>
        <w:t>( Ajzen 1985,1991)</w:t>
      </w:r>
      <w:r>
        <w:rPr>
          <w:rFonts w:hint="default" w:ascii="Times New Roman" w:hAnsi="Times New Roman" w:cs="Times New Roman"/>
          <w:sz w:val="24"/>
          <w:szCs w:val="24"/>
          <w:lang w:val="en-US" w:eastAsia="zh-CN"/>
        </w:rPr>
        <w:t>. These two theories hold that attitude is a function of information or belief, which is meaningful to the target behavior and a factor influencing a person's intention to take a specific action. Davis believes that consumers' attitude towards technology depends on two main variables: consumers' perception of the usefulness of technology and perceived ease of use. The effect of external variables on intention to use is mediated by perceived usefulness and perceived ease of use (Venkatesh and Davis, 2000).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original intention of the proposed </w:t>
      </w:r>
      <w:r>
        <w:rPr>
          <w:rFonts w:hint="eastAsia" w:ascii="Times New Roman" w:hAnsi="Times New Roman" w:cs="Times New Roman"/>
          <w:sz w:val="24"/>
          <w:szCs w:val="24"/>
          <w:lang w:val="en-US" w:eastAsia="zh-CN"/>
        </w:rPr>
        <w:t>TAM</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wa</w:t>
      </w:r>
      <w:r>
        <w:rPr>
          <w:rFonts w:hint="default" w:ascii="Times New Roman" w:hAnsi="Times New Roman" w:cs="Times New Roman"/>
          <w:sz w:val="24"/>
          <w:szCs w:val="24"/>
          <w:lang w:val="en-US" w:eastAsia="zh-CN"/>
        </w:rPr>
        <w:t>s to explain the determinants of widespread computer acceptance. Later, it was widely used in the research of user adoption behavior in the field of computer science, and online shopping can be regarded as the extension of computer application (</w:t>
      </w:r>
      <w:r>
        <w:rPr>
          <w:rFonts w:hint="eastAsia" w:ascii="Times New Roman" w:hAnsi="Times New Roman" w:cs="Times New Roman"/>
          <w:sz w:val="24"/>
          <w:szCs w:val="24"/>
          <w:lang w:val="en-US" w:eastAsia="zh-CN"/>
        </w:rPr>
        <w:t>O</w:t>
      </w:r>
      <w:r>
        <w:rPr>
          <w:rFonts w:hint="default" w:ascii="Times New Roman" w:hAnsi="Times New Roman" w:cs="Times New Roman"/>
          <w:sz w:val="24"/>
          <w:szCs w:val="24"/>
          <w:lang w:val="en-US" w:eastAsia="zh-CN"/>
        </w:rPr>
        <w:t>'cass and Fenech, 2003). T</w:t>
      </w:r>
      <w:r>
        <w:rPr>
          <w:rFonts w:hint="eastAsia" w:ascii="Times New Roman" w:hAnsi="Times New Roman" w:cs="Times New Roman"/>
          <w:sz w:val="24"/>
          <w:szCs w:val="24"/>
          <w:lang w:val="en-US" w:eastAsia="zh-CN"/>
        </w:rPr>
        <w:t>AM</w:t>
      </w:r>
      <w:r>
        <w:rPr>
          <w:rFonts w:hint="default" w:ascii="Times New Roman" w:hAnsi="Times New Roman" w:cs="Times New Roman"/>
          <w:sz w:val="24"/>
          <w:szCs w:val="24"/>
          <w:lang w:val="en-US" w:eastAsia="zh-CN"/>
        </w:rPr>
        <w:t xml:space="preserve"> has the characteristics of high reliability, high effectiveness and rigorous structure. It has been widely used in many research fields and supported by various theories and models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 xml:space="preserve">ass and Fenech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2003) used T</w:t>
      </w:r>
      <w:r>
        <w:rPr>
          <w:rFonts w:hint="eastAsia" w:ascii="Times New Roman" w:hAnsi="Times New Roman" w:cs="Times New Roman"/>
          <w:sz w:val="24"/>
          <w:szCs w:val="24"/>
          <w:lang w:val="en-US" w:eastAsia="zh-CN"/>
        </w:rPr>
        <w:t>AM</w:t>
      </w:r>
      <w:r>
        <w:rPr>
          <w:rFonts w:hint="default" w:ascii="Times New Roman" w:hAnsi="Times New Roman" w:cs="Times New Roman"/>
          <w:sz w:val="24"/>
          <w:szCs w:val="24"/>
          <w:lang w:val="en-US" w:eastAsia="zh-CN"/>
        </w:rPr>
        <w:t xml:space="preserve"> as the basis for exploring the application of Internet technology in retail industry, and suggested adding several variables to influence consumers' adoption of web-based technology for shopping: opinion leadership, impulsivity, online shopping compatibility, Internet s</w:t>
      </w:r>
      <w:r>
        <w:rPr>
          <w:rFonts w:hint="eastAsia" w:ascii="Times New Roman" w:hAnsi="Times New Roman" w:cs="Times New Roman"/>
          <w:sz w:val="24"/>
          <w:szCs w:val="24"/>
          <w:lang w:val="en-US" w:eastAsia="zh-CN"/>
        </w:rPr>
        <w:t>ale</w:t>
      </w:r>
      <w:r>
        <w:rPr>
          <w:rFonts w:hint="default" w:ascii="Times New Roman" w:hAnsi="Times New Roman" w:cs="Times New Roman"/>
          <w:sz w:val="24"/>
          <w:szCs w:val="24"/>
          <w:lang w:val="en-US" w:eastAsia="zh-CN"/>
        </w:rPr>
        <w:t xml:space="preserve"> efficiency, perceived network security, satisfaction with websites and shopping orientation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Gefen 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2003) added online trust factor to T</w:t>
      </w:r>
      <w:r>
        <w:rPr>
          <w:rFonts w:hint="eastAsia" w:ascii="Times New Roman" w:hAnsi="Times New Roman" w:cs="Times New Roman"/>
          <w:sz w:val="24"/>
          <w:szCs w:val="24"/>
          <w:lang w:val="en-US" w:eastAsia="zh-CN"/>
        </w:rPr>
        <w:t>AM</w:t>
      </w:r>
      <w:r>
        <w:rPr>
          <w:rFonts w:hint="default" w:ascii="Times New Roman" w:hAnsi="Times New Roman" w:cs="Times New Roman"/>
          <w:sz w:val="24"/>
          <w:szCs w:val="24"/>
          <w:lang w:val="en-US" w:eastAsia="zh-CN"/>
        </w:rPr>
        <w:t xml:space="preserve">, believing that trust helps to reduce the social complexity faced by consumers in e-commerce, and encourage customers to carry out online business activities. The empirical results </w:t>
      </w:r>
      <w:r>
        <w:rPr>
          <w:rFonts w:hint="eastAsia" w:ascii="Times New Roman" w:hAnsi="Times New Roman" w:cs="Times New Roman"/>
          <w:sz w:val="24"/>
          <w:szCs w:val="24"/>
          <w:lang w:val="en-US" w:eastAsia="zh-CN"/>
        </w:rPr>
        <w:t xml:space="preserve">of </w:t>
      </w:r>
      <w:r>
        <w:rPr>
          <w:rFonts w:hint="default" w:ascii="Times New Roman" w:hAnsi="Times New Roman" w:cs="Times New Roman"/>
          <w:sz w:val="24"/>
          <w:szCs w:val="24"/>
          <w:lang w:val="en-US" w:eastAsia="zh-CN"/>
        </w:rPr>
        <w:t xml:space="preserve">Liu </w:t>
      </w: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 xml:space="preserve">wei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2003) show that when consumers consider online shopping, their e-commerce adoption decision is much more affected by risk perception than service, and then consumers' risk perception is introduced into T</w:t>
      </w:r>
      <w:r>
        <w:rPr>
          <w:rFonts w:hint="eastAsia" w:ascii="Times New Roman" w:hAnsi="Times New Roman" w:cs="Times New Roman"/>
          <w:sz w:val="24"/>
          <w:szCs w:val="24"/>
          <w:lang w:val="en-US" w:eastAsia="zh-CN"/>
        </w:rPr>
        <w:t>AM</w:t>
      </w:r>
      <w:r>
        <w:rPr>
          <w:rFonts w:hint="default" w:ascii="Times New Roman" w:hAnsi="Times New Roman" w:cs="Times New Roman"/>
          <w:sz w:val="24"/>
          <w:szCs w:val="24"/>
          <w:lang w:val="en-US" w:eastAsia="zh-CN"/>
        </w:rPr>
        <w:t xml:space="preserve">. In addition,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lang w:val="en-US" w:eastAsia="zh-CN"/>
        </w:rPr>
        <w:t>er</w:t>
      </w:r>
      <w:r>
        <w:rPr>
          <w:rFonts w:hint="eastAsia" w:ascii="Times New Roman" w:hAnsi="Times New Roman" w:cs="Times New Roman"/>
          <w:sz w:val="24"/>
          <w:szCs w:val="24"/>
          <w:lang w:val="en-US" w:eastAsia="zh-CN"/>
        </w:rPr>
        <w:t xml:space="preserve">a </w:t>
      </w:r>
      <w:r>
        <w:rPr>
          <w:rFonts w:hint="default" w:ascii="Times New Roman" w:hAnsi="Times New Roman" w:cs="Times New Roman"/>
          <w:sz w:val="24"/>
          <w:szCs w:val="24"/>
          <w:lang w:val="en-US" w:eastAsia="zh-CN"/>
        </w:rPr>
        <w:t xml:space="preserve">y and </w:t>
      </w:r>
      <w:r>
        <w:rPr>
          <w:rFonts w:hint="eastAsia" w:ascii="Times New Roman" w:hAnsi="Times New Roman" w:cs="Times New Roman"/>
          <w:sz w:val="24"/>
          <w:szCs w:val="24"/>
          <w:lang w:val="en-US" w:eastAsia="zh-CN"/>
        </w:rPr>
        <w:t>M</w:t>
      </w:r>
      <w:r>
        <w:rPr>
          <w:rFonts w:hint="default" w:ascii="Times New Roman" w:hAnsi="Times New Roman" w:cs="Times New Roman"/>
          <w:sz w:val="24"/>
          <w:szCs w:val="24"/>
          <w:lang w:val="en-US" w:eastAsia="zh-CN"/>
        </w:rPr>
        <w:t xml:space="preserve">onsuwe et al.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2004) introduced Internet efficiency and shopping experience into T</w:t>
      </w:r>
      <w:r>
        <w:rPr>
          <w:rFonts w:hint="eastAsia" w:ascii="Times New Roman" w:hAnsi="Times New Roman" w:cs="Times New Roman"/>
          <w:sz w:val="24"/>
          <w:szCs w:val="24"/>
          <w:lang w:val="en-US" w:eastAsia="zh-CN"/>
        </w:rPr>
        <w:t>AM</w:t>
      </w:r>
      <w:r>
        <w:rPr>
          <w:rFonts w:hint="default" w:ascii="Times New Roman" w:hAnsi="Times New Roman" w:cs="Times New Roman"/>
          <w:sz w:val="24"/>
          <w:szCs w:val="24"/>
          <w:lang w:val="en-US" w:eastAsia="zh-CN"/>
        </w:rPr>
        <w:t>. It puts forward the variables of consumer demographic characteristics, product characteristics, network environment, consumer experience, consumer trust, perception factors, channel factors and so 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eastAsia" w:ascii="Times New Roman" w:hAnsi="Times New Roman" w:cs="Times New Roman"/>
          <w:sz w:val="24"/>
          <w:szCs w:val="24"/>
          <w:lang w:val="en-US" w:eastAsia="zh-CN"/>
        </w:rPr>
        <w:t>AM</w:t>
      </w:r>
      <w:r>
        <w:rPr>
          <w:rFonts w:hint="default" w:ascii="Times New Roman" w:hAnsi="Times New Roman" w:cs="Times New Roman"/>
          <w:sz w:val="24"/>
          <w:szCs w:val="24"/>
          <w:lang w:val="en-US" w:eastAsia="zh-CN"/>
        </w:rPr>
        <w:t xml:space="preserve"> is widely used to study consumers' attitudes towards online shopping, and has become one of the most commonly used models in this fiel</w:t>
      </w:r>
      <w:r>
        <w:rPr>
          <w:rFonts w:hint="eastAsia" w:ascii="Times New Roman" w:hAnsi="Times New Roman" w:cs="Times New Roman"/>
          <w:sz w:val="24"/>
          <w:szCs w:val="24"/>
          <w:lang w:val="en-US" w:eastAsia="zh-CN"/>
        </w:rPr>
        <w:t>tt</w:t>
      </w:r>
      <w:r>
        <w:rPr>
          <w:rFonts w:hint="default" w:ascii="Times New Roman" w:hAnsi="Times New Roman" w:cs="Times New Roman"/>
          <w:sz w:val="24"/>
          <w:szCs w:val="24"/>
          <w:lang w:val="en-US" w:eastAsia="zh-CN"/>
        </w:rPr>
        <w:t xml:space="preserve">d. However, for different types of products, consumers often have different attitudes towards online shopping. Different concerns determine how cautious consumers are when they accept online shopping.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2.4 Previous research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b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Consumer attitudes about using online-to-offline mode</w:t>
      </w:r>
      <w:r>
        <w:rPr>
          <w:rFonts w:hint="eastAsia" w:ascii="Times New Roman" w:hAnsi="Times New Roman" w:cs="Times New Roman"/>
          <w:b/>
          <w:bCs/>
          <w:sz w:val="24"/>
          <w:szCs w:val="24"/>
          <w:lang w:val="en-US" w:eastAsia="zh-CN"/>
        </w:rPr>
        <w:t xml:space="preserve"> </w:t>
      </w:r>
      <w:r>
        <w:rPr>
          <w:rFonts w:hint="eastAsia" w:ascii="Times New Roman" w:hAnsi="Times New Roman" w:cs="Times New Roman"/>
          <w:b w:val="0"/>
          <w:bCs w:val="0"/>
          <w:sz w:val="24"/>
          <w:szCs w:val="24"/>
          <w:lang w:val="en-US" w:eastAsia="zh-CN"/>
        </w:rPr>
        <w:t>f</w:t>
      </w:r>
      <w:r>
        <w:rPr>
          <w:rFonts w:hint="eastAsia" w:ascii="Times New Roman" w:hAnsi="Times New Roman" w:cs="Times New Roman"/>
          <w:b/>
          <w:bCs/>
          <w:sz w:val="24"/>
          <w:szCs w:val="24"/>
          <w:lang w:val="en-US" w:eastAsia="zh-CN"/>
        </w:rPr>
        <w:t>o</w:t>
      </w:r>
      <w:r>
        <w:rPr>
          <w:rFonts w:hint="eastAsia" w:ascii="Times New Roman" w:hAnsi="Times New Roman" w:cs="Times New Roman"/>
          <w:b w:val="0"/>
          <w:bCs w:val="0"/>
          <w:sz w:val="24"/>
          <w:szCs w:val="24"/>
          <w:lang w:val="en-US" w:eastAsia="zh-CN"/>
        </w:rPr>
        <w:t>r purchasing agriculture products are</w:t>
      </w:r>
      <w:r>
        <w:rPr>
          <w:rFonts w:hint="eastAsia" w:ascii="Times New Roman" w:hAnsi="Times New Roman" w:cs="Times New Roman"/>
          <w:sz w:val="24"/>
          <w:szCs w:val="24"/>
          <w:lang w:val="en-US" w:eastAsia="zh-CN"/>
        </w:rPr>
        <w:t xml:space="preserve"> related to the perception of consumers, Internet platforms and sellers' enterprises.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2.4.1.the perception of consumers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Trust tendency refers to the general tendency or degree that an individual is willing to trust others in interpersonal communication (Rotter 1971)</w:t>
      </w:r>
      <w:r>
        <w:rPr>
          <w:rFonts w:hint="eastAsia" w:ascii="Times New Roman" w:hAnsi="Times New Roman" w:cs="Times New Roman"/>
          <w:sz w:val="24"/>
          <w:szCs w:val="24"/>
          <w:lang w:val="en-US" w:eastAsia="zh-CN"/>
        </w:rPr>
        <w:t xml:space="preserve">. The uncertainty and risk in e-commerce activities greatly affect the trust of online transactions (Zhai and Xue, 2014). And the evaluation of perceived risk will be influenced by trust tendency (Zhang and Jiang, 2016). Perceived usefulness and perceived ease of use are proved to be positively influenced by trust tendency. People with high trust tend to trust others(Lin et al. 2009). </w:t>
      </w:r>
      <w:r>
        <w:rPr>
          <w:rFonts w:hint="default" w:ascii="Times New Roman" w:hAnsi="Times New Roman" w:cs="Times New Roman"/>
          <w:sz w:val="24"/>
          <w:szCs w:val="24"/>
          <w:lang w:val="en-US" w:eastAsia="zh-CN"/>
        </w:rPr>
        <w:t>Consumers' social environment factors, especially the trust tendency of their most trusted social circle, will directly affect consumers' trust tendency (Taylor and Todd, 1995).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2.4.2 Internet platform factors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Ranganathan and Ganaparty (2002) believe that information content, design, security and privacy are the four most important key dimensions that have positive impact on consumers through the empirical results of Internet platform characteristics. Consumers' attitude towards online shopping is largely influenced by their trust in the Internet platform. The ease of use, security control, usefulness of Internet platform and the perception of product and service value are the important performance of Internet platform trust(Koufaris and Hampton Sosa, 2004).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2.4.3 Perceived ease of use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convenience platform for searching products and shopping operations (registration, login, payment, etc.) on the Internet, rich product content design information, and the stability of the website can enhance customers' views on the convenience of using the Internet (Lu et al. 2009, Handa and Gupta, 2014).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2.4.4 Perceived usefulness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Trust in the content and technology of Internet platform can make consumers feel safe, and then positively affect consumers' attitude towards online shopping by enhancing perceived usefulness. Trust in content is mainly expressed through the reputation of Internet platform, and trust in technology is mainly reflected in the security of payment and the protection of customer privacy (Patton and </w:t>
      </w:r>
      <w:r>
        <w:rPr>
          <w:rFonts w:hint="eastAsia" w:ascii="Times New Roman" w:hAnsi="Times New Roman" w:cs="Times New Roman"/>
          <w:sz w:val="24"/>
          <w:szCs w:val="24"/>
          <w:lang w:val="en-US" w:eastAsia="zh-CN"/>
        </w:rPr>
        <w:t>J</w:t>
      </w:r>
      <w:r>
        <w:rPr>
          <w:rFonts w:hint="default" w:ascii="Times New Roman" w:hAnsi="Times New Roman" w:cs="Times New Roman"/>
          <w:sz w:val="24"/>
          <w:szCs w:val="24"/>
          <w:lang w:val="en-US" w:eastAsia="zh-CN"/>
        </w:rPr>
        <w:t>sang, 2004). “When the Internet platform has a good reputation, the product quality evaluation is high, and the product description is highly consistent. For physical objects, consumers tend to trust the Internet platform (Kim and Choi 2012); When Internet platforms implement security mechanisms, especially payment security and privacy protection, consumers tend to think that online shopping is safe”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lang w:val="en-US" w:eastAsia="zh-CN"/>
        </w:rPr>
        <w:t>aford and Lee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2005, ROCA et al. 2009, Riquelme and Roma ´ n 2014, Basak et al. 2016)</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w:t>
      </w:r>
      <w:r>
        <w:rPr>
          <w:rFonts w:hint="default" w:ascii="Times New Roman" w:hAnsi="Times New Roman" w:cs="Times New Roman"/>
          <w:sz w:val="24"/>
          <w:szCs w:val="24"/>
          <w:lang w:val="en-US" w:eastAsia="zh-CN"/>
        </w:rPr>
        <w:t>erceived quality is consumers' judgment of the overall excellence or superiority of a product or service</w:t>
      </w:r>
      <w:r>
        <w:rPr>
          <w:rFonts w:hint="eastAsia" w:ascii="Times New Roman" w:hAnsi="Times New Roman" w:cs="Times New Roman"/>
          <w:sz w:val="24"/>
          <w:szCs w:val="24"/>
          <w:lang w:val="en-US" w:eastAsia="zh-CN"/>
        </w:rPr>
        <w:t>(zeeithaml 1988)</w:t>
      </w:r>
      <w:r>
        <w:rPr>
          <w:rFonts w:hint="default" w:ascii="Times New Roman" w:hAnsi="Times New Roman" w:cs="Times New Roman"/>
          <w:sz w:val="24"/>
          <w:szCs w:val="24"/>
          <w:lang w:val="en-US" w:eastAsia="zh-CN"/>
        </w:rPr>
        <w:t>. Consumers' perception of the service quality of Internet platform is reflected in the whole process of online shopping, including pre-sale consulting service, in sale interaction and after-sale logistics tracking (2014). Consumers' perceived value includes not only the perceived value of products, but also the added value they experience in the process of purchasing products (Dong and Yang, 2008)</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2.4.5 A physical store factors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r>
        <w:rPr>
          <w:rFonts w:hint="eastAsia" w:ascii="Times New Roman" w:hAnsi="Times New Roman" w:cs="Times New Roman"/>
          <w:sz w:val="24"/>
          <w:szCs w:val="24"/>
        </w:rPr>
        <w:t>Consumers' experience in physical stores will directly affect their consumption behavior</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(Roy and Tai, 2003). This experience includes emotional stimulation from the store environment (including location, layout and design, decoration, etc.), and</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Consumer perception services provided by physical stores (Turley and Milliman 2000, Wu</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 xml:space="preserve">2013). The physical store environment will affect the overall consumers' judgment of a given product (Baker et al. 1994, </w:t>
      </w:r>
      <w:r>
        <w:rPr>
          <w:rFonts w:hint="eastAsia" w:ascii="Times New Roman" w:hAnsi="Times New Roman" w:cs="Times New Roman"/>
          <w:sz w:val="24"/>
          <w:szCs w:val="24"/>
          <w:lang w:val="en-US" w:eastAsia="zh-CN"/>
        </w:rPr>
        <w:t>S</w:t>
      </w:r>
      <w:r>
        <w:rPr>
          <w:rFonts w:hint="eastAsia" w:ascii="Times New Roman" w:hAnsi="Times New Roman" w:cs="Times New Roman"/>
          <w:sz w:val="24"/>
          <w:szCs w:val="24"/>
        </w:rPr>
        <w:t xml:space="preserve">ipahi and </w:t>
      </w:r>
      <w:r>
        <w:rPr>
          <w:rFonts w:hint="eastAsia" w:ascii="Times New Roman" w:hAnsi="Times New Roman" w:cs="Times New Roman"/>
          <w:sz w:val="24"/>
          <w:szCs w:val="24"/>
          <w:lang w:val="en-US" w:eastAsia="zh-CN"/>
        </w:rPr>
        <w:t>E</w:t>
      </w:r>
      <w:r>
        <w:rPr>
          <w:rFonts w:hint="eastAsia" w:ascii="Times New Roman" w:hAnsi="Times New Roman" w:cs="Times New Roman"/>
          <w:sz w:val="24"/>
          <w:szCs w:val="24"/>
        </w:rPr>
        <w:t>nginoglu, 2015). Service perceived by consumers</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The service provided by enterprises has a positive impact on consumers' online shopping attitude (Wang 2012).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2.4.6 The operating Mechanism of O2O Agriculture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There are many types of agricultural products under the O2O model, but there are two basic points at its core, namely online and offline. Only by realizing online and offline integration and seamless linking can better results be achieved. When the main circulation entity engages in O2O agricultural products, it can establish an online mall on its own and cooperate with offline stores </w:t>
      </w:r>
      <w:r>
        <w:rPr>
          <w:rFonts w:hint="eastAsia" w:ascii="Times New Roman" w:hAnsi="Times New Roman" w:cs="Times New Roman"/>
          <w:sz w:val="24"/>
          <w:szCs w:val="24"/>
          <w:lang w:val="en-US" w:eastAsia="zh-CN"/>
        </w:rPr>
        <w:t>(Tu et al, 2004)</w:t>
      </w:r>
      <w:r>
        <w:rPr>
          <w:rFonts w:hint="default" w:ascii="Times New Roman" w:hAnsi="Times New Roman" w:cs="Times New Roman"/>
          <w:sz w:val="24"/>
          <w:szCs w:val="24"/>
          <w:lang w:val="en-US"/>
        </w:rPr>
        <w:t>. At the same time, it can use huge traffic to deploy third-party platforms and introduce customers. Online trading platform as the core network marketing can bring consumers a large amount of online transaction data and information, and user-generated content is owned by agricultural producers and circulation companies to deeply explore customer needs. At the same time, distributed companies can release relevant information and promote products and brands</w:t>
      </w:r>
      <w:r>
        <w:rPr>
          <w:rFonts w:hint="eastAsia" w:ascii="Times New Roman" w:hAnsi="Times New Roman" w:cs="Times New Roman"/>
          <w:sz w:val="24"/>
          <w:szCs w:val="24"/>
          <w:lang w:val="en-US" w:eastAsia="zh-CN"/>
        </w:rPr>
        <w:t xml:space="preserve"> (Yu et,al, 2009；Jinjun Feng,2013))</w:t>
      </w:r>
      <w:r>
        <w:rPr>
          <w:rFonts w:hint="default" w:ascii="Times New Roman" w:hAnsi="Times New Roman" w:cs="Times New Roman"/>
          <w:sz w:val="24"/>
          <w:szCs w:val="24"/>
          <w:lang w:val="en-US"/>
        </w:rPr>
        <w:t xml:space="preserve">. Consumers can enjoy the O2O model and provide services online. Through comparison and selection, after the purchase decision is made, consumers can complete the online payment, and after receiving the agricultural products, they can also make evaluations on the Internet, thus forming a good reputation for the company </w:t>
      </w:r>
      <w:r>
        <w:rPr>
          <w:rFonts w:hint="eastAsia" w:ascii="Times New Roman" w:hAnsi="Times New Roman" w:cs="Times New Roman"/>
          <w:sz w:val="24"/>
          <w:szCs w:val="24"/>
          <w:lang w:val="en-US" w:eastAsia="zh-CN"/>
        </w:rPr>
        <w:t>(Kamukama et al, 2011)</w:t>
      </w:r>
      <w:r>
        <w:rPr>
          <w:rFonts w:hint="default" w:ascii="Times New Roman" w:hAnsi="Times New Roman" w:cs="Times New Roman"/>
          <w:sz w:val="24"/>
          <w:szCs w:val="24"/>
          <w:lang w:val="en-US"/>
        </w:rPr>
        <w:t>. The offline system is based on physical stores, where a wealth of agricultural entities can survive. Directly facing end customers, providing a full range of shopping experience. Producers of agricultural products transport agricultural products to offline stores through distribution companies. Some products are used for display and sales, while others can transport them to designated locations online. Consumers specify their orders through logistics and delivery. Regardless of the circulation, corporate stores or consumers can inquire about agricultural related information. The products pass the traceability system, which can play a positive role in ensuring the quality and safety of agricultural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2013, Beijing XINFADI Agricultural Products Wholesale Market cooperated with Jingdong Mall to launch an online agricultural products trading platform, realizing the integration of online and offline.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Dual Channel Sales of agriculture products is appeared in order to respond to the growing consumer channel migration behavior and multi-channel shopping . at the same time, dual channel sales reduces the need to operate stores in expensive retail areas</w:t>
      </w:r>
      <w:r>
        <w:rPr>
          <w:rFonts w:hint="eastAsia" w:ascii="Times New Roman" w:hAnsi="Times New Roman" w:cs="Times New Roman"/>
          <w:sz w:val="24"/>
          <w:szCs w:val="24"/>
          <w:lang w:val="en-US" w:eastAsia="zh-CN"/>
        </w:rPr>
        <w:t>( Harrington,2000). For consumers' channel migration behavior, it refers to the channel of the transfer process of consumers from online (offline) channels to offline (online) channels. Therefore, this process can include not only the migration between purchase channels, but also the migration of information collection channels (customer experience) and procurement channels between them. This channel migration behavior is bidirectional and can participate in the entire process of consumer shopping. Therefore, it has emerged that a multi-channel shopping refers to a consumer behavior that consumers can use during the shopping process, and they have experience in collecting information through multiple channels. , Conduct transactions, sales, logistics and other activities, among which online and offline dual-channel shopping is the most prominent and important form (Gan et al, 2011)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bCs/>
          <w:sz w:val="24"/>
          <w:szCs w:val="24"/>
          <w:lang w:val="en-US" w:eastAsia="zh-CN"/>
        </w:rPr>
      </w:pPr>
      <w:r>
        <w:rPr>
          <w:rFonts w:hint="eastAsia" w:ascii="Times New Roman" w:hAnsi="Times New Roman" w:cs="Times New Roman"/>
          <w:b/>
          <w:bCs/>
          <w:sz w:val="24"/>
          <w:szCs w:val="24"/>
          <w:lang w:val="en-US" w:eastAsia="zh-CN"/>
        </w:rPr>
        <w:t>2.4.7 The supply chain of agriculture products under O2O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B. Malijia (2005) believes that the flow of fresh produce is similar to the flow of other commodities, which is realized in the form of logistics network.Network of fresh agricultural products supply, however, is different from other kinds of processed products supply network, for fresh produce more quality security, improve the cold chain transportation, pay attention to preservation technologies, Ana Osvald (2008) studied the fresh vegetable distribution optimization tools, and puts forward the time window constraints and the impact of vegetables vegetables perishable. The supply chain of agricultural products is the logistics and capital involved in each link of the core enterprise from production to consumption.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integration of cash flow and information flow connects producers, distributors, wholesalers, retailers and other parties to a network with overall functions, which is also the value-added chain of agricultural products in the supply chain (Jiang and Wang, 2012).The household consumption model of "offline operation, online ordering and third-party distribution" is a new development of agricultural supply chain (Xiao, 2020).Quality control is the most important part of supply chain management.Quality problems can easily reduce consumer confidence.No matter whether the quality problem is caused by production or distribution, it will cause a crisis of trust between the information platform of consumer distribution service providers and agricultural product producers (Ding and Wang, 2020).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2.4.8 The satisfaction of consumers of agricultural products under the O2O model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There is a significant positive correlation between logistics distribution and fresh e-commerce consumer satisfaction, and the delivery speed provided by merchants has the most direct impact on consumers' shopping satisfaction.So distribution delivery time, delivery of goods packaging integrity, goods order information query is the key promotion links of logistics distribution, electricity network operators page design of operation convenience, product quality CLP commercial product freshness and food and the contrast between the image and return mechanism of after-sales service, and customer satisfaction has significant positive correlation.</w:t>
      </w:r>
      <w:r>
        <w:rPr>
          <w:rFonts w:hint="eastAsia" w:ascii="Times New Roman" w:hAnsi="Times New Roman" w:cs="Times New Roman"/>
          <w:b w:val="0"/>
          <w:bCs w:val="0"/>
          <w:sz w:val="24"/>
          <w:szCs w:val="24"/>
          <w:lang w:val="en-US" w:eastAsia="zh-CN"/>
        </w:rPr>
        <w:t xml:space="preserve"> (</w:t>
      </w:r>
      <w:bookmarkStart w:id="0" w:name="OLE_LINK1"/>
      <w:r>
        <w:rPr>
          <w:rFonts w:hint="eastAsia" w:ascii="Times New Roman" w:hAnsi="Times New Roman" w:cs="Times New Roman"/>
          <w:b w:val="0"/>
          <w:bCs w:val="0"/>
          <w:sz w:val="24"/>
          <w:szCs w:val="24"/>
          <w:lang w:val="en-US" w:eastAsia="zh-CN"/>
        </w:rPr>
        <w:t>Li et al, 2020</w:t>
      </w:r>
      <w:bookmarkEnd w:id="0"/>
      <w:r>
        <w:rPr>
          <w:rFonts w:hint="eastAsia" w:ascii="Times New Roman" w:hAnsi="Times New Roman" w:cs="Times New Roman"/>
          <w:b w:val="0"/>
          <w:b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2.5 Conclusion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first objective is achieved in this chapter: A critical analysis of academic literature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 on the combination of online and offline agricultural product promotion.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 literature reviewed the safety and ease of use of O2O mode, the practicability of Internet platform, the perception of product value and consumers' experience in physical stores, pointed out consumers' positive attitude towards O2O mode shopping, and then summarized the O2O agricultural product operation mechanism and supply chain development through the literature, "offline operation, online order,Home consumption third-party distribution model is a new development of agricultural supply chain, is a strong proof of the combination of online and offline agricultural products promotion."</w:t>
      </w:r>
    </w:p>
    <w:p>
      <w:pPr>
        <w:pStyle w:val="2"/>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val="0"/>
          <w:bCs/>
          <w:sz w:val="28"/>
          <w:szCs w:val="28"/>
          <w:lang w:val="en-US" w:eastAsia="zh-CN"/>
        </w:rPr>
      </w:pPr>
      <w:bookmarkStart w:id="1" w:name="_Toc4714"/>
      <w:r>
        <w:rPr>
          <w:rFonts w:hint="default" w:ascii="Times New Roman" w:hAnsi="Times New Roman" w:cs="Times New Roman"/>
          <w:b w:val="0"/>
          <w:bCs/>
          <w:sz w:val="28"/>
          <w:szCs w:val="28"/>
          <w:lang w:val="en-US" w:eastAsia="zh-CN"/>
        </w:rPr>
        <w:t>3.</w:t>
      </w:r>
      <w:bookmarkEnd w:id="1"/>
      <w:r>
        <w:rPr>
          <w:rFonts w:hint="eastAsia" w:ascii="Times New Roman" w:hAnsi="Times New Roman" w:cs="Times New Roman"/>
          <w:b w:val="0"/>
          <w:bCs/>
          <w:sz w:val="28"/>
          <w:szCs w:val="28"/>
          <w:lang w:val="en-US" w:eastAsia="zh-CN"/>
        </w:rPr>
        <w:t>0 Method</w:t>
      </w:r>
    </w:p>
    <w:p>
      <w:pPr>
        <w:rPr>
          <w:rFonts w:hint="default"/>
          <w:b/>
          <w:bCs w:val="0"/>
          <w:sz w:val="24"/>
          <w:szCs w:val="24"/>
          <w:lang w:val="en-US" w:eastAsia="zh-CN"/>
        </w:rPr>
      </w:pPr>
      <w:r>
        <w:rPr>
          <w:rFonts w:hint="eastAsia" w:ascii="Times New Roman" w:hAnsi="Times New Roman" w:cs="Times New Roman"/>
          <w:b/>
          <w:bCs w:val="0"/>
          <w:sz w:val="24"/>
          <w:szCs w:val="24"/>
          <w:lang w:val="en-US" w:eastAsia="zh-CN"/>
        </w:rPr>
        <w:t>3.1 Introduction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color w:val="000000" w:themeColor="text1"/>
          <w:sz w:val="24"/>
          <w:szCs w:val="24"/>
          <w:lang w:val="en-US" w:eastAsia="zh-CN"/>
          <w14:textFill>
            <w14:solidFill>
              <w14:schemeClr w14:val="tx1"/>
            </w14:solidFill>
          </w14:textFill>
        </w:rPr>
        <w:t xml:space="preserve">he first goal was achieved in the previous chapter, which </w:t>
      </w:r>
      <w:r>
        <w:rPr>
          <w:rFonts w:hint="eastAsia" w:ascii="Times New Roman" w:hAnsi="Times New Roman" w:cs="Times New Roman"/>
          <w:color w:val="000000" w:themeColor="text1"/>
          <w:sz w:val="24"/>
          <w:szCs w:val="24"/>
          <w:lang w:val="en-US" w:eastAsia="zh-CN"/>
          <w14:textFill>
            <w14:solidFill>
              <w14:schemeClr w14:val="tx1"/>
            </w14:solidFill>
          </w14:textFill>
        </w:rPr>
        <w:t>t</w:t>
      </w:r>
      <w:r>
        <w:rPr>
          <w:rFonts w:hint="default" w:ascii="Times New Roman" w:hAnsi="Times New Roman" w:cs="Times New Roman"/>
          <w:color w:val="000000" w:themeColor="text1"/>
          <w:sz w:val="24"/>
          <w:szCs w:val="24"/>
          <w:lang w:val="en-US" w:eastAsia="zh-CN"/>
          <w14:textFill>
            <w14:solidFill>
              <w14:schemeClr w14:val="tx1"/>
            </w14:solidFill>
          </w14:textFill>
        </w:rPr>
        <w:t>he promotion and marketing of agricultural products in the O2O mode was studied. The combination of O2O</w:t>
      </w:r>
      <w:r>
        <w:rPr>
          <w:rFonts w:hint="default" w:ascii="Times New Roman" w:hAnsi="Times New Roman" w:cs="Times New Roman"/>
          <w:sz w:val="24"/>
          <w:szCs w:val="24"/>
          <w:lang w:val="en-US" w:eastAsia="zh-CN"/>
        </w:rPr>
        <w:t xml:space="preserve"> of agricultural products is a win-win situation for consumers and producers.</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chapter refers to the completion of the second goal: selecting appropriate research methods to discuss the public's acceptance and engagement towards online and offline promotion of agricultural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order to implement this goal, the method of onion research developed by Saunders et al.(2016) will guide this research process.reliability and validity will be considered.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3.2 Research Approach</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research adopts the quantitative research method namely the questionnaire survey method. </w:t>
      </w:r>
      <w:r>
        <w:rPr>
          <w:rFonts w:hint="default" w:ascii="Times New Roman" w:hAnsi="Times New Roman" w:cs="Times New Roman"/>
          <w:sz w:val="24"/>
          <w:szCs w:val="24"/>
          <w:lang w:val="en-US" w:eastAsia="zh-CN"/>
        </w:rPr>
        <w:t>Since the purpose of the questionnaire is to obtain the data to answer the research questions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it needs to be considered in the design(Ghauri et al., 2020).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biggest advantage of questionnaire is simple and easy to operate, economical and cost-saving. There is no need for investigators to conduct door-to-door surveys to collect data, which can be carried out by groups, sent out by e-mail, post or Internet. At same time,questionnaire is highly efficient, it is suitable for computer processing data, saving the cost and time of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3.3 Data Collection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Primary research involves the direct collection of data on specific research questions (Hox and Boeije, 2005).The main study will be based on data from questionnaires;The release will be aimed at the general public.</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3.3.1 Questionnaire Design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Design issues need to be considered at design time, as the purpose of the questionnaire is to obtain data to answer research questions (Ghauri et al., 2020).</w:t>
      </w:r>
      <w:r>
        <w:rPr>
          <w:rFonts w:hint="eastAsia" w:ascii="Times New Roman" w:hAnsi="Times New Roman" w:cs="Times New Roman"/>
          <w:sz w:val="24"/>
          <w:szCs w:val="24"/>
          <w:lang w:val="en-US" w:eastAsia="zh-CN"/>
        </w:rPr>
        <w:t xml:space="preserve"> Following questionnaire consists of 16 questions: six demographic, two closed and eight Likert scale. The study used closed and Likert scale questions, which made it easy to encode the responses and thus clearly discover the survey results (Ghauri et al. 2020).Closed questions allow respondents to choose from a list and ignore other answers.So, an choose was provided to allow the interviewee to statement. See Appendix 1 for a copy of the questionnaire.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3.3.2 Data Collection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questionnaire survey was completed by using the questionnaire star.It consists of six</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parts. The first step is to design an online questionnaire with a total of 16 questions, including 30 specific issues.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second step is to issue the questionnaire and set the attributes. The third step is to send the link of the questionnaire to the respondents through We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Chat and QQ. The fourth step is to check the results and you can see the time period, region and website of the answer card.The fifth step is to create a custom report that filters out a set of qualified answer sheets by setting the filter criteria.The sixth step is to download the survey data. After the survey is completed, the original data will be downloaded into Excel and imported into SPSS 26.0 analysis software for further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3.3.3 Questionnaire and Literature Review Matrix</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4"/>
          <w:szCs w:val="24"/>
          <w:lang w:val="en-US" w:eastAsia="zh-CN"/>
        </w:rPr>
        <w:t>Table 3.1: Questionnaire and Literature Review Matrix</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u w:val="single"/>
                <w:vertAlign w:val="baseline"/>
                <w:lang w:val="en-US" w:eastAsia="zh-CN"/>
              </w:rPr>
              <w:t>Questions from questionaire</w:t>
            </w: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u w:val="single"/>
                <w:vertAlign w:val="baseline"/>
                <w:lang w:val="en-US" w:eastAsia="zh-CN"/>
              </w:rPr>
              <w:t>References from the previous section apply to the questions posed: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rPr>
                <w:rFonts w:hint="default" w:ascii="Times New Roman" w:hAnsi="Times New Roman" w:cs="Times New Roman"/>
                <w:b/>
                <w:bCs/>
                <w:sz w:val="24"/>
                <w:szCs w:val="24"/>
                <w:lang w:val="en-US" w:eastAsia="zh-CN"/>
              </w:rPr>
            </w:pPr>
            <w:r>
              <w:rPr>
                <w:rFonts w:hint="eastAsia" w:ascii="Times New Roman" w:hAnsi="Times New Roman" w:cs="Times New Roman"/>
                <w:sz w:val="24"/>
                <w:szCs w:val="24"/>
                <w:vertAlign w:val="baseline"/>
                <w:lang w:val="en-US" w:eastAsia="zh-CN"/>
              </w:rPr>
              <w:t>Q1 The data collected from this questionnaire will be kept confidential and anonymous.Please state whether you agree that your results are used as part of my BA research project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Q2 What age range do you belong to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Q3 What </w:t>
            </w:r>
            <w:r>
              <w:rPr>
                <w:rFonts w:hint="eastAsia" w:ascii="Times New Roman" w:hAnsi="Times New Roman" w:cs="Times New Roman"/>
                <w:sz w:val="24"/>
                <w:szCs w:val="24"/>
                <w:lang w:val="en-US" w:eastAsia="zh-CN"/>
              </w:rPr>
              <w:t>is your gender</w:t>
            </w:r>
            <w:r>
              <w:rPr>
                <w:rFonts w:hint="default" w:ascii="Times New Roman" w:hAnsi="Times New Roman" w:cs="Times New Roman"/>
                <w:sz w:val="24"/>
                <w:szCs w:val="24"/>
                <w:lang w:val="en-US" w:eastAsia="zh-CN"/>
              </w:rPr>
              <w:t xml:space="preserve"> ?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Q4 What is the highest </w:t>
            </w:r>
            <w:r>
              <w:rPr>
                <w:rFonts w:hint="eastAsia" w:ascii="Times New Roman" w:hAnsi="Times New Roman" w:cs="Times New Roman"/>
                <w:sz w:val="24"/>
                <w:szCs w:val="24"/>
                <w:lang w:val="en-US" w:eastAsia="zh-CN"/>
              </w:rPr>
              <w:t>degree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Q5 How much do you get per month? </w:t>
            </w:r>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Q6 What is your employment status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Questions 1-6 are offer all kinds of level people</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s information to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Q7 What is your preferred way of shopping?   </w:t>
            </w:r>
          </w:p>
          <w:p>
            <w:pPr>
              <w:numPr>
                <w:ilvl w:val="0"/>
                <w:numId w:val="0"/>
              </w:numPr>
              <w:ind w:leftChars="0"/>
              <w:rPr>
                <w:rFonts w:hint="eastAsia" w:ascii="Times New Roman" w:hAnsi="Times New Roman" w:cs="Times New Roman"/>
                <w:sz w:val="24"/>
                <w:szCs w:val="24"/>
                <w:lang w:val="en-US" w:eastAsia="zh-CN"/>
              </w:rPr>
            </w:pPr>
            <w:bookmarkStart w:id="2" w:name="OLE_LINK7"/>
          </w:p>
          <w:bookmarkEnd w:id="2"/>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Online</w:t>
            </w: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Offline</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Online and offline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rPr>
              <w:t>Rampell 2010</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Pan et al. 2014</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r>
              <w:rPr>
                <w:rFonts w:hint="eastAsia" w:ascii="Times New Roman" w:hAnsi="Times New Roman" w:cs="Times New Roman"/>
                <w:sz w:val="24"/>
                <w:szCs w:val="24"/>
              </w:rPr>
              <w:t xml:space="preserve">(Baker et al. 1994, </w:t>
            </w:r>
            <w:r>
              <w:rPr>
                <w:rFonts w:hint="eastAsia" w:ascii="Times New Roman" w:hAnsi="Times New Roman" w:cs="Times New Roman"/>
                <w:sz w:val="24"/>
                <w:szCs w:val="24"/>
                <w:lang w:val="en-US" w:eastAsia="zh-CN"/>
              </w:rPr>
              <w:t>S</w:t>
            </w:r>
            <w:r>
              <w:rPr>
                <w:rFonts w:hint="eastAsia" w:ascii="Times New Roman" w:hAnsi="Times New Roman" w:cs="Times New Roman"/>
                <w:sz w:val="24"/>
                <w:szCs w:val="24"/>
              </w:rPr>
              <w:t xml:space="preserve">ipahi and </w:t>
            </w:r>
            <w:r>
              <w:rPr>
                <w:rFonts w:hint="eastAsia" w:ascii="Times New Roman" w:hAnsi="Times New Roman" w:cs="Times New Roman"/>
                <w:sz w:val="24"/>
                <w:szCs w:val="24"/>
                <w:lang w:val="en-US" w:eastAsia="zh-CN"/>
              </w:rPr>
              <w:t>E</w:t>
            </w:r>
            <w:r>
              <w:rPr>
                <w:rFonts w:hint="eastAsia" w:ascii="Times New Roman" w:hAnsi="Times New Roman" w:cs="Times New Roman"/>
                <w:sz w:val="24"/>
                <w:szCs w:val="24"/>
              </w:rPr>
              <w:t>nginoglu, 2015)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(Gan et al, 2011)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Q8  </w:t>
            </w:r>
            <w:r>
              <w:rPr>
                <w:rFonts w:hint="eastAsia" w:ascii="Times New Roman" w:hAnsi="Times New Roman" w:cs="Times New Roman"/>
                <w:sz w:val="24"/>
                <w:szCs w:val="24"/>
                <w:lang w:val="en-US" w:eastAsia="zh-CN"/>
              </w:rPr>
              <w:t>How much impact do you think the credibility and security of the Internet platforms have on consumers' attitudes toward purchasing agricultural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Liu</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wei</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2003</w:t>
            </w:r>
            <w:r>
              <w:rPr>
                <w:rFonts w:hint="eastAsia" w:ascii="Times New Roman" w:hAnsi="Times New Roman" w:cs="Times New Roman"/>
                <w:sz w:val="24"/>
                <w:szCs w:val="24"/>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Q9 To what extent do you think the service quality of the Internet platform has influenced consumers' attitude towards purchasing agricultural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eastAsiaTheme="minorEastAsia"/>
                <w:sz w:val="24"/>
                <w:szCs w:val="24"/>
                <w:vertAlign w:val="baseline"/>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Cai et al. 2015</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Cai et al. 2015</w:t>
            </w: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Zhang and Hu 2017</w:t>
            </w:r>
            <w:r>
              <w:rPr>
                <w:rFonts w:hint="eastAsia" w:ascii="Times New Roman" w:hAnsi="Times New Roman" w:cs="Times New Roman"/>
                <w:sz w:val="24"/>
                <w:szCs w:val="24"/>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Q10 How much do you think the quality of product of the Internet platform has influenced consumers' attitudes toward purchasing agricultural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lang w:val="en-US" w:eastAsia="zh-CN"/>
              </w:rPr>
              <w:t>Venkatesh</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Davis, 2000</w:t>
            </w:r>
            <w:r>
              <w:rPr>
                <w:rFonts w:hint="eastAsia" w:ascii="Times New Roman" w:hAnsi="Times New Roman" w:cs="Times New Roman"/>
                <w:sz w:val="24"/>
                <w:szCs w:val="24"/>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Q11 How satisfied are you with the following items ?</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w:t>
            </w:r>
            <w:r>
              <w:rPr>
                <w:rFonts w:hint="default" w:ascii="Times New Roman" w:hAnsi="Times New Roman" w:cs="Times New Roman"/>
                <w:sz w:val="24"/>
                <w:szCs w:val="24"/>
                <w:vertAlign w:val="baseline"/>
                <w:lang w:val="en-US" w:eastAsia="zh-CN"/>
              </w:rPr>
              <w:t>Website page design</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of e-commerce</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3"/>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It is easy to find the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goods you want on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the Internet</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3"/>
              </w:numPr>
              <w:ind w:left="0" w:leftChars="0" w:firstLine="0" w:firstLine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The product information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displayed on the webpage is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consistent with the offline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physical stores</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3"/>
              </w:numPr>
              <w:ind w:left="0" w:leftChars="0" w:firstLine="0" w:firstLine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The web shopping order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payment process is clear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and easy to understand,</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easy to operate.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rPr>
              <w:t>Rampell 2010</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Pan et al. 201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Cai et al. 2015</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Chi,2014</w:t>
            </w: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Chi,2014</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 xml:space="preserve">ass and Fenech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Liu </w:t>
            </w:r>
            <w:r>
              <w:rPr>
                <w:rFonts w:hint="eastAsia" w:ascii="Times New Roman" w:hAnsi="Times New Roman" w:cs="Times New Roman"/>
                <w:sz w:val="24"/>
                <w:szCs w:val="24"/>
                <w:lang w:val="en-US" w:eastAsia="zh-CN"/>
              </w:rPr>
              <w:t>and W</w:t>
            </w:r>
            <w:r>
              <w:rPr>
                <w:rFonts w:hint="default" w:ascii="Times New Roman" w:hAnsi="Times New Roman" w:cs="Times New Roman"/>
                <w:sz w:val="24"/>
                <w:szCs w:val="24"/>
                <w:lang w:val="en-US" w:eastAsia="zh-CN"/>
              </w:rPr>
              <w:t>ei</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2003</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b w:val="0"/>
                <w:bCs w:val="0"/>
                <w:sz w:val="24"/>
                <w:szCs w:val="24"/>
                <w:lang w:val="en-US" w:eastAsia="zh-CN"/>
              </w:rPr>
              <w:t>Li et al,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Q12.Please assess your satisfaction with the following statements regarding e-commerce logistics delivery.</w:t>
            </w:r>
          </w:p>
          <w:p>
            <w:pPr>
              <w:numPr>
                <w:ilvl w:val="0"/>
                <w:numId w:val="4"/>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Order production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can be delivered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within the specified time</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4"/>
              </w:numPr>
              <w:ind w:left="0" w:leftChars="0" w:firstLine="0" w:firstLine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Fast delivery speed</w:t>
            </w:r>
          </w:p>
          <w:p>
            <w:pPr>
              <w:numPr>
                <w:ilvl w:val="0"/>
                <w:numId w:val="0"/>
              </w:numPr>
              <w:ind w:leftChars="0"/>
              <w:rPr>
                <w:rFonts w:hint="default" w:ascii="Times New Roman" w:hAnsi="Times New Roman" w:cs="Times New Roman"/>
                <w:sz w:val="18"/>
                <w:szCs w:val="18"/>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4"/>
              </w:numPr>
              <w:ind w:left="0" w:leftChars="0" w:firstLine="0" w:firstLine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The packing is complete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without breakage</w:t>
            </w:r>
          </w:p>
          <w:p>
            <w:pPr>
              <w:numPr>
                <w:ilvl w:val="0"/>
                <w:numId w:val="0"/>
              </w:numPr>
              <w:ind w:leftChars="0"/>
              <w:rPr>
                <w:rFonts w:hint="default" w:ascii="Times New Roman" w:hAnsi="Times New Roman" w:cs="Times New Roman"/>
                <w:sz w:val="18"/>
                <w:szCs w:val="18"/>
                <w:vertAlign w:val="baseline"/>
                <w:lang w:val="en-US" w:eastAsia="zh-CN"/>
              </w:rPr>
            </w:pPr>
          </w:p>
          <w:p>
            <w:pPr>
              <w:numPr>
                <w:ilvl w:val="0"/>
                <w:numId w:val="0"/>
              </w:numPr>
              <w:ind w:leftChars="0"/>
              <w:rPr>
                <w:rFonts w:hint="default" w:ascii="Times New Roman" w:hAnsi="Times New Roman" w:cs="Times New Roman"/>
                <w:sz w:val="18"/>
                <w:szCs w:val="18"/>
                <w:vertAlign w:val="baseline"/>
                <w:lang w:val="en-US" w:eastAsia="zh-CN"/>
              </w:rPr>
            </w:pPr>
          </w:p>
          <w:p>
            <w:pPr>
              <w:numPr>
                <w:ilvl w:val="0"/>
                <w:numId w:val="4"/>
              </w:numPr>
              <w:ind w:left="0" w:leftChars="0" w:firstLine="0" w:firstLine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Product distribution can be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checked in time</w:t>
            </w:r>
          </w:p>
          <w:p>
            <w:pPr>
              <w:numPr>
                <w:ilvl w:val="0"/>
                <w:numId w:val="0"/>
              </w:numPr>
              <w:ind w:leftChars="0"/>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Previous research (Li et al, 2020) includes the following four factors about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w:t>
            </w:r>
            <w:r>
              <w:rPr>
                <w:rFonts w:hint="default" w:ascii="Times New Roman" w:hAnsi="Times New Roman" w:cs="Times New Roman"/>
                <w:sz w:val="24"/>
                <w:szCs w:val="24"/>
                <w:vertAlign w:val="baseline"/>
                <w:lang w:val="en-US" w:eastAsia="zh-CN"/>
              </w:rPr>
              <w:t>Ana-Osvald,2008</w:t>
            </w:r>
            <w:r>
              <w:rPr>
                <w:rFonts w:hint="eastAsia" w:ascii="Times New Roman" w:hAnsi="Times New Roman" w:cs="Times New Roman"/>
                <w:sz w:val="24"/>
                <w:szCs w:val="24"/>
                <w:vertAlign w:val="baseline"/>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Previous research</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(Gan et al, 2011)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Q13. How satisfied are you with the following things ?</w:t>
            </w:r>
          </w:p>
          <w:p>
            <w:pPr>
              <w:numPr>
                <w:ilvl w:val="0"/>
                <w:numId w:val="5"/>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E-</w:t>
            </w:r>
            <w:r>
              <w:rPr>
                <w:rFonts w:hint="default" w:ascii="Times New Roman" w:hAnsi="Times New Roman" w:cs="Times New Roman"/>
                <w:sz w:val="24"/>
                <w:szCs w:val="24"/>
                <w:vertAlign w:val="baseline"/>
                <w:lang w:val="en-US" w:eastAsia="zh-CN"/>
              </w:rPr>
              <w:t xml:space="preserve">commerce has a good </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return and exchange </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mechanism</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6"/>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E-commerce takes consumer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complaints seriously,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Reasonable demands from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consumers will be met</w:t>
            </w:r>
          </w:p>
          <w:p>
            <w:pPr>
              <w:numPr>
                <w:ilvl w:val="0"/>
                <w:numId w:val="0"/>
              </w:numPr>
              <w:rPr>
                <w:rFonts w:hint="eastAsia" w:ascii="Times New Roman" w:hAnsi="Times New Roman" w:cs="Times New Roman"/>
                <w:sz w:val="18"/>
                <w:szCs w:val="18"/>
                <w:vertAlign w:val="baseline"/>
                <w:lang w:val="en-US" w:eastAsia="zh-CN"/>
              </w:rPr>
            </w:pPr>
          </w:p>
          <w:p>
            <w:pPr>
              <w:numPr>
                <w:ilvl w:val="0"/>
                <w:numId w:val="6"/>
              </w:numPr>
              <w:ind w:left="0" w:leftChars="0" w:firstLine="0" w:firstLine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The e-commerce online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customer service can reply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in time, professional quality is high</w:t>
            </w:r>
          </w:p>
          <w:p>
            <w:pPr>
              <w:numPr>
                <w:ilvl w:val="0"/>
                <w:numId w:val="0"/>
              </w:numPr>
              <w:ind w:leftChars="0"/>
              <w:rPr>
                <w:rFonts w:hint="default"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(Rampell 2010; Pan et al. 2014)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Previous research</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(Yi，2016; Chu 2013; Cai et al.2015; Chi，2014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（Ge et al, 2018)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(Liu and wei,2003; Peray and Monsuwe,2004)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Q14.To what extent do you shop on O2O(online and offline) platforms because.</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w:t>
            </w:r>
            <w:r>
              <w:rPr>
                <w:rFonts w:hint="default" w:ascii="Times New Roman" w:hAnsi="Times New Roman" w:cs="Times New Roman"/>
                <w:sz w:val="24"/>
                <w:szCs w:val="24"/>
                <w:vertAlign w:val="baseline"/>
                <w:lang w:val="en-US" w:eastAsia="zh-CN"/>
              </w:rPr>
              <w:t xml:space="preserve">The payment method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is efficient and convenient</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(2)</w:t>
            </w:r>
            <w:r>
              <w:rPr>
                <w:rFonts w:hint="default" w:ascii="Times New Roman" w:hAnsi="Times New Roman" w:cs="Times New Roman"/>
                <w:sz w:val="24"/>
                <w:szCs w:val="24"/>
                <w:vertAlign w:val="baseline"/>
                <w:lang w:val="en-US" w:eastAsia="zh-CN"/>
              </w:rPr>
              <w:t>Fast delivery speed</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(3)</w:t>
            </w:r>
            <w:r>
              <w:rPr>
                <w:rFonts w:hint="default" w:ascii="Times New Roman" w:hAnsi="Times New Roman" w:cs="Times New Roman"/>
                <w:sz w:val="24"/>
                <w:szCs w:val="24"/>
                <w:vertAlign w:val="baseline"/>
                <w:lang w:val="en-US" w:eastAsia="zh-CN"/>
              </w:rPr>
              <w:t>Can be discounted</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(4)</w:t>
            </w:r>
            <w:bookmarkStart w:id="3" w:name="OLE_LINK9"/>
            <w:r>
              <w:rPr>
                <w:rFonts w:hint="default" w:ascii="Times New Roman" w:hAnsi="Times New Roman" w:cs="Times New Roman"/>
                <w:sz w:val="24"/>
                <w:szCs w:val="24"/>
                <w:vertAlign w:val="baseline"/>
                <w:lang w:val="en-US" w:eastAsia="zh-CN"/>
              </w:rPr>
              <w:t>The product quality is good</w:t>
            </w:r>
            <w:bookmarkEnd w:id="3"/>
          </w:p>
          <w:p>
            <w:pPr>
              <w:numPr>
                <w:ilvl w:val="0"/>
                <w:numId w:val="0"/>
              </w:numPr>
              <w:ind w:leftChars="0"/>
              <w:rPr>
                <w:rFonts w:hint="default"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(5)</w:t>
            </w:r>
            <w:r>
              <w:rPr>
                <w:rFonts w:hint="default" w:ascii="Times New Roman" w:hAnsi="Times New Roman" w:cs="Times New Roman"/>
                <w:sz w:val="24"/>
                <w:szCs w:val="24"/>
                <w:vertAlign w:val="baseline"/>
                <w:lang w:val="en-US" w:eastAsia="zh-CN"/>
              </w:rPr>
              <w:t>After-sale service is reassuring</w:t>
            </w: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bookmarkStart w:id="4" w:name="OLE_LINK2"/>
            <w:r>
              <w:rPr>
                <w:rFonts w:hint="eastAsia" w:ascii="Times New Roman" w:hAnsi="Times New Roman" w:cs="Times New Roman"/>
                <w:sz w:val="24"/>
                <w:szCs w:val="24"/>
                <w:vertAlign w:val="baseline"/>
                <w:lang w:val="en-US" w:eastAsia="zh-CN"/>
              </w:rPr>
              <w:t>Previous research</w:t>
            </w:r>
            <w:bookmarkEnd w:id="4"/>
            <w:r>
              <w:rPr>
                <w:rFonts w:hint="eastAsia" w:ascii="Times New Roman" w:hAnsi="Times New Roman" w:cs="Times New Roman"/>
                <w:sz w:val="24"/>
                <w:szCs w:val="24"/>
                <w:vertAlign w:val="baseline"/>
                <w:lang w:val="en-US" w:eastAsia="zh-CN"/>
              </w:rPr>
              <w:t xml:space="preserve"> (Li et al, 2020)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Previous research (Li et al, 2020)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(Ranganathan and Ganaparty ,2002; Koufaris and Hampton Sosa, 2004)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zeeithaml 1988; Dong and Yang, 2008)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(Koufarisand Hampton-Sosa，2004;Ranganathan and Ganaparty,2002)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Q15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The biggest advantage of O2O (online and offline) platforms compared with other e-commerce platforms is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Online and offline dual channel shopping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Reduces the need to operate stores in expensive retail areas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Previous research (Harrington,2000; Gan et al, 2011)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Previous research (Harrington,2000; Gan et al, 2011)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Q16. </w:t>
            </w:r>
            <w:r>
              <w:rPr>
                <w:rFonts w:hint="eastAsia" w:ascii="Times New Roman" w:hAnsi="Times New Roman" w:cs="Times New Roman"/>
                <w:sz w:val="24"/>
                <w:szCs w:val="24"/>
                <w:lang w:val="en-US" w:eastAsia="zh-CN"/>
              </w:rPr>
              <w:t xml:space="preserve"> State to what extent you agree with the following statements.</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The freshness of </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produce affects online </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buying</w:t>
            </w:r>
          </w:p>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Products (e.g., fruits and vegetables)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damaged during transportation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can be purchased online</w:t>
            </w:r>
          </w:p>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bookmarkStart w:id="5" w:name="OLE_LINK5"/>
            <w:r>
              <w:rPr>
                <w:rFonts w:hint="eastAsia" w:ascii="Times New Roman" w:hAnsi="Times New Roman" w:cs="Times New Roman"/>
                <w:sz w:val="24"/>
                <w:szCs w:val="24"/>
                <w:lang w:val="en-US" w:eastAsia="zh-CN"/>
              </w:rPr>
              <w:t xml:space="preserve">Cold chain conditions for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agricultural products affect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online purchases</w:t>
            </w:r>
          </w:p>
          <w:bookmarkEnd w:id="5"/>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tc>
        <w:tc>
          <w:tcPr>
            <w:tcW w:w="426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This question contains two factors about the freshness of agriculture product affects online purchase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Previous research (</w:t>
            </w:r>
            <w:r>
              <w:rPr>
                <w:rFonts w:hint="eastAsia" w:ascii="Times New Roman" w:hAnsi="Times New Roman" w:cs="Times New Roman"/>
                <w:b w:val="0"/>
                <w:bCs w:val="0"/>
                <w:sz w:val="24"/>
                <w:szCs w:val="24"/>
                <w:lang w:val="en-US" w:eastAsia="zh-CN"/>
              </w:rPr>
              <w:t>Ding and Wang, 2020;Xiao, 2020; Jiang and Wang, 2012; Malijia,2005; Ana-Osvald,2008)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Previous research (</w:t>
            </w:r>
            <w:r>
              <w:rPr>
                <w:rFonts w:hint="eastAsia" w:ascii="Times New Roman" w:hAnsi="Times New Roman" w:cs="Times New Roman"/>
                <w:sz w:val="24"/>
                <w:szCs w:val="24"/>
                <w:lang w:val="en-US" w:eastAsia="zh-CN"/>
              </w:rPr>
              <w:t xml:space="preserve">Li Zhao&amp;Bing, 2019; </w:t>
            </w:r>
            <w:r>
              <w:rPr>
                <w:rFonts w:hint="eastAsia" w:ascii="Times New Roman" w:hAnsi="Times New Roman" w:cs="Times New Roman"/>
                <w:b w:val="0"/>
                <w:bCs w:val="0"/>
                <w:sz w:val="24"/>
                <w:szCs w:val="24"/>
                <w:lang w:val="en-US" w:eastAsia="zh-CN"/>
              </w:rPr>
              <w:t>Li et al, 2020)</w:t>
            </w:r>
          </w:p>
        </w:tc>
      </w:tr>
    </w:tbl>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val="0"/>
          <w:sz w:val="24"/>
          <w:szCs w:val="24"/>
          <w:lang w:val="en-US" w:eastAsia="zh-CN"/>
        </w:rPr>
      </w:pPr>
      <w:bookmarkStart w:id="6" w:name="_Toc31281"/>
      <w:r>
        <w:rPr>
          <w:rFonts w:hint="default" w:ascii="Times New Roman" w:hAnsi="Times New Roman" w:cs="Times New Roman"/>
          <w:b/>
          <w:bCs w:val="0"/>
          <w:sz w:val="24"/>
          <w:szCs w:val="24"/>
          <w:lang w:val="en-US" w:eastAsia="zh-CN"/>
        </w:rPr>
        <w:t xml:space="preserve">3.4 </w:t>
      </w:r>
      <w:r>
        <w:rPr>
          <w:rFonts w:hint="eastAsia" w:ascii="Times New Roman" w:hAnsi="Times New Roman" w:cs="Times New Roman"/>
          <w:b/>
          <w:bCs w:val="0"/>
          <w:sz w:val="24"/>
          <w:szCs w:val="24"/>
          <w:lang w:val="en-US" w:eastAsia="zh-CN"/>
        </w:rPr>
        <w:t xml:space="preserve">Data </w:t>
      </w:r>
      <w:r>
        <w:rPr>
          <w:rFonts w:hint="default" w:ascii="Times New Roman" w:hAnsi="Times New Roman" w:cs="Times New Roman"/>
          <w:b/>
          <w:bCs w:val="0"/>
          <w:sz w:val="24"/>
          <w:szCs w:val="24"/>
          <w:lang w:val="en-US" w:eastAsia="zh-CN"/>
        </w:rPr>
        <w:t>Analysis</w:t>
      </w:r>
      <w:bookmarkEnd w:id="6"/>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will be analyzed using Social Science Statistical Software Package (SPSS).Demographic information will be analyzed and then further statistical analysis (Chi-square test and Man Whitney U test) will be performed to uncover important findings.Likert scale questions allow easy coding of values to show patterns in responses (Bowling, 2005)</w:t>
      </w:r>
      <w:bookmarkStart w:id="7" w:name="_Toc2052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val="0"/>
          <w:sz w:val="24"/>
          <w:szCs w:val="24"/>
          <w:lang w:val="en-US" w:eastAsia="zh-CN"/>
        </w:rPr>
      </w:pPr>
      <w:r>
        <w:rPr>
          <w:rFonts w:hint="default" w:ascii="Times New Roman" w:hAnsi="Times New Roman" w:cs="Times New Roman"/>
          <w:b/>
          <w:bCs w:val="0"/>
          <w:sz w:val="24"/>
          <w:szCs w:val="24"/>
          <w:lang w:val="en-US" w:eastAsia="zh-CN"/>
        </w:rPr>
        <w:t>3.</w:t>
      </w:r>
      <w:r>
        <w:rPr>
          <w:rFonts w:hint="eastAsia" w:ascii="Times New Roman" w:hAnsi="Times New Roman" w:cs="Times New Roman"/>
          <w:b/>
          <w:bCs w:val="0"/>
          <w:sz w:val="24"/>
          <w:szCs w:val="24"/>
          <w:lang w:val="en-US" w:eastAsia="zh-CN"/>
        </w:rPr>
        <w:t>5</w:t>
      </w:r>
      <w:r>
        <w:rPr>
          <w:rFonts w:hint="default" w:ascii="Times New Roman" w:hAnsi="Times New Roman" w:cs="Times New Roman"/>
          <w:b/>
          <w:bCs w:val="0"/>
          <w:sz w:val="24"/>
          <w:szCs w:val="24"/>
          <w:lang w:val="en-US" w:eastAsia="zh-CN"/>
        </w:rPr>
        <w:t xml:space="preserve"> Sample</w:t>
      </w:r>
      <w:bookmarkEnd w:id="7"/>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val="0"/>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b w:val="0"/>
          <w:bCs/>
          <w:sz w:val="24"/>
          <w:szCs w:val="24"/>
          <w:lang w:val="en-US" w:eastAsia="zh-CN"/>
        </w:rPr>
        <w:t xml:space="preserve">Because the whole population is </w:t>
      </w:r>
      <w:r>
        <w:rPr>
          <w:rFonts w:hint="eastAsia" w:ascii="Times New Roman" w:hAnsi="Times New Roman" w:cs="Times New Roman"/>
          <w:b w:val="0"/>
          <w:bCs/>
          <w:sz w:val="24"/>
          <w:szCs w:val="24"/>
          <w:lang w:val="en-US" w:eastAsia="zh-CN"/>
        </w:rPr>
        <w:t xml:space="preserve">so </w:t>
      </w:r>
      <w:r>
        <w:rPr>
          <w:rFonts w:hint="default" w:ascii="Times New Roman" w:hAnsi="Times New Roman" w:cs="Times New Roman"/>
          <w:b w:val="0"/>
          <w:bCs/>
          <w:sz w:val="24"/>
          <w:szCs w:val="24"/>
          <w:lang w:val="en-US" w:eastAsia="zh-CN"/>
        </w:rPr>
        <w:t>large t</w:t>
      </w:r>
      <w:r>
        <w:rPr>
          <w:rFonts w:hint="eastAsia" w:ascii="Times New Roman" w:hAnsi="Times New Roman" w:cs="Times New Roman"/>
          <w:b w:val="0"/>
          <w:bCs/>
          <w:sz w:val="24"/>
          <w:szCs w:val="24"/>
          <w:lang w:val="en-US" w:eastAsia="zh-CN"/>
        </w:rPr>
        <w:t>hat we can</w:t>
      </w:r>
      <w:r>
        <w:rPr>
          <w:rFonts w:hint="default" w:ascii="Times New Roman" w:hAnsi="Times New Roman" w:cs="Times New Roman"/>
          <w:b w:val="0"/>
          <w:bCs/>
          <w:sz w:val="24"/>
          <w:szCs w:val="24"/>
          <w:lang w:val="en-US" w:eastAsia="zh-CN"/>
        </w:rPr>
        <w:t>’</w:t>
      </w:r>
      <w:r>
        <w:rPr>
          <w:rFonts w:hint="eastAsia" w:ascii="Times New Roman" w:hAnsi="Times New Roman" w:cs="Times New Roman"/>
          <w:b w:val="0"/>
          <w:bCs/>
          <w:sz w:val="24"/>
          <w:szCs w:val="24"/>
          <w:lang w:val="en-US" w:eastAsia="zh-CN"/>
        </w:rPr>
        <w:t>t</w:t>
      </w:r>
      <w:r>
        <w:rPr>
          <w:rFonts w:hint="default" w:ascii="Times New Roman" w:hAnsi="Times New Roman" w:cs="Times New Roman"/>
          <w:b w:val="0"/>
          <w:bCs/>
          <w:sz w:val="24"/>
          <w:szCs w:val="24"/>
          <w:lang w:val="en-US" w:eastAsia="zh-CN"/>
        </w:rPr>
        <w:t xml:space="preserve"> carry out, so to select a small sample, the sample must be able to represent a wide range of people, in order to improve the reliability and validity of the survey results.</w:t>
      </w:r>
      <w:r>
        <w:rPr>
          <w:rFonts w:hint="eastAsia" w:ascii="Times New Roman" w:hAnsi="Times New Roman" w:cs="Times New Roman"/>
          <w:sz w:val="24"/>
          <w:szCs w:val="24"/>
          <w:lang w:val="en-US" w:eastAsia="zh-CN"/>
        </w:rPr>
        <w:t xml:space="preserve"> The study's target population is the general population. For the sample to be valid and reliable, a minimum sample size of 150 respondents is required .Pearson and Mundfrom (2010) proposed that the minimum sample required for statistical analysis is 100 responses, but 200 is more appropriate. There were 157 respondents in this study.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reliability of the data can be seen in consistent results.The validity of data can be seen when it is collected accurately</w:t>
      </w:r>
      <w:r>
        <w:rPr>
          <w:rFonts w:hint="eastAsia" w:ascii="Times New Roman" w:hAnsi="Times New Roman" w:cs="Times New Roman"/>
          <w:sz w:val="24"/>
          <w:szCs w:val="24"/>
          <w:lang w:val="en-US" w:eastAsia="zh-CN"/>
        </w:rPr>
        <w:t>(Saunders et al)</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Reliability and validity are essential in research, and without these data, our results would be meaningless</w:t>
      </w:r>
      <w:r>
        <w:rPr>
          <w:rFonts w:hint="eastAsia"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3.6 Reliability and Validity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Questionnaire is regarded as an effective and reliable method of data collection;</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sz w:val="24"/>
          <w:szCs w:val="24"/>
          <w:lang w:val="en-US" w:eastAsia="zh-CN"/>
        </w:rPr>
      </w:pPr>
      <w:r>
        <w:rPr>
          <w:rFonts w:hint="default" w:ascii="Times New Roman" w:hAnsi="Times New Roman" w:cs="Times New Roman"/>
          <w:b w:val="0"/>
          <w:bCs/>
          <w:sz w:val="24"/>
          <w:szCs w:val="24"/>
          <w:lang w:val="en-US" w:eastAsia="zh-CN"/>
        </w:rPr>
        <w:t>They provided a large amount of data and outlined the public opinion (Akinci&amp;Saunders, 2015).</w:t>
      </w:r>
      <w:bookmarkStart w:id="8" w:name="_Toc30442"/>
      <w:r>
        <w:rPr>
          <w:rFonts w:hint="default" w:ascii="Times New Roman" w:hAnsi="Times New Roman" w:cs="Times New Roman"/>
          <w:b w:val="0"/>
          <w:bCs/>
          <w:sz w:val="24"/>
          <w:szCs w:val="24"/>
          <w:lang w:val="en-US" w:eastAsia="zh-CN"/>
        </w:rPr>
        <w:t>Questionnaires investigating sensitive social issues are influenced by the society's desire for answers.</w:t>
      </w:r>
      <w:r>
        <w:rPr>
          <w:rFonts w:hint="eastAsia" w:ascii="Times New Roman" w:hAnsi="Times New Roman" w:cs="Times New Roman"/>
          <w:b w:val="0"/>
          <w:bCs/>
          <w:sz w:val="24"/>
          <w:szCs w:val="24"/>
          <w:lang w:val="en-US" w:eastAsia="zh-CN"/>
        </w:rPr>
        <w:t xml:space="preserve"> In order t</w:t>
      </w:r>
      <w:r>
        <w:rPr>
          <w:rFonts w:hint="default" w:ascii="Times New Roman" w:hAnsi="Times New Roman" w:cs="Times New Roman"/>
          <w:b w:val="0"/>
          <w:bCs/>
          <w:sz w:val="24"/>
          <w:szCs w:val="24"/>
          <w:lang w:val="en-US" w:eastAsia="zh-CN"/>
        </w:rPr>
        <w:t>o avoid objectionable responses, the questionnaire emphasizes confidentiality and anonymity to encourage honest opinions</w:t>
      </w:r>
      <w:r>
        <w:rPr>
          <w:rFonts w:hint="eastAsia" w:ascii="Times New Roman" w:hAnsi="Times New Roman" w:cs="Times New Roman"/>
          <w:b w:val="0"/>
          <w:bCs/>
          <w:sz w:val="24"/>
          <w:szCs w:val="24"/>
          <w:lang w:val="en-US" w:eastAsia="zh-CN"/>
        </w:rPr>
        <w:t>.</w:t>
      </w:r>
    </w:p>
    <w:p>
      <w:pPr>
        <w:pStyle w:val="2"/>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val="0"/>
          <w:sz w:val="24"/>
          <w:szCs w:val="24"/>
          <w:lang w:val="en-US" w:eastAsia="zh-CN"/>
        </w:rPr>
      </w:pPr>
      <w:r>
        <w:rPr>
          <w:rFonts w:hint="default" w:ascii="Times New Roman" w:hAnsi="Times New Roman" w:cs="Times New Roman"/>
          <w:b/>
          <w:bCs w:val="0"/>
          <w:sz w:val="24"/>
          <w:szCs w:val="24"/>
          <w:lang w:val="en-US" w:eastAsia="zh-CN"/>
        </w:rPr>
        <w:t>3.7 Conclusion</w:t>
      </w:r>
      <w:bookmarkEnd w:id="8"/>
      <w:bookmarkStart w:id="9" w:name="OLE_LINK3"/>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chapter determines the research methods suitable for this study. It proves the explanatory quantitative method chosen by the researcher, using a sample of the general public in the form of a questionnaire. The following chapters will analyze and discuss the collected data.</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4.0 Data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4.1 Introduction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chapter will introduce and analyze the collected data. A total of 175 respondents were collected in this survey to investigate the public's views on the promotion of agricultural products on O2O platforms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4.2 Data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SPSS26.0 software package was used for statistical analysis of the data, and the descriptive statistics were completed by cross-tabulation.</w:t>
      </w:r>
      <w:r>
        <w:rPr>
          <w:rFonts w:hint="default" w:ascii="Times New Roman" w:hAnsi="Times New Roman" w:cs="Times New Roman"/>
          <w:sz w:val="24"/>
          <w:szCs w:val="24"/>
          <w:lang w:val="en-US" w:eastAsia="zh-CN"/>
        </w:rPr>
        <w:t>The differences between two independent variables, sex and age, and participants' responses were further analyzed using the chi-square correlation test and the Mann-Whitney U test.The analysis of the original SPSS is shown in the appendix. The questionnaire uses a Likert scale, so the answers must be coded.The code is 1 for males, 2 for females, 1 for those 40 and under</w:t>
      </w:r>
      <w:r>
        <w:rPr>
          <w:rFonts w:hint="eastAsia" w:ascii="Times New Roman" w:hAnsi="Times New Roman" w:cs="Times New Roman"/>
          <w:sz w:val="24"/>
          <w:szCs w:val="24"/>
          <w:lang w:val="en-US" w:eastAsia="zh-CN"/>
        </w:rPr>
        <w:t xml:space="preserve"> 40</w:t>
      </w:r>
      <w:r>
        <w:rPr>
          <w:rFonts w:hint="default" w:ascii="Times New Roman" w:hAnsi="Times New Roman" w:cs="Times New Roman"/>
          <w:sz w:val="24"/>
          <w:szCs w:val="24"/>
          <w:lang w:val="en-US" w:eastAsia="zh-CN"/>
        </w:rPr>
        <w:t>, and 2 for those over 40.</w:t>
      </w:r>
      <w:r>
        <w:rPr>
          <w:rFonts w:hint="eastAsia" w:ascii="Times New Roman" w:hAnsi="Times New Roman" w:cs="Times New Roman"/>
          <w:sz w:val="24"/>
          <w:szCs w:val="24"/>
          <w:lang w:val="en-US" w:eastAsia="zh-CN"/>
        </w:rPr>
        <w:t xml:space="preserve"> Similarly,Similarly, the answers to the Ricker scale are coded as strongly disagree (1), disagree (2), disagree and disagree (3), agree (4), and strongly agree (5) Similarly, not very satisfied(1), unsatisfied(2), general(3), satisfied(4), very satisfied(5); a very low level(1), low level(2), general(3), high level(4), very high level(5).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4.3 Method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researchers classified the participants by sex and age to see if there were significant differences in their views, with participants being 40 or younger and older.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4.4 Descriptive statistics of demographic characteristics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study collect 157 respondents. Among them 75 are men and 82 are women, 77 people over 40 and 80 people over 40, 22.9% of participants have a bachelor’s degree in education. Participants come from different employment backgrounds, 13.3% come from self-employed, 32.0% come from clerk, 14.7% come from civil servant/Public Institution/Government, 13.3% come from ordinary workers, 26.7% come from others.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4.5 Chi-Square Tests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4.5.1 Chi-Square tests for Gender Association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Two chi-square </w:t>
      </w:r>
      <w:r>
        <w:rPr>
          <w:rFonts w:hint="eastAsia" w:ascii="Times New Roman" w:hAnsi="Times New Roman" w:cs="Times New Roman"/>
          <w:sz w:val="24"/>
          <w:szCs w:val="24"/>
          <w:lang w:val="en-US" w:eastAsia="zh-CN"/>
        </w:rPr>
        <w:t>tests</w:t>
      </w:r>
      <w:r>
        <w:rPr>
          <w:rFonts w:hint="default" w:ascii="Times New Roman" w:hAnsi="Times New Roman" w:cs="Times New Roman"/>
          <w:sz w:val="24"/>
          <w:szCs w:val="24"/>
          <w:lang w:val="en-US" w:eastAsia="zh-CN"/>
        </w:rPr>
        <w:t xml:space="preserve"> were performed to test whether the results showed a statistical association between m</w:t>
      </w:r>
      <w:r>
        <w:rPr>
          <w:rFonts w:hint="eastAsia" w:ascii="Times New Roman" w:hAnsi="Times New Roman" w:cs="Times New Roman"/>
          <w:sz w:val="24"/>
          <w:szCs w:val="24"/>
          <w:lang w:val="en-US" w:eastAsia="zh-CN"/>
        </w:rPr>
        <w:t>ales</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females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Because of</w:t>
      </w:r>
      <w:r>
        <w:rPr>
          <w:rFonts w:hint="default" w:ascii="Times New Roman" w:hAnsi="Times New Roman" w:cs="Times New Roman"/>
          <w:sz w:val="24"/>
          <w:szCs w:val="24"/>
          <w:lang w:val="en-US" w:eastAsia="zh-CN"/>
        </w:rPr>
        <w:t xml:space="preserve"> the nature of the chi-square </w:t>
      </w:r>
      <w:r>
        <w:rPr>
          <w:rFonts w:hint="eastAsia" w:ascii="Times New Roman" w:hAnsi="Times New Roman" w:cs="Times New Roman"/>
          <w:sz w:val="24"/>
          <w:szCs w:val="24"/>
          <w:lang w:val="en-US" w:eastAsia="zh-CN"/>
        </w:rPr>
        <w:t>test</w:t>
      </w:r>
      <w:r>
        <w:rPr>
          <w:rFonts w:hint="default" w:ascii="Times New Roman" w:hAnsi="Times New Roman" w:cs="Times New Roman"/>
          <w:sz w:val="24"/>
          <w:szCs w:val="24"/>
          <w:lang w:val="en-US" w:eastAsia="zh-CN"/>
        </w:rPr>
        <w:t xml:space="preserve">, this is done only for questions that involve nominal data (i.e., questions that are not answered using the Likert scale).Therefore, the chi-square </w:t>
      </w:r>
      <w:r>
        <w:rPr>
          <w:rFonts w:hint="eastAsia" w:ascii="Times New Roman" w:hAnsi="Times New Roman" w:cs="Times New Roman"/>
          <w:sz w:val="24"/>
          <w:szCs w:val="24"/>
          <w:lang w:val="en-US" w:eastAsia="zh-CN"/>
        </w:rPr>
        <w:t>test</w:t>
      </w:r>
      <w:r>
        <w:rPr>
          <w:rFonts w:hint="default" w:ascii="Times New Roman" w:hAnsi="Times New Roman" w:cs="Times New Roman"/>
          <w:sz w:val="24"/>
          <w:szCs w:val="24"/>
          <w:lang w:val="en-US" w:eastAsia="zh-CN"/>
        </w:rPr>
        <w:t xml:space="preserve"> was performed on questions 7 and 15.For easy reference, please refer to Appendix </w:t>
      </w:r>
      <w:r>
        <w:rPr>
          <w:rFonts w:hint="eastAsia" w:ascii="Times New Roman" w:hAnsi="Times New Roman" w:cs="Times New Roman"/>
          <w:sz w:val="24"/>
          <w:szCs w:val="24"/>
          <w:lang w:val="en-US" w:eastAsia="zh-CN"/>
        </w:rPr>
        <w:t>6.2.1</w:t>
      </w:r>
      <w:r>
        <w:rPr>
          <w:rFonts w:hint="default" w:ascii="Times New Roman" w:hAnsi="Times New Roman" w:cs="Times New Roman"/>
          <w:sz w:val="24"/>
          <w:szCs w:val="24"/>
          <w:lang w:val="en-US" w:eastAsia="zh-CN"/>
        </w:rPr>
        <w:t xml:space="preserve"> for a list of questions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shown in Figure 4.1 or 4.2 below, the associations between age and the responses to questions 7 and 5 was not significant.</w:t>
      </w:r>
    </w:p>
    <w:p>
      <w:pPr>
        <w:keepNext w:val="0"/>
        <w:keepLines w:val="0"/>
        <w:pageBreakBefore w:val="0"/>
        <w:widowControl w:val="0"/>
        <w:kinsoku/>
        <w:wordWrap/>
        <w:overflowPunct/>
        <w:topLinePunct w:val="0"/>
        <w:autoSpaceDE/>
        <w:autoSpaceDN/>
        <w:bidi w:val="0"/>
        <w:adjustRightInd/>
        <w:snapToGrid/>
        <w:spacing w:line="360" w:lineRule="auto"/>
        <w:textAlignment w:val="auto"/>
      </w:pPr>
      <w:r>
        <w:drawing>
          <wp:inline distT="0" distB="0" distL="114300" distR="114300">
            <wp:extent cx="4805680" cy="2667000"/>
            <wp:effectExtent l="6350" t="6350" r="13970" b="44450"/>
            <wp:docPr id="20" name="图表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iCs/>
          <w:sz w:val="24"/>
          <w:szCs w:val="24"/>
          <w:lang w:val="en-US" w:eastAsia="zh-CN"/>
        </w:rPr>
      </w:pPr>
      <w:r>
        <w:rPr>
          <w:rFonts w:hint="default" w:ascii="Times New Roman" w:hAnsi="Times New Roman" w:cs="Times New Roman"/>
          <w:i/>
          <w:iCs/>
          <w:sz w:val="24"/>
          <w:szCs w:val="24"/>
          <w:lang w:val="en-US" w:eastAsia="zh-CN"/>
        </w:rPr>
        <w:t>Figure 4.1 Showing a</w:t>
      </w:r>
      <w:r>
        <w:rPr>
          <w:rFonts w:hint="eastAsia" w:ascii="Times New Roman" w:hAnsi="Times New Roman" w:cs="Times New Roman"/>
          <w:i/>
          <w:iCs/>
          <w:sz w:val="24"/>
          <w:szCs w:val="24"/>
          <w:lang w:val="en-US" w:eastAsia="zh-CN"/>
        </w:rPr>
        <w:t xml:space="preserve"> non-significant association between gender and response to,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What is your preferred way of shopping ?</w:t>
      </w:r>
      <w:r>
        <w:rPr>
          <w:rFonts w:hint="default" w:ascii="Times New Roman" w:hAnsi="Times New Roman" w:cs="Times New Roman"/>
          <w:i/>
          <w:iCs/>
          <w:sz w:val="24"/>
          <w:szCs w:val="24"/>
          <w:lang w:val="en-US" w:eastAsia="zh-CN"/>
        </w:rPr>
        <w:t>”</w:t>
      </w:r>
      <w:r>
        <w:rPr>
          <w:rFonts w:hint="eastAsia" w:ascii="Times New Roman" w:hAnsi="Times New Roman" w:cs="Times New Roman"/>
          <w:i w:val="0"/>
          <w:iCs w:val="0"/>
          <w:sz w:val="24"/>
          <w:szCs w:val="24"/>
          <w:lang w:val="en-US" w:eastAsia="zh-CN"/>
        </w:rPr>
        <w:t xml:space="preserve"> ( p=0.624) in question 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drawing>
          <wp:inline distT="0" distB="0" distL="114300" distR="114300">
            <wp:extent cx="5269230" cy="2941955"/>
            <wp:effectExtent l="6350" t="6350" r="7620" b="36195"/>
            <wp:docPr id="27" name="图表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iCs/>
          <w:sz w:val="24"/>
          <w:szCs w:val="24"/>
          <w:lang w:val="en-US" w:eastAsia="zh-CN"/>
        </w:rPr>
      </w:pPr>
      <w:r>
        <w:rPr>
          <w:rFonts w:hint="default" w:ascii="Times New Roman" w:hAnsi="Times New Roman" w:cs="Times New Roman"/>
          <w:i/>
          <w:iCs/>
          <w:sz w:val="24"/>
          <w:szCs w:val="24"/>
          <w:lang w:val="en-US" w:eastAsia="zh-CN"/>
        </w:rPr>
        <w:t>Figure 4.</w:t>
      </w:r>
      <w:r>
        <w:rPr>
          <w:rFonts w:hint="eastAsia" w:ascii="Times New Roman" w:hAnsi="Times New Roman" w:cs="Times New Roman"/>
          <w:i/>
          <w:iCs/>
          <w:sz w:val="24"/>
          <w:szCs w:val="24"/>
          <w:lang w:val="en-US" w:eastAsia="zh-CN"/>
        </w:rPr>
        <w:t>2</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 xml:space="preserve">A non-significant association between gender and response was shown,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What is the biggest advantage of O2O platforms compared with other e-commerce platform ?</w:t>
      </w:r>
      <w:r>
        <w:rPr>
          <w:rFonts w:hint="default" w:ascii="Times New Roman" w:hAnsi="Times New Roman" w:cs="Times New Roman"/>
          <w:i/>
          <w:iCs/>
          <w:sz w:val="24"/>
          <w:szCs w:val="24"/>
          <w:lang w:val="en-US" w:eastAsia="zh-CN"/>
        </w:rPr>
        <w:t>”</w:t>
      </w:r>
      <w:r>
        <w:rPr>
          <w:rFonts w:hint="eastAsia" w:ascii="Times New Roman" w:hAnsi="Times New Roman" w:cs="Times New Roman"/>
          <w:i w:val="0"/>
          <w:iCs w:val="0"/>
          <w:sz w:val="24"/>
          <w:szCs w:val="24"/>
          <w:lang w:val="en-US" w:eastAsia="zh-CN"/>
        </w:rPr>
        <w:t xml:space="preserve"> ( p=0.815) in Q 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Table 4.1 The remaining non-significant associations between gender and responses to question number 7,15 can be shown.( see appendix 6.2.2 for figures)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Table 4.1 : Non-significant associations between gender and responses to questions 7, 15 can be shown below;</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52"/>
        <w:gridCol w:w="4300"/>
        <w:gridCol w:w="22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Question number </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Question</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Significant ( 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7</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What is your preferred way of shopping ?</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0.624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15</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What is the biggest advantage of O2O platforms compared with other e-commerce platforms ?</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0.815</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4.5.2 Chi-Square tests for Age Association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Further t</w:t>
      </w:r>
      <w:r>
        <w:rPr>
          <w:rFonts w:hint="default" w:ascii="Times New Roman" w:hAnsi="Times New Roman" w:cs="Times New Roman"/>
          <w:sz w:val="24"/>
          <w:szCs w:val="24"/>
          <w:lang w:val="en-US" w:eastAsia="zh-CN"/>
        </w:rPr>
        <w:t xml:space="preserve">wo chi-square </w:t>
      </w:r>
      <w:r>
        <w:rPr>
          <w:rFonts w:hint="eastAsia" w:ascii="Times New Roman" w:hAnsi="Times New Roman" w:cs="Times New Roman"/>
          <w:sz w:val="24"/>
          <w:szCs w:val="24"/>
          <w:lang w:val="en-US" w:eastAsia="zh-CN"/>
        </w:rPr>
        <w:t>tests</w:t>
      </w:r>
      <w:r>
        <w:rPr>
          <w:rFonts w:hint="default" w:ascii="Times New Roman" w:hAnsi="Times New Roman" w:cs="Times New Roman"/>
          <w:sz w:val="24"/>
          <w:szCs w:val="24"/>
          <w:lang w:val="en-US" w:eastAsia="zh-CN"/>
        </w:rPr>
        <w:t xml:space="preserve"> were performed to test whether the results showed a statistical association between </w:t>
      </w:r>
      <w:r>
        <w:rPr>
          <w:rFonts w:hint="eastAsia" w:ascii="Times New Roman" w:hAnsi="Times New Roman" w:cs="Times New Roman"/>
          <w:sz w:val="24"/>
          <w:szCs w:val="24"/>
          <w:lang w:val="en-US" w:eastAsia="zh-CN"/>
        </w:rPr>
        <w:t>40</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and under 40s.</w:t>
      </w:r>
      <w:r>
        <w:rPr>
          <w:rFonts w:hint="default" w:ascii="Times New Roman" w:hAnsi="Times New Roman" w:cs="Times New Roman"/>
          <w:sz w:val="24"/>
          <w:szCs w:val="24"/>
          <w:lang w:val="en-US" w:eastAsia="zh-CN"/>
        </w:rPr>
        <w:t xml:space="preserve">and </w:t>
      </w:r>
      <w:r>
        <w:rPr>
          <w:rFonts w:hint="eastAsia" w:ascii="Times New Roman" w:hAnsi="Times New Roman" w:cs="Times New Roman"/>
          <w:sz w:val="24"/>
          <w:szCs w:val="24"/>
          <w:lang w:val="en-US" w:eastAsia="zh-CN"/>
        </w:rPr>
        <w:t xml:space="preserve">over 40. Because of </w:t>
      </w:r>
      <w:r>
        <w:rPr>
          <w:rFonts w:hint="default" w:ascii="Times New Roman" w:hAnsi="Times New Roman" w:cs="Times New Roman"/>
          <w:sz w:val="24"/>
          <w:szCs w:val="24"/>
          <w:lang w:val="en-US" w:eastAsia="zh-CN"/>
        </w:rPr>
        <w:t xml:space="preserve">the nature of the chi-square </w:t>
      </w:r>
      <w:r>
        <w:rPr>
          <w:rFonts w:hint="eastAsia" w:ascii="Times New Roman" w:hAnsi="Times New Roman" w:cs="Times New Roman"/>
          <w:sz w:val="24"/>
          <w:szCs w:val="24"/>
          <w:lang w:val="en-US" w:eastAsia="zh-CN"/>
        </w:rPr>
        <w:t>tests</w:t>
      </w:r>
      <w:r>
        <w:rPr>
          <w:rFonts w:hint="default" w:ascii="Times New Roman" w:hAnsi="Times New Roman" w:cs="Times New Roman"/>
          <w:sz w:val="24"/>
          <w:szCs w:val="24"/>
          <w:lang w:val="en-US" w:eastAsia="zh-CN"/>
        </w:rPr>
        <w:t>, this is done only for questions that involve nominal data (i.e., questions that are not answered using the Likert scale).Therefore, the chi-square a</w:t>
      </w:r>
      <w:r>
        <w:rPr>
          <w:rFonts w:hint="eastAsia" w:ascii="Times New Roman" w:hAnsi="Times New Roman" w:cs="Times New Roman"/>
          <w:sz w:val="24"/>
          <w:szCs w:val="24"/>
          <w:lang w:val="en-US" w:eastAsia="zh-CN"/>
        </w:rPr>
        <w:t xml:space="preserve">tests </w:t>
      </w:r>
      <w:r>
        <w:rPr>
          <w:rFonts w:hint="default" w:ascii="Times New Roman" w:hAnsi="Times New Roman" w:cs="Times New Roman"/>
          <w:sz w:val="24"/>
          <w:szCs w:val="24"/>
          <w:lang w:val="en-US" w:eastAsia="zh-CN"/>
        </w:rPr>
        <w:t xml:space="preserve">was </w:t>
      </w:r>
      <w:r>
        <w:rPr>
          <w:rFonts w:hint="eastAsia" w:ascii="Times New Roman" w:hAnsi="Times New Roman" w:cs="Times New Roman"/>
          <w:sz w:val="24"/>
          <w:szCs w:val="24"/>
          <w:lang w:val="en-US" w:eastAsia="zh-CN"/>
        </w:rPr>
        <w:t>completed</w:t>
      </w:r>
      <w:r>
        <w:rPr>
          <w:rFonts w:hint="default" w:ascii="Times New Roman" w:hAnsi="Times New Roman" w:cs="Times New Roman"/>
          <w:sz w:val="24"/>
          <w:szCs w:val="24"/>
          <w:lang w:val="en-US" w:eastAsia="zh-CN"/>
        </w:rPr>
        <w:t xml:space="preserve"> on questions 7 and 15.For easy reference, please refer to Appendix </w:t>
      </w:r>
      <w:r>
        <w:rPr>
          <w:rFonts w:hint="eastAsia" w:ascii="Times New Roman" w:hAnsi="Times New Roman" w:cs="Times New Roman"/>
          <w:sz w:val="24"/>
          <w:szCs w:val="24"/>
          <w:lang w:val="en-US" w:eastAsia="zh-CN"/>
        </w:rPr>
        <w:t>6.2.2.</w:t>
      </w:r>
      <w:r>
        <w:rPr>
          <w:rFonts w:hint="default" w:ascii="Times New Roman" w:hAnsi="Times New Roman" w:cs="Times New Roman"/>
          <w:sz w:val="24"/>
          <w:szCs w:val="24"/>
          <w:lang w:val="en-US" w:eastAsia="zh-CN"/>
        </w:rPr>
        <w:t xml:space="preserve"> for a list of questions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results can be seen below in figure 4.3</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Show </w:t>
      </w:r>
      <w:r>
        <w:rPr>
          <w:rFonts w:hint="eastAsia" w:ascii="Times New Roman" w:hAnsi="Times New Roman" w:cs="Times New Roman"/>
          <w:i w:val="0"/>
          <w:iCs w:val="0"/>
          <w:sz w:val="24"/>
          <w:szCs w:val="24"/>
          <w:lang w:val="en-US" w:eastAsia="zh-CN"/>
        </w:rPr>
        <w:t xml:space="preserve">non-significant association between age and response to Q 7, in figure 4.4 </w:t>
      </w:r>
      <w:r>
        <w:rPr>
          <w:rFonts w:hint="default" w:ascii="Times New Roman" w:hAnsi="Times New Roman" w:cs="Times New Roman"/>
          <w:i w:val="0"/>
          <w:iCs w:val="0"/>
          <w:sz w:val="24"/>
          <w:szCs w:val="24"/>
          <w:lang w:val="en-US" w:eastAsia="zh-CN"/>
        </w:rPr>
        <w:t xml:space="preserve">Show </w:t>
      </w:r>
      <w:r>
        <w:rPr>
          <w:rFonts w:hint="eastAsia" w:ascii="Times New Roman" w:hAnsi="Times New Roman" w:cs="Times New Roman"/>
          <w:i w:val="0"/>
          <w:iCs w:val="0"/>
          <w:sz w:val="24"/>
          <w:szCs w:val="24"/>
          <w:lang w:val="en-US" w:eastAsia="zh-CN"/>
        </w:rPr>
        <w:t>significant association between age and response to Q15.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pPr>
      <w:r>
        <w:drawing>
          <wp:inline distT="0" distB="0" distL="114300" distR="114300">
            <wp:extent cx="5269865" cy="2896870"/>
            <wp:effectExtent l="6350" t="6350" r="6985" b="43180"/>
            <wp:docPr id="23" name="图表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iCs/>
          <w:sz w:val="24"/>
          <w:szCs w:val="24"/>
          <w:lang w:val="en-US" w:eastAsia="zh-CN"/>
        </w:rPr>
      </w:pPr>
      <w:r>
        <w:rPr>
          <w:rFonts w:hint="default" w:ascii="Times New Roman" w:hAnsi="Times New Roman" w:cs="Times New Roman"/>
          <w:i/>
          <w:iCs/>
          <w:sz w:val="24"/>
          <w:szCs w:val="24"/>
          <w:lang w:val="en-US" w:eastAsia="zh-CN"/>
        </w:rPr>
        <w:t>Figure 4.</w:t>
      </w:r>
      <w:r>
        <w:rPr>
          <w:rFonts w:hint="eastAsia" w:ascii="Times New Roman" w:hAnsi="Times New Roman" w:cs="Times New Roman"/>
          <w:i/>
          <w:iCs/>
          <w:sz w:val="24"/>
          <w:szCs w:val="24"/>
          <w:lang w:val="en-US" w:eastAsia="zh-CN"/>
        </w:rPr>
        <w:t>3</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 xml:space="preserve">A non-significant association between age and response can be shown to,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What is your preferred way of shopping ?</w:t>
      </w:r>
      <w:r>
        <w:rPr>
          <w:rFonts w:hint="default" w:ascii="Times New Roman" w:hAnsi="Times New Roman" w:cs="Times New Roman"/>
          <w:i/>
          <w:iCs/>
          <w:sz w:val="24"/>
          <w:szCs w:val="24"/>
          <w:lang w:val="en-US" w:eastAsia="zh-CN"/>
        </w:rPr>
        <w:t>”</w:t>
      </w:r>
      <w:r>
        <w:rPr>
          <w:rFonts w:hint="eastAsia" w:ascii="Times New Roman" w:hAnsi="Times New Roman" w:cs="Times New Roman"/>
          <w:i w:val="0"/>
          <w:iCs w:val="0"/>
          <w:sz w:val="24"/>
          <w:szCs w:val="24"/>
          <w:lang w:val="en-US" w:eastAsia="zh-CN"/>
        </w:rPr>
        <w:t xml:space="preserve"> ( p=0.323) in question 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pPr>
      <w:r>
        <w:drawing>
          <wp:inline distT="0" distB="0" distL="114300" distR="114300">
            <wp:extent cx="5271135" cy="3279140"/>
            <wp:effectExtent l="6350" t="6350" r="18415" b="41910"/>
            <wp:docPr id="24" name="图表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iCs/>
          <w:sz w:val="24"/>
          <w:szCs w:val="24"/>
          <w:lang w:val="en-US" w:eastAsia="zh-CN"/>
        </w:rPr>
        <w:t>Figure 4.</w:t>
      </w:r>
      <w:r>
        <w:rPr>
          <w:rFonts w:hint="eastAsia" w:ascii="Times New Roman" w:hAnsi="Times New Roman" w:cs="Times New Roman"/>
          <w:i/>
          <w:iCs/>
          <w:sz w:val="24"/>
          <w:szCs w:val="24"/>
          <w:lang w:val="en-US" w:eastAsia="zh-CN"/>
        </w:rPr>
        <w:t>4</w:t>
      </w:r>
      <w:r>
        <w:rPr>
          <w:rFonts w:hint="default" w:ascii="Times New Roman" w:hAnsi="Times New Roman" w:cs="Times New Roman"/>
          <w:i/>
          <w:iCs/>
          <w:sz w:val="24"/>
          <w:szCs w:val="24"/>
          <w:lang w:val="en-US" w:eastAsia="zh-CN"/>
        </w:rPr>
        <w:t xml:space="preserve"> </w:t>
      </w:r>
      <w:r>
        <w:rPr>
          <w:rFonts w:hint="eastAsia" w:ascii="Times New Roman" w:hAnsi="Times New Roman" w:cs="Times New Roman"/>
          <w:i/>
          <w:iCs/>
          <w:sz w:val="24"/>
          <w:szCs w:val="24"/>
          <w:lang w:val="en-US" w:eastAsia="zh-CN"/>
        </w:rPr>
        <w:t xml:space="preserve">A significant association between gender and response can be shown to,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What is the biggest advantage of O2O platforms compared with other e-commerce platform ?</w:t>
      </w:r>
      <w:r>
        <w:rPr>
          <w:rFonts w:hint="default" w:ascii="Times New Roman" w:hAnsi="Times New Roman" w:cs="Times New Roman"/>
          <w:i/>
          <w:iCs/>
          <w:sz w:val="24"/>
          <w:szCs w:val="24"/>
          <w:lang w:val="en-US" w:eastAsia="zh-CN"/>
        </w:rPr>
        <w:t>”</w:t>
      </w:r>
      <w:r>
        <w:rPr>
          <w:rFonts w:hint="eastAsia" w:ascii="Times New Roman" w:hAnsi="Times New Roman" w:cs="Times New Roman"/>
          <w:i w:val="0"/>
          <w:iCs w:val="0"/>
          <w:sz w:val="24"/>
          <w:szCs w:val="24"/>
          <w:lang w:val="en-US" w:eastAsia="zh-CN"/>
        </w:rPr>
        <w:t xml:space="preserve"> ( p=0.012) in Q 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Table 4.2 : showing non-significant associations between age and questions 7 and showing significant associations between age and questions 15</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52"/>
        <w:gridCol w:w="4300"/>
        <w:gridCol w:w="22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 xml:space="preserve">Question number </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Question</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Significant ( 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7</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What is your preferred way of shopping ?</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0.323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15</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What is the biggest advantage of O2O platforms compared with other e-commerce platforms ?</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0.012</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4.6 Mann-Whitney U Tests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4.6.1 Mann-Whitney U Tests for Gender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2</w:t>
      </w:r>
      <w:r>
        <w:rPr>
          <w:rFonts w:hint="eastAsia" w:ascii="Times New Roman" w:hAnsi="Times New Roman" w:cs="Times New Roman"/>
          <w:i w:val="0"/>
          <w:iCs w:val="0"/>
          <w:sz w:val="24"/>
          <w:szCs w:val="24"/>
          <w:lang w:val="en-US" w:eastAsia="zh-CN"/>
        </w:rPr>
        <w:t xml:space="preserve">2 </w:t>
      </w:r>
      <w:r>
        <w:rPr>
          <w:rFonts w:hint="default" w:ascii="Times New Roman" w:hAnsi="Times New Roman" w:cs="Times New Roman"/>
          <w:i w:val="0"/>
          <w:iCs w:val="0"/>
          <w:sz w:val="24"/>
          <w:szCs w:val="24"/>
          <w:lang w:val="en-US" w:eastAsia="zh-CN"/>
        </w:rPr>
        <w:t>Mann-Whitney U tests were performed to check whether there was a significant difference in response between m</w:t>
      </w:r>
      <w:r>
        <w:rPr>
          <w:rFonts w:hint="eastAsia" w:ascii="Times New Roman" w:hAnsi="Times New Roman" w:cs="Times New Roman"/>
          <w:i w:val="0"/>
          <w:iCs w:val="0"/>
          <w:sz w:val="24"/>
          <w:szCs w:val="24"/>
          <w:lang w:val="en-US" w:eastAsia="zh-CN"/>
        </w:rPr>
        <w:t>ale</w:t>
      </w:r>
      <w:r>
        <w:rPr>
          <w:rFonts w:hint="default" w:ascii="Times New Roman" w:hAnsi="Times New Roman" w:cs="Times New Roman"/>
          <w:i w:val="0"/>
          <w:iCs w:val="0"/>
          <w:sz w:val="24"/>
          <w:szCs w:val="24"/>
          <w:lang w:val="en-US" w:eastAsia="zh-CN"/>
        </w:rPr>
        <w:t xml:space="preserve"> and </w:t>
      </w:r>
      <w:r>
        <w:rPr>
          <w:rFonts w:hint="eastAsia" w:ascii="Times New Roman" w:hAnsi="Times New Roman" w:cs="Times New Roman"/>
          <w:i w:val="0"/>
          <w:iCs w:val="0"/>
          <w:sz w:val="24"/>
          <w:szCs w:val="24"/>
          <w:lang w:val="en-US" w:eastAsia="zh-CN"/>
        </w:rPr>
        <w:t>female</w:t>
      </w:r>
      <w:r>
        <w:rPr>
          <w:rFonts w:hint="default"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t>Because of</w:t>
      </w:r>
      <w:r>
        <w:rPr>
          <w:rFonts w:hint="default" w:ascii="Times New Roman" w:hAnsi="Times New Roman" w:cs="Times New Roman"/>
          <w:i w:val="0"/>
          <w:iCs w:val="0"/>
          <w:sz w:val="24"/>
          <w:szCs w:val="24"/>
          <w:lang w:val="en-US" w:eastAsia="zh-CN"/>
        </w:rPr>
        <w:t xml:space="preserve"> to the nature of the Mann-Whitney U test, this is done on all questions answered by the Likert scale. This includes questions 8, 9, 10, 11, 12, 13, 14, 16</w:t>
      </w:r>
      <w:r>
        <w:rPr>
          <w:rFonts w:hint="eastAsia" w:ascii="Times New Roman" w:hAnsi="Times New Roman" w:cs="Times New Roman"/>
          <w:i w:val="0"/>
          <w:iCs w:val="0"/>
          <w:sz w:val="24"/>
          <w:szCs w:val="24"/>
          <w:lang w:val="en-US" w:eastAsia="zh-CN"/>
        </w:rPr>
        <w:t>. ( see appendix 6.2.3 for figures).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Result can be seen </w:t>
      </w:r>
      <w:r>
        <w:rPr>
          <w:rFonts w:hint="eastAsia" w:ascii="Times New Roman" w:hAnsi="Times New Roman" w:cs="Times New Roman"/>
          <w:sz w:val="24"/>
          <w:szCs w:val="24"/>
          <w:lang w:val="en-US" w:eastAsia="zh-CN"/>
        </w:rPr>
        <w:t xml:space="preserve">below in table 4.3, table 4.3 shows the remaining non-significant differences between males and females in their responses </w:t>
      </w:r>
      <w:r>
        <w:rPr>
          <w:rFonts w:hint="default" w:ascii="Times New Roman" w:hAnsi="Times New Roman" w:cs="Times New Roman"/>
          <w:i w:val="0"/>
          <w:iCs w:val="0"/>
          <w:sz w:val="24"/>
          <w:szCs w:val="24"/>
          <w:lang w:val="en-US" w:eastAsia="zh-CN"/>
        </w:rPr>
        <w:t>8, 9, 10, 11, 12, 13, 14, 16</w:t>
      </w:r>
      <w:r>
        <w:rPr>
          <w:rFonts w:hint="eastAsia" w:ascii="Times New Roman" w:hAnsi="Times New Roman" w:cs="Times New Roman"/>
          <w:i w:val="0"/>
          <w:i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tbl>
      <w:tblPr>
        <w:tblStyle w:val="10"/>
        <w:tblW w:w="883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53"/>
        <w:gridCol w:w="4141"/>
        <w:gridCol w:w="1267"/>
        <w:gridCol w:w="1075"/>
        <w:gridCol w:w="12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Question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Number</w:t>
            </w:r>
          </w:p>
        </w:tc>
        <w:tc>
          <w:tcPr>
            <w:tcW w:w="414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Statement</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Male (Mean Rank)</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Female (Mean Rank)</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Significant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 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8</w:t>
            </w:r>
          </w:p>
        </w:tc>
        <w:tc>
          <w:tcPr>
            <w:tcW w:w="414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How much impact do you think the credibility and security of the Internet platforms have on consumers' attitudes toward purchasing agricultural products?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77.11</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80.73</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0.555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9</w:t>
            </w:r>
          </w:p>
        </w:tc>
        <w:tc>
          <w:tcPr>
            <w:tcW w:w="414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sz w:val="24"/>
                <w:szCs w:val="24"/>
                <w:vertAlign w:val="baseline"/>
                <w:lang w:val="en-US" w:eastAsia="zh-CN"/>
              </w:rPr>
              <w:t>To what extent do you think the service quality of the Internet platform has influenced consumers' attitude towards purchasing agricultural products?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77.81</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80.09</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0.722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10</w:t>
            </w:r>
          </w:p>
        </w:tc>
        <w:tc>
          <w:tcPr>
            <w:tcW w:w="414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How much do you think the quality of product of the Internet platform has influenced consumers' attitudes toward purchasing agricultural products?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78.59</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79.38</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0.894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11</w:t>
            </w:r>
          </w:p>
        </w:tc>
        <w:tc>
          <w:tcPr>
            <w:tcW w:w="4141" w:type="dxa"/>
          </w:tcPr>
          <w:p>
            <w:pPr>
              <w:keepNext w:val="0"/>
              <w:keepLines w:val="0"/>
              <w:pageBreakBefore w:val="0"/>
              <w:widowControl w:val="0"/>
              <w:numPr>
                <w:ilvl w:val="0"/>
                <w:numId w:val="7"/>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vertAlign w:val="baseline"/>
                <w:lang w:val="en-US" w:eastAsia="zh-CN"/>
              </w:rPr>
            </w:pPr>
            <w:bookmarkStart w:id="10" w:name="OLE_LINK4"/>
            <w:r>
              <w:rPr>
                <w:rFonts w:hint="default" w:ascii="Times New Roman" w:hAnsi="Times New Roman" w:cs="Times New Roman"/>
                <w:i w:val="0"/>
                <w:iCs w:val="0"/>
                <w:sz w:val="24"/>
                <w:szCs w:val="24"/>
                <w:vertAlign w:val="baseline"/>
                <w:lang w:val="en-US" w:eastAsia="zh-CN"/>
              </w:rPr>
              <w:t>Evaluate the satisfaction of the e-commerce web page design</w:t>
            </w:r>
            <w:bookmarkEnd w:id="10"/>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It is easy to find the goods you want on the Internet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( 3) The product information displayed on the webpage is consistent with the offline physical stores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(4)</w:t>
            </w:r>
            <w:r>
              <w:rPr>
                <w:rFonts w:hint="default" w:ascii="Times New Roman" w:hAnsi="Times New Roman" w:cs="Times New Roman"/>
                <w:i w:val="0"/>
                <w:iCs w:val="0"/>
                <w:sz w:val="24"/>
                <w:szCs w:val="24"/>
                <w:vertAlign w:val="baseline"/>
                <w:lang w:val="en-US" w:eastAsia="zh-CN"/>
              </w:rPr>
              <w:t>The web shopping order payment process is clear and easy to understand,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easy to operate.</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81.98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79.35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83.44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80.27</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76.27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78.68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74.94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77.84</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0.398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0.919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0.219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0.710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12</w:t>
            </w:r>
          </w:p>
        </w:tc>
        <w:tc>
          <w:tcPr>
            <w:tcW w:w="4141" w:type="dxa"/>
          </w:tcPr>
          <w:p>
            <w:pPr>
              <w:keepNext w:val="0"/>
              <w:keepLines w:val="0"/>
              <w:pageBreakBefore w:val="0"/>
              <w:widowControl w:val="0"/>
              <w:numPr>
                <w:ilvl w:val="0"/>
                <w:numId w:val="8"/>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bookmarkStart w:id="11" w:name="OLE_LINK6"/>
            <w:r>
              <w:rPr>
                <w:rFonts w:hint="default" w:ascii="Times New Roman" w:hAnsi="Times New Roman" w:cs="Times New Roman"/>
                <w:i w:val="0"/>
                <w:iCs w:val="0"/>
                <w:sz w:val="24"/>
                <w:szCs w:val="24"/>
                <w:vertAlign w:val="baseline"/>
                <w:lang w:val="en-US" w:eastAsia="zh-CN"/>
              </w:rPr>
              <w:t xml:space="preserve">Order production can be delivered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within the specified time</w:t>
            </w:r>
          </w:p>
          <w:bookmarkEnd w:id="11"/>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( 2) delivery speed is fast</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( 3) </w:t>
            </w:r>
            <w:r>
              <w:rPr>
                <w:rFonts w:hint="default" w:ascii="Times New Roman" w:hAnsi="Times New Roman" w:cs="Times New Roman"/>
                <w:sz w:val="24"/>
                <w:szCs w:val="24"/>
                <w:vertAlign w:val="baseline"/>
                <w:lang w:val="en-US" w:eastAsia="zh-CN"/>
              </w:rPr>
              <w:t xml:space="preserve">The packing is complete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without breakage</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( 4) </w:t>
            </w:r>
            <w:r>
              <w:rPr>
                <w:rFonts w:hint="default" w:ascii="Times New Roman" w:hAnsi="Times New Roman" w:cs="Times New Roman"/>
                <w:sz w:val="24"/>
                <w:szCs w:val="24"/>
                <w:vertAlign w:val="baseline"/>
                <w:lang w:val="en-US" w:eastAsia="zh-CN"/>
              </w:rPr>
              <w:t xml:space="preserve">Product distribution can be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checked in time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vertAlign w:val="baseline"/>
                <w:lang w:val="en-US" w:eastAsia="zh-CN"/>
              </w:rPr>
            </w:pP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82.59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81.63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74.60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81.15</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75.72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76.60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83.81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0.297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0.449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0.175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0.533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13</w:t>
            </w:r>
          </w:p>
        </w:tc>
        <w:tc>
          <w:tcPr>
            <w:tcW w:w="4141" w:type="dxa"/>
          </w:tcPr>
          <w:p>
            <w:pPr>
              <w:keepNext w:val="0"/>
              <w:keepLines w:val="0"/>
              <w:pageBreakBefore w:val="0"/>
              <w:widowControl w:val="0"/>
              <w:numPr>
                <w:ilvl w:val="0"/>
                <w:numId w:val="9"/>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E-commerce has a good</w:t>
            </w:r>
            <w:r>
              <w:rPr>
                <w:rFonts w:hint="eastAsia" w:ascii="Times New Roman" w:hAnsi="Times New Roman" w:cs="Times New Roman"/>
                <w:i w:val="0"/>
                <w:iCs w:val="0"/>
                <w:sz w:val="24"/>
                <w:szCs w:val="24"/>
                <w:vertAlign w:val="baseline"/>
                <w:lang w:val="en-US" w:eastAsia="zh-CN"/>
              </w:rPr>
              <w:t xml:space="preserve"> </w:t>
            </w:r>
            <w:r>
              <w:rPr>
                <w:rFonts w:hint="default" w:ascii="Times New Roman" w:hAnsi="Times New Roman" w:cs="Times New Roman"/>
                <w:i w:val="0"/>
                <w:iCs w:val="0"/>
                <w:sz w:val="24"/>
                <w:szCs w:val="24"/>
                <w:vertAlign w:val="baseline"/>
                <w:lang w:val="en-US" w:eastAsia="zh-CN"/>
              </w:rPr>
              <w:t>return and exchange mechanism</w:t>
            </w:r>
          </w:p>
          <w:p>
            <w:pPr>
              <w:keepNext w:val="0"/>
              <w:keepLines w:val="0"/>
              <w:pageBreakBefore w:val="0"/>
              <w:widowControl w:val="0"/>
              <w:numPr>
                <w:ilvl w:val="0"/>
                <w:numId w:val="9"/>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 xml:space="preserve">E-commerce attaches great </w:t>
            </w:r>
          </w:p>
          <w:p>
            <w:pPr>
              <w:keepNext w:val="0"/>
              <w:keepLines w:val="0"/>
              <w:pageBreakBefore w:val="0"/>
              <w:widowControl w:val="0"/>
              <w:numPr>
                <w:ilvl w:val="0"/>
                <w:numId w:val="1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importance to the complaints of consumers, and the reasonable requirements of consumers will be met</w:t>
            </w:r>
          </w:p>
          <w:p>
            <w:pPr>
              <w:keepNext w:val="0"/>
              <w:keepLines w:val="0"/>
              <w:pageBreakBefore w:val="0"/>
              <w:widowControl w:val="0"/>
              <w:numPr>
                <w:ilvl w:val="0"/>
                <w:numId w:val="9"/>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bookmarkStart w:id="12" w:name="OLE_LINK8"/>
            <w:r>
              <w:rPr>
                <w:rFonts w:hint="default" w:ascii="Times New Roman" w:hAnsi="Times New Roman" w:cs="Times New Roman"/>
                <w:i w:val="0"/>
                <w:iCs w:val="0"/>
                <w:sz w:val="24"/>
                <w:szCs w:val="24"/>
                <w:vertAlign w:val="baseline"/>
                <w:lang w:val="en-US" w:eastAsia="zh-CN"/>
              </w:rPr>
              <w:t>The e-commerce online customer service can reply in time</w:t>
            </w:r>
            <w:r>
              <w:rPr>
                <w:rFonts w:hint="eastAsia" w:ascii="Times New Roman" w:hAnsi="Times New Roman" w:cs="Times New Roman"/>
                <w:i w:val="0"/>
                <w:iCs w:val="0"/>
                <w:sz w:val="24"/>
                <w:szCs w:val="24"/>
                <w:vertAlign w:val="baseline"/>
                <w:lang w:val="en-US" w:eastAsia="zh-CN"/>
              </w:rPr>
              <w:t>,</w:t>
            </w:r>
            <w:r>
              <w:rPr>
                <w:rFonts w:hint="default" w:ascii="Times New Roman" w:hAnsi="Times New Roman" w:cs="Times New Roman"/>
                <w:i w:val="0"/>
                <w:iCs w:val="0"/>
                <w:sz w:val="24"/>
                <w:szCs w:val="24"/>
                <w:vertAlign w:val="baseline"/>
                <w:lang w:val="en-US" w:eastAsia="zh-CN"/>
              </w:rPr>
              <w:t>professional quality</w:t>
            </w:r>
            <w:r>
              <w:rPr>
                <w:rFonts w:hint="eastAsia" w:ascii="Times New Roman" w:hAnsi="Times New Roman" w:cs="Times New Roman"/>
                <w:i w:val="0"/>
                <w:iCs w:val="0"/>
                <w:sz w:val="24"/>
                <w:szCs w:val="24"/>
                <w:vertAlign w:val="baseline"/>
                <w:lang w:val="en-US" w:eastAsia="zh-CN"/>
              </w:rPr>
              <w:t xml:space="preserve"> is high</w:t>
            </w:r>
            <w:bookmarkEnd w:id="12"/>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78.77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82.00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80.33</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76.26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77.79</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0.948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0.396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0.710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14</w:t>
            </w:r>
          </w:p>
        </w:tc>
        <w:tc>
          <w:tcPr>
            <w:tcW w:w="4141" w:type="dxa"/>
          </w:tcPr>
          <w:p>
            <w:pPr>
              <w:keepNext w:val="0"/>
              <w:keepLines w:val="0"/>
              <w:pageBreakBefore w:val="0"/>
              <w:widowControl w:val="0"/>
              <w:numPr>
                <w:ilvl w:val="0"/>
                <w:numId w:val="11"/>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Efficient and convenient payment methods affect shopping on O2O platforms</w:t>
            </w:r>
          </w:p>
          <w:p>
            <w:pPr>
              <w:keepNext w:val="0"/>
              <w:keepLines w:val="0"/>
              <w:pageBreakBefore w:val="0"/>
              <w:widowControl w:val="0"/>
              <w:numPr>
                <w:ilvl w:val="0"/>
                <w:numId w:val="1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Fast the delivery speed affect shopping on O2O platform</w:t>
            </w:r>
          </w:p>
          <w:p>
            <w:pPr>
              <w:keepNext w:val="0"/>
              <w:keepLines w:val="0"/>
              <w:pageBreakBefore w:val="0"/>
              <w:widowControl w:val="0"/>
              <w:numPr>
                <w:ilvl w:val="0"/>
                <w:numId w:val="1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Discount affect shopping on O2O platforms</w:t>
            </w:r>
          </w:p>
          <w:p>
            <w:pPr>
              <w:keepNext w:val="0"/>
              <w:keepLines w:val="0"/>
              <w:pageBreakBefore w:val="0"/>
              <w:widowControl w:val="0"/>
              <w:numPr>
                <w:ilvl w:val="0"/>
                <w:numId w:val="1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Good quality of product affect shopping on O2O platforms</w:t>
            </w:r>
          </w:p>
          <w:p>
            <w:pPr>
              <w:keepNext w:val="0"/>
              <w:keepLines w:val="0"/>
              <w:pageBreakBefore w:val="0"/>
              <w:widowControl w:val="0"/>
              <w:numPr>
                <w:ilvl w:val="0"/>
                <w:numId w:val="1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After-sales service is reassuring and affects shopping on O2O platforms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80.36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81.70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79.71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80.89</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79.32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77.36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76.53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78.35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77.27</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0.922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0.699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0.454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0.844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0.598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16</w:t>
            </w:r>
          </w:p>
        </w:tc>
        <w:tc>
          <w:tcPr>
            <w:tcW w:w="4141" w:type="dxa"/>
          </w:tcPr>
          <w:p>
            <w:pPr>
              <w:keepNext w:val="0"/>
              <w:keepLines w:val="0"/>
              <w:pageBreakBefore w:val="0"/>
              <w:widowControl w:val="0"/>
              <w:numPr>
                <w:ilvl w:val="0"/>
                <w:numId w:val="12"/>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The freshness of produce affects online buying</w:t>
            </w:r>
          </w:p>
          <w:p>
            <w:pPr>
              <w:keepNext w:val="0"/>
              <w:keepLines w:val="0"/>
              <w:pageBreakBefore w:val="0"/>
              <w:widowControl w:val="0"/>
              <w:numPr>
                <w:ilvl w:val="0"/>
                <w:numId w:val="1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 xml:space="preserve">Produce (e.g., fruits and vegetables)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damaged during transportation can be purchased online</w:t>
            </w:r>
          </w:p>
          <w:p>
            <w:pPr>
              <w:keepNext w:val="0"/>
              <w:keepLines w:val="0"/>
              <w:pageBreakBefore w:val="0"/>
              <w:widowControl w:val="0"/>
              <w:numPr>
                <w:ilvl w:val="0"/>
                <w:numId w:val="1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Cold chain conditions for agricultural products affect online purchases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78.97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76.28</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78.40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79.03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81.49</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0.854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0.993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0.446</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4.6.2 Mann-Whitney U Tests for 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Twenty-two Mann-Whitney U tests were conducted, examining whether the differences in responses were statistically significant between under 40s and over 40s. Again, due to the nature of Mann-Whitney U Tests, this was done for all questions which had Likert scale responses. It includes Q 8, 9, 10, 11, 12, 13, 14, 16.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Results can be found below in Figure 4.5, 4.6 4.7,4.8,4.9,4.10,4.11 and 4.12 and Table 4.4. The figures show significant differences between 40 and under 40s and over 40s in their responses to questions Q11-1,Q11-3,Q12-1,Q13-1,Q13-3,Q14-1,Q14-3,Q14-4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Table 4.4 shows the remaining non-significant differences between 40 and under 40s and over 40s in their responses to question number 8, 9, 10, 11-2, 11-4, 12-2, 12-3, 12-4, 13-2, 14-2, 14-5, 16-1, 16-2, 16-3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drawing>
          <wp:inline distT="0" distB="0" distL="114300" distR="114300">
            <wp:extent cx="6231890" cy="3846195"/>
            <wp:effectExtent l="4445" t="4445" r="12065" b="10160"/>
            <wp:docPr id="10" name="图表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Figure 4.5 showing significant differences between age and agreement to the statements,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t>
      </w:r>
      <w:r>
        <w:rPr>
          <w:rFonts w:hint="default" w:ascii="Times New Roman" w:hAnsi="Times New Roman" w:cs="Times New Roman"/>
          <w:i/>
          <w:iCs/>
          <w:sz w:val="24"/>
          <w:szCs w:val="24"/>
          <w:vertAlign w:val="baseline"/>
          <w:lang w:val="en-US" w:eastAsia="zh-CN"/>
        </w:rPr>
        <w:t>Evaluate the satisfaction of the e-commerce web page design”</w:t>
      </w:r>
      <w:r>
        <w:rPr>
          <w:rFonts w:hint="eastAsia" w:ascii="Times New Roman" w:hAnsi="Times New Roman" w:cs="Times New Roman"/>
          <w:i/>
          <w:iCs/>
          <w:sz w:val="24"/>
          <w:szCs w:val="24"/>
          <w:vertAlign w:val="baseline"/>
          <w:lang w:val="en-US" w:eastAsia="zh-CN"/>
        </w:rPr>
        <w:t xml:space="preserve"> ( p=0.020) and </w:t>
      </w:r>
      <w:r>
        <w:rPr>
          <w:rFonts w:hint="default" w:ascii="Times New Roman" w:hAnsi="Times New Roman" w:cs="Times New Roman"/>
          <w:i/>
          <w:iCs/>
          <w:sz w:val="24"/>
          <w:szCs w:val="24"/>
          <w:vertAlign w:val="baseline"/>
          <w:lang w:val="en-US" w:eastAsia="zh-CN"/>
        </w:rPr>
        <w:t>“</w:t>
      </w:r>
      <w:r>
        <w:rPr>
          <w:rFonts w:hint="eastAsia" w:ascii="Times New Roman" w:hAnsi="Times New Roman" w:cs="Times New Roman"/>
          <w:i/>
          <w:iCs/>
          <w:sz w:val="24"/>
          <w:szCs w:val="24"/>
          <w:vertAlign w:val="baseline"/>
          <w:lang w:val="en-US" w:eastAsia="zh-CN"/>
        </w:rPr>
        <w:t xml:space="preserve"> </w:t>
      </w:r>
      <w:r>
        <w:rPr>
          <w:rFonts w:hint="default" w:ascii="Times New Roman" w:hAnsi="Times New Roman" w:cs="Times New Roman"/>
          <w:i/>
          <w:iCs/>
          <w:sz w:val="24"/>
          <w:szCs w:val="24"/>
          <w:vertAlign w:val="baseline"/>
          <w:lang w:val="en-US" w:eastAsia="zh-CN"/>
        </w:rPr>
        <w:t>Evaluate the satisfaction of</w:t>
      </w:r>
      <w:r>
        <w:rPr>
          <w:rFonts w:hint="eastAsia" w:ascii="Times New Roman" w:hAnsi="Times New Roman" w:cs="Times New Roman"/>
          <w:i/>
          <w:iCs/>
          <w:sz w:val="24"/>
          <w:szCs w:val="24"/>
          <w:vertAlign w:val="baseline"/>
          <w:lang w:val="en-US" w:eastAsia="zh-CN"/>
        </w:rPr>
        <w:t xml:space="preserve"> </w:t>
      </w:r>
      <w:r>
        <w:rPr>
          <w:rFonts w:hint="default" w:ascii="Times New Roman" w:hAnsi="Times New Roman" w:eastAsia="MingLiU" w:cs="Times New Roman"/>
          <w:i/>
          <w:iCs/>
          <w:color w:val="010205"/>
          <w:sz w:val="24"/>
          <w:szCs w:val="24"/>
        </w:rPr>
        <w:t>the consistency of the product information displayed on the website and the physical store</w:t>
      </w:r>
      <w:r>
        <w:rPr>
          <w:rFonts w:hint="default" w:ascii="Times New Roman" w:hAnsi="Times New Roman" w:cs="Times New Roman"/>
          <w:i/>
          <w:iCs/>
          <w:sz w:val="24"/>
          <w:szCs w:val="24"/>
          <w:vertAlign w:val="baseline"/>
          <w:lang w:val="en-US" w:eastAsia="zh-CN"/>
        </w:rPr>
        <w:t>”</w:t>
      </w:r>
      <w:r>
        <w:rPr>
          <w:rFonts w:hint="eastAsia" w:ascii="Times New Roman" w:hAnsi="Times New Roman" w:cs="Times New Roman"/>
          <w:i/>
          <w:iCs/>
          <w:sz w:val="24"/>
          <w:szCs w:val="24"/>
          <w:vertAlign w:val="baseline"/>
          <w:lang w:val="en-US" w:eastAsia="zh-CN"/>
        </w:rPr>
        <w:t xml:space="preserve"> ( p=0.014), in question 11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drawing>
          <wp:inline distT="0" distB="0" distL="114300" distR="114300">
            <wp:extent cx="6271260" cy="3133090"/>
            <wp:effectExtent l="6350" t="6350" r="8890" b="35560"/>
            <wp:docPr id="11" name="图表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Figure 4.6 showing significant differences between age and agreement to the statements,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t>
      </w:r>
      <w:r>
        <w:rPr>
          <w:rFonts w:hint="default" w:ascii="Times New Roman" w:hAnsi="Times New Roman" w:cs="Times New Roman"/>
          <w:i w:val="0"/>
          <w:iCs w:val="0"/>
          <w:sz w:val="24"/>
          <w:szCs w:val="24"/>
          <w:vertAlign w:val="baseline"/>
          <w:lang w:val="en-US" w:eastAsia="zh-CN"/>
        </w:rPr>
        <w:t>Order production can be delivered within the specified time</w:t>
      </w:r>
      <w:r>
        <w:rPr>
          <w:rFonts w:hint="default" w:ascii="Times New Roman" w:hAnsi="Times New Roman" w:cs="Times New Roman"/>
          <w:i/>
          <w:iCs/>
          <w:sz w:val="24"/>
          <w:szCs w:val="24"/>
          <w:vertAlign w:val="baseline"/>
          <w:lang w:val="en-US" w:eastAsia="zh-CN"/>
        </w:rPr>
        <w:t>”</w:t>
      </w:r>
      <w:r>
        <w:rPr>
          <w:rFonts w:hint="eastAsia" w:ascii="Times New Roman" w:hAnsi="Times New Roman" w:cs="Times New Roman"/>
          <w:i/>
          <w:iCs/>
          <w:sz w:val="24"/>
          <w:szCs w:val="24"/>
          <w:vertAlign w:val="baseline"/>
          <w:lang w:val="en-US" w:eastAsia="zh-CN"/>
        </w:rPr>
        <w:t xml:space="preserve"> ( p=0.024) and </w:t>
      </w:r>
    </w:p>
    <w:p>
      <w:pPr>
        <w:keepNext w:val="0"/>
        <w:keepLines w:val="0"/>
        <w:pageBreakBefore w:val="0"/>
        <w:widowControl w:val="0"/>
        <w:kinsoku/>
        <w:wordWrap/>
        <w:overflowPunct/>
        <w:topLinePunct w:val="0"/>
        <w:autoSpaceDE/>
        <w:autoSpaceDN/>
        <w:bidi w:val="0"/>
        <w:adjustRightInd/>
        <w:snapToGrid/>
        <w:spacing w:line="360" w:lineRule="auto"/>
        <w:textAlignment w:val="auto"/>
      </w:pPr>
      <w:r>
        <w:drawing>
          <wp:inline distT="0" distB="0" distL="114300" distR="114300">
            <wp:extent cx="6270625" cy="3143885"/>
            <wp:effectExtent l="6350" t="6350" r="9525" b="37465"/>
            <wp:docPr id="13" name="图表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pP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i/>
          <w:iCs/>
          <w:sz w:val="24"/>
          <w:szCs w:val="24"/>
          <w:lang w:val="en-US" w:eastAsia="zh-CN"/>
        </w:rPr>
        <w:t>Figure 4.7showing significant differences between age and agreement to the statements,“h</w:t>
      </w:r>
      <w:r>
        <w:rPr>
          <w:rFonts w:hint="eastAsia" w:ascii="Times New Roman" w:hAnsi="Times New Roman" w:cs="Times New Roman"/>
          <w:sz w:val="24"/>
          <w:szCs w:val="24"/>
          <w:vertAlign w:val="baseline"/>
          <w:lang w:val="en-US" w:eastAsia="zh-CN"/>
        </w:rPr>
        <w:t xml:space="preserve">ow satisfied do you consider return </w:t>
      </w:r>
      <w:r>
        <w:rPr>
          <w:rFonts w:hint="default" w:ascii="Times New Roman" w:hAnsi="Times New Roman" w:cs="Times New Roman"/>
          <w:sz w:val="24"/>
          <w:szCs w:val="24"/>
          <w:vertAlign w:val="baseline"/>
          <w:lang w:val="en-US" w:eastAsia="zh-CN"/>
        </w:rPr>
        <w:t>and exchange mechanism</w:t>
      </w:r>
      <w:r>
        <w:rPr>
          <w:rFonts w:hint="eastAsia" w:ascii="Times New Roman" w:hAnsi="Times New Roman" w:cs="Times New Roman"/>
          <w:sz w:val="24"/>
          <w:szCs w:val="24"/>
          <w:vertAlign w:val="baseline"/>
          <w:lang w:val="en-US" w:eastAsia="zh-CN"/>
        </w:rPr>
        <w:t>?</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i/>
          <w:iCs/>
          <w:sz w:val="24"/>
          <w:szCs w:val="24"/>
          <w:vertAlign w:val="baseline"/>
          <w:lang w:val="en-US" w:eastAsia="zh-CN"/>
        </w:rPr>
        <w:t xml:space="preserve">( p=0.011) and </w:t>
      </w:r>
      <w:r>
        <w:rPr>
          <w:rFonts w:hint="eastAsia" w:ascii="Times New Roman" w:hAnsi="Times New Roman" w:cs="Times New Roman"/>
          <w:i/>
          <w:iCs/>
          <w:sz w:val="24"/>
          <w:szCs w:val="24"/>
          <w:lang w:val="en-US" w:eastAsia="zh-CN"/>
        </w:rPr>
        <w:t>“h</w:t>
      </w:r>
      <w:r>
        <w:rPr>
          <w:rFonts w:hint="eastAsia" w:ascii="Times New Roman" w:hAnsi="Times New Roman" w:cs="Times New Roman"/>
          <w:sz w:val="24"/>
          <w:szCs w:val="24"/>
          <w:vertAlign w:val="baseline"/>
          <w:lang w:val="en-US" w:eastAsia="zh-CN"/>
        </w:rPr>
        <w:t>ow satisfied do you consider reply of online customer service in time?</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 xml:space="preserve"> (p=0.011) in question 13</w:t>
      </w:r>
    </w:p>
    <w:p>
      <w:pPr>
        <w:numPr>
          <w:ilvl w:val="0"/>
          <w:numId w:val="0"/>
        </w:numPr>
        <w:rPr>
          <w:rFonts w:hint="eastAsia" w:ascii="Times New Roman" w:hAnsi="Times New Roman" w:cs="Times New Roman"/>
          <w:sz w:val="24"/>
          <w:szCs w:val="24"/>
          <w:vertAlign w:val="baseline"/>
          <w:lang w:val="en-US" w:eastAsia="zh-CN"/>
        </w:rPr>
      </w:pPr>
    </w:p>
    <w:p>
      <w:pPr>
        <w:numPr>
          <w:ilvl w:val="0"/>
          <w:numId w:val="0"/>
        </w:numPr>
        <w:rPr>
          <w:rFonts w:hint="eastAsia" w:ascii="Times New Roman" w:hAnsi="Times New Roman" w:cs="Times New Roman"/>
          <w:sz w:val="24"/>
          <w:szCs w:val="24"/>
          <w:vertAlign w:val="baseline"/>
          <w:lang w:val="en-US" w:eastAsia="zh-CN"/>
        </w:rPr>
      </w:pPr>
      <w:r>
        <w:drawing>
          <wp:inline distT="0" distB="0" distL="114300" distR="114300">
            <wp:extent cx="6841490" cy="3057525"/>
            <wp:effectExtent l="4445" t="4445" r="12065" b="11430"/>
            <wp:docPr id="26" name="图表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i/>
          <w:iCs/>
          <w:sz w:val="24"/>
          <w:szCs w:val="24"/>
          <w:lang w:val="en-US" w:eastAsia="zh-CN"/>
        </w:rPr>
        <w:t>Figure 4.</w:t>
      </w:r>
      <w:r>
        <w:rPr>
          <w:rFonts w:hint="eastAsia" w:ascii="Times New Roman" w:hAnsi="Times New Roman" w:cs="Times New Roman"/>
          <w:i/>
          <w:iCs/>
          <w:sz w:val="24"/>
          <w:szCs w:val="24"/>
          <w:lang w:val="en-US" w:eastAsia="zh-CN"/>
        </w:rPr>
        <w:t>8</w:t>
      </w:r>
      <w:r>
        <w:rPr>
          <w:rFonts w:hint="default" w:ascii="Times New Roman" w:hAnsi="Times New Roman" w:cs="Times New Roman"/>
          <w:i/>
          <w:iCs/>
          <w:sz w:val="24"/>
          <w:szCs w:val="24"/>
          <w:lang w:val="en-US" w:eastAsia="zh-CN"/>
        </w:rPr>
        <w:t>showing significant differences between age and agreement to the statements,</w:t>
      </w:r>
      <w:bookmarkStart w:id="13" w:name="OLE_LINK10"/>
      <w:r>
        <w:rPr>
          <w:rFonts w:hint="default" w:ascii="Times New Roman" w:hAnsi="Times New Roman" w:cs="Times New Roman"/>
          <w:i/>
          <w:iCs/>
          <w:sz w:val="24"/>
          <w:szCs w:val="24"/>
          <w:lang w:val="en-US" w:eastAsia="zh-CN"/>
        </w:rPr>
        <w:t>“</w:t>
      </w:r>
      <w:bookmarkStart w:id="14" w:name="OLE_LINK11"/>
      <w:r>
        <w:rPr>
          <w:rFonts w:hint="eastAsia" w:ascii="Times New Roman" w:hAnsi="Times New Roman" w:cs="Times New Roman"/>
          <w:sz w:val="24"/>
          <w:szCs w:val="24"/>
          <w:vertAlign w:val="baseline"/>
          <w:lang w:val="en-US" w:eastAsia="zh-CN"/>
        </w:rPr>
        <w:t>To what extent do you shop on O2O platforms because t</w:t>
      </w:r>
      <w:r>
        <w:rPr>
          <w:rFonts w:hint="default" w:ascii="Times New Roman" w:hAnsi="Times New Roman" w:cs="Times New Roman"/>
          <w:sz w:val="24"/>
          <w:szCs w:val="24"/>
          <w:vertAlign w:val="baseline"/>
          <w:lang w:val="en-US" w:eastAsia="zh-CN"/>
        </w:rPr>
        <w:t>he payment method is efficient and convenient</w:t>
      </w:r>
      <w:bookmarkEnd w:id="14"/>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 xml:space="preserve"> </w:t>
      </w:r>
      <w:bookmarkEnd w:id="1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i/>
          <w:iCs/>
          <w:sz w:val="24"/>
          <w:szCs w:val="24"/>
          <w:vertAlign w:val="baseline"/>
          <w:lang w:val="en-US" w:eastAsia="zh-CN"/>
        </w:rPr>
        <w:t>( p=0.0</w:t>
      </w:r>
      <w:r>
        <w:rPr>
          <w:rFonts w:hint="eastAsia" w:ascii="Times New Roman" w:hAnsi="Times New Roman" w:cs="Times New Roman"/>
          <w:i/>
          <w:iCs/>
          <w:sz w:val="24"/>
          <w:szCs w:val="24"/>
          <w:vertAlign w:val="baseline"/>
          <w:lang w:val="en-US" w:eastAsia="zh-CN"/>
        </w:rPr>
        <w:t>44</w:t>
      </w:r>
      <w:r>
        <w:rPr>
          <w:rFonts w:hint="default" w:ascii="Times New Roman" w:hAnsi="Times New Roman" w:cs="Times New Roman"/>
          <w:i/>
          <w:iCs/>
          <w:sz w:val="24"/>
          <w:szCs w:val="24"/>
          <w:vertAlign w:val="baseline"/>
          <w:lang w:val="en-US" w:eastAsia="zh-CN"/>
        </w:rPr>
        <w:t xml:space="preserve">) and “To what extent do you shop on O2O platforms because </w:t>
      </w:r>
      <w:r>
        <w:rPr>
          <w:rFonts w:hint="eastAsia" w:ascii="Times New Roman" w:hAnsi="Times New Roman" w:cs="Times New Roman"/>
          <w:i/>
          <w:iCs/>
          <w:sz w:val="24"/>
          <w:szCs w:val="24"/>
          <w:vertAlign w:val="baseline"/>
          <w:lang w:val="en-US" w:eastAsia="zh-CN"/>
        </w:rPr>
        <w:t>of discount</w:t>
      </w:r>
      <w:r>
        <w:rPr>
          <w:rFonts w:hint="default" w:ascii="Times New Roman" w:hAnsi="Times New Roman" w:cs="Times New Roman"/>
          <w:i/>
          <w:iCs/>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(p=0.0</w:t>
      </w:r>
      <w:r>
        <w:rPr>
          <w:rFonts w:hint="eastAsia" w:ascii="Times New Roman" w:hAnsi="Times New Roman" w:cs="Times New Roman"/>
          <w:sz w:val="24"/>
          <w:szCs w:val="24"/>
          <w:vertAlign w:val="baseline"/>
          <w:lang w:val="en-US" w:eastAsia="zh-CN"/>
        </w:rPr>
        <w:t>03</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To what extent do you shop on O2O platforms because t</w:t>
      </w:r>
      <w:r>
        <w:rPr>
          <w:rFonts w:hint="default" w:ascii="Times New Roman" w:hAnsi="Times New Roman" w:cs="Times New Roman"/>
          <w:sz w:val="24"/>
          <w:szCs w:val="24"/>
          <w:vertAlign w:val="baseline"/>
          <w:lang w:val="en-US" w:eastAsia="zh-CN"/>
        </w:rPr>
        <w:t>he product quality is good”</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in question 1</w:t>
      </w:r>
      <w:r>
        <w:rPr>
          <w:rFonts w:hint="eastAsia" w:ascii="Times New Roman" w:hAnsi="Times New Roman" w:cs="Times New Roman"/>
          <w:sz w:val="24"/>
          <w:szCs w:val="24"/>
          <w:vertAlign w:val="baseline"/>
          <w:lang w:val="en-US" w:eastAsia="zh-CN"/>
        </w:rPr>
        <w:t>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u w:val="single"/>
          <w:lang w:val="en-US" w:eastAsia="zh-CN"/>
        </w:rPr>
        <w:t>Table 4.4</w:t>
      </w:r>
      <w:r>
        <w:rPr>
          <w:rFonts w:hint="eastAsia" w:ascii="Times New Roman" w:hAnsi="Times New Roman" w:cs="Times New Roman"/>
          <w:i/>
          <w:iCs/>
          <w:sz w:val="24"/>
          <w:szCs w:val="24"/>
          <w:lang w:val="en-US" w:eastAsia="zh-CN"/>
        </w:rPr>
        <w:t xml:space="preserve"> showing non-significant differences between age and statements in question 8, 9, 10, 11-2, 11-4, 12-2, 12-3, 12-4, 13-2, 14-2, 14-5, 16-1, 16-2, 16-3.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11"/>
        <w:gridCol w:w="3858"/>
        <w:gridCol w:w="1117"/>
        <w:gridCol w:w="942"/>
        <w:gridCol w:w="149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bookmarkStart w:id="15" w:name="OLE_LINK12"/>
            <w:r>
              <w:rPr>
                <w:rFonts w:hint="eastAsia" w:ascii="Times New Roman" w:hAnsi="Times New Roman" w:cs="Times New Roman"/>
                <w:i w:val="0"/>
                <w:iCs w:val="0"/>
                <w:sz w:val="24"/>
                <w:szCs w:val="24"/>
                <w:vertAlign w:val="baseline"/>
                <w:lang w:val="en-US" w:eastAsia="zh-CN"/>
              </w:rPr>
              <w:t>Question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Number</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Statement</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40 and Under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40(Mean,Rank)</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Over 40 ( Mean Rank)</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Significance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How much impact do you think the credibility and security of the Internet platforms have on consumers' attitudes toward purchasing agricultural products?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74.53</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83.3</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0.152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9</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To what extent do you think the service quality of the Internet platform has influenced consumers' attitude towards purchasing agricultural products?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73.37</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84.42</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10</w:t>
            </w:r>
          </w:p>
        </w:tc>
        <w:tc>
          <w:tcPr>
            <w:tcW w:w="3858" w:type="dxa"/>
          </w:tcPr>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How much do you think the quality of product of the Internet platform has influenced consumers' attitudes toward purchasing agricultural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76.07</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81.82</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0.333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11</w:t>
            </w:r>
          </w:p>
        </w:tc>
        <w:tc>
          <w:tcPr>
            <w:tcW w:w="3858" w:type="dxa"/>
          </w:tcPr>
          <w:p>
            <w:pPr>
              <w:numPr>
                <w:ilvl w:val="0"/>
                <w:numId w:val="8"/>
              </w:numPr>
              <w:ind w:left="0" w:leftChars="0" w:firstLine="0" w:firstLine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It is easy to find the goods you want on the Internet</w:t>
            </w:r>
          </w:p>
          <w:p>
            <w:pPr>
              <w:numPr>
                <w:ilvl w:val="0"/>
                <w:numId w:val="0"/>
              </w:numPr>
              <w:ind w:leftChars="0"/>
              <w:rPr>
                <w:rFonts w:hint="default" w:ascii="Times New Roman" w:hAnsi="Times New Roman" w:cs="Times New Roman"/>
                <w:i/>
                <w:iCs/>
                <w:sz w:val="24"/>
                <w:szCs w:val="24"/>
                <w:vertAlign w:val="baseline"/>
                <w:lang w:val="en-US" w:eastAsia="zh-CN"/>
              </w:rPr>
            </w:pPr>
            <w:r>
              <w:rPr>
                <w:rFonts w:hint="eastAsia" w:ascii="Times New Roman" w:hAnsi="Times New Roman" w:cs="Times New Roman"/>
                <w:sz w:val="24"/>
                <w:szCs w:val="24"/>
                <w:vertAlign w:val="baseline"/>
                <w:lang w:val="en-US" w:eastAsia="zh-CN"/>
              </w:rPr>
              <w:t>(4)The web shopping order payment process is clear and easy to understand,easy to operate.</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81.15</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76.66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76.93</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0.465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0.520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83" w:hRule="atLeast"/>
        </w:trPr>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12</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 delivery speed is fast</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(3) </w:t>
            </w:r>
            <w:r>
              <w:rPr>
                <w:rFonts w:hint="default" w:ascii="Times New Roman" w:hAnsi="Times New Roman" w:cs="Times New Roman"/>
                <w:sz w:val="24"/>
                <w:szCs w:val="24"/>
                <w:vertAlign w:val="baseline"/>
                <w:lang w:val="en-US" w:eastAsia="zh-CN"/>
              </w:rPr>
              <w:t xml:space="preserve">The packing is complete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without breakage</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(4) </w:t>
            </w:r>
            <w:r>
              <w:rPr>
                <w:rFonts w:hint="default" w:ascii="Times New Roman" w:hAnsi="Times New Roman" w:cs="Times New Roman"/>
                <w:sz w:val="24"/>
                <w:szCs w:val="24"/>
                <w:vertAlign w:val="baseline"/>
                <w:lang w:val="en-US" w:eastAsia="zh-CN"/>
              </w:rPr>
              <w:t xml:space="preserve">Product distribution can be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checked in time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82.37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82.98</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75.76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75.17</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0.471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0.330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0.235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13</w:t>
            </w:r>
          </w:p>
        </w:tc>
        <w:tc>
          <w:tcPr>
            <w:tcW w:w="3858" w:type="dxa"/>
          </w:tcPr>
          <w:p>
            <w:pPr>
              <w:numPr>
                <w:ilvl w:val="0"/>
                <w:numId w:val="6"/>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E-commerce takes consumer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complaints seriously,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Reasonable demands from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consumers will be met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85.74</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72.51</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14</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(2)Fast the delivery speed affect shopping on O2O platform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 xml:space="preserve">(5) </w:t>
            </w:r>
            <w:r>
              <w:rPr>
                <w:rFonts w:hint="default" w:ascii="Times New Roman" w:hAnsi="Times New Roman" w:cs="Times New Roman"/>
                <w:i w:val="0"/>
                <w:iCs w:val="0"/>
                <w:sz w:val="24"/>
                <w:szCs w:val="24"/>
                <w:vertAlign w:val="baseline"/>
                <w:lang w:val="en-US" w:eastAsia="zh-CN"/>
              </w:rPr>
              <w:t>After-sales service is reassuring and affects shopping on O2O platforms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78.96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85.05</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79.04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73.18</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0.991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16</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w:t>
            </w:r>
            <w:r>
              <w:rPr>
                <w:rFonts w:hint="default" w:ascii="Times New Roman" w:hAnsi="Times New Roman" w:cs="Times New Roman"/>
                <w:i w:val="0"/>
                <w:iCs w:val="0"/>
                <w:sz w:val="24"/>
                <w:szCs w:val="24"/>
                <w:vertAlign w:val="baseline"/>
                <w:lang w:val="en-US" w:eastAsia="zh-CN"/>
              </w:rPr>
              <w:t>The freshness of produce affects online buying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w:t>
            </w:r>
            <w:r>
              <w:rPr>
                <w:rFonts w:hint="default" w:ascii="Times New Roman" w:hAnsi="Times New Roman" w:cs="Times New Roman"/>
                <w:i w:val="0"/>
                <w:iCs w:val="0"/>
                <w:sz w:val="24"/>
                <w:szCs w:val="24"/>
                <w:vertAlign w:val="baseline"/>
                <w:lang w:val="en-US" w:eastAsia="zh-CN"/>
              </w:rPr>
              <w:t>Produce (e.g., fruits and vegetables)</w:t>
            </w:r>
            <w:r>
              <w:rPr>
                <w:rFonts w:hint="eastAsia" w:ascii="Times New Roman" w:hAnsi="Times New Roman" w:cs="Times New Roman"/>
                <w:i w:val="0"/>
                <w:iCs w:val="0"/>
                <w:sz w:val="24"/>
                <w:szCs w:val="24"/>
                <w:vertAlign w:val="baseline"/>
                <w:lang w:val="en-US" w:eastAsia="zh-CN"/>
              </w:rPr>
              <w:t xml:space="preserve"> </w:t>
            </w:r>
            <w:r>
              <w:rPr>
                <w:rFonts w:hint="default" w:ascii="Times New Roman" w:hAnsi="Times New Roman" w:cs="Times New Roman"/>
                <w:i w:val="0"/>
                <w:iCs w:val="0"/>
                <w:sz w:val="24"/>
                <w:szCs w:val="24"/>
                <w:vertAlign w:val="baseline"/>
                <w:lang w:val="en-US" w:eastAsia="zh-CN"/>
              </w:rPr>
              <w:t>damaged during transportation can be purchased online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(3)</w:t>
            </w:r>
            <w:r>
              <w:rPr>
                <w:rFonts w:hint="default" w:ascii="Times New Roman" w:hAnsi="Times New Roman" w:cs="Times New Roman"/>
                <w:i w:val="0"/>
                <w:iCs w:val="0"/>
                <w:sz w:val="24"/>
                <w:szCs w:val="24"/>
                <w:vertAlign w:val="baseline"/>
                <w:lang w:val="en-US" w:eastAsia="zh-CN"/>
              </w:rPr>
              <w:t>Cold chain conditions for agricultural products affect online purchases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84.88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79.04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85.39</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73.34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78.96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72.95</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0.991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0.071</w:t>
            </w:r>
          </w:p>
        </w:tc>
      </w:tr>
      <w:bookmarkEnd w:id="15"/>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4.7 Discussion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This study </w:t>
      </w:r>
      <w:r>
        <w:rPr>
          <w:rFonts w:hint="eastAsia" w:ascii="Times New Roman" w:hAnsi="Times New Roman" w:cs="Times New Roman"/>
          <w:sz w:val="24"/>
          <w:szCs w:val="24"/>
          <w:vertAlign w:val="baseline"/>
          <w:lang w:val="en-US" w:eastAsia="zh-CN"/>
        </w:rPr>
        <w:t>goals</w:t>
      </w:r>
      <w:r>
        <w:rPr>
          <w:rFonts w:hint="default" w:ascii="Times New Roman" w:hAnsi="Times New Roman" w:cs="Times New Roman"/>
          <w:sz w:val="24"/>
          <w:szCs w:val="24"/>
          <w:vertAlign w:val="baseline"/>
          <w:lang w:val="en-US" w:eastAsia="zh-CN"/>
        </w:rPr>
        <w:t xml:space="preserve"> to investigate the </w:t>
      </w:r>
      <w:r>
        <w:rPr>
          <w:rFonts w:hint="eastAsia" w:ascii="Times New Roman" w:hAnsi="Times New Roman" w:cs="Times New Roman"/>
          <w:sz w:val="24"/>
          <w:szCs w:val="24"/>
          <w:vertAlign w:val="baseline"/>
          <w:lang w:val="en-US" w:eastAsia="zh-CN"/>
        </w:rPr>
        <w:t>popular opinion</w:t>
      </w:r>
      <w:r>
        <w:rPr>
          <w:rFonts w:hint="default" w:ascii="Times New Roman" w:hAnsi="Times New Roman" w:cs="Times New Roman"/>
          <w:sz w:val="24"/>
          <w:szCs w:val="24"/>
          <w:vertAlign w:val="baseline"/>
          <w:lang w:val="en-US" w:eastAsia="zh-CN"/>
        </w:rPr>
        <w:t xml:space="preserve"> on the promotion of agricultural products on O2O platforms</w:t>
      </w:r>
      <w:r>
        <w:rPr>
          <w:rFonts w:hint="eastAsia" w:ascii="Times New Roman" w:hAnsi="Times New Roman" w:cs="Times New Roman"/>
          <w:sz w:val="24"/>
          <w:szCs w:val="24"/>
          <w:vertAlign w:val="baseli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For all the questions from Q7 to Q16, there is no significant difference between the genders and answers, indicating that men and women hold the same attitudes and views on the promotion and marketing of agricultural products on O2O platforms.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However, from Q7 to Q16, it has been shown that there is a significant difference between</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age and respondents</w:t>
      </w:r>
      <w:r>
        <w:rPr>
          <w:rFonts w:hint="eastAsia" w:ascii="Times New Roman" w:hAnsi="Times New Roman" w:cs="Times New Roman"/>
          <w:i w:val="0"/>
          <w:iCs w:val="0"/>
          <w:sz w:val="24"/>
          <w:szCs w:val="24"/>
          <w:lang w:val="en-US" w:eastAsia="zh-CN"/>
        </w:rPr>
        <w:t xml:space="preserve"> (Q11-1,Q11-3,Q12-1,Q13-1,Q13-3,Q14-1,Q14-2,Q14-3,Q15).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 xml:space="preserve"> From the public responses to Q11-1 , Q11-3 and Q12-1, it can be seen that people below 40 and 40 are more satisfied with the design of the web page , the consistency between the product information displayed on the web page and the physical store and the delivery of orders within the specified time. It can be seen from this that in order to better promote agricultural products on the O2O platform, the web design and delivery of logistics on time needs to make greater improvements to meet the needs of consumers of all ages.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From the public responses to Q13-1 and Q13-3,people below 40 or 40 are more satisfied with the after-sales service of agricultural products from the return and exchange mechanism and the high quality and timely reply from customer service, which also indicates that the after-sales service also needs to be improved to enhance consumer satisfaction.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From the public responses to Q14-1,Q14-2 and Q13-3. Compared with people over 40, people under 40 buy agricultural products on O2O platforms to a greater extent because of the efficient and convenient payment methods, fast delivery and discounts available.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From the public responses to Q15, People over 45 years old think that the biggest advantage of O2O platforms compared with other e-commerce is dual-channel shopping.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i w:val="0"/>
          <w:iCs w:val="0"/>
          <w:sz w:val="24"/>
          <w:szCs w:val="24"/>
          <w:lang w:val="en-US" w:eastAsia="zh-CN"/>
        </w:rPr>
      </w:pPr>
      <w:r>
        <w:rPr>
          <w:rFonts w:hint="eastAsia" w:ascii="Times New Roman" w:hAnsi="Times New Roman" w:cs="Times New Roman"/>
          <w:b/>
          <w:bCs/>
          <w:i w:val="0"/>
          <w:iCs w:val="0"/>
          <w:sz w:val="24"/>
          <w:szCs w:val="24"/>
          <w:lang w:val="en-US" w:eastAsia="zh-CN"/>
        </w:rPr>
        <w:t>4.8 Conclusion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In conclusion, this </w:t>
      </w:r>
      <w:r>
        <w:rPr>
          <w:rFonts w:hint="eastAsia" w:ascii="Times New Roman" w:hAnsi="Times New Roman" w:cs="Times New Roman"/>
          <w:i w:val="0"/>
          <w:iCs w:val="0"/>
          <w:sz w:val="24"/>
          <w:szCs w:val="24"/>
          <w:lang w:val="en-US" w:eastAsia="zh-CN"/>
        </w:rPr>
        <w:t>research</w:t>
      </w:r>
      <w:r>
        <w:rPr>
          <w:rFonts w:hint="default"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t>is the same as</w:t>
      </w:r>
      <w:r>
        <w:rPr>
          <w:rFonts w:hint="default" w:ascii="Times New Roman" w:hAnsi="Times New Roman" w:cs="Times New Roman"/>
          <w:i w:val="0"/>
          <w:iCs w:val="0"/>
          <w:sz w:val="24"/>
          <w:szCs w:val="24"/>
          <w:lang w:val="en-US" w:eastAsia="zh-CN"/>
        </w:rPr>
        <w:t xml:space="preserve"> previous research, think the </w:t>
      </w:r>
      <w:r>
        <w:rPr>
          <w:rFonts w:hint="eastAsia" w:ascii="Times New Roman" w:hAnsi="Times New Roman" w:cs="Times New Roman"/>
          <w:i w:val="0"/>
          <w:iCs w:val="0"/>
          <w:sz w:val="24"/>
          <w:szCs w:val="24"/>
          <w:lang w:val="en-US" w:eastAsia="zh-CN"/>
        </w:rPr>
        <w:t>fame</w:t>
      </w:r>
      <w:r>
        <w:rPr>
          <w:rFonts w:hint="default" w:ascii="Times New Roman" w:hAnsi="Times New Roman" w:cs="Times New Roman"/>
          <w:i w:val="0"/>
          <w:iCs w:val="0"/>
          <w:sz w:val="24"/>
          <w:szCs w:val="24"/>
          <w:lang w:val="en-US" w:eastAsia="zh-CN"/>
        </w:rPr>
        <w:t xml:space="preserve"> and security of the </w:t>
      </w:r>
      <w:r>
        <w:rPr>
          <w:rFonts w:hint="eastAsia" w:ascii="Times New Roman" w:hAnsi="Times New Roman" w:cs="Times New Roman"/>
          <w:i w:val="0"/>
          <w:iCs w:val="0"/>
          <w:sz w:val="24"/>
          <w:szCs w:val="24"/>
          <w:lang w:val="en-US" w:eastAsia="zh-CN"/>
        </w:rPr>
        <w:t>online</w:t>
      </w:r>
      <w:r>
        <w:rPr>
          <w:rFonts w:hint="default" w:ascii="Times New Roman" w:hAnsi="Times New Roman" w:cs="Times New Roman"/>
          <w:i w:val="0"/>
          <w:iCs w:val="0"/>
          <w:sz w:val="24"/>
          <w:szCs w:val="24"/>
          <w:lang w:val="en-US" w:eastAsia="zh-CN"/>
        </w:rPr>
        <w:t xml:space="preserve"> platform, service quality, and provide the product </w:t>
      </w:r>
      <w:r>
        <w:rPr>
          <w:rFonts w:hint="eastAsia" w:ascii="Times New Roman" w:hAnsi="Times New Roman" w:cs="Times New Roman"/>
          <w:i w:val="0"/>
          <w:iCs w:val="0"/>
          <w:sz w:val="24"/>
          <w:szCs w:val="24"/>
          <w:lang w:val="en-US" w:eastAsia="zh-CN"/>
        </w:rPr>
        <w:t>quality effect</w:t>
      </w:r>
      <w:r>
        <w:rPr>
          <w:rFonts w:hint="default" w:ascii="Times New Roman" w:hAnsi="Times New Roman" w:cs="Times New Roman"/>
          <w:i w:val="0"/>
          <w:iCs w:val="0"/>
          <w:sz w:val="24"/>
          <w:szCs w:val="24"/>
          <w:lang w:val="en-US" w:eastAsia="zh-CN"/>
        </w:rPr>
        <w:t xml:space="preserve"> the public to buy agricultural products online</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For people </w:t>
      </w:r>
      <w:r>
        <w:rPr>
          <w:rFonts w:hint="eastAsia" w:ascii="Times New Roman" w:hAnsi="Times New Roman" w:cs="Times New Roman"/>
          <w:i w:val="0"/>
          <w:iCs w:val="0"/>
          <w:sz w:val="24"/>
          <w:szCs w:val="24"/>
          <w:lang w:val="en-US" w:eastAsia="zh-CN"/>
        </w:rPr>
        <w:t xml:space="preserve">40 and </w:t>
      </w:r>
      <w:r>
        <w:rPr>
          <w:rFonts w:hint="default" w:ascii="Times New Roman" w:hAnsi="Times New Roman" w:cs="Times New Roman"/>
          <w:i w:val="0"/>
          <w:iCs w:val="0"/>
          <w:sz w:val="24"/>
          <w:szCs w:val="24"/>
          <w:lang w:val="en-US" w:eastAsia="zh-CN"/>
        </w:rPr>
        <w:t>under 40</w:t>
      </w:r>
      <w:r>
        <w:rPr>
          <w:rFonts w:hint="eastAsia" w:ascii="Times New Roman" w:hAnsi="Times New Roman" w:cs="Times New Roman"/>
          <w:i w:val="0"/>
          <w:iCs w:val="0"/>
          <w:sz w:val="24"/>
          <w:szCs w:val="24"/>
          <w:lang w:val="en-US" w:eastAsia="zh-CN"/>
        </w:rPr>
        <w:t>s</w:t>
      </w:r>
      <w:r>
        <w:rPr>
          <w:rFonts w:hint="default" w:ascii="Times New Roman" w:hAnsi="Times New Roman" w:cs="Times New Roman"/>
          <w:i w:val="0"/>
          <w:iCs w:val="0"/>
          <w:sz w:val="24"/>
          <w:szCs w:val="24"/>
          <w:lang w:val="en-US" w:eastAsia="zh-CN"/>
        </w:rPr>
        <w:t xml:space="preserve"> , the proportion of purchasing agricultural products on O2O platforms is higher, this may be for age is relatively small, computer proficiency higher, no matter what age paragraph the person,The freshness and cold-chain conditions of </w:t>
      </w:r>
      <w:r>
        <w:rPr>
          <w:rFonts w:hint="eastAsia" w:ascii="Times New Roman" w:hAnsi="Times New Roman" w:cs="Times New Roman"/>
          <w:i w:val="0"/>
          <w:iCs w:val="0"/>
          <w:sz w:val="24"/>
          <w:szCs w:val="24"/>
          <w:lang w:val="en-US" w:eastAsia="zh-CN"/>
        </w:rPr>
        <w:t xml:space="preserve">agriculture </w:t>
      </w:r>
      <w:r>
        <w:rPr>
          <w:rFonts w:hint="default" w:ascii="Times New Roman" w:hAnsi="Times New Roman" w:cs="Times New Roman"/>
          <w:i w:val="0"/>
          <w:iCs w:val="0"/>
          <w:sz w:val="24"/>
          <w:szCs w:val="24"/>
          <w:lang w:val="en-US" w:eastAsia="zh-CN"/>
        </w:rPr>
        <w:t>produc</w:t>
      </w:r>
      <w:r>
        <w:rPr>
          <w:rFonts w:hint="eastAsia" w:ascii="Times New Roman" w:hAnsi="Times New Roman" w:cs="Times New Roman"/>
          <w:i w:val="0"/>
          <w:iCs w:val="0"/>
          <w:sz w:val="24"/>
          <w:szCs w:val="24"/>
          <w:lang w:val="en-US" w:eastAsia="zh-CN"/>
        </w:rPr>
        <w:t>t</w:t>
      </w:r>
      <w:r>
        <w:rPr>
          <w:rFonts w:hint="default" w:ascii="Times New Roman" w:hAnsi="Times New Roman" w:cs="Times New Roman"/>
          <w:i w:val="0"/>
          <w:iCs w:val="0"/>
          <w:sz w:val="24"/>
          <w:szCs w:val="24"/>
          <w:lang w:val="en-US" w:eastAsia="zh-CN"/>
        </w:rPr>
        <w:t xml:space="preserve"> are the main factors influencing their online purchases.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The chapter has analyzed collected data successfully and probe into public opinion  on the combination of agriculture produce O2O, the third chapter will complete the final implications of findings and some advice will be given.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5.0 Chapter Five: Conclusions and Recommendations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keepNext w:val="0"/>
        <w:keepLines w:val="0"/>
        <w:pageBreakBefore w:val="0"/>
        <w:widowControl w:val="0"/>
        <w:numPr>
          <w:ilvl w:val="1"/>
          <w:numId w:val="13"/>
        </w:numPr>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Introduction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While the </w:t>
      </w:r>
      <w:r>
        <w:rPr>
          <w:rFonts w:hint="eastAsia" w:ascii="Times New Roman" w:hAnsi="Times New Roman" w:cs="Times New Roman"/>
          <w:sz w:val="24"/>
          <w:szCs w:val="24"/>
          <w:lang w:val="en-US" w:eastAsia="zh-CN"/>
        </w:rPr>
        <w:t>fourth</w:t>
      </w:r>
      <w:r>
        <w:rPr>
          <w:rFonts w:hint="default" w:ascii="Times New Roman" w:hAnsi="Times New Roman" w:cs="Times New Roman"/>
          <w:sz w:val="24"/>
          <w:szCs w:val="24"/>
          <w:lang w:val="en-US" w:eastAsia="zh-CN"/>
        </w:rPr>
        <w:t xml:space="preserve"> chapter analyzed the data </w:t>
      </w:r>
      <w:r>
        <w:rPr>
          <w:rFonts w:hint="eastAsia" w:ascii="Times New Roman" w:hAnsi="Times New Roman" w:cs="Times New Roman"/>
          <w:sz w:val="24"/>
          <w:szCs w:val="24"/>
          <w:lang w:val="en-US" w:eastAsia="zh-CN"/>
        </w:rPr>
        <w:t>of the research</w:t>
      </w:r>
      <w:r>
        <w:rPr>
          <w:rFonts w:hint="default" w:ascii="Times New Roman" w:hAnsi="Times New Roman" w:cs="Times New Roman"/>
          <w:sz w:val="24"/>
          <w:szCs w:val="24"/>
          <w:lang w:val="en-US" w:eastAsia="zh-CN"/>
        </w:rPr>
        <w:t xml:space="preserve"> and highlighted the </w:t>
      </w:r>
      <w:r>
        <w:rPr>
          <w:rFonts w:hint="eastAsia" w:ascii="Times New Roman" w:hAnsi="Times New Roman" w:cs="Times New Roman"/>
          <w:sz w:val="24"/>
          <w:szCs w:val="24"/>
          <w:lang w:val="en-US" w:eastAsia="zh-CN"/>
        </w:rPr>
        <w:t>primary</w:t>
      </w:r>
      <w:r>
        <w:rPr>
          <w:rFonts w:hint="default" w:ascii="Times New Roman" w:hAnsi="Times New Roman" w:cs="Times New Roman"/>
          <w:sz w:val="24"/>
          <w:szCs w:val="24"/>
          <w:lang w:val="en-US" w:eastAsia="zh-CN"/>
        </w:rPr>
        <w:t xml:space="preserve"> findings, this chapter will look at the practical implications of the study and make some recommendations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1"/>
          <w:numId w:val="13"/>
        </w:numPr>
        <w:kinsoku/>
        <w:wordWrap/>
        <w:overflowPunct/>
        <w:topLinePunct w:val="0"/>
        <w:autoSpaceDE/>
        <w:autoSpaceDN/>
        <w:bidi w:val="0"/>
        <w:adjustRightInd/>
        <w:snapToGrid/>
        <w:spacing w:line="360" w:lineRule="auto"/>
        <w:ind w:left="0" w:leftChars="0" w:firstLine="0" w:firstLine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Main Findings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analysis in the previous chapter, we can see that the quality, after-sales service, web design, payment method and logistics distribution of agricultural products all have a positive impact on improving consumers' online and offline purchasing behavior and satisfaction of agricultural products.Although people under the age of 40 are more satisfied with the O2O platform's web design, after-sales service, and they are more likely to shop online, this does not affect the conclusion.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it is concluded that the freshness of agricultural products, the cold chain conditions and the intact condition in the transportation process all greatly affect people's shopping of agricultural products on the O2O platform</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1"/>
          <w:numId w:val="13"/>
        </w:numPr>
        <w:kinsoku/>
        <w:wordWrap/>
        <w:overflowPunct/>
        <w:topLinePunct w:val="0"/>
        <w:autoSpaceDE/>
        <w:autoSpaceDN/>
        <w:bidi w:val="0"/>
        <w:adjustRightInd/>
        <w:snapToGrid/>
        <w:spacing w:line="360" w:lineRule="auto"/>
        <w:ind w:left="0" w:leftChars="0" w:firstLine="0" w:firstLine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Complication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Otto and Kaiser (2014) and Rice (2019) noted that by exposing more problems, participation and awareness of problems can be increased, thereby better promoting the creation of solutions.</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Current research has highlighted this fact</w:t>
      </w:r>
      <w:r>
        <w:rPr>
          <w:rFonts w:hint="eastAsia" w:ascii="Times New Roman" w:hAnsi="Times New Roman" w:cs="Times New Roman"/>
          <w:sz w:val="24"/>
          <w:szCs w:val="24"/>
          <w:lang w:val="en-US" w:eastAsia="zh-CN"/>
        </w:rPr>
        <w:t>, fresh agricultural products e-commerce and its O2O mode have the following problems: problems caused by the limitations of fresh agricultural products, problems existing in the end distribution of fresh agricultural products, cold chain logistics technology cost investment and high technical requirements. Therefore, these factors can be used to improve the willingness of consumers to buy online.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1"/>
          <w:numId w:val="13"/>
        </w:numPr>
        <w:kinsoku/>
        <w:wordWrap/>
        <w:overflowPunct/>
        <w:topLinePunct w:val="0"/>
        <w:autoSpaceDE/>
        <w:autoSpaceDN/>
        <w:bidi w:val="0"/>
        <w:adjustRightInd/>
        <w:snapToGrid/>
        <w:spacing w:line="360" w:lineRule="auto"/>
        <w:ind w:left="0" w:leftChars="0" w:firstLine="0" w:firstLine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Recommendations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e-commerce of agricultural products under the O2O model, how to further improve the satisfaction of consumers' purchase intention and how to meet the personalized requirements of consumers, the following suggestions are proposed for the e-commerce under the O2O model</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Strictly control the quality of products, because quality is the core of consumers’ concerns. If the quality does not meet the requirements of consumers, no matter how good timely service is, no matter how low the price is, consumers will not be attracted. Therefore, businesses should start from the supply chain of agricultural products. Strictly control and provide fresh, safe and reliable fresh agricultural products for consumers to choose.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Pay attention to online webpage design. In addition to the text information of the pictures displayed on the webpage, the visual and auditory systems of consumers can be mobilized through color changes. In order to increase consumers' willingness to buy.</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Improve the quality of after-sales service, set up after-sales service hotline and professional customer service to protect the rights and interests of consumers.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O2O model, fresh agricultural products and their information are quickly transmitted to consumers through online promotion. By accumulating large-scale orders and completing offline transactions, the circulation efficiency of the supply chain of agricultural products is improved to save costs.</w:t>
      </w:r>
      <w:r>
        <w:rPr>
          <w:rFonts w:hint="eastAsia" w:ascii="Times New Roman" w:hAnsi="Times New Roman" w:cs="Times New Roman"/>
          <w:sz w:val="24"/>
          <w:szCs w:val="24"/>
          <w:lang w:val="en-US" w:eastAsia="zh-CN"/>
        </w:rPr>
        <w:t>( Shen et al, 2018)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development of artificial intelligence, UAV delivery, the emergence of delivery robots, the establishment of Efficient and fast intelligent logistics, not only can improve the level of cold chain logistics and can ensure the quality and freshness of agricultural products</w:t>
      </w:r>
      <w:r>
        <w:rPr>
          <w:rFonts w:hint="eastAsia" w:ascii="Times New Roman" w:hAnsi="Times New Roman" w:cs="Times New Roman"/>
          <w:sz w:val="24"/>
          <w:szCs w:val="24"/>
          <w:lang w:val="en-US" w:eastAsia="zh-CN"/>
        </w:rPr>
        <w:t>( Jiang, 2016).</w:t>
      </w:r>
      <w:r>
        <w:rPr>
          <w:rFonts w:hint="default" w:ascii="Times New Roman" w:hAnsi="Times New Roman" w:cs="Times New Roman"/>
          <w:sz w:val="24"/>
          <w:szCs w:val="24"/>
          <w:lang w:val="en-US" w:eastAsia="zh-CN"/>
        </w:rPr>
        <w:t xml:space="preserve"> this year's </w:t>
      </w:r>
      <w:r>
        <w:rPr>
          <w:rFonts w:hint="eastAsia" w:ascii="Times New Roman" w:hAnsi="Times New Roman" w:cs="Times New Roman"/>
          <w:sz w:val="24"/>
          <w:szCs w:val="24"/>
          <w:lang w:val="en-US" w:eastAsia="zh-CN"/>
        </w:rPr>
        <w:t xml:space="preserve">Covid-19 </w:t>
      </w:r>
      <w:r>
        <w:rPr>
          <w:rFonts w:hint="default" w:ascii="Times New Roman" w:hAnsi="Times New Roman" w:cs="Times New Roman"/>
          <w:sz w:val="24"/>
          <w:szCs w:val="24"/>
          <w:lang w:val="en-US" w:eastAsia="zh-CN"/>
        </w:rPr>
        <w:t>period, the advantage of unmanned delivery of intelligent logistics is particularly attractive.</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customized production and sales of agricultural products are realized through online reservations and order purchases to meet the shopping experience and individual needs of consumers, and to improve the sales capabilities of agricultural products</w:t>
      </w:r>
      <w:r>
        <w:rPr>
          <w:rFonts w:hint="eastAsia" w:ascii="Times New Roman" w:hAnsi="Times New Roman" w:cs="Times New Roman"/>
          <w:sz w:val="24"/>
          <w:szCs w:val="24"/>
          <w:lang w:val="en-US" w:eastAsia="zh-CN"/>
        </w:rPr>
        <w:t xml:space="preserve"> (Ding, 2016)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1"/>
          <w:numId w:val="13"/>
        </w:numPr>
        <w:kinsoku/>
        <w:wordWrap/>
        <w:overflowPunct/>
        <w:topLinePunct w:val="0"/>
        <w:autoSpaceDE/>
        <w:autoSpaceDN/>
        <w:bidi w:val="0"/>
        <w:adjustRightInd/>
        <w:snapToGrid/>
        <w:spacing w:line="360" w:lineRule="auto"/>
        <w:ind w:left="0" w:leftChars="0" w:firstLine="0" w:firstLine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Self-reflection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In the early stage, I did not seriously study Sa</w:t>
      </w:r>
      <w:r>
        <w:rPr>
          <w:rFonts w:hint="eastAsia" w:ascii="Times New Roman" w:hAnsi="Times New Roman" w:cs="Times New Roman"/>
          <w:b w:val="0"/>
          <w:bCs w:val="0"/>
          <w:sz w:val="24"/>
          <w:szCs w:val="24"/>
          <w:lang w:val="en-US" w:eastAsia="zh-CN"/>
        </w:rPr>
        <w:t>u</w:t>
      </w:r>
      <w:r>
        <w:rPr>
          <w:rFonts w:hint="default" w:ascii="Times New Roman" w:hAnsi="Times New Roman" w:cs="Times New Roman"/>
          <w:b w:val="0"/>
          <w:bCs w:val="0"/>
          <w:sz w:val="24"/>
          <w:szCs w:val="24"/>
          <w:lang w:val="en-US" w:eastAsia="zh-CN"/>
        </w:rPr>
        <w:t>nders onion method, so the second section submitted for the first time not only did not match the third section, but also the writing thought was confused. Therefore, I restarted the writing of the second chapter and the third chapter, which led to the slow progress of the paper.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Secondly, due to my unfamiliarity with SPSS software system, I spent a period of time learning it, which further led to the haste of the paper</w:t>
      </w:r>
      <w:r>
        <w:rPr>
          <w:rFonts w:hint="eastAsia" w:ascii="Times New Roman" w:hAnsi="Times New Roman" w:cs="Times New Roman"/>
          <w:b w:val="0"/>
          <w:bCs w:val="0"/>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numPr>
          <w:ilvl w:val="1"/>
          <w:numId w:val="13"/>
        </w:numPr>
        <w:kinsoku/>
        <w:wordWrap/>
        <w:overflowPunct/>
        <w:topLinePunct w:val="0"/>
        <w:autoSpaceDE/>
        <w:autoSpaceDN/>
        <w:bidi w:val="0"/>
        <w:adjustRightInd/>
        <w:snapToGrid/>
        <w:spacing w:line="360" w:lineRule="auto"/>
        <w:ind w:left="0" w:leftChars="0" w:firstLine="0" w:firstLineChars="0"/>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practical implications of this study are understood in this chapter</w:t>
      </w:r>
      <w:r>
        <w:rPr>
          <w:rFonts w:hint="eastAsia" w:ascii="Times New Roman" w:hAnsi="Times New Roman" w:cs="Times New Roman"/>
          <w:b w:val="0"/>
          <w:bCs w:val="0"/>
          <w:sz w:val="24"/>
          <w:szCs w:val="24"/>
          <w:lang w:val="en-US" w:eastAsia="zh-CN"/>
        </w:rPr>
        <w:t>, and some advice has been provided.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paper is a combination of online and offline promotion research of agricultural products market, connecting huge consumers and various offline entities providing agricultural products, as well as various entities providing circulation, sales and services of agricultural products through the O2O platform.The study of consumer satisfaction from the quality of product factors, network platform, service quality, etc, in order to improve the satisfaction of consumer, from the logistics distribution, after-sale service, perspective, means of payment in the last some Suggestions are put forward from the aspects of the supply chain to help produce electricity in O2O mode development better.The O2O model of agricultural products will certainly become a strong driving force for modern agriculture in line with the ecological system.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6.0 Appendix</w:t>
      </w:r>
    </w:p>
    <w:p>
      <w:pPr>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6</w:t>
      </w:r>
      <w:r>
        <w:rPr>
          <w:rFonts w:hint="default" w:ascii="Times New Roman" w:hAnsi="Times New Roman" w:cs="Times New Roman"/>
          <w:sz w:val="28"/>
          <w:szCs w:val="28"/>
          <w:lang w:val="en-US" w:eastAsia="zh-CN"/>
        </w:rPr>
        <w:t>.</w:t>
      </w:r>
      <w:r>
        <w:rPr>
          <w:rFonts w:hint="eastAsia" w:ascii="Times New Roman" w:hAnsi="Times New Roman" w:cs="Times New Roman"/>
          <w:sz w:val="28"/>
          <w:szCs w:val="28"/>
          <w:lang w:val="en-US" w:eastAsia="zh-CN"/>
        </w:rPr>
        <w:t xml:space="preserve">1 </w:t>
      </w:r>
      <w:r>
        <w:rPr>
          <w:rFonts w:hint="default" w:ascii="Times New Roman" w:hAnsi="Times New Roman" w:cs="Times New Roman"/>
          <w:sz w:val="28"/>
          <w:szCs w:val="28"/>
          <w:lang w:val="en-US" w:eastAsia="zh-CN"/>
        </w:rPr>
        <w:t xml:space="preserve">Appendix. </w:t>
      </w:r>
      <w:r>
        <w:rPr>
          <w:rFonts w:hint="eastAsia" w:ascii="Times New Roman" w:hAnsi="Times New Roman" w:cs="Times New Roman"/>
          <w:sz w:val="28"/>
          <w:szCs w:val="28"/>
          <w:lang w:val="en-US" w:eastAsia="zh-CN"/>
        </w:rPr>
        <w:t>1</w:t>
      </w:r>
      <w:r>
        <w:rPr>
          <w:rFonts w:hint="default" w:ascii="Times New Roman" w:hAnsi="Times New Roman" w:cs="Times New Roman"/>
          <w:sz w:val="28"/>
          <w:szCs w:val="28"/>
          <w:lang w:val="en-US" w:eastAsia="zh-CN"/>
        </w:rPr>
        <w:t>– Copy of Questionnaire</w:t>
      </w:r>
    </w:p>
    <w:p>
      <w:pPr>
        <w:numPr>
          <w:ilvl w:val="0"/>
          <w:numId w:val="0"/>
        </w:num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Questionnaire survey on O2O marketing model of agricultural products</w:t>
      </w:r>
    </w:p>
    <w:p>
      <w:pPr>
        <w:numPr>
          <w:ilvl w:val="0"/>
          <w:numId w:val="0"/>
        </w:numPr>
        <w:rPr>
          <w:rFonts w:hint="eastAsia" w:ascii="Times New Roman" w:hAnsi="Times New Roman" w:cs="Times New Roman"/>
          <w:b w:val="0"/>
          <w:bCs w:val="0"/>
          <w:sz w:val="21"/>
          <w:szCs w:val="21"/>
          <w:lang w:val="en-US" w:eastAsia="zh-CN"/>
        </w:rPr>
      </w:pPr>
      <w:r>
        <w:rPr>
          <w:rFonts w:hint="eastAsia" w:ascii="Times New Roman" w:hAnsi="Times New Roman" w:cs="Times New Roman"/>
          <w:b w:val="0"/>
          <w:bCs w:val="0"/>
          <w:sz w:val="21"/>
          <w:szCs w:val="21"/>
          <w:lang w:val="en-US" w:eastAsia="zh-CN"/>
        </w:rPr>
        <w:t>Different from traditional e-commerce (such as Taobao, Pinduoduo, etc.), O2O (Online to Offline) is a marketing mode that combines Online standardization with Offline experience, typical examples are Hema Xiansheng, Gome, Suning, etc.We are evaluating the online-to-offline (O2O) marketing model for agricultural products to see what we need to improve to make it more suitable for our customers.Thank you for taking the time to fill out this questionnaire!Your answers will be kept in complete confidence.</w:t>
      </w:r>
    </w:p>
    <w:p>
      <w:pPr>
        <w:numPr>
          <w:ilvl w:val="0"/>
          <w:numId w:val="0"/>
        </w:numPr>
        <w:rPr>
          <w:rFonts w:hint="eastAsia" w:ascii="Times New Roman" w:hAnsi="Times New Roman" w:cs="Times New Roman"/>
          <w:b/>
          <w:bCs/>
          <w:sz w:val="24"/>
          <w:szCs w:val="24"/>
          <w:lang w:val="en-US" w:eastAsia="zh-CN"/>
        </w:rPr>
      </w:pPr>
    </w:p>
    <w:p>
      <w:pPr>
        <w:numPr>
          <w:ilvl w:val="0"/>
          <w:numId w:val="0"/>
        </w:num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Section A( Please tick one )</w:t>
      </w:r>
    </w:p>
    <w:p>
      <w:pPr>
        <w:numPr>
          <w:ilvl w:val="0"/>
          <w:numId w:val="14"/>
        </w:numPr>
        <w:rPr>
          <w:rFonts w:hint="default" w:ascii="Times New Roman" w:hAnsi="Times New Roman" w:cs="Times New Roman"/>
          <w:b/>
          <w:bCs/>
          <w:sz w:val="24"/>
          <w:szCs w:val="24"/>
          <w:lang w:val="en-US" w:eastAsia="zh-CN"/>
        </w:rPr>
      </w:pPr>
      <w:r>
        <w:rPr>
          <w:rFonts w:hint="eastAsia" w:ascii="Times New Roman" w:hAnsi="Times New Roman" w:cs="Times New Roman"/>
          <w:sz w:val="24"/>
          <w:szCs w:val="24"/>
          <w:vertAlign w:val="baseline"/>
          <w:lang w:val="en-US" w:eastAsia="zh-CN"/>
        </w:rPr>
        <w:t>Q1 The data collected from this questionnaire will be kept confidential and anonymous. Please state whether you agree that your results are used as part of my BA research project</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Mark only one oval</w:t>
      </w:r>
    </w:p>
    <w:p>
      <w:pPr>
        <w:numPr>
          <w:ilvl w:val="0"/>
          <w:numId w:val="0"/>
        </w:numPr>
        <w:rPr>
          <w:rFonts w:hint="eastAsia" w:ascii="Times New Roman" w:hAnsi="Times New Roman" w:cs="Times New Roman"/>
          <w:b/>
          <w:bCs/>
          <w:sz w:val="24"/>
          <w:szCs w:val="24"/>
          <w:lang w:val="en-US" w:eastAsia="zh-CN"/>
        </w:rPr>
      </w:pP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I give my consent results to be used                               </w:t>
      </w: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I do not give my consent for my results to be used                    </w:t>
      </w: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w:t>
      </w:r>
    </w:p>
    <w:p>
      <w:pPr>
        <w:numPr>
          <w:ilvl w:val="0"/>
          <w:numId w:val="0"/>
        </w:numPr>
        <w:rPr>
          <w:rFonts w:hint="eastAsia" w:ascii="Times New Roman" w:hAnsi="Times New Roman" w:cs="Times New Roman"/>
          <w:sz w:val="24"/>
          <w:szCs w:val="24"/>
          <w:vertAlign w:val="baseline"/>
          <w:lang w:val="en-US" w:eastAsia="zh-CN"/>
        </w:rPr>
      </w:pPr>
    </w:p>
    <w:p>
      <w:pPr>
        <w:numPr>
          <w:ilvl w:val="0"/>
          <w:numId w:val="0"/>
        </w:numPr>
        <w:rPr>
          <w:rFonts w:hint="eastAsia" w:ascii="Times New Roman" w:hAnsi="Times New Roman" w:cs="Times New Roman"/>
          <w:b/>
          <w:bCs/>
          <w:sz w:val="24"/>
          <w:szCs w:val="24"/>
          <w:lang w:val="en-US" w:eastAsia="zh-CN"/>
        </w:rPr>
      </w:pPr>
    </w:p>
    <w:p>
      <w:pPr>
        <w:numPr>
          <w:ilvl w:val="0"/>
          <w:numId w:val="14"/>
        </w:numPr>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Q2 What age range do you belong to ?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Mark only one oval</w:t>
      </w:r>
    </w:p>
    <w:p>
      <w:pPr>
        <w:numPr>
          <w:ilvl w:val="0"/>
          <w:numId w:val="0"/>
        </w:numPr>
        <w:rPr>
          <w:rFonts w:hint="default" w:ascii="Times New Roman" w:hAnsi="Times New Roman" w:cs="Times New Roman"/>
          <w:sz w:val="24"/>
          <w:szCs w:val="24"/>
          <w:vertAlign w:val="baseline"/>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18 and below</w:t>
      </w:r>
    </w:p>
    <w:p>
      <w:pPr>
        <w:numPr>
          <w:ilvl w:val="0"/>
          <w:numId w:val="0"/>
        </w:numPr>
        <w:rPr>
          <w:rFonts w:hint="eastAsia" w:ascii="Times New Roman" w:hAnsi="Times New Roman" w:cs="Times New Roman"/>
          <w:b/>
          <w:bCs/>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19-30   </w:t>
      </w:r>
      <w:r>
        <w:rPr>
          <w:rFonts w:hint="eastAsia" w:ascii="Times New Roman" w:hAnsi="Times New Roman" w:cs="Times New Roman"/>
          <w:b/>
          <w:bCs/>
          <w:sz w:val="24"/>
          <w:szCs w:val="24"/>
          <w:lang w:val="en-US" w:eastAsia="zh-CN"/>
        </w:rPr>
        <w:t xml:space="preserve">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31-40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41-50 </w:t>
      </w:r>
      <w:r>
        <w:rPr>
          <w:rFonts w:hint="eastAsia" w:ascii="Times New Roman" w:hAnsi="Times New Roman" w:cs="Times New Roman"/>
          <w:sz w:val="24"/>
          <w:szCs w:val="24"/>
          <w:vertAlign w:val="baseline"/>
          <w:lang w:val="en-US" w:eastAsia="zh-CN"/>
        </w:rPr>
        <w:t xml:space="preserve">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51 and above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  </w:t>
      </w:r>
    </w:p>
    <w:p>
      <w:pPr>
        <w:numPr>
          <w:ilvl w:val="0"/>
          <w:numId w:val="14"/>
        </w:numPr>
        <w:ind w:left="0" w:leftChars="0" w:firstLine="0" w:firstLine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Q3 What is your gender ? ( If other please specify)</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Mark only one oval</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M</w:t>
      </w:r>
      <w:r>
        <w:rPr>
          <w:rFonts w:hint="eastAsia" w:ascii="Times New Roman" w:hAnsi="Times New Roman" w:cs="Times New Roman"/>
          <w:sz w:val="24"/>
          <w:szCs w:val="24"/>
          <w:lang w:val="en-US" w:eastAsia="zh-CN"/>
        </w:rPr>
        <w:t xml:space="preserve">ale     </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Fem</w:t>
      </w:r>
      <w:r>
        <w:rPr>
          <w:rFonts w:hint="eastAsia" w:ascii="Times New Roman" w:hAnsi="Times New Roman" w:cs="Times New Roman"/>
          <w:sz w:val="24"/>
          <w:szCs w:val="24"/>
          <w:lang w:val="en-US" w:eastAsia="zh-CN"/>
        </w:rPr>
        <w:t xml:space="preserve">ale    </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pageBreakBefore w:val="0"/>
        <w:widowControl w:val="0"/>
        <w:numPr>
          <w:ilvl w:val="0"/>
          <w:numId w:val="14"/>
        </w:numPr>
        <w:kinsoku/>
        <w:wordWrap/>
        <w:overflowPunct/>
        <w:topLinePunct w:val="0"/>
        <w:autoSpaceDE/>
        <w:autoSpaceDN/>
        <w:bidi w:val="0"/>
        <w:adjustRightInd/>
        <w:snapToGrid/>
        <w:spacing w:line="360" w:lineRule="auto"/>
        <w:ind w:left="0" w:leftChars="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Q4 What is the highest degree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Mark only one oval</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Junior high school and below </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High school        </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College         </w:t>
      </w: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Undergraduate course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Postgraduate or above</w:t>
      </w:r>
    </w:p>
    <w:p>
      <w:pPr>
        <w:numPr>
          <w:ilvl w:val="0"/>
          <w:numId w:val="0"/>
        </w:numPr>
        <w:ind w:left="8160" w:leftChars="0" w:hanging="8160" w:hangingChars="34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14"/>
        </w:numPr>
        <w:ind w:left="0" w:leftChars="0" w:firstLine="0" w:firstLine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Q5 How much do you get per month ?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Mark only one oval</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Below average level</w:t>
      </w:r>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average level                                                        </w:t>
      </w:r>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24"/>
          <w:szCs w:val="24"/>
          <w:lang w:val="en-US" w:eastAsia="zh-CN"/>
        </w:rPr>
        <w:t xml:space="preserve">Above average level                                                   </w:t>
      </w:r>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ind w:leftChars="0"/>
        <w:rPr>
          <w:rFonts w:hint="eastAsia" w:ascii="Times New Roman" w:hAnsi="Times New Roman" w:cs="Times New Roman"/>
          <w:sz w:val="24"/>
          <w:szCs w:val="24"/>
          <w:lang w:val="en-US" w:eastAsia="zh-CN"/>
        </w:rPr>
      </w:pPr>
    </w:p>
    <w:p>
      <w:pPr>
        <w:numPr>
          <w:ilvl w:val="0"/>
          <w:numId w:val="14"/>
        </w:numPr>
        <w:ind w:left="0" w:leftChars="0" w:firstLine="0" w:firstLineChars="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Q6 What is your employment status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Mark only one oval</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Unemployed</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Self- employed</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w:t>
      </w:r>
      <w:r>
        <w:rPr>
          <w:rFonts w:hint="eastAsia" w:ascii="Times New Roman" w:hAnsi="Times New Roman" w:cs="Times New Roman"/>
          <w:sz w:val="24"/>
          <w:szCs w:val="24"/>
          <w:lang w:val="en-US" w:eastAsia="zh-CN"/>
        </w:rPr>
        <w:t xml:space="preserve"> Clerk</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w:t>
      </w:r>
      <w:r>
        <w:rPr>
          <w:rFonts w:hint="eastAsia" w:ascii="Times New Roman" w:hAnsi="Times New Roman" w:cs="Times New Roman"/>
          <w:sz w:val="24"/>
          <w:szCs w:val="24"/>
          <w:lang w:val="en-US" w:eastAsia="zh-CN"/>
        </w:rPr>
        <w:t xml:space="preserve"> Civil Servant/Public Institution/Government</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w:t>
      </w:r>
      <w:r>
        <w:rPr>
          <w:rFonts w:hint="eastAsia" w:ascii="Times New Roman" w:hAnsi="Times New Roman" w:cs="Times New Roman"/>
          <w:sz w:val="24"/>
          <w:szCs w:val="24"/>
          <w:lang w:val="en-US" w:eastAsia="zh-CN"/>
        </w:rPr>
        <w:t xml:space="preserve"> Ordinary workers</w:t>
      </w:r>
    </w:p>
    <w:p>
      <w:pPr>
        <w:numPr>
          <w:ilvl w:val="0"/>
          <w:numId w:val="0"/>
        </w:numPr>
        <w:ind w:leftChars="0"/>
        <w:rPr>
          <w:rFonts w:hint="default"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 Others</w:t>
      </w:r>
    </w:p>
    <w:p>
      <w:pPr>
        <w:numPr>
          <w:ilvl w:val="0"/>
          <w:numId w:val="0"/>
        </w:numPr>
        <w:ind w:leftChars="0"/>
        <w:rPr>
          <w:rFonts w:hint="eastAsia" w:ascii="Times New Roman" w:hAnsi="Times New Roman" w:cs="Times New Roman"/>
          <w:sz w:val="24"/>
          <w:szCs w:val="24"/>
          <w:lang w:val="en-US" w:eastAsia="zh-CN"/>
        </w:rPr>
      </w:pPr>
    </w:p>
    <w:p>
      <w:pPr>
        <w:numPr>
          <w:ilvl w:val="0"/>
          <w:numId w:val="14"/>
        </w:numPr>
        <w:ind w:left="0" w:leftChars="0" w:firstLine="0" w:firstLine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Q7 What is your preferred way of shopping?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Mark only one oval</w:t>
      </w:r>
    </w:p>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vertAlign w:val="baseline"/>
          <w:lang w:val="en-US" w:eastAsia="zh-CN"/>
        </w:rPr>
        <w:t>▢</w:t>
      </w:r>
      <w:r>
        <w:rPr>
          <w:rFonts w:hint="eastAsia" w:ascii="Times New Roman" w:hAnsi="Times New Roman" w:cs="Times New Roman"/>
          <w:sz w:val="24"/>
          <w:szCs w:val="24"/>
          <w:lang w:val="en-US" w:eastAsia="zh-CN"/>
        </w:rPr>
        <w:t xml:space="preserve"> Online</w:t>
      </w: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vertAlign w:val="baseline"/>
          <w:lang w:val="en-US" w:eastAsia="zh-CN"/>
        </w:rPr>
        <w:t>▢</w:t>
      </w:r>
      <w:r>
        <w:rPr>
          <w:rFonts w:hint="eastAsia" w:ascii="Times New Roman" w:hAnsi="Times New Roman" w:cs="Times New Roman"/>
          <w:sz w:val="24"/>
          <w:szCs w:val="24"/>
          <w:lang w:val="en-US" w:eastAsia="zh-CN"/>
        </w:rPr>
        <w:t xml:space="preserve"> Offline</w:t>
      </w: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vertAlign w:val="baseline"/>
          <w:lang w:val="en-US" w:eastAsia="zh-CN"/>
        </w:rPr>
        <w:t>▢ Online and offline</w:t>
      </w:r>
    </w:p>
    <w:p>
      <w:pPr>
        <w:numPr>
          <w:ilvl w:val="0"/>
          <w:numId w:val="0"/>
        </w:numPr>
        <w:rPr>
          <w:rFonts w:hint="eastAsia" w:ascii="Times New Roman" w:hAnsi="Times New Roman" w:cs="Times New Roman"/>
          <w:sz w:val="24"/>
          <w:szCs w:val="24"/>
          <w:lang w:val="en-US" w:eastAsia="zh-CN"/>
        </w:rPr>
      </w:pPr>
    </w:p>
    <w:p>
      <w:pPr>
        <w:numPr>
          <w:ilvl w:val="0"/>
          <w:numId w:val="14"/>
        </w:numPr>
        <w:ind w:left="0" w:leftChars="0" w:firstLine="0" w:firstLine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Q8 How much impact do you think the credibility and security of the Internet platforms have on consumers' attitudes toward purchasing agricultural products?</w:t>
      </w:r>
    </w:p>
    <w:p>
      <w:pPr>
        <w:numPr>
          <w:ilvl w:val="0"/>
          <w:numId w:val="0"/>
        </w:numPr>
        <w:ind w:leftChars="0"/>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Mark only one oval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1      2      3      4      5</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Not very important  </w:t>
      </w:r>
      <w:r>
        <w:rPr>
          <w:rFonts w:hint="eastAsia" w:ascii="Times New Roman" w:hAnsi="Times New Roman" w:cs="Times New Roman"/>
          <w:sz w:val="24"/>
          <w:szCs w:val="24"/>
          <w:vertAlign w:val="baseline"/>
          <w:lang w:val="en-US" w:eastAsia="zh-CN"/>
        </w:rPr>
        <w:t>▢     ▢     ▢     ▢     ▢     Extremely Important</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9.Q9 To what extent do you think the service quality of the Internet platform has influenced consumers' attitude towards purchasing agricultural products?</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Mark only one oval        </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1      2      3      4      5</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Not very important  </w:t>
      </w:r>
      <w:r>
        <w:rPr>
          <w:rFonts w:hint="eastAsia" w:ascii="Times New Roman" w:hAnsi="Times New Roman" w:cs="Times New Roman"/>
          <w:sz w:val="24"/>
          <w:szCs w:val="24"/>
          <w:vertAlign w:val="baseline"/>
          <w:lang w:val="en-US" w:eastAsia="zh-CN"/>
        </w:rPr>
        <w:t>▢     ▢     ▢     ▢     ▢     Extremely Important</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10.Q10 How much do you think the quality of product of the Internet platform has influenced consumers' attitudes toward purchasing agricultural products?</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Mark only one oval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1      2      3      4      5</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Not very important  </w:t>
      </w:r>
      <w:r>
        <w:rPr>
          <w:rFonts w:hint="eastAsia" w:ascii="Times New Roman" w:hAnsi="Times New Roman" w:cs="Times New Roman"/>
          <w:sz w:val="24"/>
          <w:szCs w:val="24"/>
          <w:vertAlign w:val="baseline"/>
          <w:lang w:val="en-US" w:eastAsia="zh-CN"/>
        </w:rPr>
        <w:t>▢     ▢     ▢     ▢     ▢     Extremely Important</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11.Q11 How satisfied are you with the following items</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Mark only one oval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1      2      3      4      5</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lang w:val="en-US" w:eastAsia="zh-CN"/>
        </w:rPr>
        <w:t xml:space="preserve">Not very satisfied   </w:t>
      </w:r>
      <w:r>
        <w:rPr>
          <w:rFonts w:hint="eastAsia" w:ascii="Times New Roman" w:hAnsi="Times New Roman" w:cs="Times New Roman"/>
          <w:sz w:val="24"/>
          <w:szCs w:val="24"/>
          <w:vertAlign w:val="baseline"/>
          <w:lang w:val="en-US" w:eastAsia="zh-CN"/>
        </w:rPr>
        <w:t>▢     ▢     ▢     ▢     ▢     Extremely satisfied</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w:t>
      </w:r>
      <w:r>
        <w:rPr>
          <w:rFonts w:hint="default" w:ascii="Times New Roman" w:hAnsi="Times New Roman" w:cs="Times New Roman"/>
          <w:sz w:val="24"/>
          <w:szCs w:val="24"/>
          <w:vertAlign w:val="baseline"/>
          <w:lang w:val="en-US" w:eastAsia="zh-CN"/>
        </w:rPr>
        <w:t>Website page design</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of e-commerce</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3"/>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It is easy to find the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goods you want on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the Internet</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3"/>
        </w:numPr>
        <w:ind w:left="0" w:leftChars="0" w:firstLine="0" w:firstLine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The product information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displayed on the webpage is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consistent with the offline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physical stores</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3"/>
        </w:numPr>
        <w:ind w:left="0" w:leftChars="0" w:firstLine="0" w:firstLine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The web shopping order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payment process is clear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and easy to understand,</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easy to operate.</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vertAlign w:val="baseline"/>
          <w:lang w:val="en-US" w:eastAsia="zh-CN"/>
        </w:rPr>
        <w:t>12.Q12 Please assess your satisfaction with the following statements regarding e-commerce logistics delivery</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Mark only one oval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18"/>
          <w:szCs w:val="18"/>
          <w:lang w:val="en-US" w:eastAsia="zh-CN"/>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1"/>
          <w:szCs w:val="21"/>
          <w:lang w:val="en-US" w:eastAsia="zh-CN"/>
        </w:rPr>
        <w:t xml:space="preserve">          </w:t>
      </w:r>
      <w:r>
        <w:rPr>
          <w:rFonts w:hint="eastAsia" w:ascii="Times New Roman" w:hAnsi="Times New Roman" w:cs="Times New Roman"/>
          <w:sz w:val="18"/>
          <w:szCs w:val="18"/>
          <w:lang w:val="en-US" w:eastAsia="zh-CN"/>
        </w:rPr>
        <w:t>Strongly    Dissatisfied    Neither satisfied     Satisfied     Strongly</w:t>
      </w:r>
    </w:p>
    <w:p>
      <w:pPr>
        <w:numPr>
          <w:ilvl w:val="0"/>
          <w:numId w:val="0"/>
        </w:numPr>
        <w:ind w:leftChars="0"/>
        <w:rPr>
          <w:rFonts w:hint="default" w:ascii="Times New Roman" w:hAnsi="Times New Roman" w:cs="Times New Roman"/>
          <w:sz w:val="18"/>
          <w:szCs w:val="18"/>
          <w:vertAlign w:val="baseline"/>
          <w:lang w:val="en-US" w:eastAsia="zh-CN"/>
        </w:rPr>
      </w:pPr>
      <w:r>
        <w:rPr>
          <w:rFonts w:hint="eastAsia" w:ascii="Times New Roman" w:hAnsi="Times New Roman" w:cs="Times New Roman"/>
          <w:sz w:val="18"/>
          <w:szCs w:val="18"/>
          <w:lang w:val="en-US" w:eastAsia="zh-CN"/>
        </w:rPr>
        <w:t xml:space="preserve">                      Dissatisfied               nor dissatisfied                   Satisfied</w:t>
      </w:r>
    </w:p>
    <w:p>
      <w:pPr>
        <w:numPr>
          <w:ilvl w:val="0"/>
          <w:numId w:val="0"/>
        </w:numPr>
        <w:ind w:leftChars="0"/>
        <w:rPr>
          <w:rFonts w:hint="default" w:ascii="Times New Roman" w:hAnsi="Times New Roman" w:cs="Times New Roman"/>
          <w:sz w:val="18"/>
          <w:szCs w:val="18"/>
          <w:vertAlign w:val="baseline"/>
          <w:lang w:val="en-US" w:eastAsia="zh-CN"/>
        </w:rPr>
      </w:pPr>
      <w:r>
        <w:rPr>
          <w:rFonts w:hint="eastAsia" w:ascii="Times New Roman" w:hAnsi="Times New Roman" w:cs="Times New Roman"/>
          <w:sz w:val="18"/>
          <w:szCs w:val="18"/>
          <w:vertAlign w:val="baseline"/>
          <w:lang w:val="en-US" w:eastAsia="zh-CN"/>
        </w:rPr>
        <w:t xml:space="preserve">                         ▢         ▢          ▢                ▢         ▢</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4"/>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Order production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can be delivered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within the specified time</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4"/>
        </w:numPr>
        <w:ind w:left="0" w:leftChars="0" w:firstLine="0" w:firstLine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Fast delivery speed</w:t>
      </w:r>
    </w:p>
    <w:p>
      <w:pPr>
        <w:numPr>
          <w:ilvl w:val="0"/>
          <w:numId w:val="0"/>
        </w:numPr>
        <w:ind w:leftChars="0"/>
        <w:rPr>
          <w:rFonts w:hint="default" w:ascii="Times New Roman" w:hAnsi="Times New Roman" w:cs="Times New Roman"/>
          <w:sz w:val="18"/>
          <w:szCs w:val="18"/>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4"/>
        </w:numPr>
        <w:ind w:left="0" w:leftChars="0" w:firstLine="0" w:firstLine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The packing is complete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without breakage</w:t>
      </w:r>
    </w:p>
    <w:p>
      <w:pPr>
        <w:numPr>
          <w:ilvl w:val="0"/>
          <w:numId w:val="0"/>
        </w:numPr>
        <w:ind w:leftChars="0"/>
        <w:rPr>
          <w:rFonts w:hint="default" w:ascii="Times New Roman" w:hAnsi="Times New Roman" w:cs="Times New Roman"/>
          <w:sz w:val="18"/>
          <w:szCs w:val="18"/>
          <w:vertAlign w:val="baseline"/>
          <w:lang w:val="en-US" w:eastAsia="zh-CN"/>
        </w:rPr>
      </w:pPr>
    </w:p>
    <w:p>
      <w:pPr>
        <w:numPr>
          <w:ilvl w:val="0"/>
          <w:numId w:val="0"/>
        </w:numPr>
        <w:ind w:leftChars="0"/>
        <w:rPr>
          <w:rFonts w:hint="default" w:ascii="Times New Roman" w:hAnsi="Times New Roman" w:cs="Times New Roman"/>
          <w:sz w:val="18"/>
          <w:szCs w:val="18"/>
          <w:vertAlign w:val="baseline"/>
          <w:lang w:val="en-US" w:eastAsia="zh-CN"/>
        </w:rPr>
      </w:pPr>
    </w:p>
    <w:p>
      <w:pPr>
        <w:numPr>
          <w:ilvl w:val="0"/>
          <w:numId w:val="4"/>
        </w:numPr>
        <w:ind w:left="0" w:leftChars="0" w:firstLine="0" w:firstLine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Product distribution can be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checked in time</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13.Q13 How satisfied are you with the following things</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Mark only one oval per row</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18"/>
          <w:szCs w:val="18"/>
          <w:vertAlign w:val="baseline"/>
          <w:lang w:val="en-US" w:eastAsia="zh-CN"/>
        </w:rPr>
      </w:pPr>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sz w:val="18"/>
          <w:szCs w:val="18"/>
          <w:vertAlign w:val="baseline"/>
          <w:lang w:val="en-US" w:eastAsia="zh-CN"/>
        </w:rPr>
        <w:t xml:space="preserve"> Not         </w:t>
      </w:r>
      <w:r>
        <w:rPr>
          <w:rFonts w:hint="default" w:ascii="Times New Roman" w:hAnsi="Times New Roman" w:eastAsia="宋体" w:cs="Times New Roman"/>
          <w:b w:val="0"/>
          <w:bCs w:val="0"/>
          <w:i w:val="0"/>
          <w:iCs w:val="0"/>
          <w:caps w:val="0"/>
          <w:color w:val="000000" w:themeColor="text1"/>
          <w:spacing w:val="0"/>
          <w:sz w:val="13"/>
          <w:szCs w:val="13"/>
          <w:shd w:val="clear" w:fill="F7F8FA"/>
          <w14:textFill>
            <w14:solidFill>
              <w14:schemeClr w14:val="tx1"/>
            </w14:solidFill>
          </w14:textFill>
        </w:rPr>
        <w:t>Not satisfied with</w:t>
      </w:r>
      <w:r>
        <w:rPr>
          <w:rFonts w:hint="eastAsia" w:ascii="Times New Roman" w:hAnsi="Times New Roman" w:cs="Times New Roman"/>
          <w:sz w:val="18"/>
          <w:szCs w:val="18"/>
          <w:vertAlign w:val="baseline"/>
          <w:lang w:val="en-US" w:eastAsia="zh-CN"/>
        </w:rPr>
        <w:t xml:space="preserve">      General     Satisfaction   Very</w:t>
      </w:r>
    </w:p>
    <w:p>
      <w:pPr>
        <w:numPr>
          <w:ilvl w:val="0"/>
          <w:numId w:val="0"/>
        </w:numPr>
        <w:ind w:firstLine="2520" w:firstLineChars="1400"/>
        <w:rPr>
          <w:rFonts w:hint="default" w:ascii="Times New Roman" w:hAnsi="Times New Roman" w:cs="Times New Roman"/>
          <w:sz w:val="18"/>
          <w:szCs w:val="18"/>
          <w:vertAlign w:val="baseline"/>
          <w:lang w:val="en-US" w:eastAsia="zh-CN"/>
        </w:rPr>
      </w:pPr>
      <w:r>
        <w:rPr>
          <w:rFonts w:hint="eastAsia" w:ascii="Times New Roman" w:hAnsi="Times New Roman" w:cs="Times New Roman"/>
          <w:sz w:val="18"/>
          <w:szCs w:val="18"/>
          <w:vertAlign w:val="baseline"/>
          <w:lang w:val="en-US" w:eastAsia="zh-CN"/>
        </w:rPr>
        <w:t xml:space="preserve">Very  Satisfaction                                       Satisfaction                                          </w:t>
      </w:r>
    </w:p>
    <w:p>
      <w:pPr>
        <w:numPr>
          <w:ilvl w:val="0"/>
          <w:numId w:val="0"/>
        </w:numPr>
        <w:ind w:leftChars="0"/>
        <w:rPr>
          <w:rFonts w:hint="eastAsia" w:ascii="Times New Roman" w:hAnsi="Times New Roman" w:cs="Times New Roman"/>
          <w:sz w:val="18"/>
          <w:szCs w:val="18"/>
          <w:vertAlign w:val="baseline"/>
          <w:lang w:val="en-US" w:eastAsia="zh-CN"/>
        </w:rPr>
      </w:pPr>
      <w:r>
        <w:rPr>
          <w:rFonts w:hint="eastAsia" w:ascii="Times New Roman" w:hAnsi="Times New Roman" w:cs="Times New Roman"/>
          <w:sz w:val="18"/>
          <w:szCs w:val="18"/>
          <w:vertAlign w:val="baseline"/>
          <w:lang w:val="en-US" w:eastAsia="zh-CN"/>
        </w:rPr>
        <w:t xml:space="preserve">                                  ▢           ▢             ▢         ▢               ▢</w:t>
      </w:r>
    </w:p>
    <w:p>
      <w:pPr>
        <w:numPr>
          <w:ilvl w:val="0"/>
          <w:numId w:val="0"/>
        </w:numPr>
        <w:ind w:leftChars="0"/>
        <w:rPr>
          <w:rFonts w:hint="default" w:ascii="Times New Roman" w:hAnsi="Times New Roman" w:cs="Times New Roman"/>
          <w:sz w:val="18"/>
          <w:szCs w:val="18"/>
          <w:vertAlign w:val="baseline"/>
          <w:lang w:val="en-US" w:eastAsia="zh-CN"/>
        </w:rPr>
      </w:pPr>
    </w:p>
    <w:p>
      <w:pPr>
        <w:numPr>
          <w:ilvl w:val="0"/>
          <w:numId w:val="0"/>
        </w:numPr>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(1)E-</w:t>
      </w:r>
      <w:r>
        <w:rPr>
          <w:rFonts w:hint="default" w:ascii="Times New Roman" w:hAnsi="Times New Roman" w:cs="Times New Roman"/>
          <w:sz w:val="24"/>
          <w:szCs w:val="24"/>
          <w:vertAlign w:val="baseline"/>
          <w:lang w:val="en-US" w:eastAsia="zh-CN"/>
        </w:rPr>
        <w:t xml:space="preserve">commerce has a good </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return and exchange </w:t>
      </w:r>
    </w:p>
    <w:p>
      <w:pPr>
        <w:numPr>
          <w:ilvl w:val="0"/>
          <w:numId w:val="0"/>
        </w:numPr>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mechanism</w:t>
      </w: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6"/>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E-commerce takes consumer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complaints seriously,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Reasonable demands from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consumers will be met</w:t>
      </w:r>
    </w:p>
    <w:p>
      <w:pPr>
        <w:numPr>
          <w:ilvl w:val="0"/>
          <w:numId w:val="0"/>
        </w:numPr>
        <w:rPr>
          <w:rFonts w:hint="eastAsia" w:ascii="Times New Roman" w:hAnsi="Times New Roman" w:cs="Times New Roman"/>
          <w:sz w:val="18"/>
          <w:szCs w:val="18"/>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(3)The e-commerce online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customer service can reply </w:t>
      </w: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in time, professional quality is high</w:t>
      </w:r>
    </w:p>
    <w:p>
      <w:pPr>
        <w:numPr>
          <w:ilvl w:val="0"/>
          <w:numId w:val="0"/>
        </w:numPr>
        <w:ind w:leftChars="0"/>
        <w:rPr>
          <w:rFonts w:hint="eastAsia" w:ascii="Times New Roman" w:hAnsi="Times New Roman" w:cs="Times New Roman"/>
          <w:sz w:val="18"/>
          <w:szCs w:val="18"/>
          <w:vertAlign w:val="baseline"/>
          <w:lang w:val="en-US" w:eastAsia="zh-CN"/>
        </w:rPr>
      </w:pPr>
    </w:p>
    <w:p>
      <w:pPr>
        <w:numPr>
          <w:ilvl w:val="0"/>
          <w:numId w:val="0"/>
        </w:numPr>
        <w:ind w:leftChars="0"/>
        <w:rPr>
          <w:rFonts w:hint="eastAsia" w:ascii="Times New Roman" w:hAnsi="Times New Roman" w:cs="Times New Roman"/>
          <w:sz w:val="18"/>
          <w:szCs w:val="18"/>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14.Q14 To what extent do you shop on O2O(online and offline) platforms because</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Mark only one oval   </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numPr>
          <w:ilvl w:val="0"/>
          <w:numId w:val="0"/>
        </w:numPr>
        <w:ind w:leftChars="0"/>
        <w:rPr>
          <w:rFonts w:hint="default" w:ascii="Times New Roman" w:hAnsi="Times New Roman" w:cs="Times New Roman"/>
          <w:sz w:val="18"/>
          <w:szCs w:val="18"/>
          <w:vertAlign w:val="baseline"/>
          <w:lang w:val="en-US" w:eastAsia="zh-CN"/>
        </w:rPr>
      </w:pPr>
      <w:r>
        <w:rPr>
          <w:rFonts w:hint="eastAsia" w:ascii="Times New Roman" w:hAnsi="Times New Roman" w:cs="Times New Roman"/>
          <w:sz w:val="18"/>
          <w:szCs w:val="18"/>
          <w:lang w:val="en-US" w:eastAsia="zh-CN"/>
        </w:rPr>
        <w:t xml:space="preserve">                      </w:t>
      </w:r>
      <w:r>
        <w:rPr>
          <w:rFonts w:hint="eastAsia" w:ascii="Times New Roman" w:hAnsi="Times New Roman" w:cs="Times New Roman"/>
          <w:sz w:val="18"/>
          <w:szCs w:val="18"/>
          <w:vertAlign w:val="baseline"/>
          <w:lang w:val="en-US" w:eastAsia="zh-CN"/>
        </w:rPr>
        <w:t xml:space="preserve"> A very low        low level        general      high level   A very high level</w:t>
      </w:r>
    </w:p>
    <w:p>
      <w:pPr>
        <w:numPr>
          <w:ilvl w:val="0"/>
          <w:numId w:val="0"/>
        </w:numPr>
        <w:ind w:firstLine="2160" w:firstLineChars="1200"/>
        <w:rPr>
          <w:rFonts w:hint="default" w:ascii="Times New Roman" w:hAnsi="Times New Roman" w:cs="Times New Roman"/>
          <w:sz w:val="18"/>
          <w:szCs w:val="18"/>
          <w:vertAlign w:val="baseline"/>
          <w:lang w:val="en-US" w:eastAsia="zh-CN"/>
        </w:rPr>
      </w:pPr>
      <w:r>
        <w:rPr>
          <w:rFonts w:hint="eastAsia" w:ascii="Times New Roman" w:hAnsi="Times New Roman" w:cs="Times New Roman"/>
          <w:sz w:val="18"/>
          <w:szCs w:val="18"/>
          <w:vertAlign w:val="baseline"/>
          <w:lang w:val="en-US" w:eastAsia="zh-CN"/>
        </w:rPr>
        <w:t xml:space="preserve">level       </w:t>
      </w:r>
    </w:p>
    <w:p>
      <w:pPr>
        <w:numPr>
          <w:ilvl w:val="0"/>
          <w:numId w:val="0"/>
        </w:numPr>
        <w:ind w:leftChars="0"/>
        <w:rPr>
          <w:rFonts w:hint="eastAsia" w:ascii="Times New Roman" w:hAnsi="Times New Roman" w:cs="Times New Roman"/>
          <w:sz w:val="18"/>
          <w:szCs w:val="18"/>
          <w:vertAlign w:val="baseline"/>
          <w:lang w:val="en-US" w:eastAsia="zh-CN"/>
        </w:rPr>
      </w:pPr>
      <w:r>
        <w:rPr>
          <w:rFonts w:hint="eastAsia" w:ascii="Times New Roman" w:hAnsi="Times New Roman" w:cs="Times New Roman"/>
          <w:sz w:val="18"/>
          <w:szCs w:val="18"/>
          <w:lang w:val="en-US" w:eastAsia="zh-CN"/>
        </w:rPr>
        <w:t xml:space="preserve">                         </w:t>
      </w:r>
      <w:r>
        <w:rPr>
          <w:rFonts w:hint="eastAsia" w:ascii="Times New Roman" w:hAnsi="Times New Roman" w:cs="Times New Roman"/>
          <w:sz w:val="18"/>
          <w:szCs w:val="18"/>
          <w:vertAlign w:val="baseline"/>
          <w:lang w:val="en-US" w:eastAsia="zh-CN"/>
        </w:rPr>
        <w:t>▢                 ▢             ▢          ▢         ▢</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The payment method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is efficient and convenient</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Fast delivery speed</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Can be discounted</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product quality is good</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After-sale service is reassuring</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15.Q15 </w:t>
      </w:r>
      <w:r>
        <w:rPr>
          <w:rFonts w:hint="default" w:ascii="Times New Roman" w:hAnsi="Times New Roman" w:eastAsia="宋体" w:cs="Times New Roman"/>
          <w:b w:val="0"/>
          <w:bCs w:val="0"/>
          <w:i w:val="0"/>
          <w:iCs w:val="0"/>
          <w:caps w:val="0"/>
          <w:color w:val="333333"/>
          <w:spacing w:val="0"/>
          <w:sz w:val="24"/>
          <w:szCs w:val="24"/>
          <w:shd w:val="clear" w:fill="F7F8FA"/>
        </w:rPr>
        <w:t>The biggest advantage of O2O (online and offline) platforms compared with other e-commerce platforms is</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Mark only one oval        </w:t>
      </w:r>
    </w:p>
    <w:p>
      <w:pPr>
        <w:numPr>
          <w:ilvl w:val="0"/>
          <w:numId w:val="0"/>
        </w:numPr>
        <w:ind w:leftChars="0"/>
        <w:rPr>
          <w:rFonts w:hint="eastAsia" w:ascii="Times New Roman" w:hAnsi="Times New Roman" w:cs="Times New Roman"/>
          <w:sz w:val="24"/>
          <w:szCs w:val="24"/>
          <w:lang w:val="en-US" w:eastAsia="zh-CN"/>
        </w:rPr>
      </w:pPr>
    </w:p>
    <w:p>
      <w:pPr>
        <w:widowControl w:val="0"/>
        <w:numPr>
          <w:ilvl w:val="0"/>
          <w:numId w:val="0"/>
        </w:numPr>
        <w:tabs>
          <w:tab w:val="left" w:pos="312"/>
        </w:tabs>
        <w:jc w:val="both"/>
        <w:rPr>
          <w:rFonts w:hint="eastAsia" w:ascii="Times New Roman" w:hAnsi="Times New Roman" w:cs="Times New Roman"/>
          <w:sz w:val="24"/>
          <w:szCs w:val="24"/>
          <w:lang w:val="en-US" w:eastAsia="zh-CN"/>
        </w:rPr>
      </w:pPr>
      <w:r>
        <w:rPr>
          <w:rFonts w:hint="eastAsia" w:ascii="Times New Roman" w:hAnsi="Times New Roman" w:cs="Times New Roman"/>
          <w:sz w:val="18"/>
          <w:szCs w:val="18"/>
          <w:lang w:val="en-US" w:eastAsia="zh-CN"/>
        </w:rPr>
        <w:t xml:space="preserve"> </w:t>
      </w:r>
      <w:r>
        <w:rPr>
          <w:rFonts w:hint="eastAsia" w:ascii="Times New Roman" w:hAnsi="Times New Roman" w:cs="Times New Roman"/>
          <w:sz w:val="18"/>
          <w:szCs w:val="18"/>
          <w:vertAlign w:val="baseline"/>
          <w:lang w:val="en-US" w:eastAsia="zh-CN"/>
        </w:rPr>
        <w:t xml:space="preserve">▢ </w:t>
      </w:r>
      <w:r>
        <w:rPr>
          <w:rFonts w:hint="eastAsia" w:ascii="Times New Roman" w:hAnsi="Times New Roman" w:cs="Times New Roman"/>
          <w:sz w:val="24"/>
          <w:szCs w:val="24"/>
          <w:lang w:val="en-US" w:eastAsia="zh-CN"/>
        </w:rPr>
        <w:t>Online and offline dual channel shopping</w:t>
      </w:r>
    </w:p>
    <w:p>
      <w:pPr>
        <w:widowControl w:val="0"/>
        <w:numPr>
          <w:ilvl w:val="0"/>
          <w:numId w:val="0"/>
        </w:numPr>
        <w:tabs>
          <w:tab w:val="left" w:pos="312"/>
        </w:tabs>
        <w:jc w:val="both"/>
        <w:rPr>
          <w:rFonts w:hint="eastAsia" w:ascii="Times New Roman" w:hAnsi="Times New Roman" w:cs="Times New Roman"/>
          <w:sz w:val="24"/>
          <w:szCs w:val="24"/>
          <w:lang w:val="en-US" w:eastAsia="zh-CN"/>
        </w:rPr>
      </w:pPr>
    </w:p>
    <w:p>
      <w:pPr>
        <w:widowControl w:val="0"/>
        <w:numPr>
          <w:ilvl w:val="0"/>
          <w:numId w:val="0"/>
        </w:numPr>
        <w:tabs>
          <w:tab w:val="left" w:pos="312"/>
        </w:tabs>
        <w:jc w:val="both"/>
        <w:rPr>
          <w:rFonts w:hint="default" w:ascii="Times New Roman" w:hAnsi="Times New Roman" w:cs="Times New Roman"/>
          <w:sz w:val="24"/>
          <w:szCs w:val="24"/>
          <w:lang w:val="en-US" w:eastAsia="zh-CN"/>
        </w:rPr>
      </w:pPr>
      <w:r>
        <w:rPr>
          <w:rFonts w:hint="eastAsia" w:ascii="Times New Roman" w:hAnsi="Times New Roman" w:cs="Times New Roman"/>
          <w:sz w:val="18"/>
          <w:szCs w:val="18"/>
          <w:lang w:val="en-US" w:eastAsia="zh-CN"/>
        </w:rPr>
        <w:t xml:space="preserve"> </w:t>
      </w:r>
      <w:r>
        <w:rPr>
          <w:rFonts w:hint="eastAsia" w:ascii="Times New Roman" w:hAnsi="Times New Roman" w:cs="Times New Roman"/>
          <w:sz w:val="18"/>
          <w:szCs w:val="18"/>
          <w:vertAlign w:val="baseline"/>
          <w:lang w:val="en-US" w:eastAsia="zh-CN"/>
        </w:rPr>
        <w:t xml:space="preserve">▢ </w:t>
      </w:r>
      <w:r>
        <w:rPr>
          <w:rFonts w:hint="default" w:ascii="Times New Roman" w:hAnsi="Times New Roman" w:cs="Times New Roman"/>
          <w:sz w:val="24"/>
          <w:szCs w:val="24"/>
          <w:lang w:val="en-US" w:eastAsia="zh-CN"/>
        </w:rPr>
        <w:t>Reduces the need to operate stores in expensive retail areas</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16.Q16 State to what extent you agree with the following statements</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Mark only one oval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A very low level   low level  general  high level   very high level</w:t>
      </w:r>
    </w:p>
    <w:p>
      <w:pPr>
        <w:numPr>
          <w:ilvl w:val="0"/>
          <w:numId w:val="0"/>
        </w:numPr>
        <w:ind w:leftChars="0"/>
        <w:rPr>
          <w:rFonts w:hint="default" w:ascii="Times New Roman" w:hAnsi="Times New Roman" w:cs="Times New Roman"/>
          <w:sz w:val="24"/>
          <w:szCs w:val="24"/>
          <w:vertAlign w:val="baseline"/>
          <w:lang w:val="en-US" w:eastAsia="zh-CN"/>
        </w:rPr>
      </w:pP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(1)The freshness of </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produce affects online </w:t>
      </w:r>
    </w:p>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buying</w:t>
      </w:r>
    </w:p>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(2)Produce (e.g., fruits and vegetables)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damaged during transportation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can be purchased online</w:t>
      </w:r>
    </w:p>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(3)Cold chain conditions for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agricultural products affect </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online purchases</w:t>
      </w:r>
    </w:p>
    <w:p>
      <w:pPr>
        <w:rPr>
          <w:rFonts w:hint="default" w:ascii="Times New Roman" w:hAnsi="Times New Roman" w:cs="Times New Roman"/>
          <w:sz w:val="28"/>
          <w:szCs w:val="28"/>
          <w:lang w:val="en-US" w:eastAsia="zh-CN"/>
        </w:rPr>
      </w:pP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6.2</w:t>
      </w:r>
      <w:r>
        <w:rPr>
          <w:rFonts w:hint="default" w:ascii="Times New Roman" w:hAnsi="Times New Roman" w:cs="Times New Roman"/>
          <w:sz w:val="24"/>
          <w:szCs w:val="24"/>
          <w:lang w:val="en-US" w:eastAsia="zh-CN"/>
        </w:rPr>
        <w:t xml:space="preserve"> Appendix. </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 xml:space="preserve"> – Original SPSS Analyses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.1 Cross-Tabulations</w:t>
      </w:r>
    </w:p>
    <w:p>
      <w:bookmarkStart w:id="16" w:name="_Toc41649385"/>
      <w:bookmarkStart w:id="17" w:name="_Toc41649745"/>
      <w:bookmarkStart w:id="18" w:name="_Toc41653705"/>
    </w:p>
    <w:bookmarkEnd w:id="16"/>
    <w:bookmarkEnd w:id="17"/>
    <w:bookmarkEnd w:id="18"/>
    <w:tbl>
      <w:tblPr>
        <w:tblStyle w:val="9"/>
        <w:tblW w:w="707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9"/>
        <w:gridCol w:w="739"/>
        <w:gridCol w:w="1416"/>
        <w:gridCol w:w="1384"/>
        <w:gridCol w:w="1425"/>
        <w:gridCol w:w="137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078" w:type="dxa"/>
            <w:gridSpan w:val="6"/>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宋体" w:cs="MingLiU"/>
                <w:b/>
                <w:color w:val="010205"/>
                <w:sz w:val="22"/>
                <w:szCs w:val="22"/>
                <w:lang w:val="en-US" w:eastAsia="zh-CN"/>
              </w:rPr>
              <w:t>Gender</w:t>
            </w:r>
            <w:r>
              <w:rPr>
                <w:rFonts w:hint="eastAsia" w:ascii="MingLiU" w:eastAsia="MingLiU" w:cs="MingLiU"/>
                <w:b/>
                <w:color w:val="010205"/>
                <w:sz w:val="22"/>
                <w:szCs w:val="22"/>
              </w:rPr>
              <w:t xml:space="preserve">* </w:t>
            </w:r>
            <w:r>
              <w:rPr>
                <w:rFonts w:hint="eastAsia" w:ascii="MingLiU" w:eastAsia="宋体" w:cs="MingLiU"/>
                <w:b/>
                <w:color w:val="010205"/>
                <w:sz w:val="22"/>
                <w:szCs w:val="22"/>
                <w:lang w:val="en-US" w:eastAsia="zh-CN"/>
              </w:rPr>
              <w:t>Age</w:t>
            </w:r>
            <w:r>
              <w:rPr>
                <w:rFonts w:hint="eastAsia" w:ascii="MingLiU" w:eastAsia="MingLiU" w:cs="MingLiU"/>
                <w:b/>
                <w:color w:val="010205"/>
                <w:sz w:val="22"/>
                <w:szCs w:val="22"/>
              </w:rPr>
              <w:t xml:space="preserve"> Crosstabulation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94"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color w:val="auto"/>
                <w:sz w:val="24"/>
                <w:szCs w:val="24"/>
              </w:rPr>
            </w:pPr>
          </w:p>
        </w:tc>
        <w:tc>
          <w:tcPr>
            <w:tcW w:w="2809" w:type="dxa"/>
            <w:gridSpan w:val="2"/>
            <w:tcBorders>
              <w:top w:val="nil"/>
              <w:left w:val="nil"/>
              <w:bottom w:val="nil"/>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Age</w:t>
            </w:r>
          </w:p>
        </w:tc>
        <w:tc>
          <w:tcPr>
            <w:tcW w:w="1375" w:type="dxa"/>
            <w:vMerge w:val="restart"/>
            <w:tcBorders>
              <w:top w:val="nil"/>
              <w:left w:val="single" w:color="E0E0E0" w:sz="8" w:space="0"/>
              <w:bottom w:val="nil"/>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Total</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94"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c>
          <w:tcPr>
            <w:tcW w:w="1384"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MingLiU" w:cs="MingLiU"/>
                <w:color w:val="264A60"/>
                <w:sz w:val="18"/>
                <w:szCs w:val="18"/>
                <w:lang w:val="en-US"/>
              </w:rPr>
            </w:pPr>
            <w:r>
              <w:rPr>
                <w:rFonts w:hint="eastAsia" w:ascii="MingLiU" w:eastAsia="MingLiU" w:cs="MingLiU"/>
                <w:color w:val="264A60"/>
                <w:sz w:val="18"/>
                <w:szCs w:val="18"/>
              </w:rPr>
              <w:t>40</w:t>
            </w:r>
            <w:r>
              <w:rPr>
                <w:rFonts w:hint="eastAsia" w:ascii="MingLiU" w:eastAsia="宋体" w:cs="MingLiU"/>
                <w:color w:val="264A60"/>
                <w:sz w:val="18"/>
                <w:szCs w:val="18"/>
                <w:lang w:val="en-US" w:eastAsia="zh-CN"/>
              </w:rPr>
              <w:t xml:space="preserve"> and under 40s</w:t>
            </w:r>
          </w:p>
        </w:tc>
        <w:tc>
          <w:tcPr>
            <w:tcW w:w="1425"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MingLiU" w:cs="MingLiU"/>
                <w:color w:val="264A60"/>
                <w:sz w:val="18"/>
                <w:szCs w:val="18"/>
              </w:rPr>
              <w:t>40</w:t>
            </w:r>
            <w:r>
              <w:rPr>
                <w:rFonts w:hint="eastAsia" w:ascii="MingLiU" w:eastAsia="宋体" w:cs="MingLiU"/>
                <w:color w:val="264A60"/>
                <w:sz w:val="18"/>
                <w:szCs w:val="18"/>
                <w:lang w:val="en-US" w:eastAsia="zh-CN"/>
              </w:rPr>
              <w:t>above</w:t>
            </w:r>
          </w:p>
        </w:tc>
        <w:tc>
          <w:tcPr>
            <w:tcW w:w="1375" w:type="dxa"/>
            <w:vMerge w:val="continue"/>
            <w:tcBorders>
              <w:top w:val="nil"/>
              <w:left w:val="single" w:color="E0E0E0" w:sz="8" w:space="0"/>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9"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gender</w:t>
            </w:r>
          </w:p>
        </w:tc>
        <w:tc>
          <w:tcPr>
            <w:tcW w:w="739"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male</w:t>
            </w:r>
          </w:p>
        </w:tc>
        <w:tc>
          <w:tcPr>
            <w:tcW w:w="1416"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384"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31</w:t>
            </w:r>
          </w:p>
        </w:tc>
        <w:tc>
          <w:tcPr>
            <w:tcW w:w="1425"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44</w:t>
            </w:r>
          </w:p>
        </w:tc>
        <w:tc>
          <w:tcPr>
            <w:tcW w:w="1375"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9"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9"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6"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384"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41.3%</w:t>
            </w:r>
          </w:p>
        </w:tc>
        <w:tc>
          <w:tcPr>
            <w:tcW w:w="1425"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58.7%</w:t>
            </w:r>
          </w:p>
        </w:tc>
        <w:tc>
          <w:tcPr>
            <w:tcW w:w="1375"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9"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9"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female</w:t>
            </w:r>
          </w:p>
        </w:tc>
        <w:tc>
          <w:tcPr>
            <w:tcW w:w="141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384"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46</w:t>
            </w:r>
          </w:p>
        </w:tc>
        <w:tc>
          <w:tcPr>
            <w:tcW w:w="1425"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36</w:t>
            </w:r>
          </w:p>
        </w:tc>
        <w:tc>
          <w:tcPr>
            <w:tcW w:w="1375"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9"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9"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6"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384"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56.1%</w:t>
            </w:r>
          </w:p>
        </w:tc>
        <w:tc>
          <w:tcPr>
            <w:tcW w:w="1425"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43.9%</w:t>
            </w:r>
          </w:p>
        </w:tc>
        <w:tc>
          <w:tcPr>
            <w:tcW w:w="1375"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8"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Total</w:t>
            </w:r>
          </w:p>
        </w:tc>
        <w:tc>
          <w:tcPr>
            <w:tcW w:w="141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384"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77</w:t>
            </w:r>
          </w:p>
        </w:tc>
        <w:tc>
          <w:tcPr>
            <w:tcW w:w="1425"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80</w:t>
            </w:r>
          </w:p>
        </w:tc>
        <w:tc>
          <w:tcPr>
            <w:tcW w:w="1375"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8"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6"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384"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49.0%</w:t>
            </w:r>
          </w:p>
        </w:tc>
        <w:tc>
          <w:tcPr>
            <w:tcW w:w="1425"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51.0%</w:t>
            </w:r>
          </w:p>
        </w:tc>
        <w:tc>
          <w:tcPr>
            <w:tcW w:w="1375"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bl>
    <w:p>
      <w:pPr>
        <w:numPr>
          <w:ilvl w:val="0"/>
          <w:numId w:val="0"/>
        </w:numPr>
        <w:ind w:firstLine="720" w:firstLineChars="300"/>
        <w:rPr>
          <w:rFonts w:hint="default" w:ascii="Times New Roman" w:hAnsi="Times New Roman" w:cs="Times New Roman"/>
          <w:b w:val="0"/>
          <w:bCs w:val="0"/>
          <w:i/>
          <w:iCs/>
          <w:sz w:val="24"/>
          <w:szCs w:val="24"/>
          <w:lang w:val="en-US" w:eastAsia="zh-CN"/>
        </w:rPr>
      </w:pPr>
      <w:r>
        <w:rPr>
          <w:rFonts w:hint="eastAsia" w:ascii="Times New Roman" w:hAnsi="Times New Roman" w:cs="Times New Roman"/>
          <w:b w:val="0"/>
          <w:bCs w:val="0"/>
          <w:i/>
          <w:iCs/>
          <w:sz w:val="24"/>
          <w:szCs w:val="24"/>
          <w:lang w:val="en-US" w:eastAsia="zh-CN"/>
        </w:rPr>
        <w:t xml:space="preserve">Figure 6.1: SPSS Gender  and Age </w:t>
      </w:r>
      <w:r>
        <w:rPr>
          <w:rFonts w:hint="default" w:ascii="Times New Roman" w:hAnsi="Times New Roman" w:cs="Times New Roman"/>
          <w:b w:val="0"/>
          <w:bCs w:val="0"/>
          <w:i/>
          <w:iCs/>
          <w:sz w:val="24"/>
          <w:szCs w:val="24"/>
          <w:lang w:val="en-US" w:eastAsia="zh-CN"/>
        </w:rPr>
        <w:t>Cross-Tabulations</w:t>
      </w:r>
    </w:p>
    <w:p>
      <w:pPr>
        <w:numPr>
          <w:ilvl w:val="0"/>
          <w:numId w:val="0"/>
        </w:numPr>
        <w:ind w:firstLine="720" w:firstLineChars="300"/>
        <w:rPr>
          <w:rFonts w:hint="default" w:ascii="Times New Roman" w:hAnsi="Times New Roman" w:cs="Times New Roman"/>
          <w:b w:val="0"/>
          <w:bCs w:val="0"/>
          <w:i/>
          <w:iCs/>
          <w:sz w:val="24"/>
          <w:szCs w:val="24"/>
          <w:lang w:val="en-US" w:eastAsia="zh-CN"/>
        </w:rPr>
      </w:pPr>
    </w:p>
    <w:p>
      <w:pPr>
        <w:numPr>
          <w:ilvl w:val="0"/>
          <w:numId w:val="0"/>
        </w:numPr>
        <w:ind w:firstLine="2160" w:firstLineChars="900"/>
        <w:rPr>
          <w:rFonts w:hint="default" w:ascii="Times New Roman" w:hAnsi="Times New Roman" w:cs="Times New Roman"/>
          <w:b w:val="0"/>
          <w:bCs w:val="0"/>
          <w:i w:val="0"/>
          <w:iCs w:val="0"/>
          <w:sz w:val="24"/>
          <w:szCs w:val="24"/>
          <w:lang w:val="en-US" w:eastAsia="zh-CN"/>
        </w:rPr>
      </w:pPr>
      <w:r>
        <w:rPr>
          <w:rFonts w:hint="eastAsia" w:ascii="Times New Roman" w:hAnsi="Times New Roman" w:cs="Times New Roman"/>
          <w:b w:val="0"/>
          <w:bCs w:val="0"/>
          <w:i w:val="0"/>
          <w:iCs w:val="0"/>
          <w:sz w:val="24"/>
          <w:szCs w:val="24"/>
          <w:lang w:val="en-US" w:eastAsia="zh-CN"/>
        </w:rPr>
        <w:t>Gender and Education Crosstabulation</w:t>
      </w:r>
    </w:p>
    <w:tbl>
      <w:tblPr>
        <w:tblStyle w:val="9"/>
        <w:tblW w:w="832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655"/>
        <w:gridCol w:w="656"/>
        <w:gridCol w:w="1259"/>
        <w:gridCol w:w="1081"/>
        <w:gridCol w:w="917"/>
        <w:gridCol w:w="917"/>
        <w:gridCol w:w="1310"/>
        <w:gridCol w:w="153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570"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color w:val="auto"/>
                <w:sz w:val="24"/>
                <w:szCs w:val="24"/>
              </w:rPr>
            </w:pPr>
          </w:p>
        </w:tc>
        <w:tc>
          <w:tcPr>
            <w:tcW w:w="5755" w:type="dxa"/>
            <w:gridSpan w:val="5"/>
            <w:tcBorders>
              <w:top w:val="nil"/>
              <w:left w:val="nil"/>
              <w:bottom w:val="nil"/>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Education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570"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c>
          <w:tcPr>
            <w:tcW w:w="1081"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Junior high school and below</w:t>
            </w:r>
          </w:p>
        </w:tc>
        <w:tc>
          <w:tcPr>
            <w:tcW w:w="917"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High school</w:t>
            </w:r>
          </w:p>
        </w:tc>
        <w:tc>
          <w:tcPr>
            <w:tcW w:w="917"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college</w:t>
            </w:r>
          </w:p>
        </w:tc>
        <w:tc>
          <w:tcPr>
            <w:tcW w:w="1310"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Undergraduate</w:t>
            </w:r>
          </w:p>
        </w:tc>
        <w:tc>
          <w:tcPr>
            <w:tcW w:w="1530"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Postgraduate or above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5"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Gender</w:t>
            </w:r>
          </w:p>
        </w:tc>
        <w:tc>
          <w:tcPr>
            <w:tcW w:w="65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Male</w:t>
            </w:r>
          </w:p>
        </w:tc>
        <w:tc>
          <w:tcPr>
            <w:tcW w:w="1259"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81"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9</w:t>
            </w:r>
          </w:p>
        </w:tc>
        <w:tc>
          <w:tcPr>
            <w:tcW w:w="917"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16</w:t>
            </w:r>
          </w:p>
        </w:tc>
        <w:tc>
          <w:tcPr>
            <w:tcW w:w="917"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16</w:t>
            </w:r>
          </w:p>
        </w:tc>
        <w:tc>
          <w:tcPr>
            <w:tcW w:w="1310"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32</w:t>
            </w:r>
          </w:p>
        </w:tc>
        <w:tc>
          <w:tcPr>
            <w:tcW w:w="1530"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5"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65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259"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081"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12.0%</w:t>
            </w:r>
          </w:p>
        </w:tc>
        <w:tc>
          <w:tcPr>
            <w:tcW w:w="917"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21.3%</w:t>
            </w:r>
          </w:p>
        </w:tc>
        <w:tc>
          <w:tcPr>
            <w:tcW w:w="917"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21.3%</w:t>
            </w:r>
          </w:p>
        </w:tc>
        <w:tc>
          <w:tcPr>
            <w:tcW w:w="1310"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42.7%</w:t>
            </w:r>
          </w:p>
        </w:tc>
        <w:tc>
          <w:tcPr>
            <w:tcW w:w="1530"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5"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656"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Female</w:t>
            </w:r>
          </w:p>
        </w:tc>
        <w:tc>
          <w:tcPr>
            <w:tcW w:w="1259"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81"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11</w:t>
            </w:r>
          </w:p>
        </w:tc>
        <w:tc>
          <w:tcPr>
            <w:tcW w:w="917"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16</w:t>
            </w:r>
          </w:p>
        </w:tc>
        <w:tc>
          <w:tcPr>
            <w:tcW w:w="917"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20</w:t>
            </w:r>
          </w:p>
        </w:tc>
        <w:tc>
          <w:tcPr>
            <w:tcW w:w="131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32</w:t>
            </w:r>
          </w:p>
        </w:tc>
        <w:tc>
          <w:tcPr>
            <w:tcW w:w="153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5"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656"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259"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081"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13.4%</w:t>
            </w:r>
          </w:p>
        </w:tc>
        <w:tc>
          <w:tcPr>
            <w:tcW w:w="917"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19.5%</w:t>
            </w:r>
          </w:p>
        </w:tc>
        <w:tc>
          <w:tcPr>
            <w:tcW w:w="917"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24.4%</w:t>
            </w:r>
          </w:p>
        </w:tc>
        <w:tc>
          <w:tcPr>
            <w:tcW w:w="1310"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39.0%</w:t>
            </w:r>
          </w:p>
        </w:tc>
        <w:tc>
          <w:tcPr>
            <w:tcW w:w="1530"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11"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Total</w:t>
            </w:r>
          </w:p>
        </w:tc>
        <w:tc>
          <w:tcPr>
            <w:tcW w:w="1259"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81"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20</w:t>
            </w:r>
          </w:p>
        </w:tc>
        <w:tc>
          <w:tcPr>
            <w:tcW w:w="917"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32</w:t>
            </w:r>
          </w:p>
        </w:tc>
        <w:tc>
          <w:tcPr>
            <w:tcW w:w="917"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36</w:t>
            </w:r>
          </w:p>
        </w:tc>
        <w:tc>
          <w:tcPr>
            <w:tcW w:w="131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64</w:t>
            </w:r>
          </w:p>
        </w:tc>
        <w:tc>
          <w:tcPr>
            <w:tcW w:w="153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11"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259"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081"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12.7%</w:t>
            </w:r>
          </w:p>
        </w:tc>
        <w:tc>
          <w:tcPr>
            <w:tcW w:w="917"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20.4%</w:t>
            </w:r>
          </w:p>
        </w:tc>
        <w:tc>
          <w:tcPr>
            <w:tcW w:w="917"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22.9%</w:t>
            </w:r>
          </w:p>
        </w:tc>
        <w:tc>
          <w:tcPr>
            <w:tcW w:w="1310"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40.8%</w:t>
            </w:r>
          </w:p>
        </w:tc>
        <w:tc>
          <w:tcPr>
            <w:tcW w:w="1530"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3.2%</w:t>
            </w:r>
          </w:p>
        </w:tc>
      </w:tr>
    </w:tbl>
    <w:p>
      <w:pPr>
        <w:numPr>
          <w:ilvl w:val="0"/>
          <w:numId w:val="0"/>
        </w:numPr>
        <w:rPr>
          <w:rFonts w:hint="default" w:ascii="Times New Roman" w:hAnsi="Times New Roman" w:cs="Times New Roman"/>
          <w:b w:val="0"/>
          <w:bCs w:val="0"/>
          <w:i/>
          <w:iCs/>
          <w:sz w:val="24"/>
          <w:szCs w:val="24"/>
          <w:lang w:val="en-US" w:eastAsia="zh-CN"/>
        </w:rPr>
      </w:pPr>
    </w:p>
    <w:p>
      <w:pPr>
        <w:numPr>
          <w:ilvl w:val="0"/>
          <w:numId w:val="0"/>
        </w:num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 xml:space="preserve">      Figure 6.2 : SPSS Gender and Education Cross-Tabulations</w:t>
      </w: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eastAsia" w:ascii="Times New Roman" w:hAnsi="Times New Roman" w:cs="Times New Roman"/>
          <w:i/>
          <w:iCs/>
          <w:sz w:val="24"/>
          <w:szCs w:val="24"/>
          <w:lang w:val="en-US" w:eastAsia="zh-CN"/>
        </w:rPr>
      </w:pPr>
    </w:p>
    <w:tbl>
      <w:tblPr>
        <w:tblStyle w:val="9"/>
        <w:tblW w:w="773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5"/>
        <w:gridCol w:w="736"/>
        <w:gridCol w:w="1412"/>
        <w:gridCol w:w="1396"/>
        <w:gridCol w:w="1028"/>
        <w:gridCol w:w="1396"/>
        <w:gridCol w:w="1028"/>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727" w:type="dxa"/>
            <w:gridSpan w:val="7"/>
            <w:tcBorders>
              <w:top w:val="nil"/>
              <w:left w:val="nil"/>
              <w:bottom w:val="nil"/>
              <w:right w:val="nil"/>
              <w:tl2br w:val="nil"/>
              <w:tr2bl w:val="nil"/>
            </w:tcBorders>
            <w:shd w:val="clear" w:color="auto" w:fill="FFFFFF"/>
            <w:noWrap w:val="0"/>
            <w:vAlign w:val="center"/>
          </w:tcPr>
          <w:p>
            <w:pPr>
              <w:numPr>
                <w:ilvl w:val="0"/>
                <w:numId w:val="0"/>
              </w:numPr>
              <w:ind w:firstLine="720" w:firstLineChars="300"/>
              <w:rPr>
                <w:rFonts w:hint="default" w:ascii="Times New Roman" w:hAnsi="Times New Roman" w:cs="Times New Roman"/>
                <w:b w:val="0"/>
                <w:bCs w:val="0"/>
                <w:i/>
                <w:iCs/>
                <w:sz w:val="24"/>
                <w:szCs w:val="24"/>
                <w:lang w:val="en-US" w:eastAsia="zh-CN"/>
              </w:rPr>
            </w:pPr>
          </w:p>
          <w:p>
            <w:pPr>
              <w:spacing w:beforeLines="0" w:afterLines="0" w:line="320" w:lineRule="atLeast"/>
              <w:ind w:left="60" w:right="60"/>
              <w:jc w:val="center"/>
              <w:rPr>
                <w:rFonts w:hint="default" w:ascii="MingLiU" w:eastAsia="MingLiU" w:cs="MingLiU"/>
                <w:color w:val="010205"/>
                <w:sz w:val="22"/>
                <w:szCs w:val="22"/>
              </w:rPr>
            </w:pPr>
            <w:r>
              <w:rPr>
                <w:rFonts w:hint="eastAsia" w:ascii="Times New Roman" w:hAnsi="Times New Roman" w:cs="Times New Roman"/>
                <w:b w:val="0"/>
                <w:bCs w:val="0"/>
                <w:i w:val="0"/>
                <w:iCs w:val="0"/>
                <w:sz w:val="24"/>
                <w:szCs w:val="24"/>
                <w:lang w:val="en-US" w:eastAsia="zh-CN"/>
              </w:rPr>
              <w:t>Gender and Income</w:t>
            </w:r>
            <w:r>
              <w:rPr>
                <w:rFonts w:hint="eastAsia" w:ascii="MingLiU" w:eastAsia="MingLiU" w:cs="MingLiU"/>
                <w:b/>
                <w:color w:val="010205"/>
                <w:sz w:val="22"/>
                <w:szCs w:val="22"/>
              </w:rPr>
              <w:t xml:space="preserve"> </w:t>
            </w:r>
            <w:r>
              <w:rPr>
                <w:rFonts w:hint="eastAsia" w:ascii="MingLiU" w:eastAsia="宋体" w:cs="MingLiU"/>
                <w:b/>
                <w:color w:val="010205"/>
                <w:sz w:val="22"/>
                <w:szCs w:val="22"/>
                <w:lang w:val="en-US" w:eastAsia="zh-CN"/>
              </w:rPr>
              <w:t xml:space="preserve">Level </w:t>
            </w:r>
            <w:r>
              <w:rPr>
                <w:rFonts w:hint="eastAsia" w:ascii="MingLiU" w:eastAsia="MingLiU" w:cs="MingLiU"/>
                <w:b/>
                <w:color w:val="010205"/>
                <w:sz w:val="22"/>
                <w:szCs w:val="22"/>
              </w:rPr>
              <w:t>Crosstabulation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83"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color w:val="auto"/>
                <w:sz w:val="24"/>
                <w:szCs w:val="24"/>
              </w:rPr>
            </w:pPr>
          </w:p>
        </w:tc>
        <w:tc>
          <w:tcPr>
            <w:tcW w:w="3817" w:type="dxa"/>
            <w:gridSpan w:val="3"/>
            <w:tcBorders>
              <w:top w:val="nil"/>
              <w:left w:val="nil"/>
              <w:bottom w:val="nil"/>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Income level</w:t>
            </w:r>
          </w:p>
        </w:tc>
        <w:tc>
          <w:tcPr>
            <w:tcW w:w="1027" w:type="dxa"/>
            <w:vMerge w:val="restart"/>
            <w:tcBorders>
              <w:top w:val="nil"/>
              <w:left w:val="single" w:color="E0E0E0" w:sz="8" w:space="0"/>
              <w:bottom w:val="nil"/>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Total</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83"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c>
          <w:tcPr>
            <w:tcW w:w="1395"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Below average level</w:t>
            </w:r>
          </w:p>
        </w:tc>
        <w:tc>
          <w:tcPr>
            <w:tcW w:w="1027"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Average level</w:t>
            </w:r>
          </w:p>
        </w:tc>
        <w:tc>
          <w:tcPr>
            <w:tcW w:w="1395"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Above average level</w:t>
            </w:r>
          </w:p>
        </w:tc>
        <w:tc>
          <w:tcPr>
            <w:tcW w:w="1027" w:type="dxa"/>
            <w:vMerge w:val="continue"/>
            <w:tcBorders>
              <w:top w:val="nil"/>
              <w:left w:val="single" w:color="E0E0E0" w:sz="8" w:space="0"/>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default" w:ascii="MingLiU" w:eastAsia="MingLiU" w:cs="MingLiU"/>
                <w:color w:val="264A60"/>
                <w:sz w:val="18"/>
                <w:szCs w:val="18"/>
              </w:rPr>
              <w:t>Gender</w:t>
            </w:r>
          </w:p>
        </w:tc>
        <w:tc>
          <w:tcPr>
            <w:tcW w:w="73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Male</w:t>
            </w:r>
          </w:p>
        </w:tc>
        <w:tc>
          <w:tcPr>
            <w:tcW w:w="1411"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395"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19</w:t>
            </w:r>
          </w:p>
        </w:tc>
        <w:tc>
          <w:tcPr>
            <w:tcW w:w="1027"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38</w:t>
            </w:r>
          </w:p>
        </w:tc>
        <w:tc>
          <w:tcPr>
            <w:tcW w:w="1395"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18</w:t>
            </w:r>
          </w:p>
        </w:tc>
        <w:tc>
          <w:tcPr>
            <w:tcW w:w="1027"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within Gender</w:t>
            </w:r>
          </w:p>
        </w:tc>
        <w:tc>
          <w:tcPr>
            <w:tcW w:w="1395"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25.3%</w:t>
            </w:r>
          </w:p>
        </w:tc>
        <w:tc>
          <w:tcPr>
            <w:tcW w:w="1027"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50.7%</w:t>
            </w:r>
          </w:p>
        </w:tc>
        <w:tc>
          <w:tcPr>
            <w:tcW w:w="1395"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24.0%</w:t>
            </w:r>
          </w:p>
        </w:tc>
        <w:tc>
          <w:tcPr>
            <w:tcW w:w="1027"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Female</w:t>
            </w:r>
          </w:p>
        </w:tc>
        <w:tc>
          <w:tcPr>
            <w:tcW w:w="1411"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395"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20</w:t>
            </w:r>
          </w:p>
        </w:tc>
        <w:tc>
          <w:tcPr>
            <w:tcW w:w="1027"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43</w:t>
            </w:r>
          </w:p>
        </w:tc>
        <w:tc>
          <w:tcPr>
            <w:tcW w:w="1395"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19</w:t>
            </w:r>
          </w:p>
        </w:tc>
        <w:tc>
          <w:tcPr>
            <w:tcW w:w="1027"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within Gender</w:t>
            </w:r>
          </w:p>
        </w:tc>
        <w:tc>
          <w:tcPr>
            <w:tcW w:w="1395"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24.4%</w:t>
            </w:r>
          </w:p>
        </w:tc>
        <w:tc>
          <w:tcPr>
            <w:tcW w:w="1027"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52.4%</w:t>
            </w:r>
          </w:p>
        </w:tc>
        <w:tc>
          <w:tcPr>
            <w:tcW w:w="1395"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23.2%</w:t>
            </w:r>
          </w:p>
        </w:tc>
        <w:tc>
          <w:tcPr>
            <w:tcW w:w="1027"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2"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Total</w:t>
            </w:r>
          </w:p>
        </w:tc>
        <w:tc>
          <w:tcPr>
            <w:tcW w:w="1411"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395"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39</w:t>
            </w:r>
          </w:p>
        </w:tc>
        <w:tc>
          <w:tcPr>
            <w:tcW w:w="1027"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81</w:t>
            </w:r>
          </w:p>
        </w:tc>
        <w:tc>
          <w:tcPr>
            <w:tcW w:w="1395"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37</w:t>
            </w:r>
          </w:p>
        </w:tc>
        <w:tc>
          <w:tcPr>
            <w:tcW w:w="1027"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2"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within Gender</w:t>
            </w:r>
          </w:p>
        </w:tc>
        <w:tc>
          <w:tcPr>
            <w:tcW w:w="1395"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24.8%</w:t>
            </w:r>
          </w:p>
        </w:tc>
        <w:tc>
          <w:tcPr>
            <w:tcW w:w="1027"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51.6%</w:t>
            </w:r>
          </w:p>
        </w:tc>
        <w:tc>
          <w:tcPr>
            <w:tcW w:w="1395"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23.6%</w:t>
            </w:r>
          </w:p>
        </w:tc>
        <w:tc>
          <w:tcPr>
            <w:tcW w:w="1027"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bl>
    <w:p>
      <w:pPr>
        <w:numPr>
          <w:ilvl w:val="0"/>
          <w:numId w:val="0"/>
        </w:numPr>
        <w:rPr>
          <w:rFonts w:hint="default" w:ascii="Times New Roman" w:hAnsi="Times New Roman" w:cs="Times New Roman"/>
          <w:i/>
          <w:iCs/>
          <w:sz w:val="24"/>
          <w:szCs w:val="24"/>
          <w:lang w:val="en-US" w:eastAsia="zh-CN"/>
        </w:rPr>
      </w:pPr>
    </w:p>
    <w:p>
      <w:pPr>
        <w:numPr>
          <w:ilvl w:val="0"/>
          <w:numId w:val="0"/>
        </w:num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 xml:space="preserve">       Figure 6.3 : SPSS Gender and Income level Cross-Tabulations</w:t>
      </w:r>
    </w:p>
    <w:p>
      <w:pPr>
        <w:numPr>
          <w:ilvl w:val="0"/>
          <w:numId w:val="0"/>
        </w:numPr>
        <w:rPr>
          <w:rFonts w:hint="eastAsia" w:ascii="Times New Roman" w:hAnsi="Times New Roman" w:cs="Times New Roman"/>
          <w:i/>
          <w:iCs/>
          <w:sz w:val="24"/>
          <w:szCs w:val="24"/>
          <w:lang w:val="en-US" w:eastAsia="zh-CN"/>
        </w:rPr>
      </w:pPr>
    </w:p>
    <w:tbl>
      <w:tblPr>
        <w:tblStyle w:val="9"/>
        <w:tblW w:w="840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656"/>
        <w:gridCol w:w="656"/>
        <w:gridCol w:w="1260"/>
        <w:gridCol w:w="1189"/>
        <w:gridCol w:w="811"/>
        <w:gridCol w:w="1781"/>
        <w:gridCol w:w="1042"/>
        <w:gridCol w:w="100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572"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ascii="Times New Roman" w:hAnsi="Times New Roman" w:cs="Times New Roman"/>
                <w:color w:val="auto"/>
                <w:sz w:val="24"/>
                <w:szCs w:val="24"/>
              </w:rPr>
            </w:pPr>
          </w:p>
        </w:tc>
        <w:tc>
          <w:tcPr>
            <w:tcW w:w="5829" w:type="dxa"/>
            <w:gridSpan w:val="5"/>
            <w:tcBorders>
              <w:top w:val="nil"/>
              <w:left w:val="nil"/>
              <w:bottom w:val="nil"/>
              <w:right w:val="nil"/>
              <w:tl2br w:val="nil"/>
              <w:tr2bl w:val="nil"/>
            </w:tcBorders>
            <w:shd w:val="clear" w:color="auto" w:fill="FFFFFF"/>
            <w:noWrap w:val="0"/>
            <w:vAlign w:val="bottom"/>
          </w:tcPr>
          <w:p>
            <w:pPr>
              <w:numPr>
                <w:ilvl w:val="0"/>
                <w:numId w:val="0"/>
              </w:num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Gender and Employment Status Cross-Tabulations</w:t>
            </w:r>
          </w:p>
          <w:p>
            <w:pPr>
              <w:spacing w:beforeLines="0" w:afterLines="0" w:line="320" w:lineRule="atLeast"/>
              <w:ind w:left="60" w:right="60"/>
              <w:jc w:val="center"/>
              <w:rPr>
                <w:rFonts w:hint="default" w:ascii="Times New Roman" w:hAnsi="Times New Roman" w:eastAsia="MingLiU" w:cs="Times New Roman"/>
                <w:b w:val="0"/>
                <w:bCs/>
                <w:color w:val="264A60"/>
                <w:sz w:val="24"/>
                <w:szCs w:val="24"/>
                <w:lang w:val="en-US"/>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572"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Times New Roman" w:hAnsi="Times New Roman" w:eastAsia="MingLiU" w:cs="Times New Roman"/>
                <w:color w:val="264A60"/>
                <w:sz w:val="24"/>
                <w:szCs w:val="24"/>
              </w:rPr>
            </w:pPr>
          </w:p>
        </w:tc>
        <w:tc>
          <w:tcPr>
            <w:tcW w:w="1189"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Times New Roman" w:hAnsi="Times New Roman" w:eastAsia="宋体" w:cs="Times New Roman"/>
                <w:color w:val="264A60"/>
                <w:sz w:val="24"/>
                <w:szCs w:val="24"/>
                <w:lang w:val="en-US" w:eastAsia="zh-CN"/>
              </w:rPr>
            </w:pPr>
            <w:r>
              <w:rPr>
                <w:rFonts w:hint="default" w:ascii="Times New Roman" w:hAnsi="Times New Roman" w:eastAsia="宋体" w:cs="Times New Roman"/>
                <w:color w:val="264A60"/>
                <w:sz w:val="24"/>
                <w:szCs w:val="24"/>
                <w:lang w:val="en-US" w:eastAsia="zh-CN"/>
              </w:rPr>
              <w:t xml:space="preserve">Self-employed </w:t>
            </w:r>
          </w:p>
        </w:tc>
        <w:tc>
          <w:tcPr>
            <w:tcW w:w="811"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Times New Roman" w:hAnsi="Times New Roman" w:eastAsia="宋体" w:cs="Times New Roman"/>
                <w:color w:val="264A60"/>
                <w:sz w:val="24"/>
                <w:szCs w:val="24"/>
                <w:lang w:val="en-US" w:eastAsia="zh-CN"/>
              </w:rPr>
            </w:pPr>
            <w:r>
              <w:rPr>
                <w:rFonts w:hint="default" w:ascii="Times New Roman" w:hAnsi="Times New Roman" w:eastAsia="宋体" w:cs="Times New Roman"/>
                <w:color w:val="264A60"/>
                <w:sz w:val="24"/>
                <w:szCs w:val="24"/>
                <w:lang w:val="en-US" w:eastAsia="zh-CN"/>
              </w:rPr>
              <w:t>Clerk</w:t>
            </w:r>
          </w:p>
        </w:tc>
        <w:tc>
          <w:tcPr>
            <w:tcW w:w="1781"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Times New Roman" w:hAnsi="Times New Roman" w:eastAsia="宋体" w:cs="Times New Roman"/>
                <w:color w:val="264A60"/>
                <w:sz w:val="24"/>
                <w:szCs w:val="24"/>
                <w:lang w:val="en-US" w:eastAsia="zh-CN"/>
              </w:rPr>
            </w:pPr>
            <w:r>
              <w:rPr>
                <w:rFonts w:hint="default" w:ascii="Times New Roman" w:hAnsi="Times New Roman" w:eastAsia="宋体" w:cs="Times New Roman"/>
                <w:color w:val="264A60"/>
                <w:sz w:val="24"/>
                <w:szCs w:val="24"/>
                <w:lang w:val="en-US" w:eastAsia="zh-CN"/>
              </w:rPr>
              <w:t>Civil Servant/Public Institution/Government</w:t>
            </w:r>
          </w:p>
        </w:tc>
        <w:tc>
          <w:tcPr>
            <w:tcW w:w="1042"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Times New Roman" w:hAnsi="Times New Roman" w:eastAsia="宋体" w:cs="Times New Roman"/>
                <w:color w:val="264A60"/>
                <w:sz w:val="24"/>
                <w:szCs w:val="24"/>
                <w:lang w:val="en-US" w:eastAsia="zh-CN"/>
              </w:rPr>
            </w:pPr>
            <w:r>
              <w:rPr>
                <w:rFonts w:hint="default" w:ascii="Times New Roman" w:hAnsi="Times New Roman" w:eastAsia="宋体" w:cs="Times New Roman"/>
                <w:color w:val="264A60"/>
                <w:sz w:val="24"/>
                <w:szCs w:val="24"/>
                <w:lang w:val="en-US" w:eastAsia="zh-CN"/>
              </w:rPr>
              <w:t>Ordinary workers</w:t>
            </w:r>
          </w:p>
        </w:tc>
        <w:tc>
          <w:tcPr>
            <w:tcW w:w="1006"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Times New Roman" w:hAnsi="Times New Roman" w:eastAsia="宋体" w:cs="Times New Roman"/>
                <w:color w:val="264A60"/>
                <w:sz w:val="24"/>
                <w:szCs w:val="24"/>
                <w:lang w:val="en-US" w:eastAsia="zh-CN"/>
              </w:rPr>
            </w:pPr>
            <w:r>
              <w:rPr>
                <w:rFonts w:hint="default" w:ascii="Times New Roman" w:hAnsi="Times New Roman" w:eastAsia="宋体" w:cs="Times New Roman"/>
                <w:color w:val="264A60"/>
                <w:sz w:val="24"/>
                <w:szCs w:val="24"/>
                <w:lang w:val="en-US" w:eastAsia="zh-CN"/>
              </w:rPr>
              <w:t>others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宋体" w:cs="Times New Roman"/>
                <w:color w:val="264A60"/>
                <w:sz w:val="24"/>
                <w:szCs w:val="24"/>
                <w:lang w:val="en-US" w:eastAsia="zh-CN"/>
              </w:rPr>
            </w:pPr>
            <w:r>
              <w:rPr>
                <w:rFonts w:hint="default" w:ascii="Times New Roman" w:hAnsi="Times New Roman" w:eastAsia="宋体" w:cs="Times New Roman"/>
                <w:color w:val="264A60"/>
                <w:sz w:val="24"/>
                <w:szCs w:val="24"/>
                <w:lang w:val="en-US" w:eastAsia="zh-CN"/>
              </w:rPr>
              <w:t>Gender</w:t>
            </w:r>
          </w:p>
        </w:tc>
        <w:tc>
          <w:tcPr>
            <w:tcW w:w="65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宋体" w:cs="Times New Roman"/>
                <w:color w:val="264A60"/>
                <w:sz w:val="24"/>
                <w:szCs w:val="24"/>
                <w:lang w:val="en-US" w:eastAsia="zh-CN"/>
              </w:rPr>
            </w:pPr>
            <w:r>
              <w:rPr>
                <w:rFonts w:hint="default" w:ascii="Times New Roman" w:hAnsi="Times New Roman" w:eastAsia="宋体" w:cs="Times New Roman"/>
                <w:color w:val="264A60"/>
                <w:sz w:val="24"/>
                <w:szCs w:val="24"/>
                <w:lang w:val="en-US" w:eastAsia="zh-CN"/>
              </w:rPr>
              <w:t>Male</w:t>
            </w:r>
          </w:p>
        </w:tc>
        <w:tc>
          <w:tcPr>
            <w:tcW w:w="1260"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Count</w:t>
            </w:r>
          </w:p>
        </w:tc>
        <w:tc>
          <w:tcPr>
            <w:tcW w:w="1189"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10</w:t>
            </w:r>
          </w:p>
        </w:tc>
        <w:tc>
          <w:tcPr>
            <w:tcW w:w="811"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w:t>
            </w:r>
          </w:p>
        </w:tc>
        <w:tc>
          <w:tcPr>
            <w:tcW w:w="1781"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11</w:t>
            </w:r>
          </w:p>
        </w:tc>
        <w:tc>
          <w:tcPr>
            <w:tcW w:w="1042"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10</w:t>
            </w:r>
          </w:p>
        </w:tc>
        <w:tc>
          <w:tcPr>
            <w:tcW w:w="1006"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Times New Roman" w:hAnsi="Times New Roman" w:eastAsia="MingLiU" w:cs="Times New Roman"/>
                <w:color w:val="010205"/>
                <w:sz w:val="24"/>
                <w:szCs w:val="24"/>
              </w:rPr>
            </w:pPr>
          </w:p>
        </w:tc>
        <w:tc>
          <w:tcPr>
            <w:tcW w:w="65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Times New Roman" w:hAnsi="Times New Roman" w:eastAsia="MingLiU" w:cs="Times New Roman"/>
                <w:color w:val="010205"/>
                <w:sz w:val="24"/>
                <w:szCs w:val="24"/>
              </w:rPr>
            </w:pPr>
          </w:p>
        </w:tc>
        <w:tc>
          <w:tcPr>
            <w:tcW w:w="1260"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宋体" w:cs="Times New Roman"/>
                <w:color w:val="264A60"/>
                <w:sz w:val="24"/>
                <w:szCs w:val="24"/>
                <w:lang w:val="en-US" w:eastAsia="zh-CN"/>
              </w:rPr>
            </w:pPr>
            <w:r>
              <w:rPr>
                <w:rFonts w:hint="default" w:ascii="Times New Roman" w:hAnsi="Times New Roman" w:eastAsia="MingLiU" w:cs="Times New Roman"/>
                <w:color w:val="264A60"/>
                <w:sz w:val="24"/>
                <w:szCs w:val="24"/>
              </w:rPr>
              <w:t xml:space="preserve">% within </w:t>
            </w:r>
            <w:r>
              <w:rPr>
                <w:rFonts w:hint="default" w:ascii="Times New Roman" w:hAnsi="Times New Roman" w:eastAsia="宋体" w:cs="Times New Roman"/>
                <w:color w:val="264A60"/>
                <w:sz w:val="24"/>
                <w:szCs w:val="24"/>
                <w:lang w:val="en-US" w:eastAsia="zh-CN"/>
              </w:rPr>
              <w:t>gender</w:t>
            </w:r>
          </w:p>
        </w:tc>
        <w:tc>
          <w:tcPr>
            <w:tcW w:w="1189"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13.3%</w:t>
            </w:r>
          </w:p>
        </w:tc>
        <w:tc>
          <w:tcPr>
            <w:tcW w:w="811"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32.0%</w:t>
            </w:r>
          </w:p>
        </w:tc>
        <w:tc>
          <w:tcPr>
            <w:tcW w:w="1781"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14.7%</w:t>
            </w:r>
          </w:p>
        </w:tc>
        <w:tc>
          <w:tcPr>
            <w:tcW w:w="1042"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13.3%</w:t>
            </w:r>
          </w:p>
        </w:tc>
        <w:tc>
          <w:tcPr>
            <w:tcW w:w="1006"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26.7%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Times New Roman" w:hAnsi="Times New Roman" w:eastAsia="MingLiU" w:cs="Times New Roman"/>
                <w:color w:val="010205"/>
                <w:sz w:val="24"/>
                <w:szCs w:val="24"/>
              </w:rPr>
            </w:pPr>
          </w:p>
        </w:tc>
        <w:tc>
          <w:tcPr>
            <w:tcW w:w="656"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宋体" w:cs="Times New Roman"/>
                <w:color w:val="264A60"/>
                <w:sz w:val="24"/>
                <w:szCs w:val="24"/>
                <w:lang w:val="en-US" w:eastAsia="zh-CN"/>
              </w:rPr>
            </w:pPr>
            <w:r>
              <w:rPr>
                <w:rFonts w:hint="default" w:ascii="Times New Roman" w:hAnsi="Times New Roman" w:eastAsia="宋体" w:cs="Times New Roman"/>
                <w:color w:val="264A60"/>
                <w:sz w:val="24"/>
                <w:szCs w:val="24"/>
                <w:lang w:val="en-US" w:eastAsia="zh-CN"/>
              </w:rPr>
              <w:t>Female</w:t>
            </w:r>
          </w:p>
        </w:tc>
        <w:tc>
          <w:tcPr>
            <w:tcW w:w="126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Count</w:t>
            </w:r>
          </w:p>
        </w:tc>
        <w:tc>
          <w:tcPr>
            <w:tcW w:w="1189"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14</w:t>
            </w:r>
          </w:p>
        </w:tc>
        <w:tc>
          <w:tcPr>
            <w:tcW w:w="811"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16</w:t>
            </w:r>
          </w:p>
        </w:tc>
        <w:tc>
          <w:tcPr>
            <w:tcW w:w="1781"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11</w:t>
            </w:r>
          </w:p>
        </w:tc>
        <w:tc>
          <w:tcPr>
            <w:tcW w:w="1042"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7</w:t>
            </w:r>
          </w:p>
        </w:tc>
        <w:tc>
          <w:tcPr>
            <w:tcW w:w="100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34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65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Times New Roman" w:hAnsi="Times New Roman" w:eastAsia="MingLiU" w:cs="Times New Roman"/>
                <w:color w:val="010205"/>
                <w:sz w:val="24"/>
                <w:szCs w:val="24"/>
              </w:rPr>
            </w:pPr>
          </w:p>
        </w:tc>
        <w:tc>
          <w:tcPr>
            <w:tcW w:w="656"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Times New Roman" w:hAnsi="Times New Roman" w:eastAsia="MingLiU" w:cs="Times New Roman"/>
                <w:color w:val="010205"/>
                <w:sz w:val="24"/>
                <w:szCs w:val="24"/>
              </w:rPr>
            </w:pPr>
          </w:p>
        </w:tc>
        <w:tc>
          <w:tcPr>
            <w:tcW w:w="1260"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宋体" w:cs="Times New Roman"/>
                <w:color w:val="264A60"/>
                <w:sz w:val="24"/>
                <w:szCs w:val="24"/>
                <w:lang w:val="en-US" w:eastAsia="zh-CN"/>
              </w:rPr>
            </w:pPr>
            <w:r>
              <w:rPr>
                <w:rFonts w:hint="default" w:ascii="Times New Roman" w:hAnsi="Times New Roman" w:eastAsia="MingLiU" w:cs="Times New Roman"/>
                <w:color w:val="264A60"/>
                <w:sz w:val="24"/>
                <w:szCs w:val="24"/>
              </w:rPr>
              <w:t xml:space="preserve">% within </w:t>
            </w:r>
            <w:r>
              <w:rPr>
                <w:rFonts w:hint="default" w:ascii="Times New Roman" w:hAnsi="Times New Roman" w:eastAsia="宋体" w:cs="Times New Roman"/>
                <w:color w:val="264A60"/>
                <w:sz w:val="24"/>
                <w:szCs w:val="24"/>
                <w:lang w:val="en-US" w:eastAsia="zh-CN"/>
              </w:rPr>
              <w:t>gender</w:t>
            </w:r>
          </w:p>
        </w:tc>
        <w:tc>
          <w:tcPr>
            <w:tcW w:w="1189"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17.1%</w:t>
            </w:r>
          </w:p>
        </w:tc>
        <w:tc>
          <w:tcPr>
            <w:tcW w:w="811"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19.5%</w:t>
            </w:r>
          </w:p>
        </w:tc>
        <w:tc>
          <w:tcPr>
            <w:tcW w:w="1781"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13.4%</w:t>
            </w:r>
          </w:p>
        </w:tc>
        <w:tc>
          <w:tcPr>
            <w:tcW w:w="1042"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8.5%</w:t>
            </w:r>
          </w:p>
        </w:tc>
        <w:tc>
          <w:tcPr>
            <w:tcW w:w="1006"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41.5%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12"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w:t>
            </w:r>
          </w:p>
        </w:tc>
        <w:tc>
          <w:tcPr>
            <w:tcW w:w="126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Count</w:t>
            </w:r>
          </w:p>
        </w:tc>
        <w:tc>
          <w:tcPr>
            <w:tcW w:w="1189"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w:t>
            </w:r>
          </w:p>
        </w:tc>
        <w:tc>
          <w:tcPr>
            <w:tcW w:w="811"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40</w:t>
            </w:r>
          </w:p>
        </w:tc>
        <w:tc>
          <w:tcPr>
            <w:tcW w:w="1781"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22</w:t>
            </w:r>
          </w:p>
        </w:tc>
        <w:tc>
          <w:tcPr>
            <w:tcW w:w="1042"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17</w:t>
            </w:r>
          </w:p>
        </w:tc>
        <w:tc>
          <w:tcPr>
            <w:tcW w:w="100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312"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Times New Roman" w:hAnsi="Times New Roman" w:eastAsia="MingLiU" w:cs="Times New Roman"/>
                <w:color w:val="010205"/>
                <w:sz w:val="24"/>
                <w:szCs w:val="24"/>
              </w:rPr>
            </w:pPr>
          </w:p>
        </w:tc>
        <w:tc>
          <w:tcPr>
            <w:tcW w:w="1260"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宋体" w:cs="Times New Roman"/>
                <w:color w:val="264A60"/>
                <w:sz w:val="24"/>
                <w:szCs w:val="24"/>
                <w:lang w:val="en-US" w:eastAsia="zh-CN"/>
              </w:rPr>
            </w:pPr>
            <w:r>
              <w:rPr>
                <w:rFonts w:hint="default" w:ascii="Times New Roman" w:hAnsi="Times New Roman" w:eastAsia="MingLiU" w:cs="Times New Roman"/>
                <w:color w:val="264A60"/>
                <w:sz w:val="24"/>
                <w:szCs w:val="24"/>
              </w:rPr>
              <w:t xml:space="preserve">% within </w:t>
            </w:r>
            <w:r>
              <w:rPr>
                <w:rFonts w:hint="default" w:ascii="Times New Roman" w:hAnsi="Times New Roman" w:eastAsia="宋体" w:cs="Times New Roman"/>
                <w:color w:val="264A60"/>
                <w:sz w:val="24"/>
                <w:szCs w:val="24"/>
                <w:lang w:val="en-US" w:eastAsia="zh-CN"/>
              </w:rPr>
              <w:t>gender</w:t>
            </w:r>
          </w:p>
        </w:tc>
        <w:tc>
          <w:tcPr>
            <w:tcW w:w="1189"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15.3%</w:t>
            </w:r>
          </w:p>
        </w:tc>
        <w:tc>
          <w:tcPr>
            <w:tcW w:w="811"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25.5%</w:t>
            </w:r>
          </w:p>
        </w:tc>
        <w:tc>
          <w:tcPr>
            <w:tcW w:w="1781"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14.0%</w:t>
            </w:r>
          </w:p>
        </w:tc>
        <w:tc>
          <w:tcPr>
            <w:tcW w:w="1042"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10.8%</w:t>
            </w:r>
          </w:p>
        </w:tc>
        <w:tc>
          <w:tcPr>
            <w:tcW w:w="1006"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34.4%</w:t>
            </w:r>
          </w:p>
        </w:tc>
      </w:tr>
    </w:tbl>
    <w:p>
      <w:pPr>
        <w:numPr>
          <w:ilvl w:val="0"/>
          <w:numId w:val="0"/>
        </w:numPr>
        <w:rPr>
          <w:rFonts w:hint="eastAsia" w:ascii="Times New Roman" w:hAnsi="Times New Roman" w:cs="Times New Roman"/>
          <w:i/>
          <w:iCs/>
          <w:sz w:val="24"/>
          <w:szCs w:val="24"/>
          <w:lang w:val="en-US" w:eastAsia="zh-CN"/>
        </w:rPr>
      </w:pPr>
    </w:p>
    <w:p>
      <w:pPr>
        <w:numPr>
          <w:ilvl w:val="0"/>
          <w:numId w:val="0"/>
        </w:num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 xml:space="preserve"> Figure 6.4 : SPSS Gender and Employment Status Cross-Tabulations</w:t>
      </w: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eastAsia" w:ascii="Times New Roman" w:hAnsi="Times New Roman" w:cs="Times New Roman"/>
          <w:sz w:val="24"/>
          <w:szCs w:val="24"/>
          <w:lang w:val="en-US" w:eastAsia="zh-CN"/>
        </w:rPr>
      </w:pPr>
    </w:p>
    <w:tbl>
      <w:tblPr>
        <w:tblStyle w:val="9"/>
        <w:tblW w:w="744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7"/>
        <w:gridCol w:w="736"/>
        <w:gridCol w:w="1412"/>
        <w:gridCol w:w="1028"/>
        <w:gridCol w:w="1028"/>
        <w:gridCol w:w="1474"/>
        <w:gridCol w:w="1028"/>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440" w:type="dxa"/>
            <w:gridSpan w:val="7"/>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宋体" w:cs="MingLiU"/>
                <w:b/>
                <w:color w:val="010205"/>
                <w:sz w:val="22"/>
                <w:szCs w:val="22"/>
                <w:lang w:val="en-US" w:eastAsia="zh-CN"/>
              </w:rPr>
              <w:t>Gender</w:t>
            </w:r>
            <w:r>
              <w:rPr>
                <w:rFonts w:hint="eastAsia" w:ascii="MingLiU" w:eastAsia="MingLiU" w:cs="MingLiU"/>
                <w:b/>
                <w:color w:val="010205"/>
                <w:sz w:val="22"/>
                <w:szCs w:val="22"/>
              </w:rPr>
              <w:t xml:space="preserve"> * </w:t>
            </w:r>
            <w:r>
              <w:rPr>
                <w:rFonts w:hint="eastAsia" w:ascii="MingLiU" w:eastAsia="宋体" w:cs="MingLiU"/>
                <w:b/>
                <w:color w:val="010205"/>
                <w:sz w:val="22"/>
                <w:szCs w:val="22"/>
                <w:lang w:val="en-US" w:eastAsia="zh-CN"/>
              </w:rPr>
              <w:t>way of Shopping</w:t>
            </w:r>
            <w:r>
              <w:rPr>
                <w:rFonts w:hint="eastAsia" w:ascii="MingLiU" w:eastAsia="MingLiU" w:cs="MingLiU"/>
                <w:b/>
                <w:color w:val="010205"/>
                <w:sz w:val="22"/>
                <w:szCs w:val="22"/>
              </w:rPr>
              <w:t xml:space="preserve"> Crosstabulation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83"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color w:val="auto"/>
                <w:sz w:val="24"/>
                <w:szCs w:val="24"/>
              </w:rPr>
            </w:pPr>
          </w:p>
        </w:tc>
        <w:tc>
          <w:tcPr>
            <w:tcW w:w="3529" w:type="dxa"/>
            <w:gridSpan w:val="3"/>
            <w:tcBorders>
              <w:top w:val="nil"/>
              <w:left w:val="nil"/>
              <w:bottom w:val="nil"/>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MingLiU" w:cs="MingLiU"/>
                <w:color w:val="264A60"/>
                <w:sz w:val="18"/>
                <w:szCs w:val="18"/>
              </w:rPr>
            </w:pPr>
            <w:r>
              <w:rPr>
                <w:rFonts w:hint="eastAsia" w:ascii="MingLiU" w:eastAsia="宋体" w:cs="MingLiU"/>
                <w:b/>
                <w:color w:val="010205"/>
                <w:sz w:val="22"/>
                <w:szCs w:val="22"/>
                <w:lang w:val="en-US" w:eastAsia="zh-CN"/>
              </w:rPr>
              <w:t>way of shopping</w:t>
            </w:r>
          </w:p>
        </w:tc>
        <w:tc>
          <w:tcPr>
            <w:tcW w:w="1028" w:type="dxa"/>
            <w:vMerge w:val="restart"/>
            <w:tcBorders>
              <w:top w:val="nil"/>
              <w:left w:val="single" w:color="E0E0E0" w:sz="8" w:space="0"/>
              <w:bottom w:val="nil"/>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Total</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83"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c>
          <w:tcPr>
            <w:tcW w:w="1028"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both"/>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online</w:t>
            </w:r>
          </w:p>
        </w:tc>
        <w:tc>
          <w:tcPr>
            <w:tcW w:w="1028"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offline</w:t>
            </w:r>
          </w:p>
        </w:tc>
        <w:tc>
          <w:tcPr>
            <w:tcW w:w="1473"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online and offline</w:t>
            </w:r>
          </w:p>
        </w:tc>
        <w:tc>
          <w:tcPr>
            <w:tcW w:w="1028" w:type="dxa"/>
            <w:vMerge w:val="continue"/>
            <w:tcBorders>
              <w:top w:val="nil"/>
              <w:left w:val="single" w:color="E0E0E0" w:sz="8" w:space="0"/>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宋体" w:cs="MingLiU"/>
                <w:b w:val="0"/>
                <w:bCs/>
                <w:color w:val="010205"/>
                <w:sz w:val="22"/>
                <w:szCs w:val="22"/>
                <w:lang w:val="en-US" w:eastAsia="zh-CN"/>
              </w:rPr>
              <w:t>gender</w:t>
            </w:r>
          </w:p>
        </w:tc>
        <w:tc>
          <w:tcPr>
            <w:tcW w:w="73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Male</w:t>
            </w:r>
          </w:p>
        </w:tc>
        <w:tc>
          <w:tcPr>
            <w:tcW w:w="1411"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8"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18</w:t>
            </w:r>
          </w:p>
        </w:tc>
        <w:tc>
          <w:tcPr>
            <w:tcW w:w="1028"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13</w:t>
            </w:r>
          </w:p>
        </w:tc>
        <w:tc>
          <w:tcPr>
            <w:tcW w:w="1473"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44</w:t>
            </w:r>
          </w:p>
        </w:tc>
        <w:tc>
          <w:tcPr>
            <w:tcW w:w="1028"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xml:space="preserve">% within </w:t>
            </w:r>
            <w:r>
              <w:rPr>
                <w:rFonts w:hint="eastAsia" w:ascii="MingLiU" w:eastAsia="宋体" w:cs="MingLiU"/>
                <w:b w:val="0"/>
                <w:bCs/>
                <w:color w:val="010205"/>
                <w:sz w:val="22"/>
                <w:szCs w:val="22"/>
                <w:lang w:val="en-US" w:eastAsia="zh-CN"/>
              </w:rPr>
              <w:t>gender</w:t>
            </w:r>
          </w:p>
        </w:tc>
        <w:tc>
          <w:tcPr>
            <w:tcW w:w="1028"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24.0%</w:t>
            </w:r>
          </w:p>
        </w:tc>
        <w:tc>
          <w:tcPr>
            <w:tcW w:w="102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17.3%</w:t>
            </w:r>
          </w:p>
        </w:tc>
        <w:tc>
          <w:tcPr>
            <w:tcW w:w="1473"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58.7%</w:t>
            </w:r>
          </w:p>
        </w:tc>
        <w:tc>
          <w:tcPr>
            <w:tcW w:w="102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Female</w:t>
            </w:r>
          </w:p>
        </w:tc>
        <w:tc>
          <w:tcPr>
            <w:tcW w:w="1411"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19</w:t>
            </w:r>
          </w:p>
        </w:tc>
        <w:tc>
          <w:tcPr>
            <w:tcW w:w="102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w:t>
            </w:r>
          </w:p>
        </w:tc>
        <w:tc>
          <w:tcPr>
            <w:tcW w:w="1473"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53</w:t>
            </w:r>
          </w:p>
        </w:tc>
        <w:tc>
          <w:tcPr>
            <w:tcW w:w="102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xml:space="preserve">% within </w:t>
            </w:r>
            <w:r>
              <w:rPr>
                <w:rFonts w:hint="eastAsia" w:ascii="MingLiU" w:eastAsia="宋体" w:cs="MingLiU"/>
                <w:b w:val="0"/>
                <w:bCs/>
                <w:color w:val="010205"/>
                <w:sz w:val="22"/>
                <w:szCs w:val="22"/>
                <w:lang w:val="en-US" w:eastAsia="zh-CN"/>
              </w:rPr>
              <w:t>gender</w:t>
            </w:r>
          </w:p>
        </w:tc>
        <w:tc>
          <w:tcPr>
            <w:tcW w:w="1028"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23.2%</w:t>
            </w:r>
          </w:p>
        </w:tc>
        <w:tc>
          <w:tcPr>
            <w:tcW w:w="102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12.2%</w:t>
            </w:r>
          </w:p>
        </w:tc>
        <w:tc>
          <w:tcPr>
            <w:tcW w:w="1473"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64.6%</w:t>
            </w:r>
          </w:p>
        </w:tc>
        <w:tc>
          <w:tcPr>
            <w:tcW w:w="102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2"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Total</w:t>
            </w:r>
          </w:p>
        </w:tc>
        <w:tc>
          <w:tcPr>
            <w:tcW w:w="1411"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37</w:t>
            </w:r>
          </w:p>
        </w:tc>
        <w:tc>
          <w:tcPr>
            <w:tcW w:w="102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w:t>
            </w:r>
          </w:p>
        </w:tc>
        <w:tc>
          <w:tcPr>
            <w:tcW w:w="1473"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97</w:t>
            </w:r>
          </w:p>
        </w:tc>
        <w:tc>
          <w:tcPr>
            <w:tcW w:w="102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2"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xml:space="preserve">% within </w:t>
            </w:r>
            <w:r>
              <w:rPr>
                <w:rFonts w:hint="eastAsia" w:ascii="MingLiU" w:eastAsia="宋体" w:cs="MingLiU"/>
                <w:b w:val="0"/>
                <w:bCs/>
                <w:color w:val="010205"/>
                <w:sz w:val="22"/>
                <w:szCs w:val="22"/>
                <w:lang w:val="en-US" w:eastAsia="zh-CN"/>
              </w:rPr>
              <w:t>gender</w:t>
            </w:r>
          </w:p>
        </w:tc>
        <w:tc>
          <w:tcPr>
            <w:tcW w:w="1028"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23.6%</w:t>
            </w:r>
          </w:p>
        </w:tc>
        <w:tc>
          <w:tcPr>
            <w:tcW w:w="1028"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14.6%</w:t>
            </w:r>
          </w:p>
        </w:tc>
        <w:tc>
          <w:tcPr>
            <w:tcW w:w="1473"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61.8%</w:t>
            </w:r>
          </w:p>
        </w:tc>
        <w:tc>
          <w:tcPr>
            <w:tcW w:w="1028"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bl>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i/>
          <w:iCs/>
          <w:sz w:val="24"/>
          <w:szCs w:val="24"/>
          <w:lang w:val="en-US" w:eastAsia="zh-CN"/>
        </w:rPr>
      </w:pPr>
      <w:r>
        <w:rPr>
          <w:rFonts w:hint="eastAsia" w:ascii="Times New Roman" w:hAnsi="Times New Roman" w:cs="Times New Roman"/>
          <w:sz w:val="24"/>
          <w:szCs w:val="24"/>
          <w:lang w:val="en-US" w:eastAsia="zh-CN"/>
        </w:rPr>
        <w:t xml:space="preserve">    </w:t>
      </w:r>
      <w:r>
        <w:rPr>
          <w:rFonts w:hint="eastAsia" w:ascii="Times New Roman" w:hAnsi="Times New Roman" w:cs="Times New Roman"/>
          <w:i/>
          <w:iCs/>
          <w:sz w:val="24"/>
          <w:szCs w:val="24"/>
          <w:lang w:val="en-US" w:eastAsia="zh-CN"/>
        </w:rPr>
        <w:t>Figure 6.5 : SPSS Gender and way of Shopping Cross-Tabulations</w:t>
      </w: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6.2.2 Chi-Square</w:t>
      </w:r>
    </w:p>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6.2.2.1 Non-Significant - Gender</w:t>
      </w:r>
    </w:p>
    <w:p>
      <w:pPr>
        <w:numPr>
          <w:ilvl w:val="0"/>
          <w:numId w:val="0"/>
        </w:numPr>
        <w:rPr>
          <w:rFonts w:hint="eastAsia" w:ascii="Times New Roman" w:hAnsi="Times New Roman" w:cs="Times New Roman"/>
          <w:sz w:val="24"/>
          <w:szCs w:val="24"/>
          <w:lang w:val="en-US" w:eastAsia="zh-CN"/>
        </w:rPr>
      </w:pPr>
    </w:p>
    <w:tbl>
      <w:tblPr>
        <w:tblStyle w:val="9"/>
        <w:tblW w:w="744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7"/>
        <w:gridCol w:w="736"/>
        <w:gridCol w:w="1412"/>
        <w:gridCol w:w="1028"/>
        <w:gridCol w:w="1028"/>
        <w:gridCol w:w="1474"/>
        <w:gridCol w:w="1028"/>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440" w:type="dxa"/>
            <w:gridSpan w:val="7"/>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宋体" w:cs="MingLiU"/>
                <w:b/>
                <w:color w:val="010205"/>
                <w:sz w:val="22"/>
                <w:szCs w:val="22"/>
                <w:lang w:val="en-US" w:eastAsia="zh-CN"/>
              </w:rPr>
              <w:t>gender</w:t>
            </w:r>
            <w:r>
              <w:rPr>
                <w:rFonts w:hint="eastAsia" w:ascii="MingLiU" w:eastAsia="MingLiU" w:cs="MingLiU"/>
                <w:b/>
                <w:color w:val="010205"/>
                <w:sz w:val="22"/>
                <w:szCs w:val="22"/>
              </w:rPr>
              <w:t xml:space="preserve"> * </w:t>
            </w:r>
            <w:r>
              <w:rPr>
                <w:rFonts w:hint="eastAsia" w:ascii="MingLiU" w:eastAsia="宋体" w:cs="MingLiU"/>
                <w:b/>
                <w:color w:val="010205"/>
                <w:sz w:val="22"/>
                <w:szCs w:val="22"/>
                <w:lang w:val="en-US" w:eastAsia="zh-CN"/>
              </w:rPr>
              <w:t>way of shopping</w:t>
            </w:r>
            <w:r>
              <w:rPr>
                <w:rFonts w:hint="eastAsia" w:ascii="MingLiU" w:eastAsia="MingLiU" w:cs="MingLiU"/>
                <w:b/>
                <w:color w:val="010205"/>
                <w:sz w:val="22"/>
                <w:szCs w:val="22"/>
              </w:rPr>
              <w:t xml:space="preserve"> Crosstabulation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83"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color w:val="auto"/>
                <w:sz w:val="24"/>
                <w:szCs w:val="24"/>
              </w:rPr>
            </w:pPr>
          </w:p>
        </w:tc>
        <w:tc>
          <w:tcPr>
            <w:tcW w:w="3529" w:type="dxa"/>
            <w:gridSpan w:val="3"/>
            <w:tcBorders>
              <w:top w:val="nil"/>
              <w:left w:val="nil"/>
              <w:bottom w:val="nil"/>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MingLiU" w:cs="MingLiU"/>
                <w:color w:val="264A60"/>
                <w:sz w:val="18"/>
                <w:szCs w:val="18"/>
              </w:rPr>
            </w:pPr>
            <w:r>
              <w:rPr>
                <w:rFonts w:hint="eastAsia" w:ascii="MingLiU" w:eastAsia="宋体" w:cs="MingLiU"/>
                <w:b/>
                <w:color w:val="010205"/>
                <w:sz w:val="22"/>
                <w:szCs w:val="22"/>
                <w:lang w:val="en-US" w:eastAsia="zh-CN"/>
              </w:rPr>
              <w:t>way of shopping</w:t>
            </w:r>
          </w:p>
        </w:tc>
        <w:tc>
          <w:tcPr>
            <w:tcW w:w="1028" w:type="dxa"/>
            <w:vMerge w:val="restart"/>
            <w:tcBorders>
              <w:top w:val="nil"/>
              <w:left w:val="single" w:color="E0E0E0" w:sz="8" w:space="0"/>
              <w:bottom w:val="nil"/>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Total</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83"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c>
          <w:tcPr>
            <w:tcW w:w="1028"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both"/>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online</w:t>
            </w:r>
          </w:p>
        </w:tc>
        <w:tc>
          <w:tcPr>
            <w:tcW w:w="1028"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offline</w:t>
            </w:r>
          </w:p>
        </w:tc>
        <w:tc>
          <w:tcPr>
            <w:tcW w:w="1473"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online and offline</w:t>
            </w:r>
          </w:p>
        </w:tc>
        <w:tc>
          <w:tcPr>
            <w:tcW w:w="1028" w:type="dxa"/>
            <w:vMerge w:val="continue"/>
            <w:tcBorders>
              <w:top w:val="nil"/>
              <w:left w:val="single" w:color="E0E0E0" w:sz="8" w:space="0"/>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宋体" w:cs="MingLiU"/>
                <w:b w:val="0"/>
                <w:bCs/>
                <w:color w:val="010205"/>
                <w:sz w:val="22"/>
                <w:szCs w:val="22"/>
                <w:lang w:val="en-US" w:eastAsia="zh-CN"/>
              </w:rPr>
              <w:t>gender</w:t>
            </w:r>
          </w:p>
        </w:tc>
        <w:tc>
          <w:tcPr>
            <w:tcW w:w="736"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Male</w:t>
            </w:r>
          </w:p>
        </w:tc>
        <w:tc>
          <w:tcPr>
            <w:tcW w:w="1411"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8"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18</w:t>
            </w:r>
          </w:p>
        </w:tc>
        <w:tc>
          <w:tcPr>
            <w:tcW w:w="1028"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13</w:t>
            </w:r>
          </w:p>
        </w:tc>
        <w:tc>
          <w:tcPr>
            <w:tcW w:w="1473"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44</w:t>
            </w:r>
          </w:p>
        </w:tc>
        <w:tc>
          <w:tcPr>
            <w:tcW w:w="1028"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xml:space="preserve">% within </w:t>
            </w:r>
            <w:r>
              <w:rPr>
                <w:rFonts w:hint="eastAsia" w:ascii="MingLiU" w:eastAsia="宋体" w:cs="MingLiU"/>
                <w:b w:val="0"/>
                <w:bCs/>
                <w:color w:val="010205"/>
                <w:sz w:val="22"/>
                <w:szCs w:val="22"/>
                <w:lang w:val="en-US" w:eastAsia="zh-CN"/>
              </w:rPr>
              <w:t>gender</w:t>
            </w:r>
          </w:p>
        </w:tc>
        <w:tc>
          <w:tcPr>
            <w:tcW w:w="1028"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24.0%</w:t>
            </w:r>
          </w:p>
        </w:tc>
        <w:tc>
          <w:tcPr>
            <w:tcW w:w="102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17.3%</w:t>
            </w:r>
          </w:p>
        </w:tc>
        <w:tc>
          <w:tcPr>
            <w:tcW w:w="1473"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58.7%</w:t>
            </w:r>
          </w:p>
        </w:tc>
        <w:tc>
          <w:tcPr>
            <w:tcW w:w="102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Female</w:t>
            </w:r>
          </w:p>
        </w:tc>
        <w:tc>
          <w:tcPr>
            <w:tcW w:w="1411"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19</w:t>
            </w:r>
          </w:p>
        </w:tc>
        <w:tc>
          <w:tcPr>
            <w:tcW w:w="102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w:t>
            </w:r>
          </w:p>
        </w:tc>
        <w:tc>
          <w:tcPr>
            <w:tcW w:w="1473"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53</w:t>
            </w:r>
          </w:p>
        </w:tc>
        <w:tc>
          <w:tcPr>
            <w:tcW w:w="102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6"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6"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xml:space="preserve">% within </w:t>
            </w:r>
            <w:r>
              <w:rPr>
                <w:rFonts w:hint="eastAsia" w:ascii="MingLiU" w:eastAsia="宋体" w:cs="MingLiU"/>
                <w:b w:val="0"/>
                <w:bCs/>
                <w:color w:val="010205"/>
                <w:sz w:val="22"/>
                <w:szCs w:val="22"/>
                <w:lang w:val="en-US" w:eastAsia="zh-CN"/>
              </w:rPr>
              <w:t>gender</w:t>
            </w:r>
          </w:p>
        </w:tc>
        <w:tc>
          <w:tcPr>
            <w:tcW w:w="1028"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23.2%</w:t>
            </w:r>
          </w:p>
        </w:tc>
        <w:tc>
          <w:tcPr>
            <w:tcW w:w="102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12.2%</w:t>
            </w:r>
          </w:p>
        </w:tc>
        <w:tc>
          <w:tcPr>
            <w:tcW w:w="1473"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64.6%</w:t>
            </w:r>
          </w:p>
        </w:tc>
        <w:tc>
          <w:tcPr>
            <w:tcW w:w="102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2"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Total</w:t>
            </w:r>
          </w:p>
        </w:tc>
        <w:tc>
          <w:tcPr>
            <w:tcW w:w="1411"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37</w:t>
            </w:r>
          </w:p>
        </w:tc>
        <w:tc>
          <w:tcPr>
            <w:tcW w:w="102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w:t>
            </w:r>
          </w:p>
        </w:tc>
        <w:tc>
          <w:tcPr>
            <w:tcW w:w="1473"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97</w:t>
            </w:r>
          </w:p>
        </w:tc>
        <w:tc>
          <w:tcPr>
            <w:tcW w:w="102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2"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1"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 xml:space="preserve">% within </w:t>
            </w:r>
            <w:r>
              <w:rPr>
                <w:rFonts w:hint="eastAsia" w:ascii="MingLiU" w:eastAsia="宋体" w:cs="MingLiU"/>
                <w:b w:val="0"/>
                <w:bCs/>
                <w:color w:val="010205"/>
                <w:sz w:val="22"/>
                <w:szCs w:val="22"/>
                <w:lang w:val="en-US" w:eastAsia="zh-CN"/>
              </w:rPr>
              <w:t>gender</w:t>
            </w:r>
          </w:p>
        </w:tc>
        <w:tc>
          <w:tcPr>
            <w:tcW w:w="1028"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23.6%</w:t>
            </w:r>
          </w:p>
        </w:tc>
        <w:tc>
          <w:tcPr>
            <w:tcW w:w="1028"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14.6%</w:t>
            </w:r>
          </w:p>
        </w:tc>
        <w:tc>
          <w:tcPr>
            <w:tcW w:w="1473"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61.8%</w:t>
            </w:r>
          </w:p>
        </w:tc>
        <w:tc>
          <w:tcPr>
            <w:tcW w:w="1028"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bl>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p>
    <w:p>
      <w:pPr>
        <w:spacing w:beforeLines="0" w:afterLines="0" w:line="400" w:lineRule="atLeast"/>
        <w:rPr>
          <w:rFonts w:hint="default"/>
          <w:color w:val="auto"/>
          <w:sz w:val="24"/>
          <w:szCs w:val="24"/>
        </w:rPr>
      </w:pPr>
    </w:p>
    <w:tbl>
      <w:tblPr>
        <w:tblStyle w:val="9"/>
        <w:tblW w:w="744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853"/>
        <w:gridCol w:w="1058"/>
        <w:gridCol w:w="1100"/>
        <w:gridCol w:w="2434"/>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445" w:type="dxa"/>
            <w:gridSpan w:val="4"/>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MingLiU" w:cs="MingLiU"/>
                <w:b/>
                <w:color w:val="010205"/>
                <w:sz w:val="22"/>
                <w:szCs w:val="22"/>
              </w:rPr>
              <w:t>Chi-Square Tests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53" w:type="dxa"/>
            <w:tcBorders>
              <w:top w:val="nil"/>
              <w:left w:val="nil"/>
              <w:bottom w:val="single" w:color="152935" w:sz="8" w:space="0"/>
              <w:right w:val="nil"/>
              <w:tl2br w:val="nil"/>
              <w:tr2bl w:val="nil"/>
            </w:tcBorders>
            <w:shd w:val="clear" w:color="auto" w:fill="FFFFFF"/>
            <w:noWrap w:val="0"/>
            <w:vAlign w:val="bottom"/>
          </w:tcPr>
          <w:p>
            <w:pPr>
              <w:spacing w:beforeLines="0" w:afterLines="0"/>
              <w:rPr>
                <w:rFonts w:hint="default"/>
                <w:color w:val="auto"/>
                <w:sz w:val="24"/>
                <w:szCs w:val="24"/>
              </w:rPr>
            </w:pPr>
          </w:p>
        </w:tc>
        <w:tc>
          <w:tcPr>
            <w:tcW w:w="1058"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Value</w:t>
            </w:r>
          </w:p>
        </w:tc>
        <w:tc>
          <w:tcPr>
            <w:tcW w:w="1100"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df</w:t>
            </w:r>
          </w:p>
        </w:tc>
        <w:tc>
          <w:tcPr>
            <w:tcW w:w="2434"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Asymptotic Significance (2-sided)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53"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Pearson Chi-Square</w:t>
            </w:r>
          </w:p>
        </w:tc>
        <w:tc>
          <w:tcPr>
            <w:tcW w:w="1058"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MingLiU" w:eastAsia="MingLiU" w:cs="MingLiU"/>
                <w:color w:val="010205"/>
                <w:sz w:val="18"/>
                <w:szCs w:val="18"/>
              </w:rPr>
            </w:pPr>
            <w:r>
              <w:rPr>
                <w:rFonts w:hint="eastAsia" w:ascii="MingLiU" w:eastAsia="MingLiU" w:cs="MingLiU"/>
                <w:color w:val="010205"/>
                <w:sz w:val="18"/>
                <w:szCs w:val="18"/>
              </w:rPr>
              <w:t>.943</w:t>
            </w:r>
            <w:r>
              <w:rPr>
                <w:rFonts w:hint="eastAsia" w:ascii="MingLiU" w:eastAsia="MingLiU" w:cs="MingLiU"/>
                <w:color w:val="010205"/>
                <w:sz w:val="18"/>
                <w:szCs w:val="18"/>
                <w:vertAlign w:val="superscript"/>
              </w:rPr>
              <w:t>a</w:t>
            </w:r>
          </w:p>
        </w:tc>
        <w:tc>
          <w:tcPr>
            <w:tcW w:w="1100"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w:t>
            </w:r>
          </w:p>
        </w:tc>
        <w:tc>
          <w:tcPr>
            <w:tcW w:w="2434"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.624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53"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Likelihood Ratio</w:t>
            </w:r>
          </w:p>
        </w:tc>
        <w:tc>
          <w:tcPr>
            <w:tcW w:w="10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.944</w:t>
            </w:r>
          </w:p>
        </w:tc>
        <w:tc>
          <w:tcPr>
            <w:tcW w:w="110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w:t>
            </w:r>
          </w:p>
        </w:tc>
        <w:tc>
          <w:tcPr>
            <w:tcW w:w="2434"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.624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53"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Linear-by-Linear Association</w:t>
            </w:r>
          </w:p>
        </w:tc>
        <w:tc>
          <w:tcPr>
            <w:tcW w:w="10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.254</w:t>
            </w:r>
          </w:p>
        </w:tc>
        <w:tc>
          <w:tcPr>
            <w:tcW w:w="110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2434"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.614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53"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N of Valid Cases</w:t>
            </w:r>
          </w:p>
        </w:tc>
        <w:tc>
          <w:tcPr>
            <w:tcW w:w="1058"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c>
          <w:tcPr>
            <w:tcW w:w="1100"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2434"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bl>
    <w:p>
      <w:pPr>
        <w:spacing w:beforeLines="0" w:afterLines="0"/>
        <w:rPr>
          <w:rFonts w:hint="default"/>
          <w:color w:val="auto"/>
          <w:sz w:val="24"/>
          <w:szCs w:val="24"/>
        </w:rPr>
      </w:pPr>
    </w:p>
    <w:tbl>
      <w:tblPr>
        <w:tblStyle w:val="9"/>
        <w:tblW w:w="600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6003"/>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rPr>
        <w:tc>
          <w:tcPr>
            <w:tcW w:w="6001" w:type="dxa"/>
            <w:tcBorders>
              <w:top w:val="nil"/>
              <w:left w:val="nil"/>
              <w:bottom w:val="nil"/>
              <w:right w:val="nil"/>
              <w:tl2br w:val="nil"/>
              <w:tr2bl w:val="nil"/>
            </w:tcBorders>
            <w:shd w:val="clear" w:color="auto" w:fill="FFFFFF"/>
            <w:noWrap w:val="0"/>
            <w:vAlign w:val="top"/>
          </w:tcPr>
          <w:p>
            <w:pPr>
              <w:spacing w:beforeLines="0" w:afterLines="0" w:line="320" w:lineRule="atLeast"/>
              <w:ind w:left="60" w:right="60"/>
              <w:rPr>
                <w:rFonts w:hint="eastAsia" w:ascii="MingLiU" w:eastAsia="MingLiU" w:cs="MingLiU"/>
                <w:color w:val="010205"/>
                <w:sz w:val="18"/>
                <w:szCs w:val="18"/>
              </w:rPr>
            </w:pPr>
            <w:r>
              <w:rPr>
                <w:rFonts w:hint="eastAsia" w:ascii="MingLiU" w:eastAsia="MingLiU" w:cs="MingLiU"/>
                <w:color w:val="010205"/>
                <w:sz w:val="18"/>
                <w:szCs w:val="18"/>
              </w:rPr>
              <w:t>a. 0 cells (0.0%) have expected count less than 5. The minimum expected count is 10.99.</w:t>
            </w:r>
          </w:p>
        </w:tc>
      </w:tr>
    </w:tbl>
    <w:p>
      <w:pPr>
        <w:pStyle w:val="7"/>
      </w:pPr>
      <w:r>
        <w:rPr>
          <w:u w:val="single"/>
        </w:rPr>
        <w:t xml:space="preserve">Figure </w:t>
      </w:r>
      <w:r>
        <w:rPr>
          <w:rFonts w:hint="eastAsia"/>
          <w:u w:val="single"/>
          <w:lang w:val="en-US" w:eastAsia="zh-CN"/>
        </w:rPr>
        <w:t>6.6</w:t>
      </w:r>
      <w:r>
        <w:t>: SPSS Chi-Square Non-Significant Association for Gender</w:t>
      </w:r>
    </w:p>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p>
    <w:tbl>
      <w:tblPr>
        <w:tblStyle w:val="9"/>
        <w:tblW w:w="7772"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7"/>
        <w:gridCol w:w="737"/>
        <w:gridCol w:w="1414"/>
        <w:gridCol w:w="1864"/>
        <w:gridCol w:w="1710"/>
        <w:gridCol w:w="131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772" w:type="dxa"/>
            <w:gridSpan w:val="6"/>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宋体" w:cs="MingLiU"/>
                <w:b/>
                <w:color w:val="010205"/>
                <w:sz w:val="22"/>
                <w:szCs w:val="22"/>
                <w:lang w:val="en-US" w:eastAsia="zh-CN"/>
              </w:rPr>
              <w:t>Gender</w:t>
            </w:r>
            <w:r>
              <w:rPr>
                <w:rFonts w:hint="eastAsia" w:ascii="MingLiU" w:eastAsia="MingLiU" w:cs="MingLiU"/>
                <w:b/>
                <w:color w:val="010205"/>
                <w:sz w:val="22"/>
                <w:szCs w:val="22"/>
              </w:rPr>
              <w:t xml:space="preserve"> * O2O</w:t>
            </w:r>
            <w:r>
              <w:rPr>
                <w:rFonts w:hint="eastAsia" w:ascii="MingLiU" w:eastAsia="宋体" w:cs="MingLiU"/>
                <w:b/>
                <w:color w:val="010205"/>
                <w:sz w:val="22"/>
                <w:szCs w:val="22"/>
                <w:lang w:val="en-US" w:eastAsia="zh-CN"/>
              </w:rPr>
              <w:t xml:space="preserve"> advantage</w:t>
            </w:r>
            <w:r>
              <w:rPr>
                <w:rFonts w:hint="eastAsia" w:ascii="MingLiU" w:eastAsia="MingLiU" w:cs="MingLiU"/>
                <w:b/>
                <w:color w:val="010205"/>
                <w:sz w:val="22"/>
                <w:szCs w:val="22"/>
              </w:rPr>
              <w:t xml:space="preserve"> Crosstabulation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88"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color w:val="auto"/>
                <w:sz w:val="24"/>
                <w:szCs w:val="24"/>
              </w:rPr>
            </w:pPr>
          </w:p>
        </w:tc>
        <w:tc>
          <w:tcPr>
            <w:tcW w:w="3574" w:type="dxa"/>
            <w:gridSpan w:val="2"/>
            <w:tcBorders>
              <w:top w:val="nil"/>
              <w:left w:val="nil"/>
              <w:bottom w:val="nil"/>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MingLiU" w:cs="MingLiU"/>
                <w:color w:val="264A60"/>
                <w:sz w:val="18"/>
                <w:szCs w:val="18"/>
              </w:rPr>
              <w:t>O2O</w:t>
            </w:r>
            <w:r>
              <w:rPr>
                <w:rFonts w:hint="eastAsia" w:ascii="MingLiU" w:eastAsia="宋体" w:cs="MingLiU"/>
                <w:color w:val="264A60"/>
                <w:sz w:val="18"/>
                <w:szCs w:val="18"/>
                <w:lang w:val="en-US" w:eastAsia="zh-CN"/>
              </w:rPr>
              <w:t xml:space="preserve"> advantage</w:t>
            </w:r>
          </w:p>
        </w:tc>
        <w:tc>
          <w:tcPr>
            <w:tcW w:w="1310" w:type="dxa"/>
            <w:vMerge w:val="restart"/>
            <w:tcBorders>
              <w:top w:val="nil"/>
              <w:left w:val="single" w:color="E0E0E0" w:sz="8" w:space="0"/>
              <w:bottom w:val="nil"/>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Total</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888"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c>
          <w:tcPr>
            <w:tcW w:w="1864"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Online and offline dual channel shopping</w:t>
            </w:r>
          </w:p>
        </w:tc>
        <w:tc>
          <w:tcPr>
            <w:tcW w:w="1710"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Reduces the need to operate stores in expensive retail areas</w:t>
            </w:r>
          </w:p>
        </w:tc>
        <w:tc>
          <w:tcPr>
            <w:tcW w:w="1310" w:type="dxa"/>
            <w:vMerge w:val="continue"/>
            <w:tcBorders>
              <w:top w:val="nil"/>
              <w:left w:val="single" w:color="E0E0E0" w:sz="8" w:space="0"/>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gender</w:t>
            </w:r>
          </w:p>
        </w:tc>
        <w:tc>
          <w:tcPr>
            <w:tcW w:w="737"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male</w:t>
            </w:r>
          </w:p>
        </w:tc>
        <w:tc>
          <w:tcPr>
            <w:tcW w:w="1414"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864"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48</w:t>
            </w:r>
          </w:p>
        </w:tc>
        <w:tc>
          <w:tcPr>
            <w:tcW w:w="1710"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27</w:t>
            </w:r>
          </w:p>
        </w:tc>
        <w:tc>
          <w:tcPr>
            <w:tcW w:w="1310"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7"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4"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864"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64.0%</w:t>
            </w:r>
          </w:p>
        </w:tc>
        <w:tc>
          <w:tcPr>
            <w:tcW w:w="1710"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36.0%</w:t>
            </w:r>
          </w:p>
        </w:tc>
        <w:tc>
          <w:tcPr>
            <w:tcW w:w="1310"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7"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female</w:t>
            </w:r>
          </w:p>
        </w:tc>
        <w:tc>
          <w:tcPr>
            <w:tcW w:w="1414"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864"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51</w:t>
            </w:r>
          </w:p>
        </w:tc>
        <w:tc>
          <w:tcPr>
            <w:tcW w:w="171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31</w:t>
            </w:r>
          </w:p>
        </w:tc>
        <w:tc>
          <w:tcPr>
            <w:tcW w:w="131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737"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4"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864"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62.2%</w:t>
            </w:r>
          </w:p>
        </w:tc>
        <w:tc>
          <w:tcPr>
            <w:tcW w:w="1710"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37.8%</w:t>
            </w:r>
          </w:p>
        </w:tc>
        <w:tc>
          <w:tcPr>
            <w:tcW w:w="1310"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4"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Total</w:t>
            </w:r>
          </w:p>
        </w:tc>
        <w:tc>
          <w:tcPr>
            <w:tcW w:w="1414"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864"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99</w:t>
            </w:r>
          </w:p>
        </w:tc>
        <w:tc>
          <w:tcPr>
            <w:tcW w:w="171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58</w:t>
            </w:r>
          </w:p>
        </w:tc>
        <w:tc>
          <w:tcPr>
            <w:tcW w:w="131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474"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4"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gender</w:t>
            </w:r>
          </w:p>
        </w:tc>
        <w:tc>
          <w:tcPr>
            <w:tcW w:w="1864"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63.1%</w:t>
            </w:r>
          </w:p>
        </w:tc>
        <w:tc>
          <w:tcPr>
            <w:tcW w:w="1710"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36.9%</w:t>
            </w:r>
          </w:p>
        </w:tc>
        <w:tc>
          <w:tcPr>
            <w:tcW w:w="1310"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bl>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p>
    <w:tbl>
      <w:tblPr>
        <w:tblStyle w:val="9"/>
        <w:tblW w:w="891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51"/>
        <w:gridCol w:w="1026"/>
        <w:gridCol w:w="1026"/>
        <w:gridCol w:w="1470"/>
        <w:gridCol w:w="1470"/>
        <w:gridCol w:w="147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8912" w:type="dxa"/>
            <w:gridSpan w:val="6"/>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MingLiU" w:cs="MingLiU"/>
                <w:b/>
                <w:color w:val="010205"/>
                <w:sz w:val="22"/>
                <w:szCs w:val="22"/>
              </w:rPr>
              <w:t>Chi-Square Tests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nil"/>
              <w:left w:val="nil"/>
              <w:bottom w:val="single" w:color="152935" w:sz="8" w:space="0"/>
              <w:right w:val="nil"/>
              <w:tl2br w:val="nil"/>
              <w:tr2bl w:val="nil"/>
            </w:tcBorders>
            <w:shd w:val="clear" w:color="auto" w:fill="FFFFFF"/>
            <w:noWrap w:val="0"/>
            <w:vAlign w:val="bottom"/>
          </w:tcPr>
          <w:p>
            <w:pPr>
              <w:spacing w:beforeLines="0" w:afterLines="0"/>
              <w:rPr>
                <w:rFonts w:hint="default"/>
                <w:color w:val="auto"/>
                <w:sz w:val="24"/>
                <w:szCs w:val="24"/>
              </w:rPr>
            </w:pPr>
          </w:p>
        </w:tc>
        <w:tc>
          <w:tcPr>
            <w:tcW w:w="1026"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Value</w:t>
            </w:r>
          </w:p>
        </w:tc>
        <w:tc>
          <w:tcPr>
            <w:tcW w:w="1026"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df</w:t>
            </w:r>
          </w:p>
        </w:tc>
        <w:tc>
          <w:tcPr>
            <w:tcW w:w="1470"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Asymptotic Significance (2-sided)</w:t>
            </w:r>
          </w:p>
        </w:tc>
        <w:tc>
          <w:tcPr>
            <w:tcW w:w="1470"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Exact Sig. (2-sided)</w:t>
            </w:r>
          </w:p>
        </w:tc>
        <w:tc>
          <w:tcPr>
            <w:tcW w:w="1470"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Exact Sig. (1-sided)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Pearson Chi-Square</w:t>
            </w:r>
          </w:p>
        </w:tc>
        <w:tc>
          <w:tcPr>
            <w:tcW w:w="1026"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MingLiU" w:eastAsia="MingLiU" w:cs="MingLiU"/>
                <w:color w:val="010205"/>
                <w:sz w:val="18"/>
                <w:szCs w:val="18"/>
              </w:rPr>
            </w:pPr>
            <w:r>
              <w:rPr>
                <w:rFonts w:hint="eastAsia" w:ascii="MingLiU" w:eastAsia="MingLiU" w:cs="MingLiU"/>
                <w:color w:val="010205"/>
                <w:sz w:val="18"/>
                <w:szCs w:val="18"/>
              </w:rPr>
              <w:t>.055</w:t>
            </w:r>
            <w:r>
              <w:rPr>
                <w:rFonts w:hint="eastAsia" w:ascii="MingLiU" w:eastAsia="MingLiU" w:cs="MingLiU"/>
                <w:color w:val="010205"/>
                <w:sz w:val="18"/>
                <w:szCs w:val="18"/>
                <w:vertAlign w:val="superscript"/>
              </w:rPr>
              <w:t>a</w:t>
            </w:r>
          </w:p>
        </w:tc>
        <w:tc>
          <w:tcPr>
            <w:tcW w:w="1026"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1470"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.815</w:t>
            </w:r>
          </w:p>
        </w:tc>
        <w:tc>
          <w:tcPr>
            <w:tcW w:w="1470" w:type="dxa"/>
            <w:tcBorders>
              <w:top w:val="single" w:color="152935"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152935"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Continuity Correction</w:t>
            </w:r>
            <w:r>
              <w:rPr>
                <w:rFonts w:hint="eastAsia" w:ascii="MingLiU" w:eastAsia="MingLiU" w:cs="MingLiU"/>
                <w:color w:val="264A60"/>
                <w:sz w:val="18"/>
                <w:szCs w:val="18"/>
                <w:vertAlign w:val="superscript"/>
              </w:rPr>
              <w:t>b</w:t>
            </w:r>
          </w:p>
        </w:tc>
        <w:tc>
          <w:tcPr>
            <w:tcW w:w="1026"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.005</w:t>
            </w:r>
          </w:p>
        </w:tc>
        <w:tc>
          <w:tcPr>
            <w:tcW w:w="102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1470"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.945</w:t>
            </w: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Likelihood Ratio</w:t>
            </w:r>
          </w:p>
        </w:tc>
        <w:tc>
          <w:tcPr>
            <w:tcW w:w="1026"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.055</w:t>
            </w:r>
          </w:p>
        </w:tc>
        <w:tc>
          <w:tcPr>
            <w:tcW w:w="102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1470"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.815</w:t>
            </w: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Fisher's Exact Test</w:t>
            </w:r>
          </w:p>
        </w:tc>
        <w:tc>
          <w:tcPr>
            <w:tcW w:w="1026" w:type="dxa"/>
            <w:tcBorders>
              <w:top w:val="single" w:color="AEAEAE" w:sz="8" w:space="0"/>
              <w:left w:val="nil"/>
              <w:bottom w:val="single" w:color="AEAEAE" w:sz="8" w:space="0"/>
              <w:right w:val="single" w:color="E0E0E0" w:sz="8" w:space="0"/>
              <w:tl2br w:val="nil"/>
              <w:tr2bl w:val="nil"/>
            </w:tcBorders>
            <w:shd w:val="clear" w:color="auto" w:fill="FFFFFF"/>
            <w:noWrap w:val="0"/>
            <w:vAlign w:val="center"/>
          </w:tcPr>
          <w:p>
            <w:pPr>
              <w:spacing w:beforeLines="0" w:afterLines="0"/>
              <w:rPr>
                <w:rFonts w:hint="default"/>
                <w:color w:val="auto"/>
                <w:sz w:val="24"/>
                <w:szCs w:val="24"/>
              </w:rPr>
            </w:pPr>
          </w:p>
        </w:tc>
        <w:tc>
          <w:tcPr>
            <w:tcW w:w="1026"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.869</w:t>
            </w: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.473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Linear-by-Linear Association</w:t>
            </w:r>
          </w:p>
        </w:tc>
        <w:tc>
          <w:tcPr>
            <w:tcW w:w="1026"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.054</w:t>
            </w:r>
          </w:p>
        </w:tc>
        <w:tc>
          <w:tcPr>
            <w:tcW w:w="102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1470"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.816</w:t>
            </w: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N of Valid Cases</w:t>
            </w:r>
          </w:p>
        </w:tc>
        <w:tc>
          <w:tcPr>
            <w:tcW w:w="1026"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c>
          <w:tcPr>
            <w:tcW w:w="1026"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bl>
    <w:p>
      <w:pPr>
        <w:spacing w:beforeLines="0" w:afterLines="0"/>
        <w:rPr>
          <w:rFonts w:hint="default"/>
          <w:color w:val="auto"/>
          <w:sz w:val="24"/>
          <w:szCs w:val="24"/>
        </w:rPr>
      </w:pPr>
    </w:p>
    <w:tbl>
      <w:tblPr>
        <w:tblStyle w:val="9"/>
        <w:tblW w:w="891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8913"/>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8912" w:type="dxa"/>
            <w:tcBorders>
              <w:top w:val="nil"/>
              <w:left w:val="nil"/>
              <w:bottom w:val="nil"/>
              <w:right w:val="nil"/>
              <w:tl2br w:val="nil"/>
              <w:tr2bl w:val="nil"/>
            </w:tcBorders>
            <w:shd w:val="clear" w:color="auto" w:fill="FFFFFF"/>
            <w:noWrap w:val="0"/>
            <w:vAlign w:val="top"/>
          </w:tcPr>
          <w:p>
            <w:pPr>
              <w:spacing w:beforeLines="0" w:afterLines="0" w:line="320" w:lineRule="atLeast"/>
              <w:ind w:left="60" w:right="60"/>
              <w:rPr>
                <w:rFonts w:hint="eastAsia" w:ascii="MingLiU" w:eastAsia="MingLiU" w:cs="MingLiU"/>
                <w:color w:val="010205"/>
                <w:sz w:val="18"/>
                <w:szCs w:val="18"/>
              </w:rPr>
            </w:pPr>
            <w:r>
              <w:rPr>
                <w:rFonts w:hint="eastAsia" w:ascii="MingLiU" w:eastAsia="MingLiU" w:cs="MingLiU"/>
                <w:color w:val="010205"/>
                <w:sz w:val="18"/>
                <w:szCs w:val="18"/>
              </w:rPr>
              <w:t>a. 0 cells (0.0%) have expected count less than 5. The minimum expected count is 27.71.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8912" w:type="dxa"/>
            <w:tcBorders>
              <w:top w:val="nil"/>
              <w:left w:val="nil"/>
              <w:bottom w:val="nil"/>
              <w:right w:val="nil"/>
              <w:tl2br w:val="nil"/>
              <w:tr2bl w:val="nil"/>
            </w:tcBorders>
            <w:shd w:val="clear" w:color="auto" w:fill="FFFFFF"/>
            <w:noWrap w:val="0"/>
            <w:vAlign w:val="top"/>
          </w:tcPr>
          <w:p>
            <w:pPr>
              <w:spacing w:beforeLines="0" w:afterLines="0" w:line="320" w:lineRule="atLeast"/>
              <w:ind w:left="60" w:right="60"/>
              <w:rPr>
                <w:rFonts w:hint="eastAsia" w:ascii="MingLiU" w:eastAsia="MingLiU" w:cs="MingLiU"/>
                <w:color w:val="010205"/>
                <w:sz w:val="18"/>
                <w:szCs w:val="18"/>
              </w:rPr>
            </w:pPr>
            <w:r>
              <w:rPr>
                <w:rFonts w:hint="eastAsia" w:ascii="MingLiU" w:eastAsia="MingLiU" w:cs="MingLiU"/>
                <w:color w:val="010205"/>
                <w:sz w:val="18"/>
                <w:szCs w:val="18"/>
              </w:rPr>
              <w:t>b. Computed only for a 2x2 table</w:t>
            </w:r>
          </w:p>
          <w:p>
            <w:pPr>
              <w:pStyle w:val="7"/>
            </w:pPr>
            <w:r>
              <w:rPr>
                <w:u w:val="single"/>
              </w:rPr>
              <w:t xml:space="preserve">Figure </w:t>
            </w:r>
            <w:r>
              <w:rPr>
                <w:rFonts w:hint="eastAsia"/>
                <w:u w:val="single"/>
                <w:lang w:val="en-US" w:eastAsia="zh-CN"/>
              </w:rPr>
              <w:t>6.7</w:t>
            </w:r>
            <w:r>
              <w:t>: SPSS Chi-Square Non-Significant Association for Gender</w:t>
            </w:r>
          </w:p>
          <w:p>
            <w:pPr>
              <w:spacing w:beforeLines="0" w:afterLines="0" w:line="320" w:lineRule="atLeast"/>
              <w:ind w:left="60" w:right="60"/>
              <w:rPr>
                <w:rFonts w:hint="eastAsia" w:ascii="MingLiU" w:eastAsia="MingLiU" w:cs="MingLiU"/>
                <w:color w:val="010205"/>
                <w:sz w:val="18"/>
                <w:szCs w:val="18"/>
              </w:rPr>
            </w:pPr>
          </w:p>
        </w:tc>
      </w:tr>
    </w:tbl>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6.2.2.2 Significant - Age</w:t>
      </w:r>
    </w:p>
    <w:tbl>
      <w:tblPr>
        <w:tblStyle w:val="9"/>
        <w:tblW w:w="890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5"/>
        <w:gridCol w:w="1060"/>
        <w:gridCol w:w="1413"/>
        <w:gridCol w:w="1474"/>
        <w:gridCol w:w="2746"/>
        <w:gridCol w:w="147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8903" w:type="dxa"/>
            <w:gridSpan w:val="6"/>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宋体" w:cs="MingLiU"/>
                <w:b/>
                <w:color w:val="010205"/>
                <w:sz w:val="22"/>
                <w:szCs w:val="22"/>
                <w:lang w:val="en-US" w:eastAsia="zh-CN"/>
              </w:rPr>
              <w:t>Age</w:t>
            </w:r>
            <w:r>
              <w:rPr>
                <w:rFonts w:hint="eastAsia" w:ascii="MingLiU" w:eastAsia="MingLiU" w:cs="MingLiU"/>
                <w:b/>
                <w:color w:val="010205"/>
                <w:sz w:val="22"/>
                <w:szCs w:val="22"/>
              </w:rPr>
              <w:t xml:space="preserve"> * O2O</w:t>
            </w:r>
            <w:r>
              <w:rPr>
                <w:rFonts w:hint="eastAsia" w:ascii="MingLiU" w:eastAsia="宋体" w:cs="MingLiU"/>
                <w:b/>
                <w:color w:val="010205"/>
                <w:sz w:val="22"/>
                <w:szCs w:val="22"/>
                <w:lang w:val="en-US" w:eastAsia="zh-CN"/>
              </w:rPr>
              <w:t>Advantage</w:t>
            </w:r>
            <w:r>
              <w:rPr>
                <w:rFonts w:hint="eastAsia" w:ascii="MingLiU" w:eastAsia="MingLiU" w:cs="MingLiU"/>
                <w:b/>
                <w:color w:val="010205"/>
                <w:sz w:val="22"/>
                <w:szCs w:val="22"/>
              </w:rPr>
              <w:t xml:space="preserve"> Crosstabulation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3208"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color w:val="auto"/>
                <w:sz w:val="24"/>
                <w:szCs w:val="24"/>
              </w:rPr>
            </w:pPr>
          </w:p>
        </w:tc>
        <w:tc>
          <w:tcPr>
            <w:tcW w:w="4220" w:type="dxa"/>
            <w:gridSpan w:val="2"/>
            <w:tcBorders>
              <w:top w:val="nil"/>
              <w:left w:val="nil"/>
              <w:bottom w:val="nil"/>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MingLiU" w:cs="MingLiU"/>
                <w:color w:val="264A60"/>
                <w:sz w:val="18"/>
                <w:szCs w:val="18"/>
              </w:rPr>
              <w:t>O2O</w:t>
            </w:r>
            <w:r>
              <w:rPr>
                <w:rFonts w:hint="eastAsia" w:ascii="MingLiU" w:eastAsia="宋体" w:cs="MingLiU"/>
                <w:color w:val="264A60"/>
                <w:sz w:val="18"/>
                <w:szCs w:val="18"/>
                <w:lang w:val="en-US" w:eastAsia="zh-CN"/>
              </w:rPr>
              <w:t xml:space="preserve"> advantage</w:t>
            </w:r>
          </w:p>
        </w:tc>
        <w:tc>
          <w:tcPr>
            <w:tcW w:w="1475" w:type="dxa"/>
            <w:vMerge w:val="restart"/>
            <w:tcBorders>
              <w:top w:val="nil"/>
              <w:left w:val="single" w:color="E0E0E0" w:sz="8" w:space="0"/>
              <w:bottom w:val="nil"/>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Total</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3208"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c>
          <w:tcPr>
            <w:tcW w:w="1474"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Online and Offline shopping</w:t>
            </w:r>
          </w:p>
        </w:tc>
        <w:tc>
          <w:tcPr>
            <w:tcW w:w="2746"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Reduces the need to operate stored in expensive retail areas</w:t>
            </w:r>
          </w:p>
        </w:tc>
        <w:tc>
          <w:tcPr>
            <w:tcW w:w="1475" w:type="dxa"/>
            <w:vMerge w:val="continue"/>
            <w:tcBorders>
              <w:top w:val="nil"/>
              <w:left w:val="single" w:color="E0E0E0" w:sz="8" w:space="0"/>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5"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Age</w:t>
            </w:r>
          </w:p>
        </w:tc>
        <w:tc>
          <w:tcPr>
            <w:tcW w:w="1060"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40</w:t>
            </w:r>
            <w:r>
              <w:rPr>
                <w:rFonts w:hint="eastAsia" w:ascii="MingLiU" w:eastAsia="宋体" w:cs="MingLiU"/>
                <w:color w:val="264A60"/>
                <w:sz w:val="18"/>
                <w:szCs w:val="18"/>
                <w:lang w:val="en-US" w:eastAsia="zh-CN"/>
              </w:rPr>
              <w:t xml:space="preserve"> and under 40</w:t>
            </w:r>
          </w:p>
        </w:tc>
        <w:tc>
          <w:tcPr>
            <w:tcW w:w="1413"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474"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41</w:t>
            </w:r>
          </w:p>
        </w:tc>
        <w:tc>
          <w:tcPr>
            <w:tcW w:w="2746"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36</w:t>
            </w:r>
          </w:p>
        </w:tc>
        <w:tc>
          <w:tcPr>
            <w:tcW w:w="1475"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5"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060"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3"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age</w:t>
            </w:r>
          </w:p>
        </w:tc>
        <w:tc>
          <w:tcPr>
            <w:tcW w:w="1474"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53.2%</w:t>
            </w:r>
          </w:p>
        </w:tc>
        <w:tc>
          <w:tcPr>
            <w:tcW w:w="2746"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46.8%</w:t>
            </w:r>
          </w:p>
        </w:tc>
        <w:tc>
          <w:tcPr>
            <w:tcW w:w="1475"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5"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060"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40</w:t>
            </w:r>
            <w:r>
              <w:rPr>
                <w:rFonts w:hint="eastAsia" w:ascii="MingLiU" w:eastAsia="宋体" w:cs="MingLiU"/>
                <w:color w:val="264A60"/>
                <w:sz w:val="18"/>
                <w:szCs w:val="18"/>
                <w:lang w:val="en-US" w:eastAsia="zh-CN"/>
              </w:rPr>
              <w:t xml:space="preserve"> above</w:t>
            </w:r>
          </w:p>
        </w:tc>
        <w:tc>
          <w:tcPr>
            <w:tcW w:w="1413"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474"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58</w:t>
            </w:r>
          </w:p>
        </w:tc>
        <w:tc>
          <w:tcPr>
            <w:tcW w:w="274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22</w:t>
            </w:r>
          </w:p>
        </w:tc>
        <w:tc>
          <w:tcPr>
            <w:tcW w:w="1475"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5"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060"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3"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age</w:t>
            </w:r>
          </w:p>
        </w:tc>
        <w:tc>
          <w:tcPr>
            <w:tcW w:w="1474"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72.5%</w:t>
            </w:r>
          </w:p>
        </w:tc>
        <w:tc>
          <w:tcPr>
            <w:tcW w:w="2746"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27.5%</w:t>
            </w:r>
          </w:p>
        </w:tc>
        <w:tc>
          <w:tcPr>
            <w:tcW w:w="1475"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795"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Total</w:t>
            </w:r>
          </w:p>
        </w:tc>
        <w:tc>
          <w:tcPr>
            <w:tcW w:w="1413"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474"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99</w:t>
            </w:r>
          </w:p>
        </w:tc>
        <w:tc>
          <w:tcPr>
            <w:tcW w:w="274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58</w:t>
            </w:r>
          </w:p>
        </w:tc>
        <w:tc>
          <w:tcPr>
            <w:tcW w:w="1475"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795"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3"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age</w:t>
            </w:r>
          </w:p>
        </w:tc>
        <w:tc>
          <w:tcPr>
            <w:tcW w:w="1474"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63.1%</w:t>
            </w:r>
          </w:p>
        </w:tc>
        <w:tc>
          <w:tcPr>
            <w:tcW w:w="2746"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36.9%</w:t>
            </w:r>
          </w:p>
        </w:tc>
        <w:tc>
          <w:tcPr>
            <w:tcW w:w="1475"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bl>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p>
    <w:tbl>
      <w:tblPr>
        <w:tblStyle w:val="9"/>
        <w:tblW w:w="891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51"/>
        <w:gridCol w:w="1026"/>
        <w:gridCol w:w="1026"/>
        <w:gridCol w:w="1470"/>
        <w:gridCol w:w="1470"/>
        <w:gridCol w:w="147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8912" w:type="dxa"/>
            <w:gridSpan w:val="6"/>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MingLiU" w:cs="MingLiU"/>
                <w:b/>
                <w:color w:val="010205"/>
                <w:sz w:val="22"/>
                <w:szCs w:val="22"/>
              </w:rPr>
              <w:t>Chi-Square Tests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nil"/>
              <w:left w:val="nil"/>
              <w:bottom w:val="single" w:color="152935" w:sz="8" w:space="0"/>
              <w:right w:val="nil"/>
              <w:tl2br w:val="nil"/>
              <w:tr2bl w:val="nil"/>
            </w:tcBorders>
            <w:shd w:val="clear" w:color="auto" w:fill="FFFFFF"/>
            <w:noWrap w:val="0"/>
            <w:vAlign w:val="bottom"/>
          </w:tcPr>
          <w:p>
            <w:pPr>
              <w:spacing w:beforeLines="0" w:afterLines="0"/>
              <w:rPr>
                <w:rFonts w:hint="default"/>
                <w:color w:val="auto"/>
                <w:sz w:val="24"/>
                <w:szCs w:val="24"/>
              </w:rPr>
            </w:pPr>
          </w:p>
        </w:tc>
        <w:tc>
          <w:tcPr>
            <w:tcW w:w="1026"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Value</w:t>
            </w:r>
          </w:p>
        </w:tc>
        <w:tc>
          <w:tcPr>
            <w:tcW w:w="1026"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df</w:t>
            </w:r>
          </w:p>
        </w:tc>
        <w:tc>
          <w:tcPr>
            <w:tcW w:w="1470"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Asymptotic Significance (2-sided)</w:t>
            </w:r>
          </w:p>
        </w:tc>
        <w:tc>
          <w:tcPr>
            <w:tcW w:w="1470"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Exact Sig. (2-sided)</w:t>
            </w:r>
          </w:p>
        </w:tc>
        <w:tc>
          <w:tcPr>
            <w:tcW w:w="1470"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Exact Sig. (1-sided)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Pearson Chi-Square</w:t>
            </w:r>
          </w:p>
        </w:tc>
        <w:tc>
          <w:tcPr>
            <w:tcW w:w="1026"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MingLiU" w:eastAsia="MingLiU" w:cs="MingLiU"/>
                <w:color w:val="010205"/>
                <w:sz w:val="18"/>
                <w:szCs w:val="18"/>
              </w:rPr>
            </w:pPr>
            <w:r>
              <w:rPr>
                <w:rFonts w:hint="eastAsia" w:ascii="MingLiU" w:eastAsia="MingLiU" w:cs="MingLiU"/>
                <w:color w:val="010205"/>
                <w:sz w:val="18"/>
                <w:szCs w:val="18"/>
              </w:rPr>
              <w:t>6.243</w:t>
            </w:r>
            <w:r>
              <w:rPr>
                <w:rFonts w:hint="eastAsia" w:ascii="MingLiU" w:eastAsia="MingLiU" w:cs="MingLiU"/>
                <w:color w:val="010205"/>
                <w:sz w:val="18"/>
                <w:szCs w:val="18"/>
                <w:vertAlign w:val="superscript"/>
              </w:rPr>
              <w:t>a</w:t>
            </w:r>
          </w:p>
        </w:tc>
        <w:tc>
          <w:tcPr>
            <w:tcW w:w="1026"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1470"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.012</w:t>
            </w:r>
          </w:p>
        </w:tc>
        <w:tc>
          <w:tcPr>
            <w:tcW w:w="1470" w:type="dxa"/>
            <w:tcBorders>
              <w:top w:val="single" w:color="152935"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152935"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MingLiU" w:cs="MingLiU"/>
                <w:color w:val="264A60"/>
                <w:sz w:val="18"/>
                <w:szCs w:val="18"/>
              </w:rPr>
            </w:pPr>
            <w:r>
              <w:rPr>
                <w:rFonts w:hint="eastAsia" w:ascii="MingLiU" w:eastAsia="MingLiU" w:cs="MingLiU"/>
                <w:color w:val="264A60"/>
                <w:sz w:val="18"/>
                <w:szCs w:val="18"/>
              </w:rPr>
              <w:t>Continuity Correction</w:t>
            </w:r>
            <w:r>
              <w:rPr>
                <w:rFonts w:hint="eastAsia" w:ascii="MingLiU" w:eastAsia="MingLiU" w:cs="MingLiU"/>
                <w:color w:val="264A60"/>
                <w:sz w:val="18"/>
                <w:szCs w:val="18"/>
                <w:vertAlign w:val="superscript"/>
              </w:rPr>
              <w:t>b</w:t>
            </w:r>
          </w:p>
        </w:tc>
        <w:tc>
          <w:tcPr>
            <w:tcW w:w="1026"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5.444</w:t>
            </w:r>
          </w:p>
        </w:tc>
        <w:tc>
          <w:tcPr>
            <w:tcW w:w="102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1470"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.020</w:t>
            </w: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Likelihood Ratio</w:t>
            </w:r>
          </w:p>
        </w:tc>
        <w:tc>
          <w:tcPr>
            <w:tcW w:w="1026"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6.289</w:t>
            </w:r>
          </w:p>
        </w:tc>
        <w:tc>
          <w:tcPr>
            <w:tcW w:w="102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1470"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.012</w:t>
            </w: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Fisher's Exact Test</w:t>
            </w:r>
          </w:p>
        </w:tc>
        <w:tc>
          <w:tcPr>
            <w:tcW w:w="1026" w:type="dxa"/>
            <w:tcBorders>
              <w:top w:val="single" w:color="AEAEAE" w:sz="8" w:space="0"/>
              <w:left w:val="nil"/>
              <w:bottom w:val="single" w:color="AEAEAE" w:sz="8" w:space="0"/>
              <w:right w:val="single" w:color="E0E0E0" w:sz="8" w:space="0"/>
              <w:tl2br w:val="nil"/>
              <w:tr2bl w:val="nil"/>
            </w:tcBorders>
            <w:shd w:val="clear" w:color="auto" w:fill="FFFFFF"/>
            <w:noWrap w:val="0"/>
            <w:vAlign w:val="center"/>
          </w:tcPr>
          <w:p>
            <w:pPr>
              <w:spacing w:beforeLines="0" w:afterLines="0"/>
              <w:rPr>
                <w:rFonts w:hint="default"/>
                <w:color w:val="auto"/>
                <w:sz w:val="24"/>
                <w:szCs w:val="24"/>
              </w:rPr>
            </w:pPr>
          </w:p>
        </w:tc>
        <w:tc>
          <w:tcPr>
            <w:tcW w:w="1026"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.014</w:t>
            </w: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.010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Linear-by-Linear Association</w:t>
            </w:r>
          </w:p>
        </w:tc>
        <w:tc>
          <w:tcPr>
            <w:tcW w:w="1026"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6.204</w:t>
            </w:r>
          </w:p>
        </w:tc>
        <w:tc>
          <w:tcPr>
            <w:tcW w:w="1026"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1470"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.013</w:t>
            </w: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AEAEAE"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50"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N of Valid Cases</w:t>
            </w:r>
          </w:p>
        </w:tc>
        <w:tc>
          <w:tcPr>
            <w:tcW w:w="1026"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c>
          <w:tcPr>
            <w:tcW w:w="1026"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1470"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bl>
    <w:p>
      <w:pPr>
        <w:spacing w:beforeLines="0" w:afterLines="0"/>
        <w:rPr>
          <w:rFonts w:hint="default"/>
          <w:color w:val="auto"/>
          <w:sz w:val="24"/>
          <w:szCs w:val="24"/>
        </w:rPr>
      </w:pPr>
    </w:p>
    <w:tbl>
      <w:tblPr>
        <w:tblStyle w:val="9"/>
        <w:tblW w:w="891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8913"/>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rPr>
        <w:tc>
          <w:tcPr>
            <w:tcW w:w="8912" w:type="dxa"/>
            <w:tcBorders>
              <w:top w:val="nil"/>
              <w:left w:val="nil"/>
              <w:bottom w:val="nil"/>
              <w:right w:val="nil"/>
              <w:tl2br w:val="nil"/>
              <w:tr2bl w:val="nil"/>
            </w:tcBorders>
            <w:shd w:val="clear" w:color="auto" w:fill="FFFFFF"/>
            <w:noWrap w:val="0"/>
            <w:vAlign w:val="top"/>
          </w:tcPr>
          <w:p>
            <w:pPr>
              <w:spacing w:beforeLines="0" w:afterLines="0" w:line="320" w:lineRule="atLeast"/>
              <w:ind w:left="60" w:right="60"/>
              <w:rPr>
                <w:rFonts w:hint="eastAsia" w:ascii="MingLiU" w:eastAsia="MingLiU" w:cs="MingLiU"/>
                <w:color w:val="010205"/>
                <w:sz w:val="18"/>
                <w:szCs w:val="18"/>
              </w:rPr>
            </w:pPr>
            <w:r>
              <w:rPr>
                <w:rFonts w:hint="eastAsia" w:ascii="MingLiU" w:eastAsia="MingLiU" w:cs="MingLiU"/>
                <w:color w:val="010205"/>
                <w:sz w:val="18"/>
                <w:szCs w:val="18"/>
              </w:rPr>
              <w:t>a. 0 cells (0.0%) have expected count less than 5. The minimum expected count is 28.45.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rPr>
        <w:tc>
          <w:tcPr>
            <w:tcW w:w="8912" w:type="dxa"/>
            <w:tcBorders>
              <w:top w:val="nil"/>
              <w:left w:val="nil"/>
              <w:bottom w:val="nil"/>
              <w:right w:val="nil"/>
              <w:tl2br w:val="nil"/>
              <w:tr2bl w:val="nil"/>
            </w:tcBorders>
            <w:shd w:val="clear" w:color="auto" w:fill="FFFFFF"/>
            <w:noWrap w:val="0"/>
            <w:vAlign w:val="top"/>
          </w:tcPr>
          <w:p>
            <w:pPr>
              <w:spacing w:beforeLines="0" w:afterLines="0" w:line="320" w:lineRule="atLeast"/>
              <w:ind w:left="60" w:right="60"/>
              <w:rPr>
                <w:rFonts w:hint="eastAsia" w:ascii="MingLiU" w:eastAsia="MingLiU" w:cs="MingLiU"/>
                <w:color w:val="010205"/>
                <w:sz w:val="18"/>
                <w:szCs w:val="18"/>
              </w:rPr>
            </w:pPr>
            <w:r>
              <w:rPr>
                <w:rFonts w:hint="eastAsia" w:ascii="MingLiU" w:eastAsia="MingLiU" w:cs="MingLiU"/>
                <w:color w:val="010205"/>
                <w:sz w:val="18"/>
                <w:szCs w:val="18"/>
              </w:rPr>
              <w:t>b. Computed only for a 2x2 table</w:t>
            </w:r>
          </w:p>
          <w:p>
            <w:pPr>
              <w:pStyle w:val="7"/>
              <w:rPr>
                <w:rFonts w:hint="default" w:eastAsiaTheme="minorEastAsia"/>
                <w:lang w:val="en-US" w:eastAsia="zh-CN"/>
              </w:rPr>
            </w:pPr>
            <w:r>
              <w:rPr>
                <w:u w:val="single"/>
              </w:rPr>
              <w:t xml:space="preserve">Figure </w:t>
            </w:r>
            <w:r>
              <w:rPr>
                <w:rFonts w:hint="eastAsia"/>
                <w:u w:val="single"/>
                <w:lang w:val="en-US" w:eastAsia="zh-CN"/>
              </w:rPr>
              <w:t>6.8</w:t>
            </w:r>
            <w:r>
              <w:t xml:space="preserve">: SPSS Chi-Square Significant Association for </w:t>
            </w:r>
            <w:r>
              <w:rPr>
                <w:rFonts w:hint="eastAsia"/>
                <w:lang w:val="en-US" w:eastAsia="zh-CN"/>
              </w:rPr>
              <w:t>Age</w:t>
            </w:r>
          </w:p>
          <w:p>
            <w:pPr>
              <w:spacing w:beforeLines="0" w:afterLines="0" w:line="320" w:lineRule="atLeast"/>
              <w:ind w:left="60" w:right="60"/>
              <w:rPr>
                <w:rFonts w:hint="eastAsia" w:ascii="MingLiU" w:eastAsia="MingLiU" w:cs="MingLiU"/>
                <w:color w:val="010205"/>
                <w:sz w:val="18"/>
                <w:szCs w:val="18"/>
              </w:rPr>
            </w:pPr>
          </w:p>
          <w:p>
            <w:pPr>
              <w:spacing w:beforeLines="0" w:afterLines="0" w:line="320" w:lineRule="atLeast"/>
              <w:ind w:left="60" w:right="60"/>
              <w:rPr>
                <w:rFonts w:hint="eastAsia" w:ascii="MingLiU" w:eastAsia="MingLiU" w:cs="MingLiU"/>
                <w:color w:val="010205"/>
                <w:sz w:val="18"/>
                <w:szCs w:val="18"/>
              </w:rPr>
            </w:pPr>
          </w:p>
        </w:tc>
      </w:tr>
    </w:tbl>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6.2.2.3 Non- Significant - Age</w:t>
      </w:r>
    </w:p>
    <w:p>
      <w:pPr>
        <w:numPr>
          <w:ilvl w:val="0"/>
          <w:numId w:val="0"/>
        </w:numPr>
        <w:rPr>
          <w:rFonts w:hint="eastAsia" w:ascii="Times New Roman" w:hAnsi="Times New Roman" w:cs="Times New Roman"/>
          <w:sz w:val="24"/>
          <w:szCs w:val="24"/>
          <w:lang w:val="en-US" w:eastAsia="zh-CN"/>
        </w:rPr>
      </w:pPr>
    </w:p>
    <w:tbl>
      <w:tblPr>
        <w:tblStyle w:val="9"/>
        <w:tblW w:w="891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37"/>
        <w:gridCol w:w="1058"/>
        <w:gridCol w:w="1412"/>
        <w:gridCol w:w="1027"/>
        <w:gridCol w:w="1027"/>
        <w:gridCol w:w="1892"/>
        <w:gridCol w:w="1758"/>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trPr>
        <w:tc>
          <w:tcPr>
            <w:tcW w:w="8911" w:type="dxa"/>
            <w:gridSpan w:val="7"/>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宋体" w:cs="MingLiU"/>
                <w:b/>
                <w:color w:val="010205"/>
                <w:sz w:val="22"/>
                <w:szCs w:val="22"/>
                <w:lang w:val="en-US" w:eastAsia="zh-CN"/>
              </w:rPr>
              <w:t>Age</w:t>
            </w:r>
            <w:r>
              <w:rPr>
                <w:rFonts w:hint="eastAsia" w:ascii="MingLiU" w:eastAsia="MingLiU" w:cs="MingLiU"/>
                <w:b/>
                <w:color w:val="010205"/>
                <w:sz w:val="22"/>
                <w:szCs w:val="22"/>
              </w:rPr>
              <w:t xml:space="preserve"> * </w:t>
            </w:r>
            <w:r>
              <w:rPr>
                <w:rFonts w:hint="eastAsia" w:ascii="MingLiU" w:eastAsia="宋体" w:cs="MingLiU"/>
                <w:b/>
                <w:color w:val="010205"/>
                <w:sz w:val="22"/>
                <w:szCs w:val="22"/>
                <w:lang w:val="en-US" w:eastAsia="zh-CN"/>
              </w:rPr>
              <w:t>Way of shopping</w:t>
            </w:r>
            <w:r>
              <w:rPr>
                <w:rFonts w:hint="eastAsia" w:ascii="MingLiU" w:eastAsia="MingLiU" w:cs="MingLiU"/>
                <w:b/>
                <w:color w:val="010205"/>
                <w:sz w:val="22"/>
                <w:szCs w:val="22"/>
              </w:rPr>
              <w:t xml:space="preserve"> Crosstabulation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3207" w:type="dxa"/>
            <w:gridSpan w:val="3"/>
            <w:vMerge w:val="restart"/>
            <w:tcBorders>
              <w:top w:val="nil"/>
              <w:left w:val="nil"/>
              <w:bottom w:val="nil"/>
              <w:right w:val="nil"/>
              <w:tl2br w:val="nil"/>
              <w:tr2bl w:val="nil"/>
            </w:tcBorders>
            <w:shd w:val="clear" w:color="auto" w:fill="FFFFFF"/>
            <w:noWrap w:val="0"/>
            <w:vAlign w:val="bottom"/>
          </w:tcPr>
          <w:p>
            <w:pPr>
              <w:spacing w:beforeLines="0" w:afterLines="0"/>
              <w:rPr>
                <w:rFonts w:hint="default"/>
                <w:color w:val="auto"/>
                <w:sz w:val="24"/>
                <w:szCs w:val="24"/>
              </w:rPr>
            </w:pPr>
          </w:p>
        </w:tc>
        <w:tc>
          <w:tcPr>
            <w:tcW w:w="3946" w:type="dxa"/>
            <w:gridSpan w:val="3"/>
            <w:tcBorders>
              <w:top w:val="nil"/>
              <w:left w:val="nil"/>
              <w:bottom w:val="nil"/>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MingLiU" w:cs="MingLiU"/>
                <w:color w:val="264A60"/>
                <w:sz w:val="18"/>
                <w:szCs w:val="18"/>
              </w:rPr>
            </w:pPr>
            <w:r>
              <w:rPr>
                <w:rFonts w:hint="default" w:ascii="MingLiU" w:eastAsia="MingLiU" w:cs="MingLiU"/>
                <w:color w:val="264A60"/>
                <w:sz w:val="18"/>
                <w:szCs w:val="18"/>
              </w:rPr>
              <w:t>Way of shopping</w:t>
            </w:r>
          </w:p>
        </w:tc>
        <w:tc>
          <w:tcPr>
            <w:tcW w:w="1758" w:type="dxa"/>
            <w:vMerge w:val="restart"/>
            <w:tcBorders>
              <w:top w:val="nil"/>
              <w:left w:val="single" w:color="E0E0E0" w:sz="8" w:space="0"/>
              <w:bottom w:val="nil"/>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Total</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3207" w:type="dxa"/>
            <w:gridSpan w:val="3"/>
            <w:vMerge w:val="continue"/>
            <w:tcBorders>
              <w:top w:val="nil"/>
              <w:left w:val="nil"/>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c>
          <w:tcPr>
            <w:tcW w:w="1027"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 xml:space="preserve">Online </w:t>
            </w:r>
          </w:p>
        </w:tc>
        <w:tc>
          <w:tcPr>
            <w:tcW w:w="1027"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offline</w:t>
            </w:r>
          </w:p>
        </w:tc>
        <w:tc>
          <w:tcPr>
            <w:tcW w:w="1892"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Online and offline</w:t>
            </w:r>
          </w:p>
        </w:tc>
        <w:tc>
          <w:tcPr>
            <w:tcW w:w="1758" w:type="dxa"/>
            <w:vMerge w:val="continue"/>
            <w:tcBorders>
              <w:top w:val="nil"/>
              <w:left w:val="single" w:color="E0E0E0" w:sz="8" w:space="0"/>
              <w:bottom w:val="nil"/>
              <w:right w:val="nil"/>
              <w:tl2br w:val="nil"/>
              <w:tr2bl w:val="nil"/>
            </w:tcBorders>
            <w:shd w:val="clear" w:color="auto" w:fill="FFFFFF"/>
            <w:noWrap w:val="0"/>
            <w:vAlign w:val="bottom"/>
          </w:tcPr>
          <w:p>
            <w:pPr>
              <w:spacing w:beforeLines="0" w:afterLines="0"/>
              <w:rPr>
                <w:rFonts w:hint="default" w:ascii="MingLiU" w:eastAsia="MingLiU" w:cs="MingLiU"/>
                <w:color w:val="264A60"/>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宋体" w:cs="MingLiU"/>
                <w:color w:val="264A60"/>
                <w:sz w:val="18"/>
                <w:szCs w:val="18"/>
                <w:lang w:val="en-US" w:eastAsia="zh-CN"/>
              </w:rPr>
              <w:t>Age</w:t>
            </w:r>
          </w:p>
        </w:tc>
        <w:tc>
          <w:tcPr>
            <w:tcW w:w="1058" w:type="dxa"/>
            <w:vMerge w:val="restart"/>
            <w:tcBorders>
              <w:top w:val="single" w:color="152935"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40</w:t>
            </w:r>
            <w:r>
              <w:rPr>
                <w:rFonts w:hint="eastAsia" w:ascii="MingLiU" w:eastAsia="宋体" w:cs="MingLiU"/>
                <w:color w:val="264A60"/>
                <w:sz w:val="18"/>
                <w:szCs w:val="18"/>
                <w:lang w:val="en-US" w:eastAsia="zh-CN"/>
              </w:rPr>
              <w:t xml:space="preserve"> and under 40</w:t>
            </w:r>
          </w:p>
        </w:tc>
        <w:tc>
          <w:tcPr>
            <w:tcW w:w="1412"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7"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21</w:t>
            </w:r>
          </w:p>
        </w:tc>
        <w:tc>
          <w:tcPr>
            <w:tcW w:w="1027"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13</w:t>
            </w:r>
          </w:p>
        </w:tc>
        <w:tc>
          <w:tcPr>
            <w:tcW w:w="1892"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43</w:t>
            </w:r>
          </w:p>
        </w:tc>
        <w:tc>
          <w:tcPr>
            <w:tcW w:w="1758"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77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058"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2"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age</w:t>
            </w:r>
          </w:p>
        </w:tc>
        <w:tc>
          <w:tcPr>
            <w:tcW w:w="1027"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27.3%</w:t>
            </w:r>
          </w:p>
        </w:tc>
        <w:tc>
          <w:tcPr>
            <w:tcW w:w="1027"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16.9%</w:t>
            </w:r>
          </w:p>
        </w:tc>
        <w:tc>
          <w:tcPr>
            <w:tcW w:w="1892"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55.8%</w:t>
            </w:r>
          </w:p>
        </w:tc>
        <w:tc>
          <w:tcPr>
            <w:tcW w:w="175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058" w:type="dxa"/>
            <w:vMerge w:val="restart"/>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40</w:t>
            </w:r>
            <w:r>
              <w:rPr>
                <w:rFonts w:hint="eastAsia" w:ascii="MingLiU" w:eastAsia="宋体" w:cs="MingLiU"/>
                <w:color w:val="264A60"/>
                <w:sz w:val="18"/>
                <w:szCs w:val="18"/>
                <w:lang w:val="en-US" w:eastAsia="zh-CN"/>
              </w:rPr>
              <w:t xml:space="preserve"> above</w:t>
            </w:r>
          </w:p>
        </w:tc>
        <w:tc>
          <w:tcPr>
            <w:tcW w:w="1412"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7"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16</w:t>
            </w:r>
          </w:p>
        </w:tc>
        <w:tc>
          <w:tcPr>
            <w:tcW w:w="1027"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w:t>
            </w:r>
          </w:p>
        </w:tc>
        <w:tc>
          <w:tcPr>
            <w:tcW w:w="1892"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54</w:t>
            </w:r>
          </w:p>
        </w:tc>
        <w:tc>
          <w:tcPr>
            <w:tcW w:w="175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80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737" w:type="dxa"/>
            <w:vMerge w:val="continue"/>
            <w:tcBorders>
              <w:top w:val="single" w:color="152935"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058" w:type="dxa"/>
            <w:vMerge w:val="continue"/>
            <w:tcBorders>
              <w:top w:val="single" w:color="AEAEAE" w:sz="8" w:space="0"/>
              <w:left w:val="nil"/>
              <w:bottom w:val="nil"/>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2" w:type="dxa"/>
            <w:tcBorders>
              <w:top w:val="single" w:color="AEAEAE" w:sz="8" w:space="0"/>
              <w:left w:val="nil"/>
              <w:bottom w:val="nil"/>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age</w:t>
            </w:r>
          </w:p>
        </w:tc>
        <w:tc>
          <w:tcPr>
            <w:tcW w:w="1027" w:type="dxa"/>
            <w:tcBorders>
              <w:top w:val="single" w:color="AEAEAE" w:sz="8" w:space="0"/>
              <w:left w:val="nil"/>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20.0%</w:t>
            </w:r>
          </w:p>
        </w:tc>
        <w:tc>
          <w:tcPr>
            <w:tcW w:w="1027"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12.5%</w:t>
            </w:r>
          </w:p>
        </w:tc>
        <w:tc>
          <w:tcPr>
            <w:tcW w:w="1892" w:type="dxa"/>
            <w:tcBorders>
              <w:top w:val="single" w:color="AEAEAE" w:sz="8" w:space="0"/>
              <w:left w:val="single" w:color="E0E0E0" w:sz="8" w:space="0"/>
              <w:bottom w:val="nil"/>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67.5%</w:t>
            </w:r>
          </w:p>
        </w:tc>
        <w:tc>
          <w:tcPr>
            <w:tcW w:w="1758" w:type="dxa"/>
            <w:tcBorders>
              <w:top w:val="single" w:color="AEAEAE" w:sz="8" w:space="0"/>
              <w:left w:val="single" w:color="E0E0E0" w:sz="8" w:space="0"/>
              <w:bottom w:val="nil"/>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795" w:type="dxa"/>
            <w:gridSpan w:val="2"/>
            <w:vMerge w:val="restart"/>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Total</w:t>
            </w:r>
          </w:p>
        </w:tc>
        <w:tc>
          <w:tcPr>
            <w:tcW w:w="1412"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Count</w:t>
            </w:r>
          </w:p>
        </w:tc>
        <w:tc>
          <w:tcPr>
            <w:tcW w:w="1027"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37</w:t>
            </w:r>
          </w:p>
        </w:tc>
        <w:tc>
          <w:tcPr>
            <w:tcW w:w="1027"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w:t>
            </w:r>
          </w:p>
        </w:tc>
        <w:tc>
          <w:tcPr>
            <w:tcW w:w="1892"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97</w:t>
            </w:r>
          </w:p>
        </w:tc>
        <w:tc>
          <w:tcPr>
            <w:tcW w:w="1758"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1795" w:type="dxa"/>
            <w:gridSpan w:val="2"/>
            <w:vMerge w:val="continue"/>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rPr>
                <w:rFonts w:hint="default" w:ascii="MingLiU" w:eastAsia="MingLiU" w:cs="MingLiU"/>
                <w:color w:val="010205"/>
                <w:sz w:val="18"/>
                <w:szCs w:val="18"/>
              </w:rPr>
            </w:pPr>
          </w:p>
        </w:tc>
        <w:tc>
          <w:tcPr>
            <w:tcW w:w="1412"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MingLiU" w:eastAsia="宋体" w:cs="MingLiU"/>
                <w:color w:val="264A60"/>
                <w:sz w:val="18"/>
                <w:szCs w:val="18"/>
                <w:lang w:val="en-US" w:eastAsia="zh-CN"/>
              </w:rPr>
            </w:pPr>
            <w:r>
              <w:rPr>
                <w:rFonts w:hint="eastAsia" w:ascii="MingLiU" w:eastAsia="MingLiU" w:cs="MingLiU"/>
                <w:color w:val="264A60"/>
                <w:sz w:val="18"/>
                <w:szCs w:val="18"/>
              </w:rPr>
              <w:t xml:space="preserve">% within </w:t>
            </w:r>
            <w:r>
              <w:rPr>
                <w:rFonts w:hint="eastAsia" w:ascii="MingLiU" w:eastAsia="宋体" w:cs="MingLiU"/>
                <w:color w:val="264A60"/>
                <w:sz w:val="18"/>
                <w:szCs w:val="18"/>
                <w:lang w:val="en-US" w:eastAsia="zh-CN"/>
              </w:rPr>
              <w:t>age</w:t>
            </w:r>
          </w:p>
        </w:tc>
        <w:tc>
          <w:tcPr>
            <w:tcW w:w="1027"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23.6%</w:t>
            </w:r>
          </w:p>
        </w:tc>
        <w:tc>
          <w:tcPr>
            <w:tcW w:w="1027"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14.6%</w:t>
            </w:r>
          </w:p>
        </w:tc>
        <w:tc>
          <w:tcPr>
            <w:tcW w:w="1892"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61.8%</w:t>
            </w:r>
          </w:p>
        </w:tc>
        <w:tc>
          <w:tcPr>
            <w:tcW w:w="1758"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100.0%</w:t>
            </w:r>
          </w:p>
        </w:tc>
      </w:tr>
    </w:tbl>
    <w:p>
      <w:pPr>
        <w:numPr>
          <w:ilvl w:val="0"/>
          <w:numId w:val="0"/>
        </w:numPr>
        <w:rPr>
          <w:rFonts w:hint="eastAsia"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p>
    <w:tbl>
      <w:tblPr>
        <w:tblStyle w:val="9"/>
        <w:tblW w:w="892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64"/>
        <w:gridCol w:w="1339"/>
        <w:gridCol w:w="1383"/>
        <w:gridCol w:w="374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8928" w:type="dxa"/>
            <w:gridSpan w:val="4"/>
            <w:tcBorders>
              <w:top w:val="nil"/>
              <w:left w:val="nil"/>
              <w:bottom w:val="nil"/>
              <w:right w:val="nil"/>
              <w:tl2br w:val="nil"/>
              <w:tr2bl w:val="nil"/>
            </w:tcBorders>
            <w:shd w:val="clear" w:color="auto" w:fill="FFFFFF"/>
            <w:noWrap w:val="0"/>
            <w:vAlign w:val="center"/>
          </w:tcPr>
          <w:p>
            <w:pPr>
              <w:spacing w:beforeLines="0" w:afterLines="0" w:line="320" w:lineRule="atLeast"/>
              <w:ind w:left="60" w:right="60"/>
              <w:jc w:val="center"/>
              <w:rPr>
                <w:rFonts w:hint="default" w:ascii="MingLiU" w:eastAsia="MingLiU" w:cs="MingLiU"/>
                <w:color w:val="010205"/>
                <w:sz w:val="22"/>
                <w:szCs w:val="22"/>
              </w:rPr>
            </w:pPr>
            <w:r>
              <w:rPr>
                <w:rFonts w:hint="eastAsia" w:ascii="MingLiU" w:eastAsia="MingLiU" w:cs="MingLiU"/>
                <w:b/>
                <w:color w:val="010205"/>
                <w:sz w:val="22"/>
                <w:szCs w:val="22"/>
              </w:rPr>
              <w:t>Chi-Square Tests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64" w:type="dxa"/>
            <w:tcBorders>
              <w:top w:val="nil"/>
              <w:left w:val="nil"/>
              <w:bottom w:val="single" w:color="152935" w:sz="8" w:space="0"/>
              <w:right w:val="nil"/>
              <w:tl2br w:val="nil"/>
              <w:tr2bl w:val="nil"/>
            </w:tcBorders>
            <w:shd w:val="clear" w:color="auto" w:fill="FFFFFF"/>
            <w:noWrap w:val="0"/>
            <w:vAlign w:val="bottom"/>
          </w:tcPr>
          <w:p>
            <w:pPr>
              <w:spacing w:beforeLines="0" w:afterLines="0"/>
              <w:rPr>
                <w:rFonts w:hint="default"/>
                <w:color w:val="auto"/>
                <w:sz w:val="24"/>
                <w:szCs w:val="24"/>
              </w:rPr>
            </w:pPr>
          </w:p>
        </w:tc>
        <w:tc>
          <w:tcPr>
            <w:tcW w:w="1339"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Value</w:t>
            </w:r>
          </w:p>
        </w:tc>
        <w:tc>
          <w:tcPr>
            <w:tcW w:w="1383"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df</w:t>
            </w:r>
          </w:p>
        </w:tc>
        <w:tc>
          <w:tcPr>
            <w:tcW w:w="3742"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eastAsia" w:ascii="MingLiU" w:eastAsia="MingLiU" w:cs="MingLiU"/>
                <w:color w:val="264A60"/>
                <w:sz w:val="18"/>
                <w:szCs w:val="18"/>
              </w:rPr>
            </w:pPr>
            <w:r>
              <w:rPr>
                <w:rFonts w:hint="eastAsia" w:ascii="MingLiU" w:eastAsia="MingLiU" w:cs="MingLiU"/>
                <w:color w:val="264A60"/>
                <w:sz w:val="18"/>
                <w:szCs w:val="18"/>
              </w:rPr>
              <w:t>Asymptotic Significance (2-sided)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64"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Pearson Chi-Square</w:t>
            </w:r>
          </w:p>
        </w:tc>
        <w:tc>
          <w:tcPr>
            <w:tcW w:w="1339"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default" w:ascii="MingLiU" w:eastAsia="MingLiU" w:cs="MingLiU"/>
                <w:color w:val="010205"/>
                <w:sz w:val="18"/>
                <w:szCs w:val="18"/>
              </w:rPr>
            </w:pPr>
            <w:r>
              <w:rPr>
                <w:rFonts w:hint="eastAsia" w:ascii="MingLiU" w:eastAsia="MingLiU" w:cs="MingLiU"/>
                <w:color w:val="010205"/>
                <w:sz w:val="18"/>
                <w:szCs w:val="18"/>
              </w:rPr>
              <w:t>2.258</w:t>
            </w:r>
            <w:r>
              <w:rPr>
                <w:rFonts w:hint="eastAsia" w:ascii="MingLiU" w:eastAsia="MingLiU" w:cs="MingLiU"/>
                <w:color w:val="010205"/>
                <w:sz w:val="18"/>
                <w:szCs w:val="18"/>
                <w:vertAlign w:val="superscript"/>
              </w:rPr>
              <w:t>a</w:t>
            </w:r>
          </w:p>
        </w:tc>
        <w:tc>
          <w:tcPr>
            <w:tcW w:w="1383"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w:t>
            </w:r>
          </w:p>
        </w:tc>
        <w:tc>
          <w:tcPr>
            <w:tcW w:w="3742"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.323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64"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Likelihood Ratio</w:t>
            </w:r>
          </w:p>
        </w:tc>
        <w:tc>
          <w:tcPr>
            <w:tcW w:w="1339"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2.263</w:t>
            </w:r>
          </w:p>
        </w:tc>
        <w:tc>
          <w:tcPr>
            <w:tcW w:w="1383"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2</w:t>
            </w:r>
          </w:p>
        </w:tc>
        <w:tc>
          <w:tcPr>
            <w:tcW w:w="3742"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.323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64"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Linear-by-Linear Association</w:t>
            </w:r>
          </w:p>
        </w:tc>
        <w:tc>
          <w:tcPr>
            <w:tcW w:w="1339"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1.974</w:t>
            </w:r>
          </w:p>
        </w:tc>
        <w:tc>
          <w:tcPr>
            <w:tcW w:w="1383"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w:t>
            </w:r>
          </w:p>
        </w:tc>
        <w:tc>
          <w:tcPr>
            <w:tcW w:w="3742"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.160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64"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eastAsia" w:ascii="MingLiU" w:eastAsia="MingLiU" w:cs="MingLiU"/>
                <w:color w:val="264A60"/>
                <w:sz w:val="18"/>
                <w:szCs w:val="18"/>
              </w:rPr>
            </w:pPr>
            <w:r>
              <w:rPr>
                <w:rFonts w:hint="eastAsia" w:ascii="MingLiU" w:eastAsia="MingLiU" w:cs="MingLiU"/>
                <w:color w:val="264A60"/>
                <w:sz w:val="18"/>
                <w:szCs w:val="18"/>
              </w:rPr>
              <w:t>N of Valid Cases</w:t>
            </w:r>
          </w:p>
        </w:tc>
        <w:tc>
          <w:tcPr>
            <w:tcW w:w="1339"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jc w:val="right"/>
              <w:rPr>
                <w:rFonts w:hint="eastAsia" w:ascii="MingLiU" w:eastAsia="MingLiU" w:cs="MingLiU"/>
                <w:color w:val="010205"/>
                <w:sz w:val="18"/>
                <w:szCs w:val="18"/>
              </w:rPr>
            </w:pPr>
            <w:r>
              <w:rPr>
                <w:rFonts w:hint="eastAsia" w:ascii="MingLiU" w:eastAsia="MingLiU" w:cs="MingLiU"/>
                <w:color w:val="010205"/>
                <w:sz w:val="18"/>
                <w:szCs w:val="18"/>
              </w:rPr>
              <w:t>157</w:t>
            </w:r>
          </w:p>
        </w:tc>
        <w:tc>
          <w:tcPr>
            <w:tcW w:w="1383"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c>
          <w:tcPr>
            <w:tcW w:w="3742" w:type="dxa"/>
            <w:tcBorders>
              <w:top w:val="single" w:color="AEAEAE" w:sz="8" w:space="0"/>
              <w:left w:val="single" w:color="E0E0E0" w:sz="8" w:space="0"/>
              <w:bottom w:val="single" w:color="152935" w:sz="8" w:space="0"/>
              <w:right w:val="nil"/>
              <w:tl2br w:val="nil"/>
              <w:tr2bl w:val="nil"/>
            </w:tcBorders>
            <w:shd w:val="clear" w:color="auto" w:fill="FFFFFF"/>
            <w:noWrap w:val="0"/>
            <w:vAlign w:val="center"/>
          </w:tcPr>
          <w:p>
            <w:pPr>
              <w:spacing w:beforeLines="0" w:afterLines="0"/>
              <w:rPr>
                <w:rFonts w:hint="default"/>
                <w:color w:val="auto"/>
                <w:sz w:val="24"/>
                <w:szCs w:val="24"/>
              </w:rPr>
            </w:pPr>
          </w:p>
        </w:tc>
      </w:tr>
    </w:tbl>
    <w:p>
      <w:pPr>
        <w:spacing w:beforeLines="0" w:afterLines="0"/>
        <w:rPr>
          <w:rFonts w:hint="default"/>
          <w:color w:val="auto"/>
          <w:sz w:val="24"/>
          <w:szCs w:val="24"/>
        </w:rPr>
      </w:pPr>
    </w:p>
    <w:tbl>
      <w:tblPr>
        <w:tblStyle w:val="9"/>
        <w:tblW w:w="8936"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893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8936" w:type="dxa"/>
            <w:tcBorders>
              <w:top w:val="nil"/>
              <w:left w:val="nil"/>
              <w:bottom w:val="nil"/>
              <w:right w:val="nil"/>
              <w:tl2br w:val="nil"/>
              <w:tr2bl w:val="nil"/>
            </w:tcBorders>
            <w:shd w:val="clear" w:color="auto" w:fill="FFFFFF"/>
            <w:noWrap w:val="0"/>
            <w:vAlign w:val="top"/>
          </w:tcPr>
          <w:p>
            <w:pPr>
              <w:numPr>
                <w:ilvl w:val="0"/>
                <w:numId w:val="15"/>
              </w:numPr>
              <w:spacing w:beforeLines="0" w:afterLines="0" w:line="320" w:lineRule="atLeast"/>
              <w:ind w:left="60" w:right="60"/>
              <w:rPr>
                <w:rFonts w:hint="eastAsia" w:ascii="MingLiU" w:eastAsia="MingLiU" w:cs="MingLiU"/>
                <w:color w:val="010205"/>
                <w:sz w:val="18"/>
                <w:szCs w:val="18"/>
              </w:rPr>
            </w:pPr>
            <w:r>
              <w:rPr>
                <w:rFonts w:hint="eastAsia" w:ascii="MingLiU" w:eastAsia="MingLiU" w:cs="MingLiU"/>
                <w:color w:val="010205"/>
                <w:sz w:val="18"/>
                <w:szCs w:val="18"/>
              </w:rPr>
              <w:t>0 cells (0.0%) have expected count less than 5. The minimum expected count is 11.28.</w:t>
            </w:r>
          </w:p>
          <w:p>
            <w:pPr>
              <w:pStyle w:val="7"/>
              <w:rPr>
                <w:rFonts w:hint="default" w:eastAsiaTheme="minorEastAsia"/>
                <w:lang w:val="en-US" w:eastAsia="zh-CN"/>
              </w:rPr>
            </w:pPr>
            <w:r>
              <w:rPr>
                <w:u w:val="single"/>
              </w:rPr>
              <w:t xml:space="preserve">Figure </w:t>
            </w:r>
            <w:r>
              <w:rPr>
                <w:rFonts w:hint="eastAsia"/>
                <w:u w:val="single"/>
                <w:lang w:val="en-US" w:eastAsia="zh-CN"/>
              </w:rPr>
              <w:t>6.9</w:t>
            </w:r>
            <w:r>
              <w:t xml:space="preserve">: SPSS Chi-Square Significant Association for </w:t>
            </w:r>
            <w:r>
              <w:rPr>
                <w:rFonts w:hint="eastAsia"/>
                <w:lang w:val="en-US" w:eastAsia="zh-CN"/>
              </w:rPr>
              <w:t>Age</w:t>
            </w:r>
          </w:p>
          <w:p>
            <w:pPr>
              <w:numPr>
                <w:ilvl w:val="0"/>
                <w:numId w:val="0"/>
              </w:numPr>
              <w:spacing w:beforeLines="0" w:afterLines="0" w:line="320" w:lineRule="atLeast"/>
              <w:ind w:right="60" w:rightChars="0"/>
              <w:rPr>
                <w:rFonts w:hint="eastAsia" w:ascii="MingLiU" w:eastAsia="MingLiU" w:cs="MingLiU"/>
                <w:color w:val="010205"/>
                <w:sz w:val="18"/>
                <w:szCs w:val="18"/>
              </w:rPr>
            </w:pPr>
          </w:p>
        </w:tc>
      </w:tr>
    </w:tbl>
    <w:p>
      <w:pPr>
        <w:numPr>
          <w:ilvl w:val="0"/>
          <w:numId w:val="0"/>
        </w:numPr>
        <w:rPr>
          <w:rFonts w:hint="eastAsia" w:ascii="Times New Roman" w:hAnsi="Times New Roman" w:cs="Times New Roman"/>
          <w:sz w:val="24"/>
          <w:szCs w:val="24"/>
          <w:lang w:val="en-US" w:eastAsia="zh-CN"/>
        </w:rPr>
      </w:pPr>
    </w:p>
    <w:p>
      <w:pPr>
        <w:pStyle w:val="4"/>
        <w:rPr>
          <w:rFonts w:hint="default" w:ascii="Times New Roman" w:hAnsi="Times New Roman" w:cs="Times New Roman"/>
          <w:color w:val="000000" w:themeColor="text1"/>
          <w:sz w:val="24"/>
          <w:szCs w:val="24"/>
          <w14:textFill>
            <w14:solidFill>
              <w14:schemeClr w14:val="tx1"/>
            </w14:solidFill>
          </w14:textFill>
        </w:rPr>
      </w:pPr>
      <w:bookmarkStart w:id="19" w:name="_Toc41649748"/>
      <w:bookmarkStart w:id="20" w:name="_Toc41653710"/>
      <w:bookmarkStart w:id="21" w:name="_Toc41856673"/>
      <w:bookmarkStart w:id="22" w:name="_Toc41649390"/>
      <w:r>
        <w:rPr>
          <w:rFonts w:hint="default" w:ascii="Times New Roman" w:hAnsi="Times New Roman" w:cs="Times New Roman"/>
          <w:color w:val="000000" w:themeColor="text1"/>
          <w:sz w:val="24"/>
          <w:szCs w:val="24"/>
          <w:lang w:val="en-US" w:eastAsia="zh-CN"/>
          <w14:textFill>
            <w14:solidFill>
              <w14:schemeClr w14:val="tx1"/>
            </w14:solidFill>
          </w14:textFill>
        </w:rPr>
        <w:t>6</w:t>
      </w:r>
      <w:r>
        <w:rPr>
          <w:rFonts w:hint="default" w:ascii="Times New Roman" w:hAnsi="Times New Roman" w:cs="Times New Roman"/>
          <w:color w:val="000000" w:themeColor="text1"/>
          <w:sz w:val="24"/>
          <w:szCs w:val="24"/>
          <w14:textFill>
            <w14:solidFill>
              <w14:schemeClr w14:val="tx1"/>
            </w14:solidFill>
          </w14:textFill>
        </w:rPr>
        <w:t>.</w:t>
      </w:r>
      <w:r>
        <w:rPr>
          <w:rFonts w:hint="default" w:ascii="Times New Roman" w:hAnsi="Times New Roman" w:cs="Times New Roman"/>
          <w:color w:val="000000" w:themeColor="text1"/>
          <w:sz w:val="24"/>
          <w:szCs w:val="24"/>
          <w:lang w:val="en-US" w:eastAsia="zh-CN"/>
          <w14:textFill>
            <w14:solidFill>
              <w14:schemeClr w14:val="tx1"/>
            </w14:solidFill>
          </w14:textFill>
        </w:rPr>
        <w:t>2.</w:t>
      </w:r>
      <w:r>
        <w:rPr>
          <w:rFonts w:hint="default" w:ascii="Times New Roman" w:hAnsi="Times New Roman" w:cs="Times New Roman"/>
          <w:color w:val="000000" w:themeColor="text1"/>
          <w:sz w:val="24"/>
          <w:szCs w:val="24"/>
          <w14:textFill>
            <w14:solidFill>
              <w14:schemeClr w14:val="tx1"/>
            </w14:solidFill>
          </w14:textFill>
        </w:rPr>
        <w:t>3 Mann-Whitney U</w:t>
      </w:r>
      <w:bookmarkEnd w:id="19"/>
      <w:bookmarkEnd w:id="20"/>
      <w:bookmarkEnd w:id="21"/>
      <w:bookmarkEnd w:id="22"/>
    </w:p>
    <w:p>
      <w:pPr>
        <w:jc w:val="both"/>
        <w:rPr>
          <w:rFonts w:hint="default" w:ascii="Times New Roman" w:hAnsi="Times New Roman" w:cs="Times New Roman"/>
          <w:color w:val="000000" w:themeColor="text1"/>
          <w:sz w:val="24"/>
          <w:szCs w:val="24"/>
          <w14:textFill>
            <w14:solidFill>
              <w14:schemeClr w14:val="tx1"/>
            </w14:solidFill>
          </w14:textFill>
        </w:rPr>
      </w:pPr>
    </w:p>
    <w:p>
      <w:pPr>
        <w:pStyle w:val="5"/>
        <w:ind w:left="0" w:leftChars="0" w:firstLine="0" w:firstLineChars="0"/>
        <w:rPr>
          <w:rFonts w:hint="default" w:ascii="Times New Roman" w:hAnsi="Times New Roman" w:cs="Times New Roman"/>
          <w:i w:val="0"/>
          <w:iCs w:val="0"/>
          <w:color w:val="000000" w:themeColor="text1"/>
          <w:sz w:val="24"/>
          <w:szCs w:val="24"/>
          <w14:textFill>
            <w14:solidFill>
              <w14:schemeClr w14:val="tx1"/>
            </w14:solidFill>
          </w14:textFill>
        </w:rPr>
      </w:pPr>
      <w:bookmarkStart w:id="23" w:name="_Toc41856674"/>
      <w:bookmarkStart w:id="24" w:name="_Toc41653711"/>
      <w:bookmarkStart w:id="25" w:name="_Toc41649391"/>
      <w:r>
        <w:rPr>
          <w:rFonts w:hint="default" w:ascii="Times New Roman" w:hAnsi="Times New Roman" w:cs="Times New Roman"/>
          <w:i w:val="0"/>
          <w:iCs w:val="0"/>
          <w:color w:val="000000" w:themeColor="text1"/>
          <w:sz w:val="24"/>
          <w:szCs w:val="24"/>
          <w:lang w:val="en-US" w:eastAsia="zh-CN"/>
          <w14:textFill>
            <w14:solidFill>
              <w14:schemeClr w14:val="tx1"/>
            </w14:solidFill>
          </w14:textFill>
        </w:rPr>
        <w:t>6</w:t>
      </w:r>
      <w:r>
        <w:rPr>
          <w:rFonts w:hint="default" w:ascii="Times New Roman" w:hAnsi="Times New Roman" w:cs="Times New Roman"/>
          <w:i w:val="0"/>
          <w:iCs w:val="0"/>
          <w:color w:val="000000" w:themeColor="text1"/>
          <w:sz w:val="24"/>
          <w:szCs w:val="24"/>
          <w14:textFill>
            <w14:solidFill>
              <w14:schemeClr w14:val="tx1"/>
            </w14:solidFill>
          </w14:textFill>
        </w:rPr>
        <w:t>.</w:t>
      </w:r>
      <w:r>
        <w:rPr>
          <w:rFonts w:hint="default" w:ascii="Times New Roman" w:hAnsi="Times New Roman" w:cs="Times New Roman"/>
          <w:i w:val="0"/>
          <w:iCs w:val="0"/>
          <w:color w:val="000000" w:themeColor="text1"/>
          <w:sz w:val="24"/>
          <w:szCs w:val="24"/>
          <w:lang w:val="en-US" w:eastAsia="zh-CN"/>
          <w14:textFill>
            <w14:solidFill>
              <w14:schemeClr w14:val="tx1"/>
            </w14:solidFill>
          </w14:textFill>
        </w:rPr>
        <w:t>2</w:t>
      </w:r>
      <w:r>
        <w:rPr>
          <w:rFonts w:hint="default" w:ascii="Times New Roman" w:hAnsi="Times New Roman" w:cs="Times New Roman"/>
          <w:i w:val="0"/>
          <w:iCs w:val="0"/>
          <w:color w:val="000000" w:themeColor="text1"/>
          <w:sz w:val="24"/>
          <w:szCs w:val="24"/>
          <w14:textFill>
            <w14:solidFill>
              <w14:schemeClr w14:val="tx1"/>
            </w14:solidFill>
          </w14:textFill>
        </w:rPr>
        <w:t xml:space="preserve">.3.1 </w:t>
      </w:r>
      <w:r>
        <w:rPr>
          <w:rFonts w:hint="default" w:ascii="Times New Roman" w:hAnsi="Times New Roman" w:cs="Times New Roman"/>
          <w:i w:val="0"/>
          <w:iCs w:val="0"/>
          <w:color w:val="000000" w:themeColor="text1"/>
          <w:sz w:val="24"/>
          <w:szCs w:val="24"/>
          <w:lang w:val="en-US" w:eastAsia="zh-CN"/>
          <w14:textFill>
            <w14:solidFill>
              <w14:schemeClr w14:val="tx1"/>
            </w14:solidFill>
          </w14:textFill>
        </w:rPr>
        <w:t>Non-</w:t>
      </w:r>
      <w:r>
        <w:rPr>
          <w:rFonts w:hint="default" w:ascii="Times New Roman" w:hAnsi="Times New Roman" w:cs="Times New Roman"/>
          <w:i w:val="0"/>
          <w:iCs w:val="0"/>
          <w:color w:val="000000" w:themeColor="text1"/>
          <w:sz w:val="24"/>
          <w:szCs w:val="24"/>
          <w14:textFill>
            <w14:solidFill>
              <w14:schemeClr w14:val="tx1"/>
            </w14:solidFill>
          </w14:textFill>
        </w:rPr>
        <w:t>Significant - Gender</w:t>
      </w:r>
      <w:bookmarkEnd w:id="23"/>
      <w:bookmarkEnd w:id="24"/>
      <w:bookmarkEnd w:id="25"/>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Table </w:t>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.1: SPSS Mann-Whitney U Non-Significant Differences for Gender</w:t>
      </w:r>
    </w:p>
    <w:p>
      <w:pPr>
        <w:numPr>
          <w:ilvl w:val="0"/>
          <w:numId w:val="0"/>
        </w:numPr>
        <w:rPr>
          <w:rFonts w:hint="eastAsia" w:ascii="Times New Roman" w:hAnsi="Times New Roman" w:cs="Times New Roman"/>
          <w:sz w:val="24"/>
          <w:szCs w:val="24"/>
          <w:lang w:val="en-US" w:eastAsia="zh-CN"/>
        </w:rPr>
      </w:pPr>
    </w:p>
    <w:tbl>
      <w:tblPr>
        <w:tblStyle w:val="9"/>
        <w:tblW w:w="646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566"/>
        <w:gridCol w:w="2358"/>
        <w:gridCol w:w="2358"/>
        <w:gridCol w:w="117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nil"/>
              <w:left w:val="nil"/>
              <w:bottom w:val="single" w:color="152935" w:sz="8" w:space="0"/>
              <w:right w:val="nil"/>
              <w:tl2br w:val="nil"/>
              <w:tr2bl w:val="nil"/>
            </w:tcBorders>
            <w:shd w:val="clear" w:color="auto" w:fill="FFFFFF"/>
            <w:noWrap w:val="0"/>
            <w:vAlign w:val="bottom"/>
          </w:tcPr>
          <w:p>
            <w:pPr>
              <w:spacing w:beforeLines="0" w:afterLines="0"/>
              <w:rPr>
                <w:rFonts w:hint="default" w:ascii="Times New Roman" w:hAnsi="Times New Roman" w:cs="Times New Roman"/>
                <w:sz w:val="24"/>
                <w:szCs w:val="24"/>
              </w:rPr>
            </w:pPr>
          </w:p>
        </w:tc>
        <w:tc>
          <w:tcPr>
            <w:tcW w:w="2358" w:type="dxa"/>
            <w:tcBorders>
              <w:top w:val="nil"/>
              <w:left w:val="nil"/>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Null Hypothesis</w:t>
            </w:r>
          </w:p>
        </w:tc>
        <w:tc>
          <w:tcPr>
            <w:tcW w:w="2358" w:type="dxa"/>
            <w:tcBorders>
              <w:top w:val="nil"/>
              <w:left w:val="single" w:color="E0E0E0" w:sz="8" w:space="0"/>
              <w:bottom w:val="single" w:color="152935" w:sz="8" w:space="0"/>
              <w:right w:val="single" w:color="E0E0E0" w:sz="8" w:space="0"/>
              <w:tl2br w:val="nil"/>
              <w:tr2bl w:val="nil"/>
            </w:tcBorders>
            <w:shd w:val="clear" w:color="auto" w:fill="FFFFFF"/>
            <w:noWrap w:val="0"/>
            <w:vAlign w:val="bottom"/>
          </w:tcPr>
          <w:p>
            <w:pPr>
              <w:spacing w:beforeLines="0" w:afterLines="0" w:line="320" w:lineRule="atLeast"/>
              <w:ind w:left="60" w:right="60"/>
              <w:jc w:val="center"/>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w:t>
            </w:r>
          </w:p>
        </w:tc>
        <w:tc>
          <w:tcPr>
            <w:tcW w:w="1179" w:type="dxa"/>
            <w:tcBorders>
              <w:top w:val="nil"/>
              <w:left w:val="single" w:color="E0E0E0" w:sz="8" w:space="0"/>
              <w:bottom w:val="single" w:color="152935" w:sz="8" w:space="0"/>
              <w:right w:val="nil"/>
              <w:tl2br w:val="nil"/>
              <w:tr2bl w:val="nil"/>
            </w:tcBorders>
            <w:shd w:val="clear" w:color="auto" w:fill="FFFFFF"/>
            <w:noWrap w:val="0"/>
            <w:vAlign w:val="bottom"/>
          </w:tcPr>
          <w:p>
            <w:pPr>
              <w:spacing w:beforeLines="0" w:afterLines="0" w:line="320" w:lineRule="atLeast"/>
              <w:ind w:left="60" w:right="60"/>
              <w:jc w:val="center"/>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152935"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w:t>
            </w:r>
          </w:p>
        </w:tc>
        <w:tc>
          <w:tcPr>
            <w:tcW w:w="2358" w:type="dxa"/>
            <w:tcBorders>
              <w:top w:val="single" w:color="152935"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Q8 is the same across categories of 性别.</w:t>
            </w:r>
          </w:p>
        </w:tc>
        <w:tc>
          <w:tcPr>
            <w:tcW w:w="2358" w:type="dxa"/>
            <w:tcBorders>
              <w:top w:val="single" w:color="152935"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152935"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.555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2</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Q9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.722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3</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Q10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.894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4</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Q11-1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.398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5</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Q11-2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.919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6</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Q11-3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.219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7</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Q11-4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.710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8</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Q12-1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.297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9</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Q12-2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.449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10</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Q12-3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.175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11</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Q12-4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.533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12</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Q13-1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.948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13</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Q13-2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.396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14</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Q13-3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.710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15</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Q14-1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.922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16</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Q14-2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.699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17</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Q14-3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.454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18</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Q14-4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.844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19</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Q14-5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.598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20</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Q16-1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.854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AEAEAE"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21</w:t>
            </w:r>
          </w:p>
        </w:tc>
        <w:tc>
          <w:tcPr>
            <w:tcW w:w="2358" w:type="dxa"/>
            <w:tcBorders>
              <w:top w:val="single" w:color="AEAEAE" w:sz="8" w:space="0"/>
              <w:left w:val="nil"/>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Q16-2 is the same across categories of 性别.</w:t>
            </w:r>
          </w:p>
        </w:tc>
        <w:tc>
          <w:tcPr>
            <w:tcW w:w="2358" w:type="dxa"/>
            <w:tcBorders>
              <w:top w:val="single" w:color="AEAEAE" w:sz="8" w:space="0"/>
              <w:left w:val="single" w:color="E0E0E0" w:sz="8" w:space="0"/>
              <w:bottom w:val="single" w:color="AEAEAE"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AEAEAE"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.993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566" w:type="dxa"/>
            <w:tcBorders>
              <w:top w:val="single" w:color="AEAEAE" w:sz="8" w:space="0"/>
              <w:left w:val="nil"/>
              <w:bottom w:val="single" w:color="152935" w:sz="8" w:space="0"/>
              <w:right w:val="nil"/>
              <w:tl2br w:val="nil"/>
              <w:tr2bl w:val="nil"/>
            </w:tcBorders>
            <w:shd w:val="clear" w:color="auto" w:fill="E0E0E0"/>
            <w:noWrap w:val="0"/>
            <w:vAlign w:val="top"/>
          </w:tcPr>
          <w:p>
            <w:pPr>
              <w:spacing w:beforeLines="0" w:afterLines="0"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22</w:t>
            </w:r>
          </w:p>
        </w:tc>
        <w:tc>
          <w:tcPr>
            <w:tcW w:w="2358" w:type="dxa"/>
            <w:tcBorders>
              <w:top w:val="single" w:color="AEAEAE" w:sz="8" w:space="0"/>
              <w:left w:val="nil"/>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The distribution of Q16-3 is the same across categories of 性别.</w:t>
            </w:r>
          </w:p>
        </w:tc>
        <w:tc>
          <w:tcPr>
            <w:tcW w:w="2358" w:type="dxa"/>
            <w:tcBorders>
              <w:top w:val="single" w:color="AEAEAE" w:sz="8" w:space="0"/>
              <w:left w:val="single" w:color="E0E0E0" w:sz="8" w:space="0"/>
              <w:bottom w:val="single" w:color="152935" w:sz="8" w:space="0"/>
              <w:right w:val="single" w:color="E0E0E0" w:sz="8" w:space="0"/>
              <w:tl2br w:val="nil"/>
              <w:tr2bl w:val="nil"/>
            </w:tcBorders>
            <w:shd w:val="clear" w:color="auto" w:fill="FFFFFF"/>
            <w:noWrap w:val="0"/>
            <w:vAlign w:val="top"/>
          </w:tcPr>
          <w:p>
            <w:pPr>
              <w:spacing w:beforeLines="0" w:afterLines="0" w:line="320" w:lineRule="atLeast"/>
              <w:ind w:left="60" w:right="60"/>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Independent-Samples Mann-Whitney U Test</w:t>
            </w:r>
          </w:p>
        </w:tc>
        <w:tc>
          <w:tcPr>
            <w:tcW w:w="1179" w:type="dxa"/>
            <w:tcBorders>
              <w:top w:val="single" w:color="AEAEAE" w:sz="8" w:space="0"/>
              <w:left w:val="single" w:color="E0E0E0" w:sz="8" w:space="0"/>
              <w:bottom w:val="single" w:color="152935" w:sz="8" w:space="0"/>
              <w:right w:val="nil"/>
              <w:tl2br w:val="nil"/>
              <w:tr2bl w:val="nil"/>
            </w:tcBorders>
            <w:shd w:val="clear" w:color="auto" w:fill="FFFFFF"/>
            <w:noWrap w:val="0"/>
            <w:vAlign w:val="top"/>
          </w:tcPr>
          <w:p>
            <w:pPr>
              <w:spacing w:beforeLines="0" w:afterLines="0"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.446</w:t>
            </w:r>
          </w:p>
        </w:tc>
      </w:tr>
    </w:tbl>
    <w:p>
      <w:pPr>
        <w:numPr>
          <w:ilvl w:val="0"/>
          <w:numId w:val="0"/>
        </w:numPr>
        <w:rPr>
          <w:rFonts w:hint="default"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ignificant – </w:t>
      </w:r>
      <w:r>
        <w:rPr>
          <w:rFonts w:hint="eastAsia" w:ascii="Times New Roman" w:hAnsi="Times New Roman" w:cs="Times New Roman"/>
          <w:sz w:val="24"/>
          <w:szCs w:val="24"/>
          <w:lang w:val="en-US" w:eastAsia="zh-CN"/>
        </w:rPr>
        <w:t>Age</w:t>
      </w:r>
    </w:p>
    <w:p>
      <w:pPr>
        <w:numPr>
          <w:ilvl w:val="0"/>
          <w:numId w:val="0"/>
        </w:numPr>
        <w:rPr>
          <w:rFonts w:hint="eastAsia"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Q11-1</w:t>
      </w:r>
    </w:p>
    <w:tbl>
      <w:tblPr>
        <w:tblStyle w:val="9"/>
        <w:tblW w:w="479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72"/>
        <w:gridCol w:w="231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789" w:type="dxa"/>
            <w:gridSpan w:val="2"/>
            <w:tcBorders>
              <w:top w:val="nil"/>
              <w:left w:val="nil"/>
              <w:bottom w:val="nil"/>
              <w:right w:val="nil"/>
              <w:tl2br w:val="nil"/>
              <w:tr2bl w:val="nil"/>
            </w:tcBorders>
            <w:shd w:val="clear" w:color="auto" w:fill="FFFFFF"/>
            <w:noWrap w:val="0"/>
            <w:vAlign w:val="center"/>
          </w:tcPr>
          <w:p>
            <w:pPr>
              <w:spacing w:line="320" w:lineRule="atLeast"/>
              <w:ind w:left="60" w:right="60"/>
              <w:jc w:val="center"/>
              <w:rPr>
                <w:rFonts w:hint="default" w:ascii="Times New Roman" w:hAnsi="Times New Roman" w:eastAsia="宋体" w:cs="Times New Roman"/>
                <w:color w:val="010205"/>
                <w:sz w:val="24"/>
                <w:szCs w:val="24"/>
                <w:lang w:val="en-US" w:eastAsia="zh-CN"/>
              </w:rPr>
            </w:pPr>
            <w:r>
              <w:rPr>
                <w:rFonts w:hint="eastAsia" w:ascii="Times New Roman" w:hAnsi="Times New Roman" w:eastAsia="宋体" w:cs="Times New Roman"/>
                <w:color w:val="010205"/>
                <w:sz w:val="24"/>
                <w:szCs w:val="24"/>
                <w:lang w:val="en-US" w:eastAsia="zh-CN"/>
              </w:rPr>
              <w:t>Website page design of e-commerce is extremely satisfied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nil"/>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 N</w:t>
            </w:r>
          </w:p>
        </w:tc>
        <w:tc>
          <w:tcPr>
            <w:tcW w:w="2317" w:type="dxa"/>
            <w:tcBorders>
              <w:top w:val="nil"/>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Mann-Whitney U</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2465.500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Wilcoxon W</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5705.500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2465.500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 Error</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264.616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Standardized 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-2.322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00000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Asymptotic Sig.(2-sided test)</w:t>
            </w:r>
          </w:p>
        </w:tc>
        <w:tc>
          <w:tcPr>
            <w:tcW w:w="2317" w:type="dxa"/>
            <w:tcBorders>
              <w:top w:val="single" w:color="C0C0C0" w:sz="8" w:space="0"/>
              <w:left w:val="nil"/>
              <w:bottom w:val="single" w:color="00000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.020</w:t>
            </w:r>
          </w:p>
        </w:tc>
      </w:tr>
    </w:tbl>
    <w:p>
      <w:pPr>
        <w:numPr>
          <w:ilvl w:val="0"/>
          <w:numId w:val="0"/>
        </w:numPr>
        <w:rPr>
          <w:rFonts w:hint="default" w:ascii="Times New Roman" w:hAnsi="Times New Roman" w:cs="Times New Roman"/>
          <w:sz w:val="24"/>
          <w:szCs w:val="24"/>
          <w:lang w:val="en-US" w:eastAsia="zh-CN"/>
        </w:rPr>
      </w:pPr>
    </w:p>
    <w:p>
      <w:pPr>
        <w:pStyle w:val="7"/>
      </w:pPr>
      <w:r>
        <w:rPr>
          <w:u w:val="single"/>
        </w:rPr>
        <w:t xml:space="preserve">Figure </w:t>
      </w:r>
      <w:r>
        <w:rPr>
          <w:rFonts w:hint="eastAsia"/>
          <w:u w:val="single"/>
          <w:lang w:val="en-US" w:eastAsia="zh-CN"/>
        </w:rPr>
        <w:t>6.10</w:t>
      </w:r>
      <w:r>
        <w:rPr>
          <w:u w:val="single"/>
        </w:rPr>
        <w:t>:</w:t>
      </w:r>
      <w:r>
        <w:t xml:space="preserve"> SPSS Mann-Whitney U Significant Difference for Age</w:t>
      </w:r>
    </w:p>
    <w:p>
      <w:pPr>
        <w:numPr>
          <w:ilvl w:val="0"/>
          <w:numId w:val="0"/>
        </w:num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Q11-3 </w:t>
      </w:r>
    </w:p>
    <w:tbl>
      <w:tblPr>
        <w:tblStyle w:val="9"/>
        <w:tblW w:w="479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72"/>
        <w:gridCol w:w="231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789" w:type="dxa"/>
            <w:gridSpan w:val="2"/>
            <w:tcBorders>
              <w:top w:val="nil"/>
              <w:left w:val="nil"/>
              <w:bottom w:val="nil"/>
              <w:right w:val="nil"/>
              <w:tl2br w:val="nil"/>
              <w:tr2bl w:val="nil"/>
            </w:tcBorders>
            <w:shd w:val="clear" w:color="auto" w:fill="FFFFFF"/>
            <w:noWrap w:val="0"/>
            <w:vAlign w:val="center"/>
          </w:tcPr>
          <w:p>
            <w:pPr>
              <w:spacing w:line="320" w:lineRule="atLeast"/>
              <w:ind w:left="60" w:right="60"/>
              <w:jc w:val="center"/>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 xml:space="preserve"> satisfied with the consistency of the product information displayed on the website and the physical store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nil"/>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 N</w:t>
            </w:r>
          </w:p>
        </w:tc>
        <w:tc>
          <w:tcPr>
            <w:tcW w:w="2317" w:type="dxa"/>
            <w:tcBorders>
              <w:top w:val="nil"/>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Mann-Whitney U</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2413.500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Wilcoxon W</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5653.500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2413.500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 Error</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270.910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Standardized 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-2.460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00000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Asymptotic Sig.(2-sided test)</w:t>
            </w:r>
          </w:p>
        </w:tc>
        <w:tc>
          <w:tcPr>
            <w:tcW w:w="2317" w:type="dxa"/>
            <w:tcBorders>
              <w:top w:val="single" w:color="C0C0C0" w:sz="8" w:space="0"/>
              <w:left w:val="nil"/>
              <w:bottom w:val="single" w:color="00000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.014</w:t>
            </w:r>
          </w:p>
        </w:tc>
      </w:tr>
    </w:tbl>
    <w:p>
      <w:pPr>
        <w:numPr>
          <w:ilvl w:val="0"/>
          <w:numId w:val="0"/>
        </w:numPr>
        <w:rPr>
          <w:rFonts w:hint="default" w:ascii="Times New Roman" w:hAnsi="Times New Roman" w:cs="Times New Roman"/>
          <w:sz w:val="24"/>
          <w:szCs w:val="24"/>
          <w:lang w:val="en-US" w:eastAsia="zh-CN"/>
        </w:rPr>
      </w:pPr>
    </w:p>
    <w:p>
      <w:pPr>
        <w:pStyle w:val="7"/>
      </w:pPr>
      <w:r>
        <w:rPr>
          <w:u w:val="single"/>
        </w:rPr>
        <w:t xml:space="preserve">Figure </w:t>
      </w:r>
      <w:r>
        <w:rPr>
          <w:rFonts w:hint="eastAsia"/>
          <w:u w:val="single"/>
          <w:lang w:val="en-US" w:eastAsia="zh-CN"/>
        </w:rPr>
        <w:t>6.11</w:t>
      </w:r>
      <w:r>
        <w:rPr>
          <w:u w:val="single"/>
        </w:rPr>
        <w:t>:</w:t>
      </w:r>
      <w:r>
        <w:t xml:space="preserve"> SPSS Mann-Whitney U Significant Difference for Age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Q12-1 </w:t>
      </w:r>
    </w:p>
    <w:tbl>
      <w:tblPr>
        <w:tblStyle w:val="9"/>
        <w:tblW w:w="479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72"/>
        <w:gridCol w:w="231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789" w:type="dxa"/>
            <w:gridSpan w:val="2"/>
            <w:tcBorders>
              <w:top w:val="nil"/>
              <w:left w:val="nil"/>
              <w:bottom w:val="nil"/>
              <w:right w:val="nil"/>
              <w:tl2br w:val="nil"/>
              <w:tr2bl w:val="nil"/>
            </w:tcBorders>
            <w:shd w:val="clear" w:color="auto" w:fill="FFFFFF"/>
            <w:noWrap w:val="0"/>
            <w:vAlign w:val="center"/>
          </w:tcPr>
          <w:p>
            <w:pPr>
              <w:spacing w:line="320" w:lineRule="atLeast"/>
              <w:ind w:left="60" w:right="60"/>
              <w:jc w:val="center"/>
              <w:rPr>
                <w:rFonts w:hint="default" w:ascii="Times New Roman" w:hAnsi="Times New Roman" w:eastAsia="宋体" w:cs="Times New Roman"/>
                <w:color w:val="010205"/>
                <w:sz w:val="24"/>
                <w:szCs w:val="24"/>
                <w:lang w:val="en-US" w:eastAsia="zh-CN"/>
              </w:rPr>
            </w:pPr>
            <w:r>
              <w:rPr>
                <w:rFonts w:hint="default" w:ascii="Times New Roman" w:hAnsi="Times New Roman" w:eastAsia="宋体" w:cs="Times New Roman"/>
                <w:color w:val="010205"/>
                <w:sz w:val="24"/>
                <w:szCs w:val="24"/>
                <w:lang w:val="en-US" w:eastAsia="zh-CN"/>
              </w:rPr>
              <w:t xml:space="preserve"> </w:t>
            </w:r>
            <w:r>
              <w:rPr>
                <w:rFonts w:hint="eastAsia" w:ascii="Times New Roman" w:hAnsi="Times New Roman" w:eastAsia="宋体" w:cs="Times New Roman"/>
                <w:color w:val="010205"/>
                <w:sz w:val="24"/>
                <w:szCs w:val="24"/>
                <w:lang w:val="en-US" w:eastAsia="zh-CN"/>
              </w:rPr>
              <w:t>S</w:t>
            </w:r>
            <w:r>
              <w:rPr>
                <w:rFonts w:hint="default" w:ascii="Times New Roman" w:hAnsi="Times New Roman" w:eastAsia="宋体" w:cs="Times New Roman"/>
                <w:color w:val="010205"/>
                <w:sz w:val="24"/>
                <w:szCs w:val="24"/>
                <w:lang w:val="en-US" w:eastAsia="zh-CN"/>
              </w:rPr>
              <w:t>atisfied that the order will be delivered on time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nil"/>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 N</w:t>
            </w:r>
          </w:p>
        </w:tc>
        <w:tc>
          <w:tcPr>
            <w:tcW w:w="2317" w:type="dxa"/>
            <w:tcBorders>
              <w:top w:val="nil"/>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Mann-Whitney U</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2499.000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Wilcoxon W</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5739.000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2499.000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 Error</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258.180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Standardized 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-2.250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00000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Asymptotic Sig.(2-sided test)</w:t>
            </w:r>
          </w:p>
        </w:tc>
        <w:tc>
          <w:tcPr>
            <w:tcW w:w="2317" w:type="dxa"/>
            <w:tcBorders>
              <w:top w:val="single" w:color="C0C0C0" w:sz="8" w:space="0"/>
              <w:left w:val="nil"/>
              <w:bottom w:val="single" w:color="00000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.024</w:t>
            </w:r>
          </w:p>
        </w:tc>
      </w:tr>
    </w:tbl>
    <w:p>
      <w:pPr>
        <w:rPr>
          <w:rFonts w:hint="default" w:ascii="Times New Roman" w:hAnsi="Times New Roman" w:cs="Times New Roman"/>
          <w:sz w:val="24"/>
          <w:szCs w:val="24"/>
          <w:lang w:val="en-US" w:eastAsia="zh-CN"/>
        </w:rPr>
      </w:pPr>
    </w:p>
    <w:p>
      <w:pPr>
        <w:pStyle w:val="7"/>
      </w:pPr>
      <w:r>
        <w:rPr>
          <w:u w:val="single"/>
        </w:rPr>
        <w:t xml:space="preserve">Figure </w:t>
      </w:r>
      <w:r>
        <w:rPr>
          <w:rFonts w:hint="eastAsia"/>
          <w:u w:val="single"/>
          <w:lang w:val="en-US" w:eastAsia="zh-CN"/>
        </w:rPr>
        <w:t>6.12</w:t>
      </w:r>
      <w:r>
        <w:rPr>
          <w:u w:val="single"/>
        </w:rPr>
        <w:t>:</w:t>
      </w:r>
      <w:r>
        <w:t xml:space="preserve"> SPSS Mann-Whitney U Significant Difference for Age</w:t>
      </w: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Q13-1 </w:t>
      </w:r>
    </w:p>
    <w:tbl>
      <w:tblPr>
        <w:tblStyle w:val="9"/>
        <w:tblW w:w="479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72"/>
        <w:gridCol w:w="231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789" w:type="dxa"/>
            <w:gridSpan w:val="2"/>
            <w:tcBorders>
              <w:top w:val="nil"/>
              <w:left w:val="nil"/>
              <w:bottom w:val="nil"/>
              <w:right w:val="nil"/>
              <w:tl2br w:val="nil"/>
              <w:tr2bl w:val="nil"/>
            </w:tcBorders>
            <w:shd w:val="clear" w:color="auto" w:fill="FFFFFF"/>
            <w:noWrap w:val="0"/>
            <w:vAlign w:val="center"/>
          </w:tcPr>
          <w:p>
            <w:pPr>
              <w:spacing w:line="320" w:lineRule="atLeast"/>
              <w:ind w:left="60" w:right="60"/>
              <w:jc w:val="center"/>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satisfied with the return and exchange mechanism of e-commerce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nil"/>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 N</w:t>
            </w:r>
          </w:p>
        </w:tc>
        <w:tc>
          <w:tcPr>
            <w:tcW w:w="2317" w:type="dxa"/>
            <w:tcBorders>
              <w:top w:val="nil"/>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Mann-Whitney U</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2413.000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Wilcoxon W</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5653.000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2413.000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 Error</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262.063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Standardized 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-2.545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00000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Asymptotic Sig.(2-sided test)</w:t>
            </w:r>
          </w:p>
        </w:tc>
        <w:tc>
          <w:tcPr>
            <w:tcW w:w="2317" w:type="dxa"/>
            <w:tcBorders>
              <w:top w:val="single" w:color="C0C0C0" w:sz="8" w:space="0"/>
              <w:left w:val="nil"/>
              <w:bottom w:val="single" w:color="00000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.011</w:t>
            </w:r>
          </w:p>
        </w:tc>
      </w:tr>
    </w:tbl>
    <w:p>
      <w:pPr>
        <w:numPr>
          <w:ilvl w:val="0"/>
          <w:numId w:val="0"/>
        </w:numPr>
        <w:rPr>
          <w:rFonts w:hint="default" w:ascii="Times New Roman" w:hAnsi="Times New Roman" w:cs="Times New Roman"/>
          <w:sz w:val="24"/>
          <w:szCs w:val="24"/>
          <w:lang w:val="en-US" w:eastAsia="zh-CN"/>
        </w:rPr>
      </w:pPr>
    </w:p>
    <w:p>
      <w:pPr>
        <w:pStyle w:val="7"/>
      </w:pPr>
      <w:r>
        <w:rPr>
          <w:u w:val="single"/>
        </w:rPr>
        <w:t xml:space="preserve">Figure </w:t>
      </w:r>
      <w:r>
        <w:rPr>
          <w:rFonts w:hint="eastAsia"/>
          <w:u w:val="single"/>
          <w:lang w:val="en-US" w:eastAsia="zh-CN"/>
        </w:rPr>
        <w:t>6.13</w:t>
      </w:r>
      <w:r>
        <w:rPr>
          <w:u w:val="single"/>
        </w:rPr>
        <w:t>:</w:t>
      </w:r>
      <w:r>
        <w:t xml:space="preserve"> SPSS Mann-Whitney U Significant Difference for Age</w:t>
      </w:r>
    </w:p>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Q13-3</w:t>
      </w:r>
    </w:p>
    <w:tbl>
      <w:tblPr>
        <w:tblStyle w:val="9"/>
        <w:tblW w:w="478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72"/>
        <w:gridCol w:w="231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789" w:type="dxa"/>
            <w:gridSpan w:val="2"/>
            <w:tcBorders>
              <w:top w:val="nil"/>
              <w:left w:val="nil"/>
              <w:bottom w:val="nil"/>
              <w:right w:val="nil"/>
              <w:tl2br w:val="nil"/>
              <w:tr2bl w:val="nil"/>
            </w:tcBorders>
            <w:shd w:val="clear" w:color="auto" w:fill="FFFFFF"/>
            <w:noWrap w:val="0"/>
            <w:vAlign w:val="center"/>
          </w:tcPr>
          <w:p>
            <w:pPr>
              <w:spacing w:line="320" w:lineRule="atLeast"/>
              <w:ind w:left="60" w:right="60"/>
              <w:jc w:val="center"/>
              <w:rPr>
                <w:rFonts w:hint="default" w:ascii="Times New Roman" w:hAnsi="Times New Roman" w:eastAsia="MingLiU" w:cs="Times New Roman"/>
                <w:color w:val="010205"/>
                <w:sz w:val="24"/>
                <w:szCs w:val="24"/>
              </w:rPr>
            </w:pPr>
            <w:r>
              <w:rPr>
                <w:rFonts w:hint="eastAsia" w:ascii="Times New Roman" w:hAnsi="Times New Roman" w:eastAsia="宋体" w:cs="Times New Roman"/>
                <w:color w:val="010205"/>
                <w:sz w:val="24"/>
                <w:szCs w:val="24"/>
                <w:lang w:val="en-US" w:eastAsia="zh-CN"/>
              </w:rPr>
              <w:t>S</w:t>
            </w:r>
            <w:r>
              <w:rPr>
                <w:rFonts w:hint="default" w:ascii="Times New Roman" w:hAnsi="Times New Roman" w:eastAsia="MingLiU" w:cs="Times New Roman"/>
                <w:color w:val="010205"/>
                <w:sz w:val="24"/>
                <w:szCs w:val="24"/>
              </w:rPr>
              <w:t>atisfied with the timely reply of e-commerce customer service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nil"/>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 N</w:t>
            </w:r>
          </w:p>
        </w:tc>
        <w:tc>
          <w:tcPr>
            <w:tcW w:w="2317" w:type="dxa"/>
            <w:tcBorders>
              <w:top w:val="nil"/>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Mann-Whitney U</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2399.000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Wilcoxon W</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5639.000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2399.000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 Error</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268.107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Standardized 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-2.540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00000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Asymptotic Sig.(2-sided test)</w:t>
            </w:r>
          </w:p>
        </w:tc>
        <w:tc>
          <w:tcPr>
            <w:tcW w:w="2317" w:type="dxa"/>
            <w:tcBorders>
              <w:top w:val="single" w:color="C0C0C0" w:sz="8" w:space="0"/>
              <w:left w:val="nil"/>
              <w:bottom w:val="single" w:color="00000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.011</w:t>
            </w:r>
          </w:p>
        </w:tc>
      </w:tr>
    </w:tbl>
    <w:p>
      <w:pPr>
        <w:rPr>
          <w:rFonts w:hint="default" w:ascii="Times New Roman" w:hAnsi="Times New Roman" w:cs="Times New Roman"/>
          <w:sz w:val="24"/>
          <w:szCs w:val="24"/>
          <w:lang w:val="en-US" w:eastAsia="zh-CN"/>
        </w:rPr>
      </w:pPr>
    </w:p>
    <w:p>
      <w:pPr>
        <w:pStyle w:val="7"/>
      </w:pPr>
      <w:r>
        <w:rPr>
          <w:u w:val="single"/>
        </w:rPr>
        <w:t xml:space="preserve">Figure </w:t>
      </w:r>
      <w:r>
        <w:rPr>
          <w:rFonts w:hint="eastAsia"/>
          <w:u w:val="single"/>
          <w:lang w:val="en-US" w:eastAsia="zh-CN"/>
        </w:rPr>
        <w:t>6.14</w:t>
      </w:r>
      <w:r>
        <w:rPr>
          <w:u w:val="single"/>
        </w:rPr>
        <w:t>:</w:t>
      </w:r>
      <w:r>
        <w:t xml:space="preserve"> SPSS Mann-Whitney U Significant Difference for Age</w:t>
      </w:r>
    </w:p>
    <w:p>
      <w:pPr>
        <w:numPr>
          <w:ilvl w:val="0"/>
          <w:numId w:val="0"/>
        </w:numPr>
        <w:rPr>
          <w:rFonts w:hint="default"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Q14-1</w:t>
      </w:r>
    </w:p>
    <w:tbl>
      <w:tblPr>
        <w:tblStyle w:val="9"/>
        <w:tblW w:w="479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72"/>
        <w:gridCol w:w="231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789" w:type="dxa"/>
            <w:gridSpan w:val="2"/>
            <w:tcBorders>
              <w:top w:val="nil"/>
              <w:left w:val="nil"/>
              <w:bottom w:val="nil"/>
              <w:right w:val="nil"/>
              <w:tl2br w:val="nil"/>
              <w:tr2bl w:val="nil"/>
            </w:tcBorders>
            <w:shd w:val="clear" w:color="auto" w:fill="FFFFFF"/>
            <w:noWrap w:val="0"/>
            <w:vAlign w:val="center"/>
          </w:tcPr>
          <w:p>
            <w:pPr>
              <w:spacing w:line="320" w:lineRule="atLeast"/>
              <w:ind w:left="60" w:right="60"/>
              <w:jc w:val="center"/>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satisfied with the efficient and convenient payment method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nil"/>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 N</w:t>
            </w:r>
          </w:p>
        </w:tc>
        <w:tc>
          <w:tcPr>
            <w:tcW w:w="2317" w:type="dxa"/>
            <w:tcBorders>
              <w:top w:val="nil"/>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Mann-Whitney U</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2544.000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Wilcoxon W</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5784.000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2544.000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 Error</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266.389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Standardized 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-2.012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00000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Asymptotic Sig.(2-sided test)</w:t>
            </w:r>
          </w:p>
        </w:tc>
        <w:tc>
          <w:tcPr>
            <w:tcW w:w="2317" w:type="dxa"/>
            <w:tcBorders>
              <w:top w:val="single" w:color="C0C0C0" w:sz="8" w:space="0"/>
              <w:left w:val="nil"/>
              <w:bottom w:val="single" w:color="00000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.044</w:t>
            </w:r>
          </w:p>
        </w:tc>
      </w:tr>
    </w:tbl>
    <w:p>
      <w:pPr>
        <w:numPr>
          <w:ilvl w:val="0"/>
          <w:numId w:val="0"/>
        </w:numPr>
        <w:rPr>
          <w:rFonts w:hint="default" w:ascii="Times New Roman" w:hAnsi="Times New Roman" w:cs="Times New Roman"/>
          <w:sz w:val="24"/>
          <w:szCs w:val="24"/>
          <w:lang w:val="en-US" w:eastAsia="zh-CN"/>
        </w:rPr>
      </w:pPr>
    </w:p>
    <w:p>
      <w:pPr>
        <w:pStyle w:val="7"/>
      </w:pPr>
      <w:r>
        <w:rPr>
          <w:u w:val="single"/>
        </w:rPr>
        <w:t xml:space="preserve">Figure </w:t>
      </w:r>
      <w:r>
        <w:rPr>
          <w:rFonts w:hint="eastAsia"/>
          <w:u w:val="single"/>
          <w:lang w:val="en-US" w:eastAsia="zh-CN"/>
        </w:rPr>
        <w:t>6.15</w:t>
      </w:r>
      <w:r>
        <w:rPr>
          <w:u w:val="single"/>
        </w:rPr>
        <w:t>:</w:t>
      </w:r>
      <w:r>
        <w:t xml:space="preserve"> SPSS Mann-Whitney U Significant Difference for Age</w:t>
      </w:r>
    </w:p>
    <w:p>
      <w:pPr>
        <w:numPr>
          <w:ilvl w:val="0"/>
          <w:numId w:val="0"/>
        </w:numPr>
        <w:rPr>
          <w:rFonts w:hint="default"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Q14-3</w:t>
      </w:r>
    </w:p>
    <w:tbl>
      <w:tblPr>
        <w:tblStyle w:val="9"/>
        <w:tblW w:w="478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72"/>
        <w:gridCol w:w="231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789" w:type="dxa"/>
            <w:gridSpan w:val="2"/>
            <w:tcBorders>
              <w:top w:val="nil"/>
              <w:left w:val="nil"/>
              <w:bottom w:val="nil"/>
              <w:right w:val="nil"/>
              <w:tl2br w:val="nil"/>
              <w:tr2bl w:val="nil"/>
            </w:tcBorders>
            <w:shd w:val="clear" w:color="auto" w:fill="FFFFFF"/>
            <w:noWrap w:val="0"/>
            <w:vAlign w:val="center"/>
          </w:tcPr>
          <w:p>
            <w:pPr>
              <w:spacing w:line="320" w:lineRule="atLeast"/>
              <w:ind w:left="60" w:right="60"/>
              <w:jc w:val="center"/>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Satisfied with the discount</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nil"/>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 N</w:t>
            </w:r>
          </w:p>
        </w:tc>
        <w:tc>
          <w:tcPr>
            <w:tcW w:w="2317" w:type="dxa"/>
            <w:tcBorders>
              <w:top w:val="nil"/>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Mann-Whitney U</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2275.000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Wilcoxon W</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5515.000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2275.000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 Error</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270.487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Standardized 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-2.976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00000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Asymptotic Sig.(2-sided test)</w:t>
            </w:r>
          </w:p>
        </w:tc>
        <w:tc>
          <w:tcPr>
            <w:tcW w:w="2317" w:type="dxa"/>
            <w:tcBorders>
              <w:top w:val="single" w:color="C0C0C0" w:sz="8" w:space="0"/>
              <w:left w:val="nil"/>
              <w:bottom w:val="single" w:color="00000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.003</w:t>
            </w:r>
          </w:p>
        </w:tc>
      </w:tr>
    </w:tbl>
    <w:p>
      <w:pPr>
        <w:numPr>
          <w:ilvl w:val="0"/>
          <w:numId w:val="0"/>
        </w:numPr>
        <w:rPr>
          <w:rFonts w:hint="default" w:ascii="Times New Roman" w:hAnsi="Times New Roman" w:cs="Times New Roman"/>
          <w:sz w:val="24"/>
          <w:szCs w:val="24"/>
          <w:lang w:val="en-US" w:eastAsia="zh-CN"/>
        </w:rPr>
      </w:pPr>
    </w:p>
    <w:p>
      <w:pPr>
        <w:pStyle w:val="7"/>
      </w:pPr>
      <w:r>
        <w:rPr>
          <w:u w:val="single"/>
        </w:rPr>
        <w:t xml:space="preserve">Figure </w:t>
      </w:r>
      <w:r>
        <w:rPr>
          <w:rFonts w:hint="eastAsia"/>
          <w:u w:val="single"/>
          <w:lang w:val="en-US" w:eastAsia="zh-CN"/>
        </w:rPr>
        <w:t>6.16</w:t>
      </w:r>
      <w:r>
        <w:rPr>
          <w:u w:val="single"/>
        </w:rPr>
        <w:t>:</w:t>
      </w:r>
      <w:r>
        <w:t xml:space="preserve"> SPSS Mann-Whitney U Significant Difference for Age</w:t>
      </w:r>
    </w:p>
    <w:p>
      <w:pPr>
        <w:numPr>
          <w:ilvl w:val="0"/>
          <w:numId w:val="0"/>
        </w:numPr>
        <w:rPr>
          <w:rFonts w:hint="default"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Q14-4 </w:t>
      </w:r>
    </w:p>
    <w:tbl>
      <w:tblPr>
        <w:tblStyle w:val="9"/>
        <w:tblW w:w="479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472"/>
        <w:gridCol w:w="231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4789" w:type="dxa"/>
            <w:gridSpan w:val="2"/>
            <w:tcBorders>
              <w:top w:val="nil"/>
              <w:left w:val="nil"/>
              <w:bottom w:val="nil"/>
              <w:right w:val="nil"/>
              <w:tl2br w:val="nil"/>
              <w:tr2bl w:val="nil"/>
            </w:tcBorders>
            <w:shd w:val="clear" w:color="auto" w:fill="FFFFFF"/>
            <w:noWrap w:val="0"/>
            <w:vAlign w:val="center"/>
          </w:tcPr>
          <w:p>
            <w:pPr>
              <w:spacing w:line="320" w:lineRule="atLeast"/>
              <w:ind w:left="60" w:right="60"/>
              <w:jc w:val="center"/>
              <w:rPr>
                <w:rFonts w:hint="default" w:ascii="Times New Roman" w:hAnsi="Times New Roman" w:eastAsia="宋体" w:cs="Times New Roman"/>
                <w:color w:val="010205"/>
                <w:sz w:val="24"/>
                <w:szCs w:val="24"/>
                <w:lang w:val="en-US" w:eastAsia="zh-CN"/>
              </w:rPr>
            </w:pPr>
            <w:r>
              <w:rPr>
                <w:rFonts w:hint="eastAsia" w:ascii="Times New Roman" w:hAnsi="Times New Roman" w:eastAsia="宋体" w:cs="Times New Roman"/>
                <w:color w:val="010205"/>
                <w:sz w:val="24"/>
                <w:szCs w:val="24"/>
                <w:lang w:val="en-US" w:eastAsia="zh-CN"/>
              </w:rPr>
              <w:t>Satisfied with product quality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nil"/>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Total N</w:t>
            </w:r>
          </w:p>
        </w:tc>
        <w:tc>
          <w:tcPr>
            <w:tcW w:w="2317" w:type="dxa"/>
            <w:tcBorders>
              <w:top w:val="nil"/>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157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Mann-Whitney U</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2402.000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Wilcoxon W</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5642.000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2402.000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 Error</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269.862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C0C0C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Standardized Test Statistic</w:t>
            </w:r>
          </w:p>
        </w:tc>
        <w:tc>
          <w:tcPr>
            <w:tcW w:w="2317" w:type="dxa"/>
            <w:tcBorders>
              <w:top w:val="single" w:color="C0C0C0" w:sz="8" w:space="0"/>
              <w:left w:val="nil"/>
              <w:bottom w:val="single" w:color="C0C0C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-2.512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0" w:type="dxa"/>
            <w:bottom w:w="0" w:type="dxa"/>
            <w:right w:w="0" w:type="dxa"/>
          </w:tblCellMar>
        </w:tblPrEx>
        <w:trPr>
          <w:cantSplit/>
        </w:trPr>
        <w:tc>
          <w:tcPr>
            <w:tcW w:w="2472" w:type="dxa"/>
            <w:tcBorders>
              <w:top w:val="single" w:color="C0C0C0" w:sz="8" w:space="0"/>
              <w:left w:val="nil"/>
              <w:bottom w:val="single" w:color="000000" w:sz="8" w:space="0"/>
              <w:right w:val="nil"/>
              <w:tl2br w:val="nil"/>
              <w:tr2bl w:val="nil"/>
            </w:tcBorders>
            <w:shd w:val="clear" w:color="auto" w:fill="E0E0E0"/>
            <w:noWrap w:val="0"/>
            <w:vAlign w:val="top"/>
          </w:tcPr>
          <w:p>
            <w:pPr>
              <w:spacing w:line="320" w:lineRule="atLeast"/>
              <w:ind w:left="60" w:right="60"/>
              <w:rPr>
                <w:rFonts w:hint="default" w:ascii="Times New Roman" w:hAnsi="Times New Roman" w:eastAsia="MingLiU" w:cs="Times New Roman"/>
                <w:color w:val="264A60"/>
                <w:sz w:val="24"/>
                <w:szCs w:val="24"/>
              </w:rPr>
            </w:pPr>
            <w:r>
              <w:rPr>
                <w:rFonts w:hint="default" w:ascii="Times New Roman" w:hAnsi="Times New Roman" w:eastAsia="MingLiU" w:cs="Times New Roman"/>
                <w:color w:val="264A60"/>
                <w:sz w:val="24"/>
                <w:szCs w:val="24"/>
              </w:rPr>
              <w:t>Asymptotic Sig.(2-sided test)</w:t>
            </w:r>
          </w:p>
        </w:tc>
        <w:tc>
          <w:tcPr>
            <w:tcW w:w="2317" w:type="dxa"/>
            <w:tcBorders>
              <w:top w:val="single" w:color="C0C0C0" w:sz="8" w:space="0"/>
              <w:left w:val="nil"/>
              <w:bottom w:val="single" w:color="000000" w:sz="8" w:space="0"/>
              <w:right w:val="nil"/>
              <w:tl2br w:val="nil"/>
              <w:tr2bl w:val="nil"/>
            </w:tcBorders>
            <w:shd w:val="clear" w:color="auto" w:fill="FFFFFF"/>
            <w:noWrap w:val="0"/>
            <w:vAlign w:val="top"/>
          </w:tcPr>
          <w:p>
            <w:pPr>
              <w:spacing w:line="320" w:lineRule="atLeast"/>
              <w:ind w:left="60" w:right="60"/>
              <w:jc w:val="right"/>
              <w:rPr>
                <w:rFonts w:hint="default" w:ascii="Times New Roman" w:hAnsi="Times New Roman" w:eastAsia="MingLiU" w:cs="Times New Roman"/>
                <w:color w:val="010205"/>
                <w:sz w:val="24"/>
                <w:szCs w:val="24"/>
              </w:rPr>
            </w:pPr>
            <w:r>
              <w:rPr>
                <w:rFonts w:hint="default" w:ascii="Times New Roman" w:hAnsi="Times New Roman" w:eastAsia="MingLiU" w:cs="Times New Roman"/>
                <w:color w:val="010205"/>
                <w:sz w:val="24"/>
                <w:szCs w:val="24"/>
              </w:rPr>
              <w:t>.012</w:t>
            </w:r>
          </w:p>
        </w:tc>
      </w:tr>
    </w:tbl>
    <w:p>
      <w:pPr>
        <w:pStyle w:val="7"/>
      </w:pPr>
      <w:r>
        <w:rPr>
          <w:u w:val="single"/>
        </w:rPr>
        <w:t xml:space="preserve">Figure </w:t>
      </w:r>
      <w:r>
        <w:rPr>
          <w:rFonts w:hint="eastAsia"/>
          <w:u w:val="single"/>
          <w:lang w:val="en-US" w:eastAsia="zh-CN"/>
        </w:rPr>
        <w:t>6.17</w:t>
      </w:r>
      <w:r>
        <w:rPr>
          <w:u w:val="single"/>
        </w:rPr>
        <w:t>:</w:t>
      </w:r>
      <w:r>
        <w:t xml:space="preserve"> SPSS Mann-Whitney U Significant Difference for Age</w:t>
      </w:r>
    </w:p>
    <w:p>
      <w:pPr>
        <w:numPr>
          <w:ilvl w:val="0"/>
          <w:numId w:val="0"/>
        </w:numPr>
        <w:rPr>
          <w:rFonts w:hint="default" w:ascii="Times New Roman" w:hAnsi="Times New Roman" w:cs="Times New Roman"/>
          <w:sz w:val="24"/>
          <w:szCs w:val="24"/>
          <w:lang w:val="en-US" w:eastAsia="zh-CN"/>
        </w:rPr>
      </w:pPr>
    </w:p>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.3.</w:t>
      </w: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Non-S</w:t>
      </w:r>
      <w:r>
        <w:rPr>
          <w:rFonts w:hint="default" w:ascii="Times New Roman" w:hAnsi="Times New Roman" w:cs="Times New Roman"/>
          <w:sz w:val="24"/>
          <w:szCs w:val="24"/>
          <w:lang w:val="en-US" w:eastAsia="zh-CN"/>
        </w:rPr>
        <w:t xml:space="preserve">ignificant – </w:t>
      </w:r>
      <w:r>
        <w:rPr>
          <w:rFonts w:hint="eastAsia" w:ascii="Times New Roman" w:hAnsi="Times New Roman" w:cs="Times New Roman"/>
          <w:sz w:val="24"/>
          <w:szCs w:val="24"/>
          <w:lang w:val="en-US" w:eastAsia="zh-CN"/>
        </w:rPr>
        <w:t>Age</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11"/>
        <w:gridCol w:w="3858"/>
        <w:gridCol w:w="1117"/>
        <w:gridCol w:w="942"/>
        <w:gridCol w:w="149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Question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Number</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Statement</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40 and Under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40(Mean,Rank)</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Over 40 ( Mean Rank)</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Significance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How much impact do you think the credibility and security of the Internet platforms have on consumers' attitudes toward purchasing agricultural products?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74.53</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83.3</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0.152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9</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To what extent do you think the service quality of the Internet platform has influenced consumers' attitude towards purchasing agricultural products?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73.37</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84.42</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10</w:t>
            </w:r>
          </w:p>
        </w:tc>
        <w:tc>
          <w:tcPr>
            <w:tcW w:w="3858" w:type="dxa"/>
          </w:tcPr>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How much do you think the quality of product of the Internet platform has influenced consumers' attitudes toward purchasing agricultural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76.07</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81.82</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0.333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11</w:t>
            </w:r>
          </w:p>
        </w:tc>
        <w:tc>
          <w:tcPr>
            <w:tcW w:w="3858" w:type="dxa"/>
          </w:tcPr>
          <w:p>
            <w:pPr>
              <w:numPr>
                <w:ilvl w:val="0"/>
                <w:numId w:val="8"/>
              </w:numPr>
              <w:ind w:left="0" w:leftChars="0" w:firstLine="0" w:firstLine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It is easy to find the goods you want on the Internet</w:t>
            </w:r>
          </w:p>
          <w:p>
            <w:pPr>
              <w:numPr>
                <w:ilvl w:val="0"/>
                <w:numId w:val="0"/>
              </w:numPr>
              <w:ind w:leftChars="0"/>
              <w:rPr>
                <w:rFonts w:hint="default" w:ascii="Times New Roman" w:hAnsi="Times New Roman" w:cs="Times New Roman"/>
                <w:i/>
                <w:iCs/>
                <w:sz w:val="24"/>
                <w:szCs w:val="24"/>
                <w:vertAlign w:val="baseline"/>
                <w:lang w:val="en-US" w:eastAsia="zh-CN"/>
              </w:rPr>
            </w:pPr>
            <w:r>
              <w:rPr>
                <w:rFonts w:hint="eastAsia" w:ascii="Times New Roman" w:hAnsi="Times New Roman" w:cs="Times New Roman"/>
                <w:sz w:val="24"/>
                <w:szCs w:val="24"/>
                <w:vertAlign w:val="baseline"/>
                <w:lang w:val="en-US" w:eastAsia="zh-CN"/>
              </w:rPr>
              <w:t>(4)The web shopping order payment process is clear and easy to understand,easy to operate.</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81.15</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76.66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76.93</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0.465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0.520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83" w:hRule="atLeast"/>
        </w:trPr>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12</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 delivery speed is fast</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(3) </w:t>
            </w:r>
            <w:r>
              <w:rPr>
                <w:rFonts w:hint="default" w:ascii="Times New Roman" w:hAnsi="Times New Roman" w:cs="Times New Roman"/>
                <w:sz w:val="24"/>
                <w:szCs w:val="24"/>
                <w:vertAlign w:val="baseline"/>
                <w:lang w:val="en-US" w:eastAsia="zh-CN"/>
              </w:rPr>
              <w:t xml:space="preserve">The packing is complete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without breakage</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(4) </w:t>
            </w:r>
            <w:r>
              <w:rPr>
                <w:rFonts w:hint="default" w:ascii="Times New Roman" w:hAnsi="Times New Roman" w:cs="Times New Roman"/>
                <w:sz w:val="24"/>
                <w:szCs w:val="24"/>
                <w:vertAlign w:val="baseline"/>
                <w:lang w:val="en-US" w:eastAsia="zh-CN"/>
              </w:rPr>
              <w:t xml:space="preserve">Product distribution can be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checked in time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82.37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82.98</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75.76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75.17</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0.471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0.330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0.235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13</w:t>
            </w:r>
          </w:p>
        </w:tc>
        <w:tc>
          <w:tcPr>
            <w:tcW w:w="3858" w:type="dxa"/>
          </w:tcPr>
          <w:p>
            <w:pPr>
              <w:numPr>
                <w:ilvl w:val="0"/>
                <w:numId w:val="6"/>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E-commerce takes consumer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complaints seriously,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Reasonable demands from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consumers will be met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85.74</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72.51</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14</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(2)Fast the delivery speed affect shopping on O2O platform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 xml:space="preserve">(5) </w:t>
            </w:r>
            <w:r>
              <w:rPr>
                <w:rFonts w:hint="default" w:ascii="Times New Roman" w:hAnsi="Times New Roman" w:cs="Times New Roman"/>
                <w:i w:val="0"/>
                <w:iCs w:val="0"/>
                <w:sz w:val="24"/>
                <w:szCs w:val="24"/>
                <w:vertAlign w:val="baseline"/>
                <w:lang w:val="en-US" w:eastAsia="zh-CN"/>
              </w:rPr>
              <w:t>After-sales service is reassuring and affects shopping on O2O platforms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78.96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85.05</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79.04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73.18</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0.991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16</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w:t>
            </w:r>
            <w:r>
              <w:rPr>
                <w:rFonts w:hint="default" w:ascii="Times New Roman" w:hAnsi="Times New Roman" w:cs="Times New Roman"/>
                <w:i w:val="0"/>
                <w:iCs w:val="0"/>
                <w:sz w:val="24"/>
                <w:szCs w:val="24"/>
                <w:vertAlign w:val="baseline"/>
                <w:lang w:val="en-US" w:eastAsia="zh-CN"/>
              </w:rPr>
              <w:t>The freshness of produce affects online buying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w:t>
            </w:r>
            <w:r>
              <w:rPr>
                <w:rFonts w:hint="default" w:ascii="Times New Roman" w:hAnsi="Times New Roman" w:cs="Times New Roman"/>
                <w:i w:val="0"/>
                <w:iCs w:val="0"/>
                <w:sz w:val="24"/>
                <w:szCs w:val="24"/>
                <w:vertAlign w:val="baseline"/>
                <w:lang w:val="en-US" w:eastAsia="zh-CN"/>
              </w:rPr>
              <w:t>Produce (e.g., fruits and vegetables)</w:t>
            </w:r>
            <w:r>
              <w:rPr>
                <w:rFonts w:hint="eastAsia" w:ascii="Times New Roman" w:hAnsi="Times New Roman" w:cs="Times New Roman"/>
                <w:i w:val="0"/>
                <w:iCs w:val="0"/>
                <w:sz w:val="24"/>
                <w:szCs w:val="24"/>
                <w:vertAlign w:val="baseline"/>
                <w:lang w:val="en-US" w:eastAsia="zh-CN"/>
              </w:rPr>
              <w:t xml:space="preserve"> </w:t>
            </w:r>
            <w:r>
              <w:rPr>
                <w:rFonts w:hint="default" w:ascii="Times New Roman" w:hAnsi="Times New Roman" w:cs="Times New Roman"/>
                <w:i w:val="0"/>
                <w:iCs w:val="0"/>
                <w:sz w:val="24"/>
                <w:szCs w:val="24"/>
                <w:vertAlign w:val="baseline"/>
                <w:lang w:val="en-US" w:eastAsia="zh-CN"/>
              </w:rPr>
              <w:t>damaged during transportation can be purchased online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(3)</w:t>
            </w:r>
            <w:r>
              <w:rPr>
                <w:rFonts w:hint="default" w:ascii="Times New Roman" w:hAnsi="Times New Roman" w:cs="Times New Roman"/>
                <w:i w:val="0"/>
                <w:iCs w:val="0"/>
                <w:sz w:val="24"/>
                <w:szCs w:val="24"/>
                <w:vertAlign w:val="baseline"/>
                <w:lang w:val="en-US" w:eastAsia="zh-CN"/>
              </w:rPr>
              <w:t>Cold chain conditions for agricultural products affect online purchases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84.88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79.04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85.39</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73.34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78.96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72.95</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0.991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0.071</w:t>
            </w:r>
          </w:p>
        </w:tc>
      </w:tr>
    </w:tbl>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7.0 References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Atieno, O. (2009). AN ANALYSIS OF THE STRENGTHS AND LIMITATION OF QUALITATIVE AND QUANTITATIVE RESEARCH PARADIGMS, 13. Retrieved from http://www.scientiasocialis.lt/pec/files/pdf/Atieno_Vol.13.pdf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Basak, S. K., D. W. Govender, and I. Govender. 2016. Examining the impact of privacy, security, and trust on the TAM and TTF models for e-commerce consumers: A pilot study. Presented at the 2016 14</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Annual Conference on Privacy, Security, and Trust (PST), December 12–14, 2016, Auckland, New Zealand.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Baker, J., D. Grewal, and A. Parasuraman. 1994. The influence of store environment on quality inferences and store image. J. Acad. Mark. Sci.22(4):328–339.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Baumeister, R., &amp; Leary, M. (1997). Writing Narrative Literature Reviews. Retrieved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"https://psychology.yale.edu/sites/default/files/baumeister-leary.pdf"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https://psychology.yale.edu/sites/default/files/baumeister-leary.pdf</w:t>
      </w:r>
      <w:r>
        <w:rPr>
          <w:rFonts w:hint="default" w:ascii="Times New Roman" w:hAnsi="Times New Roman" w:cs="Times New Roman"/>
          <w:sz w:val="24"/>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Chi, L. 2014. Opportunities and challenges of electronic commerce O2O model. Commercial Times 25:63-64.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Connelly, L.M. (2008) Pilot studies. Medsurg Nursing, 17(6), p.411.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Chu, Y. X. 2013. Analysis and research on the O2O model of furniture industry. China Manag. Information. 16(11):68-70.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Daniel, E. (2016). The Usefulness of Qualitative and Quantitative Approaches and Methods in Researching Problem-Solving Ability in Science Education Curriculum , 7(15), 1–10. Retrieved from https://files.eric.ed.gov/fulltext/EJ1103224.pdf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Davis, F. D. 1986. A technology acceptance model for empirically testing new end-user information systems: Theory and results. Doctoral dissertation. Massachusetts Institute of Technology, Cambridge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Ding J, Wang M M. Fresh Agricultural Products Supply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Chain Model Innovation and Collaborative Mechanism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Context of Internet [J]. Journal of Hebei Agricultural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University (Social Science Edition),2020,22(01):50-54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Dong, D. H. and Y. Yang. 2008. Theoretic analysis of perceived value by consumers under Internet environment. Chin. J. Manag. 5(6):856–861.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Fishbein, M. and I. Ajzen. 1975. Belief, Attitude, Intention and Behaviour: An Introduction to Theory and Research. Addison-Wesley, Reading, Massachusetts.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Hammarberg, K., Kirkman, M., &amp; Lacey, S. D. (2016). Qualitative research methods: when to use them and how to judge them. Human Reproduction, 31(3), 498–501. doi: 10.1093/humrep/dev334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Hox, J.J. and Boeije, H.R. (2005) Data collection, primary versus secondary. Utrecht University: The Netherlands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Ge, M. L., L. H. Zhang, and Q. F. Huang. 2018. Study of multiple institutional logic theory and organizational ambidexterity under the background of the industry Internet: The case of Suning O2O transformation. Manag. Rev. 30(2):242-255.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Gefen, D., E. Karahanna, and D. W. Straub. 2003. Trust and TAM in online shopping: An integrated model. MIS Q. 27(1):51-90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Ghauri, P., Grønhaug, K. and Strange, R. (2020) Research methods in business studies. Cambridge University Press.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Jiang Q. Optimization Analysis of Agricultural Product Supply Chain in the Context of "Internet + " [J]. Commercial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Economics Research,2016,(15):171-173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Jiang F T, Wang J Q. Discussion on The Supply Chain Model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 Agricultural Products -- Taking The Date Industry 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Pingxian as An Example [J]. Management and Technology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Small and Medium-sized Enterprises (The ten-day issue),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2012,(11):212-213.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Jinjun Feng, Juan Gu. </w:t>
      </w:r>
      <w:r>
        <w:rPr>
          <w:rFonts w:hint="eastAsia" w:ascii="Times New Roman" w:hAnsi="Times New Roman" w:cs="Times New Roman"/>
          <w:sz w:val="24"/>
          <w:szCs w:val="24"/>
          <w:lang w:val="en-US" w:eastAsia="zh-CN"/>
        </w:rPr>
        <w:t xml:space="preserve">(2013) </w:t>
      </w:r>
      <w:r>
        <w:rPr>
          <w:rFonts w:hint="default" w:ascii="Times New Roman" w:hAnsi="Times New Roman" w:cs="Times New Roman"/>
          <w:sz w:val="24"/>
          <w:szCs w:val="24"/>
          <w:lang w:val="en-US" w:eastAsia="zh-CN"/>
        </w:rPr>
        <w:t>An empirical survey of affecting factors for service industry's customer satisfaction. Journal of Statistics and Decision, 2013, 18 (6)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Kamukama, N., Ahiauzu.A. &amp; Ntayi, J.M. (2011). Compet itive advantage: mediator of intellectual capital and performance. Journal of Intellectual Capital, 12 (1) 152-164.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Koufaris, M. and W. Hampton-Sosa.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2004</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The development of initial trust in an online company by new customers. Inform. Manag. 41(3):377–397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Laforet, S. and X. Li</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2005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Consumers’ attitudes towards online and mobile banking in China. Int. J. Bank Mark. 23(5):362–380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Wen Li, Huiqi Song,Yaxiang Pan, Qingqing Luo, Yongqiang Luo（2020）Consumer satisfaction evaluation of fresh agricultural products under o2o mode Chinese Journal of Agriculture Resources and Regional Planning Vol 41, No. I, p 129-137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Lin, J. B., Y. W. Lu, and J. L. Zhang. 2009. An empirical study on consumers’ trust of mobile stock based on TAM theory. J. Manag. Sci.22(5):61–71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Liu, X. and K. K. Wei. 2003. An empirical study of product differences in consumers' E-commerce adoption behavior. Electron. Commer. Res. Appl. 2(3):229-239.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Lu, Y. B., T. Zhou, and B. Wang. 2009. Exploring Chinese users’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acceptance of instant messaging using the theory of planned behavior,</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 technology acceptance model, and the flow theory. Comput. Hum.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Behav. 25(1):29–39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O'Cass, A. and T. Fenech. 2003. Web retailing adoption: Exploring the nature of Internet users Web retailing behavior. J. Retail. Consum. Serv. 10:81-94.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Pan, H. L., H. H. He, and S. Wang. 2014. Exploration of O2O mode in the retail industry. Appl. Mech. Mater.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Patton, M. A. and A. Jsang. 2004. Technologies for trust in electroniccommerce. Electron. Commer. Res. 4(1):9–21.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Perea y Monsuwe, T., B. G. C. Dellaert, and K. De Ruyter. 2004. What drives consumers to shop online? A literature review. Int. J. Serv. Ind. Manag. 15(1):102-121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Ranganathan, C. and S. Ganapathy. 2002. Key dimensions of businessto-consumer web sites. Inform. Manag., 39(6):457–465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Rampell, A. 2010. Why online2offline commerce is a trillion dollar opportunity. TechCrunchpost.Available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"https://techcrunch.com/2010/08/07/why-online2offline-commerce-is-a-trillion-dollar-opportunity/."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https://techcrunch.com/2010/08/07/why-online2offline-commerce-is-a-trillion-dollar-opportunity/.</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at 20</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April 2021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Riquelme, I. P. and S. Roma´n. 2014. Is the influence of privacy and security on online trust the same for all type of consumers? Electron. Mark. 24(2):135–149.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Roca, J. C., J. J. Garc´ıa, and J. J. De La Vega. 2009. The importance of perceived trust, security and privacy in online trading systems. Inform. Manag. Comput. Secur. 17(2):96–113.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Rotter, J. B. 1971. Generalized expectancies for interpersonal trust. Am. Psychol. 26(5):443–452.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Roy, A. and S.T.C. Tai. 2003. Store environment and shopping behavior. J. Int. Consum. Mark. 15(3):71–99.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Saunders, M., Lewis, P. and Thornhill, A. (2009) Research methods for business students. England: Pearson Education Limited.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Sipahi, G. A. and O. G. D. Enginoglu. 2015. Retail planning studies: An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application oriented at consumers’ perceptıon of the quality of retail</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environment. Procedia Soc. Behav. Sci. 177:481–490.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Shen Q, Zhang J, Hou Y, et al. Quality Control of the Agricultural Products Supply Chain based on“Internet +”[J]. Information Processing in Agriculture, 2018, 5(3): 394-400.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Taylor, S. and P. A. Todd. 1995. Understanding information technology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usage: A test of competing models. Inform. Syst. Res. 6(2):144–176.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rPr>
        <w:t xml:space="preserve">Tu Q, Vonderembse M A, Ragu-Nathan T S, et al. </w:t>
      </w:r>
      <w:r>
        <w:rPr>
          <w:rFonts w:hint="eastAsia" w:ascii="Times New Roman" w:hAnsi="Times New Roman" w:cs="Times New Roman"/>
          <w:sz w:val="24"/>
          <w:szCs w:val="24"/>
          <w:lang w:val="en-US" w:eastAsia="zh-CN"/>
        </w:rPr>
        <w:t xml:space="preserve">(2004) </w:t>
      </w:r>
      <w:r>
        <w:rPr>
          <w:rFonts w:hint="default" w:ascii="Times New Roman" w:hAnsi="Times New Roman" w:cs="Times New Roman"/>
          <w:sz w:val="24"/>
          <w:szCs w:val="24"/>
        </w:rPr>
        <w:t>Measuring modularity-based manufacturing practices and their impact on mass customization capability: A customer-driven perspective [J]. Decision Sciences, 2004, 35(2): 147-168</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Turley, L.W. and R. E. Milliman. 2000. Atmospheric effects on shopping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behavior: A review of the experimental evidence. J. Bus. Res.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49(2):193–211.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Venkatesh, V. and F. D. Davis. 2000. A theoretical extension of the technology acceptance model: Four longitudinal field studies. Manag. Sci. 46(2):186-204.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Wang, C. and J. Liu. 2012. Consumer’s network channel decisionmaking for shopping-basing on perceived value. J. Beijing Inst. Tech.</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14(3):62–68.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Weihua Gan, Tingting Zhang, Yuwei Zhu</w:t>
      </w:r>
      <w:r>
        <w:rPr>
          <w:rFonts w:hint="eastAsia" w:ascii="Times New Roman" w:hAnsi="Times New Roman" w:cs="Times New Roman"/>
          <w:sz w:val="24"/>
          <w:szCs w:val="24"/>
          <w:lang w:val="en-US" w:eastAsia="zh-CN"/>
        </w:rPr>
        <w:t xml:space="preserve"> 2011</w:t>
      </w:r>
      <w:r>
        <w:rPr>
          <w:rFonts w:hint="default" w:ascii="Times New Roman" w:hAnsi="Times New Roman" w:cs="Times New Roman"/>
          <w:sz w:val="24"/>
          <w:szCs w:val="24"/>
        </w:rPr>
        <w:t xml:space="preserve"> On Countermeasures of Promoting Agricultural Products’ E–Commercein China [J]. IFIP Advances in Information and Communication Technology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Wu, H. G. 2013. Study on the influence of entity shop’s image on online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shopping behavior. Wuhan University of China.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Xiao W J. The Impact of the Outbreak on the Circulation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Fresh Agricultural Products and Its Countermeasures from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 Perspective of Risk Society [J].Economics and Manage‐ment Review,2020,36(04):25-33.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widowControl/>
        <w:suppressLineNumbers w:val="0"/>
        <w:jc w:val="left"/>
      </w:pPr>
      <w:r>
        <w:rPr>
          <w:rFonts w:hint="default" w:ascii="Times New Roman" w:hAnsi="Times New Roman" w:eastAsia="宋体" w:cs="Times New Roman"/>
          <w:color w:val="000000"/>
          <w:kern w:val="0"/>
          <w:sz w:val="24"/>
          <w:szCs w:val="24"/>
          <w:lang w:val="en-US" w:eastAsia="zh-CN" w:bidi="ar"/>
        </w:rPr>
        <w:t xml:space="preserve">Yu J S, Gonzalez-Zugasti J P, Otto K N. </w:t>
      </w:r>
      <w:r>
        <w:rPr>
          <w:rFonts w:hint="eastAsia" w:ascii="Times New Roman" w:hAnsi="Times New Roman" w:eastAsia="宋体" w:cs="Times New Roman"/>
          <w:color w:val="000000"/>
          <w:kern w:val="0"/>
          <w:sz w:val="24"/>
          <w:szCs w:val="24"/>
          <w:lang w:val="en-US" w:eastAsia="zh-CN" w:bidi="ar"/>
        </w:rPr>
        <w:t xml:space="preserve">(2009) </w:t>
      </w:r>
      <w:r>
        <w:rPr>
          <w:rFonts w:hint="default" w:ascii="Times New Roman" w:hAnsi="Times New Roman" w:eastAsia="宋体" w:cs="Times New Roman"/>
          <w:color w:val="000000"/>
          <w:kern w:val="0"/>
          <w:sz w:val="24"/>
          <w:szCs w:val="24"/>
          <w:lang w:val="en-US" w:eastAsia="zh-CN" w:bidi="ar"/>
        </w:rPr>
        <w:t>Product architecture definition based upon customer demands [J]. ASME journal of Mechanical Design, 2009, 121 (3): 329-335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Yi, S. H. 2016. O2O value innovation from the perspective of value chain. China Bus. Mark. 30(9):85-91.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Zeithaml, V. A. 1988. Consumer perceptions of price, quality, and value: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 means-end model and synthesis of evidence. J. Mark. 52(3):2–22.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Zhang, X. X. and L. J. Hu. 2017. Researching the formation mechanism of O2O closed-loop: A trust transfer perspective. Bus. Manag. J. 39(10):62-81.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Zhang, H. and Y. W. Jiang. 2016. Empirical analysis on the influencing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factors of consumer online shopping behavior decision-making based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on revised TAM model. J. Comm. Econ. 14:36–38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Zhai, X. and T. Xue. 2014. Social Trust: Theories and their Practices.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Renmin University of China, Beijing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8"/>
          <w:szCs w:val="28"/>
          <w:lang w:val="en-US" w:eastAsia="zh-CN"/>
        </w:rPr>
      </w:pPr>
      <w:bookmarkStart w:id="26" w:name="_GoBack"/>
      <w:bookmarkEnd w:id="26"/>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bookmarkEnd w:id="9"/>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swiss"/>
    <w:pitch w:val="variable"/>
    <w:sig w:usb0="80000287" w:usb1="2ACF3C50" w:usb2="00000016" w:usb3="00000000" w:csb0="0004001F" w:csb1="00000000"/>
  </w:font>
  <w:font w:name="MingLiU">
    <w:altName w:val="PMingLiU-ExtB"/>
    <w:panose1 w:val="02010609000101010101"/>
    <w:charset w:val="88"/>
    <w:family w:val="modern"/>
    <w:pitch w:val="default"/>
    <w:sig w:usb0="00000000" w:usb1="00000000" w:usb2="00000000" w:usb3="00000000" w:csb0="00100000" w:csb1="00000000"/>
  </w:font>
  <w:font w:name="PMingLiU-ExtB">
    <w:panose1 w:val="02020500000000000000"/>
    <w:charset w:val="88"/>
    <w:family w:val="auto"/>
    <w:pitch w:val="default"/>
    <w:sig w:usb0="8000002F" w:usb1="02000008" w:usb2="00000000" w:usb3="00000000" w:csb0="00100001"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448D125"/>
    <w:multiLevelType w:val="singleLevel"/>
    <w:tmpl w:val="8448D125"/>
    <w:lvl w:ilvl="0" w:tentative="0">
      <w:start w:val="2"/>
      <w:numFmt w:val="decimal"/>
      <w:suff w:val="space"/>
      <w:lvlText w:val="(%1)"/>
      <w:lvlJc w:val="left"/>
    </w:lvl>
  </w:abstractNum>
  <w:abstractNum w:abstractNumId="1">
    <w:nsid w:val="8BF063B5"/>
    <w:multiLevelType w:val="singleLevel"/>
    <w:tmpl w:val="8BF063B5"/>
    <w:lvl w:ilvl="0" w:tentative="0">
      <w:start w:val="1"/>
      <w:numFmt w:val="decimal"/>
      <w:suff w:val="space"/>
      <w:lvlText w:val="(%1)"/>
      <w:lvlJc w:val="left"/>
    </w:lvl>
  </w:abstractNum>
  <w:abstractNum w:abstractNumId="2">
    <w:nsid w:val="943504A7"/>
    <w:multiLevelType w:val="multilevel"/>
    <w:tmpl w:val="943504A7"/>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9F37D026"/>
    <w:multiLevelType w:val="singleLevel"/>
    <w:tmpl w:val="9F37D026"/>
    <w:lvl w:ilvl="0" w:tentative="0">
      <w:start w:val="1"/>
      <w:numFmt w:val="decimal"/>
      <w:suff w:val="space"/>
      <w:lvlText w:val="(%1)"/>
      <w:lvlJc w:val="left"/>
    </w:lvl>
  </w:abstractNum>
  <w:abstractNum w:abstractNumId="4">
    <w:nsid w:val="A241646A"/>
    <w:multiLevelType w:val="multilevel"/>
    <w:tmpl w:val="A241646A"/>
    <w:lvl w:ilvl="0" w:tentative="0">
      <w:start w:val="2"/>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5">
    <w:nsid w:val="AA05A58D"/>
    <w:multiLevelType w:val="multilevel"/>
    <w:tmpl w:val="AA05A58D"/>
    <w:lvl w:ilvl="0" w:tentative="0">
      <w:start w:val="5"/>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6">
    <w:nsid w:val="BE15F4C8"/>
    <w:multiLevelType w:val="singleLevel"/>
    <w:tmpl w:val="BE15F4C8"/>
    <w:lvl w:ilvl="0" w:tentative="0">
      <w:start w:val="1"/>
      <w:numFmt w:val="decimal"/>
      <w:suff w:val="space"/>
      <w:lvlText w:val="%1."/>
      <w:lvlJc w:val="left"/>
    </w:lvl>
  </w:abstractNum>
  <w:abstractNum w:abstractNumId="7">
    <w:nsid w:val="C022F060"/>
    <w:multiLevelType w:val="singleLevel"/>
    <w:tmpl w:val="C022F060"/>
    <w:lvl w:ilvl="0" w:tentative="0">
      <w:start w:val="1"/>
      <w:numFmt w:val="decimal"/>
      <w:suff w:val="space"/>
      <w:lvlText w:val="(%1)"/>
      <w:lvlJc w:val="left"/>
    </w:lvl>
  </w:abstractNum>
  <w:abstractNum w:abstractNumId="8">
    <w:nsid w:val="D2F280F7"/>
    <w:multiLevelType w:val="singleLevel"/>
    <w:tmpl w:val="D2F280F7"/>
    <w:lvl w:ilvl="0" w:tentative="0">
      <w:start w:val="1"/>
      <w:numFmt w:val="decimal"/>
      <w:suff w:val="space"/>
      <w:lvlText w:val="(%1)"/>
      <w:lvlJc w:val="left"/>
    </w:lvl>
  </w:abstractNum>
  <w:abstractNum w:abstractNumId="9">
    <w:nsid w:val="E961F4D1"/>
    <w:multiLevelType w:val="singleLevel"/>
    <w:tmpl w:val="E961F4D1"/>
    <w:lvl w:ilvl="0" w:tentative="0">
      <w:start w:val="1"/>
      <w:numFmt w:val="decimal"/>
      <w:suff w:val="space"/>
      <w:lvlText w:val="(%1)"/>
      <w:lvlJc w:val="left"/>
    </w:lvl>
  </w:abstractNum>
  <w:abstractNum w:abstractNumId="10">
    <w:nsid w:val="ED1133A8"/>
    <w:multiLevelType w:val="singleLevel"/>
    <w:tmpl w:val="ED1133A8"/>
    <w:lvl w:ilvl="0" w:tentative="0">
      <w:start w:val="1"/>
      <w:numFmt w:val="decimal"/>
      <w:suff w:val="space"/>
      <w:lvlText w:val="(%1)"/>
      <w:lvlJc w:val="left"/>
    </w:lvl>
  </w:abstractNum>
  <w:abstractNum w:abstractNumId="11">
    <w:nsid w:val="23301A19"/>
    <w:multiLevelType w:val="singleLevel"/>
    <w:tmpl w:val="23301A19"/>
    <w:lvl w:ilvl="0" w:tentative="0">
      <w:start w:val="1"/>
      <w:numFmt w:val="decimal"/>
      <w:suff w:val="space"/>
      <w:lvlText w:val="(%1)"/>
      <w:lvlJc w:val="left"/>
    </w:lvl>
  </w:abstractNum>
  <w:abstractNum w:abstractNumId="12">
    <w:nsid w:val="4760482F"/>
    <w:multiLevelType w:val="singleLevel"/>
    <w:tmpl w:val="4760482F"/>
    <w:lvl w:ilvl="0" w:tentative="0">
      <w:start w:val="1"/>
      <w:numFmt w:val="lowerLetter"/>
      <w:suff w:val="space"/>
      <w:lvlText w:val="%1."/>
      <w:lvlJc w:val="left"/>
    </w:lvl>
  </w:abstractNum>
  <w:abstractNum w:abstractNumId="13">
    <w:nsid w:val="4CACDB61"/>
    <w:multiLevelType w:val="singleLevel"/>
    <w:tmpl w:val="4CACDB61"/>
    <w:lvl w:ilvl="0" w:tentative="0">
      <w:start w:val="6"/>
      <w:numFmt w:val="upperLetter"/>
      <w:suff w:val="nothing"/>
      <w:lvlText w:val="%1-"/>
      <w:lvlJc w:val="left"/>
    </w:lvl>
  </w:abstractNum>
  <w:abstractNum w:abstractNumId="14">
    <w:nsid w:val="5021B681"/>
    <w:multiLevelType w:val="singleLevel"/>
    <w:tmpl w:val="5021B681"/>
    <w:lvl w:ilvl="0" w:tentative="0">
      <w:start w:val="2"/>
      <w:numFmt w:val="decimal"/>
      <w:suff w:val="space"/>
      <w:lvlText w:val="(%1)"/>
      <w:lvlJc w:val="left"/>
    </w:lvl>
  </w:abstractNum>
  <w:num w:numId="1">
    <w:abstractNumId w:val="2"/>
  </w:num>
  <w:num w:numId="2">
    <w:abstractNumId w:val="4"/>
  </w:num>
  <w:num w:numId="3">
    <w:abstractNumId w:val="14"/>
  </w:num>
  <w:num w:numId="4">
    <w:abstractNumId w:val="3"/>
  </w:num>
  <w:num w:numId="5">
    <w:abstractNumId w:val="9"/>
  </w:num>
  <w:num w:numId="6">
    <w:abstractNumId w:val="0"/>
  </w:num>
  <w:num w:numId="7">
    <w:abstractNumId w:val="11"/>
  </w:num>
  <w:num w:numId="8">
    <w:abstractNumId w:val="1"/>
  </w:num>
  <w:num w:numId="9">
    <w:abstractNumId w:val="8"/>
  </w:num>
  <w:num w:numId="10">
    <w:abstractNumId w:val="13"/>
  </w:num>
  <w:num w:numId="11">
    <w:abstractNumId w:val="10"/>
  </w:num>
  <w:num w:numId="12">
    <w:abstractNumId w:val="7"/>
  </w:num>
  <w:num w:numId="13">
    <w:abstractNumId w:val="5"/>
  </w:num>
  <w:num w:numId="14">
    <w:abstractNumId w:val="6"/>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73D39D4"/>
    <w:rsid w:val="002534B0"/>
    <w:rsid w:val="003A06DB"/>
    <w:rsid w:val="00A278A7"/>
    <w:rsid w:val="010A27FD"/>
    <w:rsid w:val="01147B86"/>
    <w:rsid w:val="015F3E53"/>
    <w:rsid w:val="024675C8"/>
    <w:rsid w:val="027402A6"/>
    <w:rsid w:val="027A0181"/>
    <w:rsid w:val="02D17455"/>
    <w:rsid w:val="04304BAB"/>
    <w:rsid w:val="047B00EE"/>
    <w:rsid w:val="059358B4"/>
    <w:rsid w:val="05B971FB"/>
    <w:rsid w:val="05DE137A"/>
    <w:rsid w:val="06811834"/>
    <w:rsid w:val="069805BC"/>
    <w:rsid w:val="076059F2"/>
    <w:rsid w:val="0762327A"/>
    <w:rsid w:val="07F345A3"/>
    <w:rsid w:val="08D274FA"/>
    <w:rsid w:val="09491D8C"/>
    <w:rsid w:val="099D64E6"/>
    <w:rsid w:val="09D3485A"/>
    <w:rsid w:val="0A1477FF"/>
    <w:rsid w:val="0A376A28"/>
    <w:rsid w:val="0ABA7E92"/>
    <w:rsid w:val="0ACC0A83"/>
    <w:rsid w:val="0B535E7B"/>
    <w:rsid w:val="0B604068"/>
    <w:rsid w:val="0C7A356C"/>
    <w:rsid w:val="0CDF1D26"/>
    <w:rsid w:val="0D0A3A37"/>
    <w:rsid w:val="0D392952"/>
    <w:rsid w:val="0D456E90"/>
    <w:rsid w:val="0F4C1AE4"/>
    <w:rsid w:val="0FBB607C"/>
    <w:rsid w:val="103C5FAD"/>
    <w:rsid w:val="10547F43"/>
    <w:rsid w:val="105A4375"/>
    <w:rsid w:val="106D42FF"/>
    <w:rsid w:val="10DF637B"/>
    <w:rsid w:val="11264D6B"/>
    <w:rsid w:val="131923A0"/>
    <w:rsid w:val="13E103DF"/>
    <w:rsid w:val="14943F24"/>
    <w:rsid w:val="149C5A10"/>
    <w:rsid w:val="149F3780"/>
    <w:rsid w:val="14B550C7"/>
    <w:rsid w:val="15487058"/>
    <w:rsid w:val="15D637E2"/>
    <w:rsid w:val="15F82005"/>
    <w:rsid w:val="15FD2483"/>
    <w:rsid w:val="16644F66"/>
    <w:rsid w:val="16E617CB"/>
    <w:rsid w:val="172351F4"/>
    <w:rsid w:val="17503E5B"/>
    <w:rsid w:val="17830AE6"/>
    <w:rsid w:val="17973CD5"/>
    <w:rsid w:val="18E819D2"/>
    <w:rsid w:val="191643BC"/>
    <w:rsid w:val="19207320"/>
    <w:rsid w:val="199A70AF"/>
    <w:rsid w:val="1B2F6B4C"/>
    <w:rsid w:val="1BA4301B"/>
    <w:rsid w:val="1BF04B15"/>
    <w:rsid w:val="1C0D3D07"/>
    <w:rsid w:val="1C0E2AA0"/>
    <w:rsid w:val="1C954674"/>
    <w:rsid w:val="1D090316"/>
    <w:rsid w:val="1D18245D"/>
    <w:rsid w:val="1D1C4216"/>
    <w:rsid w:val="1DF209FA"/>
    <w:rsid w:val="1F0F7AD8"/>
    <w:rsid w:val="1F271E14"/>
    <w:rsid w:val="1F6C52FE"/>
    <w:rsid w:val="1F9A4EB2"/>
    <w:rsid w:val="1FCF15AE"/>
    <w:rsid w:val="200979C3"/>
    <w:rsid w:val="202C4CA9"/>
    <w:rsid w:val="2099745F"/>
    <w:rsid w:val="21492D87"/>
    <w:rsid w:val="2164794B"/>
    <w:rsid w:val="21BB0C09"/>
    <w:rsid w:val="22616D23"/>
    <w:rsid w:val="22775AFB"/>
    <w:rsid w:val="228D3A6C"/>
    <w:rsid w:val="22C36F2E"/>
    <w:rsid w:val="22C40763"/>
    <w:rsid w:val="22DC158D"/>
    <w:rsid w:val="230E3F55"/>
    <w:rsid w:val="23F80484"/>
    <w:rsid w:val="248033EF"/>
    <w:rsid w:val="254253B6"/>
    <w:rsid w:val="256F6B05"/>
    <w:rsid w:val="25752384"/>
    <w:rsid w:val="25DB0420"/>
    <w:rsid w:val="26EF59FC"/>
    <w:rsid w:val="273D39D4"/>
    <w:rsid w:val="27637072"/>
    <w:rsid w:val="27B93435"/>
    <w:rsid w:val="27D85530"/>
    <w:rsid w:val="281518AC"/>
    <w:rsid w:val="2849418A"/>
    <w:rsid w:val="288E3FDD"/>
    <w:rsid w:val="291B5B16"/>
    <w:rsid w:val="29E964F7"/>
    <w:rsid w:val="2A44196C"/>
    <w:rsid w:val="2A463D6B"/>
    <w:rsid w:val="2B0074FC"/>
    <w:rsid w:val="2B8211AF"/>
    <w:rsid w:val="2BB55FCC"/>
    <w:rsid w:val="2C803B64"/>
    <w:rsid w:val="2CC268B2"/>
    <w:rsid w:val="2CF01349"/>
    <w:rsid w:val="2D106805"/>
    <w:rsid w:val="2DD608ED"/>
    <w:rsid w:val="2EFE780C"/>
    <w:rsid w:val="2FDF0D8A"/>
    <w:rsid w:val="2FED4768"/>
    <w:rsid w:val="2FFD5864"/>
    <w:rsid w:val="32964FAD"/>
    <w:rsid w:val="32FF1554"/>
    <w:rsid w:val="331A735D"/>
    <w:rsid w:val="345B55FF"/>
    <w:rsid w:val="348A7362"/>
    <w:rsid w:val="34B6299C"/>
    <w:rsid w:val="354B685A"/>
    <w:rsid w:val="35B47106"/>
    <w:rsid w:val="35C4165D"/>
    <w:rsid w:val="35FC5AC0"/>
    <w:rsid w:val="36654CDA"/>
    <w:rsid w:val="370F23AE"/>
    <w:rsid w:val="38D444FA"/>
    <w:rsid w:val="394E5BE0"/>
    <w:rsid w:val="39EE0990"/>
    <w:rsid w:val="3AE83BEE"/>
    <w:rsid w:val="3B8E1045"/>
    <w:rsid w:val="3B9D6592"/>
    <w:rsid w:val="3BAA65F3"/>
    <w:rsid w:val="3BF120A4"/>
    <w:rsid w:val="3C533604"/>
    <w:rsid w:val="3C5A273A"/>
    <w:rsid w:val="3D04479D"/>
    <w:rsid w:val="3D085382"/>
    <w:rsid w:val="3D1F6B78"/>
    <w:rsid w:val="3E4F5A1F"/>
    <w:rsid w:val="3F6F78F3"/>
    <w:rsid w:val="3FB56580"/>
    <w:rsid w:val="40292744"/>
    <w:rsid w:val="406A1286"/>
    <w:rsid w:val="40F21F84"/>
    <w:rsid w:val="412972C0"/>
    <w:rsid w:val="419D4420"/>
    <w:rsid w:val="41B0158A"/>
    <w:rsid w:val="41FB7FA0"/>
    <w:rsid w:val="421E3E89"/>
    <w:rsid w:val="42253528"/>
    <w:rsid w:val="439E361B"/>
    <w:rsid w:val="43C36982"/>
    <w:rsid w:val="43DA5DA6"/>
    <w:rsid w:val="43ED3FCF"/>
    <w:rsid w:val="44320F8F"/>
    <w:rsid w:val="44C26777"/>
    <w:rsid w:val="44D14269"/>
    <w:rsid w:val="457E6A4B"/>
    <w:rsid w:val="45A44426"/>
    <w:rsid w:val="45B12D70"/>
    <w:rsid w:val="46564E45"/>
    <w:rsid w:val="475940A4"/>
    <w:rsid w:val="47B16A19"/>
    <w:rsid w:val="488F0406"/>
    <w:rsid w:val="48B11AA9"/>
    <w:rsid w:val="491D530E"/>
    <w:rsid w:val="499D5975"/>
    <w:rsid w:val="4A0D0035"/>
    <w:rsid w:val="4A0E7A8D"/>
    <w:rsid w:val="4A3E50B1"/>
    <w:rsid w:val="4B660C5D"/>
    <w:rsid w:val="4BE247C9"/>
    <w:rsid w:val="4C02430D"/>
    <w:rsid w:val="4C6D79CC"/>
    <w:rsid w:val="4CA91EDE"/>
    <w:rsid w:val="4CC308B4"/>
    <w:rsid w:val="4CF243D2"/>
    <w:rsid w:val="4DEA1850"/>
    <w:rsid w:val="4E4547B2"/>
    <w:rsid w:val="4E543108"/>
    <w:rsid w:val="4EAE176B"/>
    <w:rsid w:val="4F2B3CBD"/>
    <w:rsid w:val="4F4A6496"/>
    <w:rsid w:val="50562024"/>
    <w:rsid w:val="505934CB"/>
    <w:rsid w:val="51007F5F"/>
    <w:rsid w:val="51621C47"/>
    <w:rsid w:val="516C08A1"/>
    <w:rsid w:val="51AA6BF1"/>
    <w:rsid w:val="51B35CA7"/>
    <w:rsid w:val="51E549FE"/>
    <w:rsid w:val="52642134"/>
    <w:rsid w:val="528647A5"/>
    <w:rsid w:val="53410AA7"/>
    <w:rsid w:val="5357643D"/>
    <w:rsid w:val="53CE068E"/>
    <w:rsid w:val="5487193A"/>
    <w:rsid w:val="548D6323"/>
    <w:rsid w:val="56425F19"/>
    <w:rsid w:val="576903D8"/>
    <w:rsid w:val="588321CA"/>
    <w:rsid w:val="58A16A72"/>
    <w:rsid w:val="58E60BFE"/>
    <w:rsid w:val="5935357F"/>
    <w:rsid w:val="59394DA6"/>
    <w:rsid w:val="5A077F08"/>
    <w:rsid w:val="5A6D4307"/>
    <w:rsid w:val="5A964AE0"/>
    <w:rsid w:val="5B0876A5"/>
    <w:rsid w:val="5B8F6BE6"/>
    <w:rsid w:val="5BA6327B"/>
    <w:rsid w:val="5BB65526"/>
    <w:rsid w:val="5BDF5B09"/>
    <w:rsid w:val="5C6F0778"/>
    <w:rsid w:val="5C700E97"/>
    <w:rsid w:val="5C771B64"/>
    <w:rsid w:val="5CA5508C"/>
    <w:rsid w:val="5CAA257A"/>
    <w:rsid w:val="5CD504F8"/>
    <w:rsid w:val="5D9B2A3D"/>
    <w:rsid w:val="5DB06B66"/>
    <w:rsid w:val="5DE0547B"/>
    <w:rsid w:val="5ED00B3B"/>
    <w:rsid w:val="5ED614C6"/>
    <w:rsid w:val="5F6F4F4D"/>
    <w:rsid w:val="5F753044"/>
    <w:rsid w:val="5FBB7540"/>
    <w:rsid w:val="5FCA00A1"/>
    <w:rsid w:val="60733FA4"/>
    <w:rsid w:val="609F32A5"/>
    <w:rsid w:val="6118583D"/>
    <w:rsid w:val="629F39E2"/>
    <w:rsid w:val="634C0DBE"/>
    <w:rsid w:val="637D113D"/>
    <w:rsid w:val="63E44F36"/>
    <w:rsid w:val="64080C08"/>
    <w:rsid w:val="643D48E6"/>
    <w:rsid w:val="64994804"/>
    <w:rsid w:val="64E21E0A"/>
    <w:rsid w:val="651C52DD"/>
    <w:rsid w:val="65756C72"/>
    <w:rsid w:val="65AE4449"/>
    <w:rsid w:val="65BE5BED"/>
    <w:rsid w:val="66837271"/>
    <w:rsid w:val="67466D1F"/>
    <w:rsid w:val="67672736"/>
    <w:rsid w:val="67EB1236"/>
    <w:rsid w:val="68453BF6"/>
    <w:rsid w:val="689878D2"/>
    <w:rsid w:val="68AC6186"/>
    <w:rsid w:val="68ED5871"/>
    <w:rsid w:val="69357A96"/>
    <w:rsid w:val="69BF3BA7"/>
    <w:rsid w:val="6A1F188B"/>
    <w:rsid w:val="6B1C4DE6"/>
    <w:rsid w:val="6BC14CC8"/>
    <w:rsid w:val="6C250E83"/>
    <w:rsid w:val="6C8F783A"/>
    <w:rsid w:val="6D054C3C"/>
    <w:rsid w:val="6D2B4D2D"/>
    <w:rsid w:val="6D3D77C3"/>
    <w:rsid w:val="6D6E33AC"/>
    <w:rsid w:val="6DDD26D4"/>
    <w:rsid w:val="6E6D7BCC"/>
    <w:rsid w:val="6EA86896"/>
    <w:rsid w:val="6EEC2092"/>
    <w:rsid w:val="6F3550F5"/>
    <w:rsid w:val="6F5E148F"/>
    <w:rsid w:val="6FEB736F"/>
    <w:rsid w:val="705607CC"/>
    <w:rsid w:val="70A7795D"/>
    <w:rsid w:val="71505625"/>
    <w:rsid w:val="71B72887"/>
    <w:rsid w:val="72347B4B"/>
    <w:rsid w:val="72B517A5"/>
    <w:rsid w:val="73387574"/>
    <w:rsid w:val="73804504"/>
    <w:rsid w:val="74CB7464"/>
    <w:rsid w:val="75696972"/>
    <w:rsid w:val="75BE229E"/>
    <w:rsid w:val="75DC47A4"/>
    <w:rsid w:val="75DE381B"/>
    <w:rsid w:val="76161EC5"/>
    <w:rsid w:val="76361019"/>
    <w:rsid w:val="763F5FD5"/>
    <w:rsid w:val="767B268B"/>
    <w:rsid w:val="76906D99"/>
    <w:rsid w:val="76B927D8"/>
    <w:rsid w:val="76D13735"/>
    <w:rsid w:val="773B4282"/>
    <w:rsid w:val="77974417"/>
    <w:rsid w:val="77D30842"/>
    <w:rsid w:val="77F72FFC"/>
    <w:rsid w:val="787F5D09"/>
    <w:rsid w:val="79945C90"/>
    <w:rsid w:val="79F256E0"/>
    <w:rsid w:val="7A366CE3"/>
    <w:rsid w:val="7AFF38E3"/>
    <w:rsid w:val="7B1B7D53"/>
    <w:rsid w:val="7C8B48BB"/>
    <w:rsid w:val="7CA66A67"/>
    <w:rsid w:val="7D8966EC"/>
    <w:rsid w:val="7FB9336C"/>
    <w:rsid w:val="7FBA6706"/>
    <w:rsid w:val="7FD60F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9" w:semiHidden="0" w:name="heading 3"/>
    <w:lsdException w:qFormat="1" w:uiPriority="9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qFormat="1" w:uiPriority="39"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iPriority="99"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9"/>
    <w:pPr>
      <w:keepNext/>
      <w:keepLines/>
      <w:spacing w:before="40"/>
      <w:outlineLvl w:val="2"/>
    </w:pPr>
    <w:rPr>
      <w:rFonts w:asciiTheme="majorHAnsi" w:hAnsiTheme="majorHAnsi" w:eastAsiaTheme="majorEastAsia" w:cstheme="majorBidi"/>
      <w:color w:val="1F4E79" w:themeColor="accent1" w:themeShade="80"/>
    </w:rPr>
  </w:style>
  <w:style w:type="paragraph" w:styleId="5">
    <w:name w:val="heading 4"/>
    <w:basedOn w:val="6"/>
    <w:next w:val="1"/>
    <w:unhideWhenUsed/>
    <w:qFormat/>
    <w:uiPriority w:val="99"/>
    <w:pPr>
      <w:keepNext/>
      <w:keepLines/>
      <w:spacing w:before="40"/>
      <w:outlineLvl w:val="3"/>
    </w:pPr>
    <w:rPr>
      <w:rFonts w:asciiTheme="majorHAnsi" w:hAnsiTheme="majorHAnsi" w:eastAsiaTheme="majorEastAsia" w:cstheme="majorBidi"/>
      <w:i/>
      <w:iCs/>
      <w:color w:val="2E75B6" w:themeColor="accent1" w:themeShade="BF"/>
    </w:rPr>
  </w:style>
  <w:style w:type="character" w:default="1" w:styleId="11">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6">
    <w:name w:val="toc 4"/>
    <w:basedOn w:val="1"/>
    <w:next w:val="1"/>
    <w:unhideWhenUsed/>
    <w:qFormat/>
    <w:uiPriority w:val="39"/>
    <w:pPr>
      <w:ind w:left="720"/>
    </w:pPr>
    <w:rPr>
      <w:rFonts w:asciiTheme="minorHAnsi" w:hAnsiTheme="minorHAnsi" w:cstheme="minorHAnsi"/>
      <w:sz w:val="20"/>
      <w:szCs w:val="20"/>
    </w:rPr>
  </w:style>
  <w:style w:type="paragraph" w:styleId="7">
    <w:name w:val="caption"/>
    <w:basedOn w:val="1"/>
    <w:next w:val="1"/>
    <w:unhideWhenUsed/>
    <w:qFormat/>
    <w:uiPriority w:val="35"/>
    <w:pPr>
      <w:spacing w:after="200"/>
    </w:pPr>
    <w:rPr>
      <w:i/>
      <w:iCs/>
    </w:rPr>
  </w:style>
  <w:style w:type="paragraph" w:styleId="8">
    <w:name w:val="footer"/>
    <w:basedOn w:val="1"/>
    <w:semiHidden/>
    <w:unhideWhenUsed/>
    <w:qFormat/>
    <w:uiPriority w:val="99"/>
    <w:pPr>
      <w:tabs>
        <w:tab w:val="center" w:pos="4153"/>
        <w:tab w:val="right" w:pos="8306"/>
      </w:tabs>
      <w:snapToGrid w:val="0"/>
      <w:jc w:val="left"/>
    </w:pPr>
    <w:rPr>
      <w:sz w:val="18"/>
    </w:rPr>
  </w:style>
  <w:style w:type="table" w:styleId="10">
    <w:name w:val="Table Grid"/>
    <w:basedOn w:val="9"/>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Hyperlink"/>
    <w:basedOn w:val="11"/>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chart" Target="charts/chart6.xml"/><Relationship Id="rId8" Type="http://schemas.openxmlformats.org/officeDocument/2006/relationships/chart" Target="charts/chart5.xml"/><Relationship Id="rId7" Type="http://schemas.openxmlformats.org/officeDocument/2006/relationships/chart" Target="charts/chart4.xml"/><Relationship Id="rId6" Type="http://schemas.openxmlformats.org/officeDocument/2006/relationships/chart" Target="charts/chart3.xml"/><Relationship Id="rId5" Type="http://schemas.openxmlformats.org/officeDocument/2006/relationships/chart" Target="charts/chart2.xml"/><Relationship Id="rId4" Type="http://schemas.openxmlformats.org/officeDocument/2006/relationships/chart" Target="charts/chart1.xml"/><Relationship Id="rId3" Type="http://schemas.openxmlformats.org/officeDocument/2006/relationships/theme" Target="theme/theme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chart" Target="charts/chart8.xml"/><Relationship Id="rId10" Type="http://schemas.openxmlformats.org/officeDocument/2006/relationships/chart" Target="charts/chart7.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4" Type="http://schemas.microsoft.com/office/2011/relationships/chartColorStyle" Target="colors6.xml"/><Relationship Id="rId3" Type="http://schemas.microsoft.com/office/2011/relationships/chartStyle" Target="style6.xml"/><Relationship Id="rId2" Type="http://schemas.openxmlformats.org/officeDocument/2006/relationships/themeOverride" Target="../theme/themeOverride4.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4" Type="http://schemas.microsoft.com/office/2011/relationships/chartColorStyle" Target="colors7.xml"/><Relationship Id="rId3" Type="http://schemas.microsoft.com/office/2011/relationships/chartStyle" Target="style7.xml"/><Relationship Id="rId2" Type="http://schemas.openxmlformats.org/officeDocument/2006/relationships/themeOverride" Target="../theme/themeOverride5.xml"/><Relationship Id="rId1" Type="http://schemas.openxmlformats.org/officeDocument/2006/relationships/oleObject" Target="&#24037;&#20316;&#31807;1" TargetMode="External"/></Relationships>
</file>

<file path=word/charts/_rels/chart3.xml.rels><?xml version="1.0" encoding="UTF-8" standalone="yes"?>
<Relationships xmlns="http://schemas.openxmlformats.org/package/2006/relationships"><Relationship Id="rId4" Type="http://schemas.microsoft.com/office/2011/relationships/chartColorStyle" Target="colors8.xml"/><Relationship Id="rId3" Type="http://schemas.microsoft.com/office/2011/relationships/chartStyle" Target="style8.xml"/><Relationship Id="rId2" Type="http://schemas.openxmlformats.org/officeDocument/2006/relationships/themeOverride" Target="../theme/themeOverride6.xml"/><Relationship Id="rId1" Type="http://schemas.openxmlformats.org/officeDocument/2006/relationships/oleObject" Target="&#24037;&#20316;&#31807;1" TargetMode="External"/></Relationships>
</file>

<file path=word/charts/_rels/chart4.xml.rels><?xml version="1.0" encoding="UTF-8" standalone="yes"?>
<Relationships xmlns="http://schemas.openxmlformats.org/package/2006/relationships"><Relationship Id="rId4" Type="http://schemas.microsoft.com/office/2011/relationships/chartColorStyle" Target="colors3.xml"/><Relationship Id="rId3" Type="http://schemas.microsoft.com/office/2011/relationships/chartStyle" Target="style3.xml"/><Relationship Id="rId2" Type="http://schemas.openxmlformats.org/officeDocument/2006/relationships/themeOverride" Target="../theme/themeOverride1.xml"/><Relationship Id="rId1" Type="http://schemas.openxmlformats.org/officeDocument/2006/relationships/oleObject" Target="&#24037;&#20316;&#31807;1"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24037;&#20316;&#31807;1" TargetMode="External"/></Relationships>
</file>

<file path=word/charts/_rels/chart6.xml.rels><?xml version="1.0" encoding="UTF-8" standalone="yes"?>
<Relationships xmlns="http://schemas.openxmlformats.org/package/2006/relationships"><Relationship Id="rId4" Type="http://schemas.microsoft.com/office/2011/relationships/chartColorStyle" Target="colors4.xml"/><Relationship Id="rId3" Type="http://schemas.microsoft.com/office/2011/relationships/chartStyle" Target="style4.xml"/><Relationship Id="rId2" Type="http://schemas.openxmlformats.org/officeDocument/2006/relationships/themeOverride" Target="../theme/themeOverride2.xml"/><Relationship Id="rId1" Type="http://schemas.openxmlformats.org/officeDocument/2006/relationships/oleObject" Target="&#24037;&#20316;&#31807;1" TargetMode="External"/></Relationships>
</file>

<file path=word/charts/_rels/chart7.xml.rels><?xml version="1.0" encoding="UTF-8" standalone="yes"?>
<Relationships xmlns="http://schemas.openxmlformats.org/package/2006/relationships"><Relationship Id="rId4" Type="http://schemas.microsoft.com/office/2011/relationships/chartColorStyle" Target="colors5.xml"/><Relationship Id="rId3" Type="http://schemas.microsoft.com/office/2011/relationships/chartStyle" Target="style5.xml"/><Relationship Id="rId2" Type="http://schemas.openxmlformats.org/officeDocument/2006/relationships/themeOverride" Target="../theme/themeOverride3.xml"/><Relationship Id="rId1" Type="http://schemas.openxmlformats.org/officeDocument/2006/relationships/oleObject" Target="&#24037;&#20316;&#31807;1" TargetMode="External"/></Relationships>
</file>

<file path=word/charts/_rels/chart8.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forceAA="0"/>
          <a:lstStyle/>
          <a:p>
            <a:pPr>
              <a:defRPr lang="zh-CN" sz="1400" b="0" i="0" u="none" strike="noStrike" kern="1200" spc="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Q7 way of shopping</a:t>
            </a:r>
            <a:endParaRPr lang="en-US" altLang="zh-CN"/>
          </a:p>
        </c:rich>
      </c:tx>
      <c:layout>
        <c:manualLayout>
          <c:xMode val="edge"/>
          <c:yMode val="edge"/>
          <c:x val="0.286646112285647"/>
          <c:y val="0.040978835978836"/>
        </c:manualLayout>
      </c:layout>
      <c:overlay val="0"/>
      <c:spPr>
        <a:noFill/>
        <a:ln>
          <a:noFill/>
        </a:ln>
        <a:effectLst/>
      </c:spPr>
    </c:title>
    <c:autoTitleDeleted val="0"/>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[工作簿1]Sheet1!$F$4</c:f>
              <c:strCache>
                <c:ptCount val="1"/>
                <c:pt idx="0">
                  <c:v>Male</c:v>
                </c:pt>
              </c:strCache>
            </c:strRef>
          </c:tx>
          <c:spPr>
            <a:solidFill>
              <a:srgbClr val="949494"/>
            </a:solidFill>
            <a:ln w="38100" cmpd="thickThin">
              <a:noFill/>
              <a:prstDash val="solid"/>
            </a:ln>
            <a:effectLst/>
          </c:spPr>
          <c:invertIfNegative val="0"/>
          <c:dLbls>
            <c:numFmt formatCode="0.00%" sourceLinked="0"/>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[工作簿1]Sheet1!$E$5:$E$7</c:f>
              <c:strCache>
                <c:ptCount val="3"/>
                <c:pt idx="0">
                  <c:v>online</c:v>
                </c:pt>
                <c:pt idx="1">
                  <c:v>offline</c:v>
                </c:pt>
                <c:pt idx="2">
                  <c:v>online and offline</c:v>
                </c:pt>
              </c:strCache>
            </c:strRef>
          </c:cat>
          <c:val>
            <c:numRef>
              <c:f>[工作簿1]Sheet1!$F$5:$F$7</c:f>
              <c:numCache>
                <c:formatCode>0.00%</c:formatCode>
                <c:ptCount val="3"/>
                <c:pt idx="0">
                  <c:v>0.24</c:v>
                </c:pt>
                <c:pt idx="1" c:formatCode="General">
                  <c:v>0.11</c:v>
                </c:pt>
                <c:pt idx="2" c:formatCode="General">
                  <c:v>0.59</c:v>
                </c:pt>
              </c:numCache>
            </c:numRef>
          </c:val>
        </c:ser>
        <c:ser>
          <c:idx val="1"/>
          <c:order val="1"/>
          <c:tx>
            <c:strRef>
              <c:f>[工作簿1]Sheet1!$G$4</c:f>
              <c:strCache>
                <c:ptCount val="1"/>
                <c:pt idx="0">
                  <c:v>Female</c:v>
                </c:pt>
              </c:strCache>
            </c:strRef>
          </c:tx>
          <c:spPr>
            <a:solidFill>
              <a:srgbClr val="B79E66"/>
            </a:solidFill>
            <a:ln w="38100" cmpd="thickThin">
              <a:noFill/>
              <a:prstDash val="solid"/>
            </a:ln>
            <a:effectLst/>
          </c:spPr>
          <c:invertIfNegative val="0"/>
          <c:dLbls>
            <c:numFmt formatCode="0.00%" sourceLinked="0"/>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[工作簿1]Sheet1!$E$5:$E$7</c:f>
              <c:strCache>
                <c:ptCount val="3"/>
                <c:pt idx="0">
                  <c:v>online</c:v>
                </c:pt>
                <c:pt idx="1">
                  <c:v>offline</c:v>
                </c:pt>
                <c:pt idx="2">
                  <c:v>online and offline</c:v>
                </c:pt>
              </c:strCache>
            </c:strRef>
          </c:cat>
          <c:val>
            <c:numRef>
              <c:f>[工作簿1]Sheet1!$G$5:$G$7</c:f>
              <c:numCache>
                <c:formatCode>General</c:formatCode>
                <c:ptCount val="3"/>
                <c:pt idx="0">
                  <c:v>0.23</c:v>
                </c:pt>
                <c:pt idx="1">
                  <c:v>0.12</c:v>
                </c:pt>
                <c:pt idx="2">
                  <c:v>0.65</c:v>
                </c:pt>
              </c:numCache>
            </c:numRef>
          </c:val>
        </c:ser>
        <c:dLbls>
          <c:showLegendKey val="0"/>
          <c:showVal val="0"/>
          <c:showCatName val="0"/>
          <c:showSerName val="0"/>
          <c:showPercent val="0"/>
          <c:showBubbleSize val="0"/>
        </c:dLbls>
        <c:gapWidth val="288"/>
        <c:overlap val="-30"/>
        <c:axId val="573959578"/>
        <c:axId val="111408812"/>
      </c:barChart>
      <c:catAx>
        <c:axId val="573959578"/>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111408812"/>
        <c:crosses val="autoZero"/>
        <c:auto val="1"/>
        <c:lblAlgn val="ctr"/>
        <c:lblOffset val="100"/>
        <c:noMultiLvlLbl val="0"/>
      </c:catAx>
      <c:valAx>
        <c:axId val="111408812"/>
        <c:scaling>
          <c:orientation val="minMax"/>
        </c:scaling>
        <c:delete val="0"/>
        <c:axPos val="l"/>
        <c:minorGridlines>
          <c:spPr>
            <a:ln w="3175" cap="flat" cmpd="sng" algn="ctr">
              <a:solidFill>
                <a:schemeClr val="bg1">
                  <a:lumMod val="85000"/>
                </a:schemeClr>
              </a:solidFill>
              <a:prstDash val="sysDot"/>
              <a:round/>
            </a:ln>
            <a:effectLst/>
          </c:spPr>
        </c:minorGridlines>
        <c:title>
          <c:tx>
            <c:rich>
              <a:bodyPr rot="-5400000" spcFirstLastPara="0" vertOverflow="ellipsis" vert="horz" wrap="square" anchor="ctr" anchorCtr="1"/>
              <a:lstStyle/>
              <a:p>
                <a:pPr defTabSz="914400">
                  <a:defRPr lang="zh-CN" sz="10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percentage</a:t>
                </a:r>
                <a:endParaRPr lang="en-US" altLang="zh-CN"/>
              </a:p>
            </c:rich>
          </c:tx>
          <c:layout>
            <c:manualLayout>
              <c:xMode val="edge"/>
              <c:yMode val="edge"/>
              <c:x val="0.00391185291433042"/>
              <c:y val="0.465336216941785"/>
            </c:manualLayout>
          </c:layout>
          <c:overlay val="0"/>
          <c:spPr>
            <a:noFill/>
            <a:ln>
              <a:noFill/>
            </a:ln>
            <a:effectLst/>
          </c:spPr>
        </c:title>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73959578"/>
        <c:crosses val="autoZero"/>
        <c:crossBetween val="between"/>
      </c:valAx>
      <c:spPr>
        <a:noFill/>
        <a:ln w="12700" cmpd="sng">
          <a:noFill/>
          <a:prstDash val="dash"/>
        </a:ln>
        <a:effectLst/>
      </c:spPr>
    </c:plotArea>
    <c:legend>
      <c:legendPos val="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forceAA="0"/>
          <a:lstStyle/>
          <a:p>
            <a:pPr>
              <a:defRPr lang="zh-CN" sz="1400" b="0" i="0" u="none" strike="noStrike" kern="1200" spc="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Q15.What is the advantage of o2o platforms compared with other e-commerce ?</a:t>
            </a:r>
            <a:endParaRPr lang="en-US" altLang="zh-CN"/>
          </a:p>
        </c:rich>
      </c:tx>
      <c:layout/>
      <c:overlay val="0"/>
      <c:spPr>
        <a:noFill/>
        <a:ln>
          <a:noFill/>
        </a:ln>
        <a:effectLst/>
      </c:spPr>
    </c:title>
    <c:autoTitleDeleted val="0"/>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[工作簿1]Sheet1!$F$17</c:f>
              <c:strCache>
                <c:ptCount val="1"/>
                <c:pt idx="0">
                  <c:v>Male</c:v>
                </c:pt>
              </c:strCache>
            </c:strRef>
          </c:tx>
          <c:spPr>
            <a:solidFill>
              <a:srgbClr val="949494"/>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[工作簿1]Sheet1!$E$18:$E$19</c:f>
              <c:strCache>
                <c:ptCount val="2"/>
                <c:pt idx="0">
                  <c:v>Online and offline shopping</c:v>
                </c:pt>
                <c:pt idx="1">
                  <c:v>Reduce stores in expensive retail areas</c:v>
                </c:pt>
              </c:strCache>
            </c:strRef>
          </c:cat>
          <c:val>
            <c:numRef>
              <c:f>[工作簿1]Sheet1!$F$18:$F$19</c:f>
              <c:numCache>
                <c:formatCode>0.00%</c:formatCode>
                <c:ptCount val="2"/>
                <c:pt idx="0">
                  <c:v>0.64</c:v>
                </c:pt>
                <c:pt idx="1">
                  <c:v>0.36</c:v>
                </c:pt>
              </c:numCache>
            </c:numRef>
          </c:val>
        </c:ser>
        <c:ser>
          <c:idx val="1"/>
          <c:order val="1"/>
          <c:tx>
            <c:strRef>
              <c:f>[工作簿1]Sheet1!$G$17</c:f>
              <c:strCache>
                <c:ptCount val="1"/>
                <c:pt idx="0">
                  <c:v>Female</c:v>
                </c:pt>
              </c:strCache>
            </c:strRef>
          </c:tx>
          <c:spPr>
            <a:solidFill>
              <a:srgbClr val="B79E66"/>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[工作簿1]Sheet1!$E$18:$E$19</c:f>
              <c:strCache>
                <c:ptCount val="2"/>
                <c:pt idx="0">
                  <c:v>Online and offline shopping</c:v>
                </c:pt>
                <c:pt idx="1">
                  <c:v>Reduce stores in expensive retail areas</c:v>
                </c:pt>
              </c:strCache>
            </c:strRef>
          </c:cat>
          <c:val>
            <c:numRef>
              <c:f>[工作簿1]Sheet1!$G$18:$G$19</c:f>
              <c:numCache>
                <c:formatCode>0.00%</c:formatCode>
                <c:ptCount val="2"/>
                <c:pt idx="0">
                  <c:v>0.622</c:v>
                </c:pt>
                <c:pt idx="1">
                  <c:v>0.378</c:v>
                </c:pt>
              </c:numCache>
            </c:numRef>
          </c:val>
        </c:ser>
        <c:dLbls>
          <c:showLegendKey val="0"/>
          <c:showVal val="0"/>
          <c:showCatName val="0"/>
          <c:showSerName val="0"/>
          <c:showPercent val="0"/>
          <c:showBubbleSize val="0"/>
        </c:dLbls>
        <c:gapWidth val="288"/>
        <c:overlap val="-30"/>
        <c:axId val="221983350"/>
        <c:axId val="517876798"/>
      </c:barChart>
      <c:catAx>
        <c:axId val="221983350"/>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17876798"/>
        <c:crosses val="autoZero"/>
        <c:auto val="1"/>
        <c:lblAlgn val="ctr"/>
        <c:lblOffset val="100"/>
        <c:noMultiLvlLbl val="0"/>
      </c:catAx>
      <c:valAx>
        <c:axId val="517876798"/>
        <c:scaling>
          <c:orientation val="minMax"/>
        </c:scaling>
        <c:delete val="0"/>
        <c:axPos val="l"/>
        <c:minorGridlines>
          <c:spPr>
            <a:ln w="3175" cap="flat" cmpd="sng" algn="ctr">
              <a:solidFill>
                <a:schemeClr val="bg1">
                  <a:lumMod val="85000"/>
                </a:schemeClr>
              </a:solidFill>
              <a:prstDash val="sysDot"/>
              <a:round/>
            </a:ln>
            <a:effectLst/>
          </c:spPr>
        </c:minorGridlines>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221983350"/>
        <c:crosses val="autoZero"/>
        <c:crossBetween val="between"/>
      </c:valAx>
      <c:spPr>
        <a:noFill/>
        <a:ln w="12700" cmpd="sng">
          <a:noFill/>
          <a:prstDash val="dash"/>
        </a:ln>
        <a:effectLst/>
      </c:spPr>
    </c:plotArea>
    <c:legend>
      <c:legendPos val="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[工作簿1]Sheet1!$F$4</c:f>
              <c:strCache>
                <c:ptCount val="1"/>
                <c:pt idx="0">
                  <c:v>40 and under 40</c:v>
                </c:pt>
              </c:strCache>
            </c:strRef>
          </c:tx>
          <c:spPr>
            <a:solidFill>
              <a:srgbClr val="949494"/>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[工作簿1]Sheet1!$E$5:$E$7</c:f>
              <c:strCache>
                <c:ptCount val="3"/>
                <c:pt idx="0">
                  <c:v>online</c:v>
                </c:pt>
                <c:pt idx="1">
                  <c:v>offline</c:v>
                </c:pt>
                <c:pt idx="2">
                  <c:v>online and offline</c:v>
                </c:pt>
              </c:strCache>
            </c:strRef>
          </c:cat>
          <c:val>
            <c:numRef>
              <c:f>[工作簿1]Sheet1!$F$5:$F$7</c:f>
              <c:numCache>
                <c:formatCode>0.00%</c:formatCode>
                <c:ptCount val="3"/>
                <c:pt idx="0">
                  <c:v>0.273</c:v>
                </c:pt>
                <c:pt idx="1">
                  <c:v>0.169</c:v>
                </c:pt>
                <c:pt idx="2">
                  <c:v>0.558</c:v>
                </c:pt>
              </c:numCache>
            </c:numRef>
          </c:val>
        </c:ser>
        <c:ser>
          <c:idx val="1"/>
          <c:order val="1"/>
          <c:tx>
            <c:strRef>
              <c:f>[工作簿1]Sheet1!$G$4</c:f>
              <c:strCache>
                <c:ptCount val="1"/>
                <c:pt idx="0">
                  <c:v>40 above</c:v>
                </c:pt>
              </c:strCache>
            </c:strRef>
          </c:tx>
          <c:spPr>
            <a:solidFill>
              <a:srgbClr val="B79E66"/>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[工作簿1]Sheet1!$E$5:$E$7</c:f>
              <c:strCache>
                <c:ptCount val="3"/>
                <c:pt idx="0">
                  <c:v>online</c:v>
                </c:pt>
                <c:pt idx="1">
                  <c:v>offline</c:v>
                </c:pt>
                <c:pt idx="2">
                  <c:v>online and offline</c:v>
                </c:pt>
              </c:strCache>
            </c:strRef>
          </c:cat>
          <c:val>
            <c:numRef>
              <c:f>[工作簿1]Sheet1!$G$5:$G$7</c:f>
              <c:numCache>
                <c:formatCode>0%</c:formatCode>
                <c:ptCount val="3"/>
                <c:pt idx="0">
                  <c:v>0.2</c:v>
                </c:pt>
                <c:pt idx="1" c:formatCode="0.00%">
                  <c:v>0.125</c:v>
                </c:pt>
                <c:pt idx="2" c:formatCode="0.00%">
                  <c:v>0.675</c:v>
                </c:pt>
              </c:numCache>
            </c:numRef>
          </c:val>
        </c:ser>
        <c:dLbls>
          <c:showLegendKey val="0"/>
          <c:showVal val="0"/>
          <c:showCatName val="0"/>
          <c:showSerName val="0"/>
          <c:showPercent val="0"/>
          <c:showBubbleSize val="0"/>
        </c:dLbls>
        <c:gapWidth val="288"/>
        <c:overlap val="-30"/>
        <c:axId val="439102763"/>
        <c:axId val="50871430"/>
      </c:barChart>
      <c:catAx>
        <c:axId val="439102763"/>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0871430"/>
        <c:crosses val="autoZero"/>
        <c:auto val="1"/>
        <c:lblAlgn val="ctr"/>
        <c:lblOffset val="100"/>
        <c:noMultiLvlLbl val="0"/>
      </c:catAx>
      <c:valAx>
        <c:axId val="50871430"/>
        <c:scaling>
          <c:orientation val="minMax"/>
        </c:scaling>
        <c:delete val="0"/>
        <c:axPos val="l"/>
        <c:minorGridlines>
          <c:spPr>
            <a:ln w="3175" cap="flat" cmpd="sng" algn="ctr">
              <a:solidFill>
                <a:schemeClr val="bg1">
                  <a:lumMod val="85000"/>
                </a:schemeClr>
              </a:solidFill>
              <a:prstDash val="sysDot"/>
              <a:round/>
            </a:ln>
            <a:effectLst/>
          </c:spPr>
        </c:minorGridlines>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439102763"/>
        <c:crosses val="autoZero"/>
        <c:crossBetween val="between"/>
      </c:valAx>
      <c:spPr>
        <a:noFill/>
        <a:ln w="12700" cmpd="sng">
          <a:noFill/>
          <a:prstDash val="dash"/>
        </a:ln>
        <a:effectLst/>
      </c:spPr>
    </c:plotArea>
    <c:legend>
      <c:legendPos val="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[工作簿1]Sheet1!$F$12</c:f>
              <c:strCache>
                <c:ptCount val="1"/>
                <c:pt idx="0">
                  <c:v>40 and under 40</c:v>
                </c:pt>
              </c:strCache>
            </c:strRef>
          </c:tx>
          <c:spPr>
            <a:solidFill>
              <a:srgbClr val="949494"/>
            </a:solidFill>
            <a:ln w="38100" cmpd="thickThin">
              <a:noFill/>
              <a:prstDash val="solid"/>
            </a:ln>
            <a:effectLst/>
          </c:spPr>
          <c:invertIfNegative val="0"/>
          <c:dLbls>
            <c:numFmt formatCode="0.00%" sourceLinked="0"/>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[工作簿1]Sheet1!$E$13:$E$14</c:f>
              <c:strCache>
                <c:ptCount val="2"/>
                <c:pt idx="0">
                  <c:v>Online and offline shopping</c:v>
                </c:pt>
                <c:pt idx="1">
                  <c:v>Reduce stores in expensive retail areas</c:v>
                </c:pt>
              </c:strCache>
            </c:strRef>
          </c:cat>
          <c:val>
            <c:numRef>
              <c:f>[工作簿1]Sheet1!$F$13:$F$14</c:f>
              <c:numCache>
                <c:formatCode>0.00%</c:formatCode>
                <c:ptCount val="2"/>
                <c:pt idx="0">
                  <c:v>0.64</c:v>
                </c:pt>
                <c:pt idx="1">
                  <c:v>0.62</c:v>
                </c:pt>
              </c:numCache>
            </c:numRef>
          </c:val>
        </c:ser>
        <c:ser>
          <c:idx val="1"/>
          <c:order val="1"/>
          <c:tx>
            <c:strRef>
              <c:f>[工作簿1]Sheet1!$G$12</c:f>
              <c:strCache>
                <c:ptCount val="1"/>
                <c:pt idx="0">
                  <c:v>40 above</c:v>
                </c:pt>
              </c:strCache>
            </c:strRef>
          </c:tx>
          <c:spPr>
            <a:solidFill>
              <a:srgbClr val="B79E66"/>
            </a:solidFill>
            <a:ln w="38100" cmpd="thickThin">
              <a:noFill/>
              <a:prstDash val="solid"/>
            </a:ln>
            <a:effectLst/>
          </c:spPr>
          <c:invertIfNegative val="0"/>
          <c:dLbls>
            <c:numFmt formatCode="0.00%" sourceLinked="0"/>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[工作簿1]Sheet1!$E$13:$E$14</c:f>
              <c:strCache>
                <c:ptCount val="2"/>
                <c:pt idx="0">
                  <c:v>Online and offline shopping</c:v>
                </c:pt>
                <c:pt idx="1">
                  <c:v>Reduce stores in expensive retail areas</c:v>
                </c:pt>
              </c:strCache>
            </c:strRef>
          </c:cat>
          <c:val>
            <c:numRef>
              <c:f>[工作簿1]Sheet1!$G$13:$G$14</c:f>
              <c:numCache>
                <c:formatCode>General</c:formatCode>
                <c:ptCount val="2"/>
                <c:pt idx="0">
                  <c:v>0.36</c:v>
                </c:pt>
                <c:pt idx="1">
                  <c:v>0.38</c:v>
                </c:pt>
              </c:numCache>
            </c:numRef>
          </c:val>
        </c:ser>
        <c:dLbls>
          <c:showLegendKey val="0"/>
          <c:showVal val="0"/>
          <c:showCatName val="0"/>
          <c:showSerName val="0"/>
          <c:showPercent val="0"/>
          <c:showBubbleSize val="0"/>
        </c:dLbls>
        <c:gapWidth val="288"/>
        <c:overlap val="-30"/>
        <c:axId val="691564473"/>
        <c:axId val="556439011"/>
      </c:barChart>
      <c:catAx>
        <c:axId val="691564473"/>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56439011"/>
        <c:crosses val="autoZero"/>
        <c:auto val="1"/>
        <c:lblAlgn val="ctr"/>
        <c:lblOffset val="100"/>
        <c:noMultiLvlLbl val="0"/>
      </c:catAx>
      <c:valAx>
        <c:axId val="556439011"/>
        <c:scaling>
          <c:orientation val="minMax"/>
        </c:scaling>
        <c:delete val="0"/>
        <c:axPos val="l"/>
        <c:minorGridlines>
          <c:spPr>
            <a:ln w="3175" cap="flat" cmpd="sng" algn="ctr">
              <a:solidFill>
                <a:schemeClr val="bg1">
                  <a:lumMod val="85000"/>
                </a:schemeClr>
              </a:solidFill>
              <a:prstDash val="sysDot"/>
              <a:round/>
            </a:ln>
            <a:effectLst/>
          </c:spPr>
        </c:minorGridlines>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691564473"/>
        <c:crosses val="autoZero"/>
        <c:crossBetween val="between"/>
      </c:valAx>
      <c:spPr>
        <a:noFill/>
        <a:ln w="12700" cmpd="sng">
          <a:noFill/>
          <a:prstDash val="dash"/>
        </a:ln>
        <a:effectLst/>
      </c:spPr>
    </c:plotArea>
    <c:legend>
      <c:legendPos val="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[工作簿1]Sheet1!$D$4</c:f>
              <c:strCache>
                <c:ptCount val="1"/>
                <c:pt idx="0">
                  <c:v>40 and under 40</c:v>
                </c:pt>
              </c:strCache>
            </c:strRef>
          </c:tx>
          <c:spPr>
            <a:solidFill>
              <a:schemeClr val="bg1">
                <a:lumMod val="50000"/>
              </a:schemeClr>
            </a:solidFill>
            <a:ln w="9525" cap="flat" cmpd="sng" algn="ctr">
              <a:solidFill>
                <a:schemeClr val="lt1">
                  <a:alpha val="50000"/>
                </a:schemeClr>
              </a:solidFill>
              <a:roun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1" i="0" u="none" strike="noStrike" kern="1200" cap="none" spc="0" normalizeH="0" baseline="0">
                    <a:solidFill>
                      <a:schemeClr val="tx1"/>
                    </a:solidFill>
                    <a:uFill>
                      <a:solidFill>
                        <a:schemeClr val="tx1"/>
                      </a:solidFill>
                    </a:u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[工作簿1]Sheet1!$E$3:$F$3</c:f>
              <c:strCache>
                <c:ptCount val="2"/>
                <c:pt idx="0">
                  <c:v>Website page design </c:v>
                </c:pt>
                <c:pt idx="1">
                  <c:v>The product information is consistent with  physical stores</c:v>
                </c:pt>
              </c:strCache>
            </c:strRef>
          </c:cat>
          <c:val>
            <c:numRef>
              <c:f>[工作簿1]Sheet1!$E$4:$F$4</c:f>
              <c:numCache>
                <c:formatCode>General</c:formatCode>
                <c:ptCount val="2"/>
                <c:pt idx="0">
                  <c:v>86.98</c:v>
                </c:pt>
                <c:pt idx="1">
                  <c:v>87.66</c:v>
                </c:pt>
              </c:numCache>
            </c:numRef>
          </c:val>
        </c:ser>
        <c:ser>
          <c:idx val="1"/>
          <c:order val="1"/>
          <c:tx>
            <c:strRef>
              <c:f>[工作簿1]Sheet1!$D$5</c:f>
              <c:strCache>
                <c:ptCount val="1"/>
                <c:pt idx="0">
                  <c:v>over 40</c:v>
                </c:pt>
              </c:strCache>
            </c:strRef>
          </c:tx>
          <c:spPr>
            <a:gradFill>
              <a:gsLst>
                <a:gs pos="0">
                  <a:srgbClr val="EDDB99"/>
                </a:gs>
                <a:gs pos="100000">
                  <a:srgbClr val="F3BBC8"/>
                </a:gs>
              </a:gsLst>
              <a:lin scaled="1"/>
            </a:gradFill>
            <a:ln w="9525" cap="flat" cmpd="sng" algn="ctr">
              <a:solidFill>
                <a:schemeClr val="lt1">
                  <a:alpha val="50000"/>
                </a:schemeClr>
              </a:solidFill>
              <a:round/>
            </a:ln>
            <a:effectLst/>
          </c:spPr>
          <c:invertIfNegative val="0"/>
          <c:dPt>
            <c:idx val="0"/>
            <c:invertIfNegative val="0"/>
            <c:bubble3D val="0"/>
            <c:spPr>
              <a:solidFill>
                <a:schemeClr val="accent4">
                  <a:lumMod val="75000"/>
                </a:schemeClr>
              </a:solidFill>
              <a:ln w="9525" cap="flat" cmpd="sng" algn="ctr">
                <a:solidFill>
                  <a:schemeClr val="lt1">
                    <a:alpha val="50000"/>
                  </a:schemeClr>
                </a:solidFill>
                <a:round/>
              </a:ln>
              <a:effectLst/>
            </c:spPr>
          </c:dPt>
          <c:dPt>
            <c:idx val="1"/>
            <c:invertIfNegative val="0"/>
            <c:bubble3D val="0"/>
            <c:spPr>
              <a:solidFill>
                <a:schemeClr val="accent4">
                  <a:lumMod val="75000"/>
                </a:schemeClr>
              </a:solidFill>
              <a:ln w="9525" cap="flat" cmpd="sng" algn="ctr">
                <a:solidFill>
                  <a:schemeClr val="lt1">
                    <a:alpha val="50000"/>
                  </a:schemeClr>
                </a:solidFill>
                <a:round/>
              </a:ln>
              <a:effectLst/>
            </c:spPr>
          </c:dPt>
          <c:dLbls>
            <c:spPr>
              <a:solidFill>
                <a:schemeClr val="accent4">
                  <a:lumMod val="75000"/>
                </a:schemeClr>
              </a:solidFill>
              <a:ln>
                <a:noFill/>
              </a:ln>
              <a:effectLst/>
            </c:spPr>
            <c:txPr>
              <a:bodyPr rot="0" spcFirstLastPara="0" vertOverflow="ellipsis" vert="horz" wrap="square" lIns="38100" tIns="19050" rIns="38100" bIns="19050" anchor="ctr" anchorCtr="1"/>
              <a:lstStyle/>
              <a:p>
                <a:pPr>
                  <a:defRPr lang="zh-CN" sz="900" b="1" i="0" u="none" strike="noStrike" kern="1200" cap="none" spc="0" normalizeH="0" baseline="0">
                    <a:solidFill>
                      <a:schemeClr val="tx1"/>
                    </a:solidFill>
                    <a:uFill>
                      <a:solidFill>
                        <a:schemeClr val="tx1"/>
                      </a:solidFill>
                    </a:u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[工作簿1]Sheet1!$E$3:$F$3</c:f>
              <c:strCache>
                <c:ptCount val="2"/>
                <c:pt idx="0">
                  <c:v>Website page design </c:v>
                </c:pt>
                <c:pt idx="1">
                  <c:v>The product information is consistent with  physical stores</c:v>
                </c:pt>
              </c:strCache>
            </c:strRef>
          </c:cat>
          <c:val>
            <c:numRef>
              <c:f>[工作簿1]Sheet1!$E$5:$F$5</c:f>
              <c:numCache>
                <c:formatCode>General</c:formatCode>
                <c:ptCount val="2"/>
                <c:pt idx="0">
                  <c:v>71.32</c:v>
                </c:pt>
                <c:pt idx="1">
                  <c:v>70.67</c:v>
                </c:pt>
              </c:numCache>
            </c:numRef>
          </c:val>
        </c:ser>
        <c:dLbls>
          <c:showLegendKey val="0"/>
          <c:showVal val="1"/>
          <c:showCatName val="0"/>
          <c:showSerName val="0"/>
          <c:showPercent val="0"/>
          <c:showBubbleSize val="0"/>
        </c:dLbls>
        <c:gapWidth val="65"/>
        <c:overlap val="0"/>
        <c:axId val="141305290"/>
        <c:axId val="610161236"/>
      </c:barChart>
      <c:catAx>
        <c:axId val="141305290"/>
        <c:scaling>
          <c:orientation val="minMax"/>
        </c:scaling>
        <c:delete val="0"/>
        <c:axPos val="b"/>
        <c:numFmt formatCode="General" sourceLinked="0"/>
        <c:majorTickMark val="none"/>
        <c:minorTickMark val="none"/>
        <c:tickLblPos val="nextTo"/>
        <c:spPr>
          <a:noFill/>
          <a:ln w="19050" cap="flat" cmpd="sng" algn="ctr">
            <a:solidFill>
              <a:schemeClr val="dk1">
                <a:lumMod val="75000"/>
                <a:lumOff val="25000"/>
              </a:schemeClr>
            </a:solidFill>
            <a:round/>
          </a:ln>
          <a:effectLst/>
        </c:spPr>
        <c:txPr>
          <a:bodyPr rot="-6000000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crossAx val="610161236"/>
        <c:crosses val="autoZero"/>
        <c:auto val="1"/>
        <c:lblAlgn val="ctr"/>
        <c:lblOffset val="100"/>
        <c:noMultiLvlLbl val="0"/>
      </c:catAx>
      <c:valAx>
        <c:axId val="61016123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0" vertOverflow="ellipsis" vert="horz" wrap="square" anchor="ctr" anchorCtr="1"/>
              <a:lstStyle/>
              <a:p>
                <a:pPr defTabSz="914400">
                  <a:defRPr lang="zh-CN" sz="900" b="1" i="0" u="none" strike="noStrike" kern="1200" cap="none" spc="0" normalizeH="0" baseline="0">
                    <a:solidFill>
                      <a:schemeClr val="tx1"/>
                    </a:solidFill>
                    <a:uFill>
                      <a:solidFill>
                        <a:schemeClr val="tx1"/>
                      </a:solidFill>
                    </a:uFill>
                    <a:latin typeface="+mn-lt"/>
                    <a:ea typeface="+mn-ea"/>
                    <a:cs typeface="+mn-cs"/>
                  </a:defRPr>
                </a:pPr>
                <a:r>
                  <a:rPr u="none" strike="noStrike" cap="none" normalizeH="0">
                    <a:solidFill>
                      <a:schemeClr val="tx1"/>
                    </a:solidFill>
                    <a:uFill>
                      <a:solidFill>
                        <a:schemeClr val="tx1"/>
                      </a:solidFill>
                    </a:uFill>
                  </a:rPr>
                  <a:t>Mean Rankings of Responses</a:t>
                </a:r>
                <a:endParaRPr u="none" strike="noStrike" cap="none" normalizeH="0">
                  <a:solidFill>
                    <a:schemeClr val="tx1"/>
                  </a:solidFill>
                  <a:uFill>
                    <a:solidFill>
                      <a:schemeClr val="tx1"/>
                    </a:solidFill>
                  </a:uFill>
                </a:endParaRP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crossAx val="141305290"/>
        <c:crosses val="autoZero"/>
        <c:crossBetween val="between"/>
      </c:valAx>
      <c:spPr>
        <a:noFill/>
        <a:ln>
          <a:noFill/>
        </a:ln>
        <a:effectLst/>
      </c:spPr>
    </c:plotArea>
    <c:legend>
      <c:legendPos val="b"/>
      <c:legendEntry>
        <c:idx val="0"/>
        <c:txPr>
          <a:bodyPr rot="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legendEntry>
      <c:legendEntry>
        <c:idx val="1"/>
        <c:txPr>
          <a:bodyPr rot="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legendEntry>
      <c:layout/>
      <c:overlay val="0"/>
      <c:spPr>
        <a:solidFill>
          <a:schemeClr val="lt1">
            <a:lumMod val="95000"/>
            <a:alpha val="39000"/>
          </a:schemeClr>
        </a:solidFill>
        <a:ln>
          <a:noFill/>
        </a:ln>
        <a:effectLst/>
      </c:spPr>
      <c:txPr>
        <a:bodyPr rot="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legend>
    <c:plotVisOnly val="1"/>
    <c:dispBlanksAs val="gap"/>
    <c:showDLblsOverMax val="0"/>
  </c:chart>
  <c:spPr>
    <a:solidFill>
      <a:schemeClr val="bg1"/>
    </a:solidFill>
    <a:ln w="9525" cap="flat" cmpd="sng" algn="ctr">
      <a:solidFill>
        <a:schemeClr val="dk1">
          <a:lumMod val="25000"/>
          <a:lumOff val="75000"/>
        </a:schemeClr>
      </a:solidFill>
      <a:round/>
    </a:ln>
    <a:effectLst/>
  </c:spPr>
  <c:txPr>
    <a:bodyPr/>
    <a:lstStyle/>
    <a:p>
      <a:pPr>
        <a:defRPr lang="zh-CN" u="none" strike="noStrike" kern="1200" cap="none" spc="0" normalizeH="0">
          <a:solidFill>
            <a:schemeClr val="tx1"/>
          </a:solidFill>
          <a:uFill>
            <a:solidFill>
              <a:schemeClr val="tx1"/>
            </a:solidFill>
          </a:uFill>
        </a:defRPr>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forceAA="0"/>
          <a:lstStyle/>
          <a:p>
            <a:pPr defTabSz="914400">
              <a:defRPr lang="zh-CN" sz="1400" b="0" i="0" u="none" strike="noStrike" kern="1200" spc="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O</a:t>
            </a:r>
            <a:r>
              <a:t>rder can be delivered within specified time</a:t>
            </a:r>
          </a:p>
        </c:rich>
      </c:tx>
      <c:layout>
        <c:manualLayout>
          <c:xMode val="edge"/>
          <c:yMode val="edge"/>
          <c:x val="0.225473589053489"/>
          <c:y val="0.871647609547992"/>
        </c:manualLayout>
      </c:layout>
      <c:overlay val="0"/>
      <c:spPr>
        <a:noFill/>
        <a:ln>
          <a:noFill/>
        </a:ln>
        <a:effectLst/>
      </c:spPr>
    </c:title>
    <c:autoTitleDeleted val="0"/>
    <c:plotArea>
      <c:layout>
        <c:manualLayout>
          <c:layoutTarget val="inner"/>
          <c:xMode val="edge"/>
          <c:yMode val="edge"/>
          <c:x val="0.0883929502555011"/>
          <c:y val="0.249670619235837"/>
          <c:w val="0.84079674627177"/>
          <c:h val="0.496215115582704"/>
        </c:manualLayout>
      </c:layout>
      <c:barChart>
        <c:barDir val="col"/>
        <c:grouping val="clustered"/>
        <c:varyColors val="0"/>
        <c:ser>
          <c:idx val="0"/>
          <c:order val="0"/>
          <c:tx>
            <c:strRef>
              <c:f>[工作簿1]Sheet1!$E$3</c:f>
              <c:strCache>
                <c:ptCount val="1"/>
                <c:pt idx="0">
                  <c:v>Order can be delivered within specified time</c:v>
                </c:pt>
              </c:strCache>
            </c:strRef>
          </c:tx>
          <c:spPr>
            <a:solidFill>
              <a:srgbClr val="949494"/>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[工作簿1]Sheet1!$D$4:$D$5</c:f>
              <c:strCache>
                <c:ptCount val="2"/>
                <c:pt idx="0">
                  <c:v>40 and under 40</c:v>
                </c:pt>
                <c:pt idx="1">
                  <c:v>over 40</c:v>
                </c:pt>
              </c:strCache>
            </c:strRef>
          </c:cat>
          <c:val>
            <c:numRef>
              <c:f>[工作簿1]Sheet1!$E$4:$E$5</c:f>
              <c:numCache>
                <c:formatCode>General</c:formatCode>
                <c:ptCount val="2"/>
                <c:pt idx="0">
                  <c:v>86.55</c:v>
                </c:pt>
                <c:pt idx="1">
                  <c:v>71.74</c:v>
                </c:pt>
              </c:numCache>
            </c:numRef>
          </c:val>
        </c:ser>
        <c:dLbls>
          <c:showLegendKey val="0"/>
          <c:showVal val="0"/>
          <c:showCatName val="0"/>
          <c:showSerName val="0"/>
          <c:showPercent val="0"/>
          <c:showBubbleSize val="0"/>
        </c:dLbls>
        <c:gapWidth val="288"/>
        <c:overlap val="-30"/>
        <c:axId val="504018916"/>
        <c:axId val="204636121"/>
      </c:barChart>
      <c:catAx>
        <c:axId val="504018916"/>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204636121"/>
        <c:crosses val="autoZero"/>
        <c:auto val="1"/>
        <c:lblAlgn val="ctr"/>
        <c:lblOffset val="100"/>
        <c:noMultiLvlLbl val="0"/>
      </c:catAx>
      <c:valAx>
        <c:axId val="204636121"/>
        <c:scaling>
          <c:orientation val="minMax"/>
        </c:scaling>
        <c:delete val="0"/>
        <c:axPos val="l"/>
        <c:minorGridlines>
          <c:spPr>
            <a:ln w="3175" cap="flat" cmpd="sng" algn="ctr">
              <a:solidFill>
                <a:schemeClr val="bg1">
                  <a:lumMod val="85000"/>
                </a:schemeClr>
              </a:solidFill>
              <a:prstDash val="sysDot"/>
              <a:round/>
            </a:ln>
            <a:effectLst/>
          </c:spPr>
        </c:minorGridlines>
        <c:title>
          <c:tx>
            <c:rich>
              <a:bodyPr rot="-5400000" spcFirstLastPara="0" vertOverflow="ellipsis" vert="horz" wrap="square" anchor="ctr" anchorCtr="1"/>
              <a:lstStyle/>
              <a:p>
                <a:pPr defTabSz="914400">
                  <a:defRPr lang="zh-CN" sz="10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Mean Rankings of Responses</a:t>
                </a:r>
                <a:endParaRPr lang="en-US" altLang="zh-CN"/>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04018916"/>
        <c:crosses val="autoZero"/>
        <c:crossBetween val="between"/>
      </c:valAx>
      <c:spPr>
        <a:noFill/>
        <a:ln w="12700" cmpd="sng">
          <a:noFill/>
          <a:prstDash val="dash"/>
        </a:ln>
        <a:effectLst/>
      </c:spPr>
    </c:plotArea>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[工作簿1]Sheet1!$D$4</c:f>
              <c:strCache>
                <c:ptCount val="1"/>
                <c:pt idx="0">
                  <c:v>40 and under 40</c:v>
                </c:pt>
              </c:strCache>
            </c:strRef>
          </c:tx>
          <c:spPr>
            <a:solidFill>
              <a:srgbClr val="949494"/>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[工作簿1]Sheet1!$E$3:$F$3</c:f>
              <c:strCache>
                <c:ptCount val="2"/>
                <c:pt idx="0">
                  <c:v> a good return and exchange mechanism</c:v>
                </c:pt>
                <c:pt idx="1">
                  <c:v>online customer service can reply in time</c:v>
                </c:pt>
              </c:strCache>
            </c:strRef>
          </c:cat>
          <c:val>
            <c:numRef>
              <c:f>[工作簿1]Sheet1!$E$4:$F$4</c:f>
              <c:numCache>
                <c:formatCode>General</c:formatCode>
                <c:ptCount val="2"/>
                <c:pt idx="0">
                  <c:v>87.66</c:v>
                </c:pt>
                <c:pt idx="1">
                  <c:v>87.84</c:v>
                </c:pt>
              </c:numCache>
            </c:numRef>
          </c:val>
        </c:ser>
        <c:ser>
          <c:idx val="1"/>
          <c:order val="1"/>
          <c:tx>
            <c:strRef>
              <c:f>[工作簿1]Sheet1!$D$5</c:f>
              <c:strCache>
                <c:ptCount val="1"/>
                <c:pt idx="0">
                  <c:v>over 40</c:v>
                </c:pt>
              </c:strCache>
            </c:strRef>
          </c:tx>
          <c:spPr>
            <a:solidFill>
              <a:srgbClr val="B79E66"/>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[工作簿1]Sheet1!$E$3:$F$3</c:f>
              <c:strCache>
                <c:ptCount val="2"/>
                <c:pt idx="0">
                  <c:v> a good return and exchange mechanism</c:v>
                </c:pt>
                <c:pt idx="1">
                  <c:v>online customer service can reply in time</c:v>
                </c:pt>
              </c:strCache>
            </c:strRef>
          </c:cat>
          <c:val>
            <c:numRef>
              <c:f>[工作簿1]Sheet1!$E$5:$F$5</c:f>
              <c:numCache>
                <c:formatCode>General</c:formatCode>
                <c:ptCount val="2"/>
                <c:pt idx="0">
                  <c:v>70.66</c:v>
                </c:pt>
                <c:pt idx="1">
                  <c:v>70.49</c:v>
                </c:pt>
              </c:numCache>
            </c:numRef>
          </c:val>
        </c:ser>
        <c:dLbls>
          <c:showLegendKey val="0"/>
          <c:showVal val="0"/>
          <c:showCatName val="0"/>
          <c:showSerName val="0"/>
          <c:showPercent val="0"/>
          <c:showBubbleSize val="0"/>
        </c:dLbls>
        <c:gapWidth val="288"/>
        <c:overlap val="-30"/>
        <c:axId val="74916024"/>
        <c:axId val="688097243"/>
      </c:barChart>
      <c:catAx>
        <c:axId val="74916024"/>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688097243"/>
        <c:crosses val="autoZero"/>
        <c:auto val="1"/>
        <c:lblAlgn val="ctr"/>
        <c:lblOffset val="100"/>
        <c:noMultiLvlLbl val="0"/>
      </c:catAx>
      <c:valAx>
        <c:axId val="688097243"/>
        <c:scaling>
          <c:orientation val="minMax"/>
        </c:scaling>
        <c:delete val="0"/>
        <c:axPos val="l"/>
        <c:minorGridlines>
          <c:spPr>
            <a:ln w="3175" cap="flat" cmpd="sng" algn="ctr">
              <a:solidFill>
                <a:schemeClr val="bg1">
                  <a:lumMod val="85000"/>
                </a:schemeClr>
              </a:solidFill>
              <a:prstDash val="sysDot"/>
              <a:round/>
            </a:ln>
            <a:effectLst/>
          </c:spPr>
        </c:minorGridlines>
        <c:title>
          <c:tx>
            <c:rich>
              <a:bodyPr rot="-5400000" spcFirstLastPara="0" vertOverflow="ellipsis" vert="horz" wrap="square" anchor="ctr" anchorCtr="1"/>
              <a:lstStyle/>
              <a:p>
                <a:pPr defTabSz="914400">
                  <a:defRPr lang="zh-CN" sz="10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Mean Ranking of Responses </a:t>
                </a:r>
                <a:endParaRPr lang="en-US" altLang="zh-CN"/>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74916024"/>
        <c:crosses val="autoZero"/>
        <c:crossBetween val="between"/>
      </c:valAx>
      <c:spPr>
        <a:noFill/>
        <a:ln w="12700" cmpd="sng">
          <a:noFill/>
          <a:prstDash val="dash"/>
        </a:ln>
        <a:effectLst/>
      </c:spPr>
    </c:plotArea>
    <c:legend>
      <c:legendPos val="t"/>
      <c:layout>
        <c:manualLayout>
          <c:xMode val="edge"/>
          <c:yMode val="edge"/>
          <c:x val="0.397908800464711"/>
          <c:y val="0.927012936860398"/>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[工作簿1]Sheet1!$A$4</c:f>
              <c:strCache>
                <c:ptCount val="1"/>
                <c:pt idx="0">
                  <c:v>40 and under 40</c:v>
                </c:pt>
              </c:strCache>
            </c:strRef>
          </c:tx>
          <c:spPr>
            <a:solidFill>
              <a:schemeClr val="bg2">
                <a:lumMod val="50000"/>
              </a:schemeClr>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[工作簿1]Sheet1!$B$3:$D$3</c:f>
              <c:strCache>
                <c:ptCount val="3"/>
                <c:pt idx="0">
                  <c:v>payment is efficient and convenient</c:v>
                </c:pt>
                <c:pt idx="1">
                  <c:v>Can be discounted</c:v>
                </c:pt>
                <c:pt idx="2">
                  <c:v>The product quality is good</c:v>
                </c:pt>
              </c:strCache>
            </c:strRef>
          </c:cat>
          <c:val>
            <c:numRef>
              <c:f>[工作簿1]Sheet1!$B$4:$D$4</c:f>
              <c:numCache>
                <c:formatCode>General</c:formatCode>
                <c:ptCount val="3"/>
                <c:pt idx="0">
                  <c:v>85.96</c:v>
                </c:pt>
                <c:pt idx="1">
                  <c:v>89.45</c:v>
                </c:pt>
                <c:pt idx="2">
                  <c:v>87.81</c:v>
                </c:pt>
              </c:numCache>
            </c:numRef>
          </c:val>
        </c:ser>
        <c:ser>
          <c:idx val="1"/>
          <c:order val="1"/>
          <c:tx>
            <c:strRef>
              <c:f>[工作簿1]Sheet1!$A$5</c:f>
              <c:strCache>
                <c:ptCount val="1"/>
                <c:pt idx="0">
                  <c:v>over 40</c:v>
                </c:pt>
              </c:strCache>
            </c:strRef>
          </c:tx>
          <c:spPr>
            <a:solidFill>
              <a:schemeClr val="accent4">
                <a:lumMod val="75000"/>
              </a:schemeClr>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[工作簿1]Sheet1!$B$3:$D$3</c:f>
              <c:strCache>
                <c:ptCount val="3"/>
                <c:pt idx="0">
                  <c:v>payment is efficient and convenient</c:v>
                </c:pt>
                <c:pt idx="1">
                  <c:v>Can be discounted</c:v>
                </c:pt>
                <c:pt idx="2">
                  <c:v>The product quality is good</c:v>
                </c:pt>
              </c:strCache>
            </c:strRef>
          </c:cat>
          <c:val>
            <c:numRef>
              <c:f>[工作簿1]Sheet1!$B$5:$D$5</c:f>
              <c:numCache>
                <c:formatCode>General</c:formatCode>
                <c:ptCount val="3"/>
                <c:pt idx="0">
                  <c:v>72.3</c:v>
                </c:pt>
                <c:pt idx="1">
                  <c:v>68.94</c:v>
                </c:pt>
                <c:pt idx="2">
                  <c:v>70.53</c:v>
                </c:pt>
              </c:numCache>
            </c:numRef>
          </c:val>
        </c:ser>
        <c:dLbls>
          <c:showLegendKey val="0"/>
          <c:showVal val="1"/>
          <c:showCatName val="0"/>
          <c:showSerName val="0"/>
          <c:showPercent val="0"/>
          <c:showBubbleSize val="0"/>
        </c:dLbls>
        <c:gapWidth val="219"/>
        <c:overlap val="-27"/>
        <c:axId val="421484364"/>
        <c:axId val="406901474"/>
      </c:barChart>
      <c:catAx>
        <c:axId val="42148436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1200" b="0" i="0" u="none" strike="noStrike" kern="1200" cap="none" spc="0" normalizeH="0" baseline="0">
                <a:solidFill>
                  <a:schemeClr val="tx1">
                    <a:lumMod val="65000"/>
                    <a:lumOff val="35000"/>
                  </a:schemeClr>
                </a:solidFill>
                <a:uFill>
                  <a:solidFill>
                    <a:schemeClr val="tx1">
                      <a:lumMod val="65000"/>
                      <a:lumOff val="35000"/>
                    </a:schemeClr>
                  </a:solidFill>
                </a:u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crossAx val="406901474"/>
        <c:crosses val="autoZero"/>
        <c:auto val="1"/>
        <c:lblAlgn val="ctr"/>
        <c:lblOffset val="100"/>
        <c:noMultiLvlLbl val="0"/>
      </c:catAx>
      <c:valAx>
        <c:axId val="40690147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zh-CN" sz="1000" b="0" i="0" u="none" strike="noStrike" kern="1200" baseline="0">
                    <a:solidFill>
                      <a:schemeClr val="tx1">
                        <a:lumMod val="65000"/>
                        <a:lumOff val="35000"/>
                      </a:schemeClr>
                    </a:solidFill>
                    <a:latin typeface="+mn-lt"/>
                    <a:ea typeface="+mn-ea"/>
                    <a:cs typeface="+mn-cs"/>
                  </a:defRPr>
                </a:pPr>
                <a:r>
                  <a:rPr lang="en-US" altLang="zh-CN" sz="1600">
                    <a:latin typeface="Times New Roman" panose="02020603050405020304" charset="0"/>
                    <a:cs typeface="Times New Roman" panose="02020603050405020304" charset="0"/>
                  </a:rPr>
                  <a:t>Mean Rankings of Responds</a:t>
                </a:r>
                <a:endParaRPr lang="en-US" altLang="zh-CN" sz="1600">
                  <a:latin typeface="Times New Roman" panose="02020603050405020304" charset="0"/>
                  <a:cs typeface="Times New Roman" panose="02020603050405020304" charset="0"/>
                </a:endParaRP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21484364"/>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2021-05-05T18:18:00Z</dcterms:created>
  <dc:creator>Surmiya</dc:creator>
  <cp:lastModifiedBy>Surmiya</cp:lastModifiedBy>
  <dcterms:modified xsi:type="dcterms:W3CDTF">2021-05-05T23:52:21Z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E4BCBD4F47AD4FD88CFED555920D972A</vt:lpwstr>
  </property>
</Properties>
</file>