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Times New Roman" w:hAnsi="Times New Roman" w:cs="Times New Roman"/>
          <w:color w:val="4472C4" w:themeColor="accent1"/>
          <w14:textFill>
            <w14:solidFill>
              <w14:schemeClr w14:val="accent1"/>
            </w14:solidFill>
          </w14:textFill>
        </w:rPr>
        <w:id w:val="-1"/>
        <w:docPartObj>
          <w:docPartGallery w:val="autotext"/>
        </w:docPartObj>
      </w:sdtPr>
      <w:sdtEndPr>
        <w:rPr>
          <w:rFonts w:ascii="Times New Roman" w:hAnsi="Times New Roman" w:cs="Times New Roman"/>
          <w:b/>
          <w:bCs/>
          <w:color w:val="auto"/>
        </w:rPr>
      </w:sdtEndPr>
      <w:sdtContent>
        <w:p w14:paraId="4C4EDDC0">
          <w:pPr>
            <w:keepNext w:val="0"/>
            <w:keepLines w:val="0"/>
            <w:pageBreakBefore w:val="0"/>
            <w:widowControl/>
            <w:kinsoku/>
            <w:wordWrap/>
            <w:overflowPunct/>
            <w:topLinePunct w:val="0"/>
            <w:autoSpaceDE/>
            <w:autoSpaceDN/>
            <w:bidi w:val="0"/>
            <w:adjustRightInd/>
            <w:snapToGrid/>
            <w:spacing w:after="160" w:line="240" w:lineRule="auto"/>
            <w:jc w:val="center"/>
            <w:textAlignment w:val="auto"/>
            <w:rPr>
              <w:rFonts w:ascii="Times New Roman" w:hAnsi="Times New Roman" w:cs="Times New Roman"/>
              <w:color w:val="4472C4" w:themeColor="accent1"/>
              <w14:textFill>
                <w14:solidFill>
                  <w14:schemeClr w14:val="accent1"/>
                </w14:solidFill>
              </w14:textFill>
            </w:rPr>
          </w:pPr>
          <w:bookmarkStart w:id="0" w:name="_Toc343429583"/>
          <w:r>
            <w:rPr>
              <w:rFonts w:ascii="Arial" w:hAnsi="Arial" w:cs="Arial"/>
              <w:b/>
              <w:lang w:eastAsia="en-GB"/>
            </w:rPr>
            <w:drawing>
              <wp:inline distT="0" distB="0" distL="0" distR="0">
                <wp:extent cx="3531870" cy="1180465"/>
                <wp:effectExtent l="0" t="0" r="11430" b="635"/>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10"/>
                        <a:srcRect/>
                        <a:stretch>
                          <a:fillRect/>
                        </a:stretch>
                      </pic:blipFill>
                      <pic:spPr>
                        <a:xfrm>
                          <a:off x="0" y="0"/>
                          <a:ext cx="3531870" cy="1180465"/>
                        </a:xfrm>
                        <a:prstGeom prst="rect">
                          <a:avLst/>
                        </a:prstGeom>
                        <a:noFill/>
                        <a:ln w="9525">
                          <a:noFill/>
                          <a:miter lim="800000"/>
                          <a:headEnd/>
                          <a:tailEnd/>
                        </a:ln>
                      </pic:spPr>
                    </pic:pic>
                  </a:graphicData>
                </a:graphic>
              </wp:inline>
            </w:drawing>
          </w:r>
          <w:bookmarkEnd w:id="0"/>
        </w:p>
        <w:p w14:paraId="0E440002">
          <w:pPr>
            <w:keepNext w:val="0"/>
            <w:keepLines w:val="0"/>
            <w:pageBreakBefore w:val="0"/>
            <w:widowControl/>
            <w:kinsoku/>
            <w:wordWrap/>
            <w:overflowPunct/>
            <w:topLinePunct w:val="0"/>
            <w:autoSpaceDE/>
            <w:autoSpaceDN/>
            <w:bidi w:val="0"/>
            <w:adjustRightInd/>
            <w:snapToGrid/>
            <w:spacing w:after="0" w:line="360" w:lineRule="auto"/>
            <w:jc w:val="center"/>
            <w:textAlignment w:val="auto"/>
            <w:rPr>
              <w:rFonts w:hint="eastAsia" w:ascii="Times New Roman" w:hAnsi="Times New Roman" w:cs="Times New Roman"/>
              <w:b/>
              <w:bCs/>
              <w:sz w:val="40"/>
              <w:szCs w:val="40"/>
              <w:lang w:val="en-GB" w:eastAsia="en-US"/>
            </w:rPr>
          </w:pPr>
          <w:r>
            <w:rPr>
              <w:rFonts w:hint="eastAsia" w:ascii="Times New Roman" w:hAnsi="Times New Roman" w:cs="Times New Roman"/>
              <w:b/>
              <w:bCs/>
              <w:sz w:val="36"/>
              <w:szCs w:val="36"/>
              <w:lang w:val="en-GB" w:eastAsia="en-US"/>
            </w:rPr>
            <w:t>An empirical investigation into the return on investment (ROI) of influencer marketing campaigns on consumer purchase intention in the UK fashion industry</w:t>
          </w:r>
        </w:p>
        <w:p w14:paraId="42DDAD4D">
          <w:pPr>
            <w:keepNext w:val="0"/>
            <w:keepLines w:val="0"/>
            <w:pageBreakBefore w:val="0"/>
            <w:widowControl/>
            <w:kinsoku/>
            <w:wordWrap/>
            <w:overflowPunct/>
            <w:topLinePunct w:val="0"/>
            <w:autoSpaceDE/>
            <w:autoSpaceDN/>
            <w:bidi w:val="0"/>
            <w:adjustRightInd/>
            <w:snapToGrid/>
            <w:spacing w:after="0" w:line="360" w:lineRule="auto"/>
            <w:jc w:val="center"/>
            <w:textAlignment w:val="auto"/>
            <w:rPr>
              <w:rFonts w:hint="eastAsia" w:ascii="Times New Roman" w:hAnsi="Times New Roman" w:cs="Times New Roman"/>
              <w:b/>
              <w:bCs/>
              <w:sz w:val="40"/>
              <w:szCs w:val="40"/>
              <w:lang w:val="en-GB" w:eastAsia="en-US"/>
            </w:rPr>
          </w:pPr>
        </w:p>
        <w:p w14:paraId="420E369F">
          <w:pPr>
            <w:keepNext w:val="0"/>
            <w:keepLines w:val="0"/>
            <w:pageBreakBefore w:val="0"/>
            <w:widowControl/>
            <w:kinsoku/>
            <w:wordWrap/>
            <w:overflowPunct/>
            <w:topLinePunct w:val="0"/>
            <w:autoSpaceDE/>
            <w:autoSpaceDN/>
            <w:bidi w:val="0"/>
            <w:adjustRightInd/>
            <w:snapToGrid/>
            <w:spacing w:after="0" w:line="360" w:lineRule="auto"/>
            <w:jc w:val="center"/>
            <w:textAlignment w:val="auto"/>
            <w:rPr>
              <w:rFonts w:ascii="Times New Roman" w:hAnsi="Times New Roman" w:cs="Times New Roman"/>
              <w:b w:val="0"/>
              <w:bCs w:val="0"/>
              <w:sz w:val="44"/>
              <w:szCs w:val="44"/>
              <w:highlight w:val="none"/>
            </w:rPr>
          </w:pPr>
          <w:r>
            <w:rPr>
              <w:rFonts w:hint="eastAsia" w:ascii="Times New Roman" w:hAnsi="Times New Roman" w:cs="Times New Roman"/>
              <w:b/>
              <w:bCs/>
              <w:sz w:val="36"/>
              <w:szCs w:val="36"/>
              <w:lang w:val="en-GB" w:eastAsia="en-US"/>
            </w:rPr>
            <w:t>Individual</w:t>
          </w:r>
          <w:r>
            <w:rPr>
              <w:rFonts w:hint="eastAsia" w:ascii="Times New Roman" w:hAnsi="Times New Roman" w:cs="Times New Roman"/>
              <w:b/>
              <w:bCs/>
              <w:sz w:val="36"/>
              <w:szCs w:val="36"/>
              <w:lang w:val="en-US" w:eastAsia="zh-CN"/>
            </w:rPr>
            <w:t xml:space="preserve"> </w:t>
          </w:r>
          <w:bookmarkStart w:id="278" w:name="_GoBack"/>
          <w:r>
            <w:rPr>
              <w:rFonts w:hint="eastAsia" w:ascii="Times New Roman" w:hAnsi="Times New Roman" w:cs="Times New Roman"/>
              <w:b/>
              <w:bCs/>
              <w:sz w:val="36"/>
              <w:szCs w:val="36"/>
              <w:lang w:val="en-GB" w:eastAsia="en-US"/>
            </w:rPr>
            <w:t>Dissertation</w:t>
          </w:r>
          <w:bookmarkEnd w:id="278"/>
        </w:p>
        <w:p w14:paraId="34CDBB56">
          <w:pPr>
            <w:jc w:val="center"/>
            <w:rPr>
              <w:rFonts w:ascii="Times New Roman" w:hAnsi="Times New Roman" w:cs="Times New Roman"/>
              <w:b w:val="0"/>
              <w:bCs w:val="0"/>
              <w:sz w:val="44"/>
              <w:szCs w:val="44"/>
              <w:highlight w:val="none"/>
            </w:rPr>
          </w:pPr>
        </w:p>
        <w:p w14:paraId="23EE2826">
          <w:pPr>
            <w:jc w:val="center"/>
            <w:rPr>
              <w:rFonts w:hint="eastAsia" w:ascii="Times New Roman" w:hAnsi="Times New Roman" w:eastAsia="Times New Roman" w:cs="Times New Roman"/>
              <w:b/>
              <w:bCs/>
              <w:kern w:val="0"/>
              <w:sz w:val="32"/>
              <w:szCs w:val="32"/>
              <w:lang w:val="en-US" w:eastAsia="zh-CN"/>
            </w:rPr>
          </w:pPr>
          <w:r>
            <w:rPr>
              <w:rFonts w:hint="eastAsia" w:ascii="Times New Roman" w:hAnsi="Times New Roman" w:eastAsia="Times New Roman" w:cs="Times New Roman"/>
              <w:b/>
              <w:bCs/>
              <w:kern w:val="0"/>
              <w:sz w:val="32"/>
              <w:szCs w:val="32"/>
              <w:lang w:val="en-US" w:eastAsia="zh-CN"/>
            </w:rPr>
            <w:t>(BMMB7003)</w:t>
          </w:r>
        </w:p>
        <w:p w14:paraId="0032E5C9">
          <w:pPr>
            <w:jc w:val="center"/>
            <w:rPr>
              <w:rFonts w:hint="default" w:ascii="Times New Roman" w:hAnsi="Times New Roman" w:cs="Times New Roman"/>
              <w:b/>
              <w:bCs/>
              <w:sz w:val="24"/>
              <w:szCs w:val="24"/>
            </w:rPr>
          </w:pPr>
        </w:p>
        <w:p w14:paraId="03898344">
          <w:pPr>
            <w:jc w:val="both"/>
            <w:rPr>
              <w:rFonts w:hint="default" w:ascii="Times New Roman" w:hAnsi="Times New Roman" w:cs="Times New Roman"/>
              <w:b/>
              <w:bCs/>
              <w:sz w:val="24"/>
              <w:szCs w:val="24"/>
            </w:rPr>
          </w:pPr>
        </w:p>
        <w:p w14:paraId="5DA323B2">
          <w:pPr>
            <w:keepNext w:val="0"/>
            <w:keepLines w:val="0"/>
            <w:pageBreakBefore w:val="0"/>
            <w:widowControl/>
            <w:tabs>
              <w:tab w:val="left" w:pos="1260"/>
            </w:tabs>
            <w:kinsoku/>
            <w:wordWrap/>
            <w:overflowPunct/>
            <w:topLinePunct w:val="0"/>
            <w:autoSpaceDE/>
            <w:autoSpaceDN/>
            <w:bidi w:val="0"/>
            <w:adjustRightInd/>
            <w:snapToGrid/>
            <w:spacing w:after="160" w:line="240" w:lineRule="auto"/>
            <w:jc w:val="center"/>
            <w:textAlignment w:val="auto"/>
            <w:rPr>
              <w:rFonts w:hint="default" w:ascii="Times New Roman" w:hAnsi="Times New Roman" w:cs="Times New Roman"/>
              <w:b/>
              <w:bCs/>
              <w:sz w:val="24"/>
              <w:szCs w:val="24"/>
              <w:lang w:val="en-US"/>
            </w:rPr>
          </w:pPr>
          <w:r>
            <w:rPr>
              <w:rFonts w:hint="eastAsia" w:ascii="Times New Roman" w:hAnsi="Times New Roman" w:eastAsia="宋体" w:cs="Times New Roman"/>
              <w:b w:val="0"/>
              <w:bCs w:val="0"/>
              <w:kern w:val="0"/>
              <w:sz w:val="32"/>
              <w:szCs w:val="32"/>
              <w:lang w:val="en-US" w:eastAsia="zh-CN"/>
            </w:rPr>
            <w:t>Student</w:t>
          </w:r>
          <w:r>
            <w:rPr>
              <w:rFonts w:hint="eastAsia" w:ascii="Times New Roman" w:hAnsi="Times New Roman" w:eastAsia="Times New Roman" w:cs="Times New Roman"/>
              <w:b w:val="0"/>
              <w:bCs w:val="0"/>
              <w:kern w:val="0"/>
              <w:sz w:val="32"/>
              <w:szCs w:val="32"/>
              <w:lang w:val="en-US" w:eastAsia="zh-CN"/>
            </w:rPr>
            <w:t xml:space="preserve"> Name:Shangyu Wang</w:t>
          </w:r>
        </w:p>
        <w:p w14:paraId="306691B8">
          <w:pPr>
            <w:keepNext w:val="0"/>
            <w:keepLines w:val="0"/>
            <w:pageBreakBefore w:val="0"/>
            <w:widowControl/>
            <w:tabs>
              <w:tab w:val="left" w:pos="1260"/>
            </w:tabs>
            <w:kinsoku/>
            <w:wordWrap/>
            <w:overflowPunct/>
            <w:topLinePunct w:val="0"/>
            <w:autoSpaceDE/>
            <w:autoSpaceDN/>
            <w:bidi w:val="0"/>
            <w:adjustRightInd/>
            <w:snapToGrid/>
            <w:spacing w:after="160" w:line="240" w:lineRule="auto"/>
            <w:jc w:val="center"/>
            <w:textAlignment w:val="auto"/>
            <w:rPr>
              <w:rFonts w:hint="default" w:ascii="Times New Roman" w:hAnsi="Times New Roman" w:eastAsia="Times New Roman" w:cs="Times New Roman"/>
              <w:b w:val="0"/>
              <w:bCs w:val="0"/>
              <w:kern w:val="0"/>
              <w:sz w:val="32"/>
              <w:szCs w:val="32"/>
              <w:lang w:val="en-US" w:eastAsia="zh-CN"/>
            </w:rPr>
          </w:pPr>
          <w:r>
            <w:rPr>
              <w:rFonts w:hint="eastAsia" w:ascii="Times New Roman" w:hAnsi="Times New Roman" w:eastAsia="宋体" w:cs="Times New Roman"/>
              <w:b w:val="0"/>
              <w:bCs w:val="0"/>
              <w:kern w:val="0"/>
              <w:sz w:val="32"/>
              <w:szCs w:val="32"/>
              <w:lang w:val="en-US" w:eastAsia="zh-CN"/>
            </w:rPr>
            <w:t>Student</w:t>
          </w:r>
          <w:r>
            <w:rPr>
              <w:rFonts w:hint="eastAsia" w:ascii="Times New Roman" w:hAnsi="Times New Roman" w:eastAsia="Times New Roman" w:cs="Times New Roman"/>
              <w:b w:val="0"/>
              <w:bCs w:val="0"/>
              <w:kern w:val="0"/>
              <w:sz w:val="32"/>
              <w:szCs w:val="32"/>
              <w:lang w:val="en-US" w:eastAsia="zh-CN"/>
            </w:rPr>
            <w:t xml:space="preserve"> Number: 2406059</w:t>
          </w:r>
        </w:p>
        <w:p w14:paraId="024AC978">
          <w:pPr>
            <w:keepNext w:val="0"/>
            <w:keepLines w:val="0"/>
            <w:pageBreakBefore w:val="0"/>
            <w:widowControl/>
            <w:tabs>
              <w:tab w:val="left" w:pos="1260"/>
            </w:tabs>
            <w:kinsoku/>
            <w:wordWrap/>
            <w:overflowPunct/>
            <w:topLinePunct w:val="0"/>
            <w:autoSpaceDE/>
            <w:autoSpaceDN/>
            <w:bidi w:val="0"/>
            <w:adjustRightInd/>
            <w:snapToGrid/>
            <w:spacing w:after="160" w:line="240" w:lineRule="auto"/>
            <w:jc w:val="center"/>
            <w:textAlignment w:val="auto"/>
            <w:rPr>
              <w:rFonts w:hint="eastAsia" w:ascii="Times New Roman" w:hAnsi="Times New Roman" w:cs="Times New Roman"/>
              <w:b w:val="0"/>
              <w:bCs w:val="0"/>
              <w:sz w:val="32"/>
              <w:szCs w:val="32"/>
              <w:lang w:val="en-US" w:eastAsia="zh-CN"/>
            </w:rPr>
          </w:pPr>
          <w:r>
            <w:rPr>
              <w:rFonts w:hint="eastAsia" w:ascii="Times New Roman" w:hAnsi="Times New Roman" w:eastAsia="宋体" w:cs="Times New Roman"/>
              <w:b w:val="0"/>
              <w:bCs w:val="0"/>
              <w:sz w:val="32"/>
              <w:szCs w:val="32"/>
              <w:lang w:val="en-US" w:eastAsia="zh-CN"/>
            </w:rPr>
            <w:t>Supervisor</w:t>
          </w:r>
          <w:r>
            <w:rPr>
              <w:rFonts w:ascii="Times New Roman" w:hAnsi="Times New Roman" w:cs="Times New Roman"/>
              <w:b w:val="0"/>
              <w:bCs w:val="0"/>
              <w:sz w:val="32"/>
              <w:szCs w:val="32"/>
            </w:rPr>
            <w:t xml:space="preserve"> Name: </w:t>
          </w:r>
          <w:r>
            <w:rPr>
              <w:rFonts w:hint="eastAsia" w:ascii="Times New Roman" w:hAnsi="Times New Roman" w:cs="Times New Roman"/>
              <w:b w:val="0"/>
              <w:bCs w:val="0"/>
              <w:sz w:val="32"/>
              <w:szCs w:val="32"/>
            </w:rPr>
            <w:t>Badir Miftah</w:t>
          </w:r>
        </w:p>
        <w:p w14:paraId="60866182">
          <w:pPr>
            <w:keepNext w:val="0"/>
            <w:keepLines w:val="0"/>
            <w:pageBreakBefore w:val="0"/>
            <w:widowControl/>
            <w:tabs>
              <w:tab w:val="left" w:pos="1260"/>
            </w:tabs>
            <w:kinsoku/>
            <w:wordWrap/>
            <w:overflowPunct/>
            <w:topLinePunct w:val="0"/>
            <w:autoSpaceDE/>
            <w:autoSpaceDN/>
            <w:bidi w:val="0"/>
            <w:adjustRightInd/>
            <w:snapToGrid/>
            <w:spacing w:after="160" w:line="240" w:lineRule="auto"/>
            <w:jc w:val="center"/>
            <w:textAlignment w:val="auto"/>
            <w:rPr>
              <w:rFonts w:hint="default" w:eastAsiaTheme="minorEastAsia"/>
              <w:lang w:val="en-US" w:eastAsia="zh-CN"/>
            </w:rPr>
            <w:sectPr>
              <w:footerReference r:id="rId6" w:type="first"/>
              <w:headerReference r:id="rId5" w:type="default"/>
              <w:pgSz w:w="11906" w:h="16838"/>
              <w:pgMar w:top="1417" w:right="1417" w:bottom="1417" w:left="1417" w:header="708" w:footer="708" w:gutter="0"/>
              <w:pgNumType w:fmt="decimal"/>
              <w:cols w:space="708" w:num="1"/>
              <w:docGrid w:linePitch="360" w:charSpace="0"/>
            </w:sectPr>
          </w:pPr>
          <w:r>
            <w:rPr>
              <w:rFonts w:ascii="Times New Roman" w:hAnsi="Times New Roman" w:cs="Times New Roman"/>
              <w:b w:val="0"/>
              <w:bCs w:val="0"/>
              <w:sz w:val="32"/>
              <w:szCs w:val="32"/>
            </w:rPr>
            <w:t xml:space="preserve">Due Date: </w:t>
          </w:r>
          <w:r>
            <w:rPr>
              <w:rFonts w:hint="eastAsia" w:ascii="Times New Roman" w:hAnsi="Times New Roman" w:cs="Times New Roman"/>
              <w:b w:val="0"/>
              <w:bCs w:val="0"/>
              <w:sz w:val="32"/>
              <w:szCs w:val="32"/>
              <w:lang w:val="en-US" w:eastAsia="zh-CN"/>
            </w:rPr>
            <w:t>25</w:t>
          </w:r>
          <w:r>
            <w:rPr>
              <w:rFonts w:ascii="Times New Roman" w:hAnsi="Times New Roman" w:cs="Times New Roman"/>
              <w:b w:val="0"/>
              <w:bCs w:val="0"/>
              <w:sz w:val="32"/>
              <w:szCs w:val="32"/>
            </w:rPr>
            <w:t>/</w:t>
          </w:r>
          <w:r>
            <w:rPr>
              <w:rFonts w:hint="eastAsia" w:ascii="Times New Roman" w:hAnsi="Times New Roman" w:cs="Times New Roman"/>
              <w:b w:val="0"/>
              <w:bCs w:val="0"/>
              <w:sz w:val="32"/>
              <w:szCs w:val="32"/>
              <w:lang w:val="en-US" w:eastAsia="zh-CN"/>
            </w:rPr>
            <w:t>09</w:t>
          </w:r>
          <w:r>
            <w:rPr>
              <w:rFonts w:ascii="Times New Roman" w:hAnsi="Times New Roman" w:cs="Times New Roman"/>
              <w:b w:val="0"/>
              <w:bCs w:val="0"/>
              <w:sz w:val="32"/>
              <w:szCs w:val="32"/>
            </w:rPr>
            <w:t>/20</w:t>
          </w:r>
          <w:r>
            <w:rPr>
              <w:rFonts w:hint="eastAsia" w:ascii="Times New Roman" w:hAnsi="Times New Roman" w:cs="Times New Roman"/>
              <w:b w:val="0"/>
              <w:bCs w:val="0"/>
              <w:sz w:val="32"/>
              <w:szCs w:val="32"/>
              <w:lang w:val="en-US" w:eastAsia="zh-CN"/>
            </w:rPr>
            <w:t>26</w:t>
          </w:r>
        </w:p>
        <w:p w14:paraId="1C9105AB">
          <w:pPr>
            <w:spacing w:line="360" w:lineRule="auto"/>
            <w:jc w:val="both"/>
          </w:pPr>
          <w:bookmarkStart w:id="1" w:name="_Toc8633"/>
          <w:bookmarkStart w:id="2" w:name="_Toc19046"/>
        </w:p>
      </w:sdtContent>
    </w:sdt>
    <w:p w14:paraId="56A66C74">
      <w:pPr>
        <w:pStyle w:val="2"/>
        <w:keepNext/>
        <w:keepLines/>
        <w:pageBreakBefore w:val="0"/>
        <w:widowControl/>
        <w:kinsoku/>
        <w:wordWrap/>
        <w:overflowPunct/>
        <w:topLinePunct w:val="0"/>
        <w:autoSpaceDE/>
        <w:autoSpaceDN/>
        <w:bidi w:val="0"/>
        <w:adjustRightInd/>
        <w:snapToGrid/>
        <w:spacing w:before="0" w:after="0" w:line="480" w:lineRule="auto"/>
        <w:jc w:val="center"/>
        <w:textAlignment w:val="auto"/>
        <w:rPr>
          <w:rFonts w:hint="default" w:ascii="Times New Roman" w:hAnsi="Times New Roman" w:cs="Times New Roman"/>
          <w:b/>
          <w:bCs/>
          <w:color w:val="000000" w:themeColor="text1"/>
          <w:sz w:val="24"/>
          <w:szCs w:val="24"/>
          <w:lang w:val="en-US" w:eastAsia="zh-CN"/>
          <w14:textFill>
            <w14:solidFill>
              <w14:schemeClr w14:val="tx1"/>
            </w14:solidFill>
          </w14:textFill>
        </w:rPr>
      </w:pPr>
      <w:bookmarkStart w:id="3" w:name="_Toc5920"/>
      <w:r>
        <w:rPr>
          <w:rFonts w:hint="default" w:ascii="Times New Roman" w:hAnsi="Times New Roman" w:cs="Times New Roman"/>
          <w:b/>
          <w:bCs/>
          <w:color w:val="000000" w:themeColor="text1"/>
          <w:sz w:val="24"/>
          <w:szCs w:val="24"/>
          <w:lang w:val="en-US" w:eastAsia="zh-CN"/>
          <w14:textFill>
            <w14:solidFill>
              <w14:schemeClr w14:val="tx1"/>
            </w14:solidFill>
          </w14:textFill>
        </w:rPr>
        <w:t>Abstract</w:t>
      </w:r>
      <w:bookmarkEnd w:id="1"/>
      <w:bookmarkEnd w:id="2"/>
      <w:bookmarkEnd w:id="3"/>
    </w:p>
    <w:p w14:paraId="25C7DB7D">
      <w:pPr>
        <w:keepNext w:val="0"/>
        <w:keepLines w:val="0"/>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lang w:val="en-US"/>
        </w:rPr>
      </w:pPr>
      <w:r>
        <w:rPr>
          <w:rFonts w:ascii="Times New Roman" w:hAnsi="Times New Roman" w:cs="Times New Roman"/>
          <w:lang w:val="en-US"/>
        </w:rPr>
        <w:t>This dissertation critically examines the relationship between influencer-marketing effectiveness and consumer purchase intention within the UK fashion industry. Particular attention is given to credibility, authenticity, trust, parasocial interaction, product-influencer fit, engagement, conversion, and return on investment (ROI). The study addresses a persistent measurement problem whereby campaign success is frequently assessed through follower counts, likes, comments, reach, and other engagement indicators that do not necessarily demonstrate actual purchasing behaviour or financial return.</w:t>
      </w:r>
    </w:p>
    <w:p w14:paraId="6C9A44C6">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7F3C2465">
      <w:pPr>
        <w:keepNext w:val="0"/>
        <w:keepLines w:val="0"/>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lang w:val="en-US"/>
        </w:rPr>
      </w:pPr>
      <w:r>
        <w:rPr>
          <w:rFonts w:ascii="Times New Roman" w:hAnsi="Times New Roman" w:cs="Times New Roman"/>
          <w:lang w:val="en-US"/>
        </w:rPr>
        <w:t>A qualitative, desk-based secondary research design was adopted. The evidence base comprised 18 peer-reviewed journal articles published between 2017 and 2026, supplemented by selected industry reports. The data were analysed using deductive thematic analysis and comparative content analysis. Six themes guided the analysis: credibility and trust; authenticity; parasocial relationships and psychological mechanisms; sponsorship disclosure; engagement and campaign performance; and purchase intention, conversion, and ROI-related evidence.</w:t>
      </w:r>
    </w:p>
    <w:p w14:paraId="67EB2FF9">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73ED9BC4">
      <w:pPr>
        <w:keepNext w:val="0"/>
        <w:keepLines w:val="0"/>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lang w:val="en-US"/>
        </w:rPr>
      </w:pPr>
      <w:r>
        <w:rPr>
          <w:rFonts w:ascii="Times New Roman" w:hAnsi="Times New Roman" w:cs="Times New Roman"/>
          <w:lang w:val="en-US"/>
        </w:rPr>
        <w:t>The findings indicate that influencer-marketing effectiveness is multi-stage and context-dependent. Credibility, trust, parasocial relationships, content quality, and product-influencer fit were repeatedly associated with favourable consumer responses and purchase intention. However, evidence became substantially weaker at the stages of verified purchase, attributable sales, incremental profit, and complete financial ROI. The dissertation concludes that current evidence supports persuasive effectiveness more strongly than financial profitability and recommends objective-aligned campaign metrics and greater use of transaction-level evidence.</w:t>
      </w:r>
    </w:p>
    <w:p w14:paraId="7CBBB37F">
      <w:pPr>
        <w:keepNext w:val="0"/>
        <w:keepLines w:val="0"/>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lang w:val="en-US"/>
        </w:rPr>
      </w:pPr>
    </w:p>
    <w:p w14:paraId="684555AF">
      <w:pPr>
        <w:spacing w:line="360" w:lineRule="auto"/>
        <w:rPr>
          <w:rFonts w:ascii="Times New Roman" w:hAnsi="Times New Roman" w:cs="Times New Roman"/>
          <w:vanish/>
          <w:lang w:val="en-US"/>
        </w:rPr>
      </w:pPr>
      <w:r>
        <w:rPr>
          <w:rFonts w:ascii="Times New Roman" w:hAnsi="Times New Roman" w:cs="Times New Roman"/>
          <w:vanish/>
          <w:lang w:val="en-US"/>
        </w:rPr>
        <w:t>Bottom of Form</w:t>
      </w:r>
    </w:p>
    <w:p w14:paraId="1E47A587">
      <w:pPr>
        <w:spacing w:line="360" w:lineRule="auto"/>
        <w:rPr>
          <w:rFonts w:ascii="Times New Roman" w:hAnsi="Times New Roman" w:cs="Times New Roman"/>
          <w:b/>
          <w:bCs/>
          <w:lang w:val="en-US"/>
        </w:rPr>
      </w:pPr>
      <w:r>
        <w:rPr>
          <w:rFonts w:ascii="Times New Roman" w:hAnsi="Times New Roman" w:cs="Times New Roman"/>
          <w:b/>
          <w:bCs/>
          <w:lang w:val="en-US"/>
        </w:rPr>
        <w:t>Keywords</w:t>
      </w:r>
    </w:p>
    <w:p w14:paraId="2E42117B">
      <w:pPr>
        <w:spacing w:line="360" w:lineRule="auto"/>
        <w:rPr>
          <w:rFonts w:ascii="Times New Roman" w:hAnsi="Times New Roman" w:cs="Times New Roman"/>
        </w:rPr>
      </w:pPr>
      <w:r>
        <w:rPr>
          <w:rFonts w:ascii="Times New Roman" w:hAnsi="Times New Roman" w:cs="Times New Roman"/>
        </w:rPr>
        <w:t>Influencer marketing; consumer purchase intention; UK fashion industry; parasocial interaction; return on investment.</w:t>
      </w:r>
    </w:p>
    <w:p w14:paraId="21DD904E">
      <w:pPr>
        <w:spacing w:line="360" w:lineRule="auto"/>
        <w:rPr>
          <w:rFonts w:ascii="Times New Roman" w:hAnsi="Times New Roman" w:cs="Times New Roman"/>
        </w:rPr>
      </w:pPr>
    </w:p>
    <w:p w14:paraId="021C8E27">
      <w:pPr>
        <w:spacing w:line="360" w:lineRule="auto"/>
        <w:rPr>
          <w:rFonts w:ascii="Times New Roman" w:hAnsi="Times New Roman" w:cs="Times New Roman"/>
          <w:b/>
          <w:bCs/>
          <w:lang w:val="en-US"/>
        </w:rPr>
      </w:pPr>
      <w:r>
        <w:rPr>
          <w:rFonts w:ascii="Times New Roman" w:hAnsi="Times New Roman" w:cs="Times New Roman"/>
          <w:b/>
          <w:bCs/>
          <w:lang w:val="en-US"/>
        </w:rPr>
        <w:t>List of Abbreviations</w:t>
      </w:r>
    </w:p>
    <w:p w14:paraId="1C863281">
      <w:pPr>
        <w:keepNext w:val="0"/>
        <w:keepLines w:val="0"/>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lang w:val="en-US"/>
        </w:rPr>
      </w:pPr>
      <w:r>
        <w:rPr>
          <w:rFonts w:ascii="Times New Roman" w:hAnsi="Times New Roman" w:cs="Times New Roman"/>
          <w:lang w:val="en-US"/>
        </w:rPr>
        <w:t>eWOM – Electronic word of mouth</w:t>
      </w:r>
    </w:p>
    <w:p w14:paraId="634C4B84">
      <w:pPr>
        <w:keepNext w:val="0"/>
        <w:keepLines w:val="0"/>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lang w:val="en-US"/>
        </w:rPr>
      </w:pPr>
      <w:r>
        <w:rPr>
          <w:rFonts w:ascii="Times New Roman" w:hAnsi="Times New Roman" w:cs="Times New Roman"/>
          <w:lang w:val="en-US"/>
        </w:rPr>
        <w:t>PI – Purchase intention</w:t>
      </w:r>
    </w:p>
    <w:p w14:paraId="00F9F0D5">
      <w:pPr>
        <w:keepNext w:val="0"/>
        <w:keepLines w:val="0"/>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lang w:val="en-US"/>
        </w:rPr>
      </w:pPr>
      <w:r>
        <w:rPr>
          <w:rFonts w:ascii="Times New Roman" w:hAnsi="Times New Roman" w:cs="Times New Roman"/>
          <w:lang w:val="en-US"/>
        </w:rPr>
        <w:t>PSI – Parasocial interaction</w:t>
      </w:r>
    </w:p>
    <w:p w14:paraId="0F98C1BF">
      <w:pPr>
        <w:keepNext w:val="0"/>
        <w:keepLines w:val="0"/>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lang w:val="en-US"/>
        </w:rPr>
      </w:pPr>
      <w:r>
        <w:rPr>
          <w:rFonts w:ascii="Times New Roman" w:hAnsi="Times New Roman" w:cs="Times New Roman"/>
          <w:lang w:val="en-US"/>
        </w:rPr>
        <w:t>PSR – Parasocial relationship</w:t>
      </w:r>
    </w:p>
    <w:p w14:paraId="724D6FDC">
      <w:pPr>
        <w:keepNext w:val="0"/>
        <w:keepLines w:val="0"/>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lang w:val="en-US"/>
        </w:rPr>
      </w:pPr>
      <w:r>
        <w:rPr>
          <w:rFonts w:ascii="Times New Roman" w:hAnsi="Times New Roman" w:cs="Times New Roman"/>
          <w:lang w:val="en-US"/>
        </w:rPr>
        <w:t>ROI – Return on investment</w:t>
      </w:r>
    </w:p>
    <w:p w14:paraId="1FC94E76">
      <w:pPr>
        <w:keepNext w:val="0"/>
        <w:keepLines w:val="0"/>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lang w:val="en-US"/>
        </w:rPr>
      </w:pPr>
      <w:r>
        <w:rPr>
          <w:rFonts w:ascii="Times New Roman" w:hAnsi="Times New Roman" w:cs="Times New Roman"/>
          <w:lang w:val="en-US"/>
        </w:rPr>
        <w:t>UK – United Kingdom</w:t>
      </w:r>
    </w:p>
    <w:p w14:paraId="5A7EC0B3">
      <w:pPr>
        <w:keepNext w:val="0"/>
        <w:keepLines w:val="0"/>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lang w:val="en-US"/>
        </w:rPr>
      </w:pPr>
    </w:p>
    <w:p w14:paraId="3A083168">
      <w:pPr>
        <w:keepNext w:val="0"/>
        <w:keepLines w:val="0"/>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lang w:val="en-US"/>
        </w:rPr>
      </w:pPr>
    </w:p>
    <w:p w14:paraId="5EFBCD92">
      <w:pPr>
        <w:keepNext w:val="0"/>
        <w:keepLines w:val="0"/>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lang w:val="en-US"/>
        </w:rPr>
      </w:pPr>
    </w:p>
    <w:p w14:paraId="5EAE8ED0">
      <w:pPr>
        <w:keepNext w:val="0"/>
        <w:keepLines w:val="0"/>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lang w:val="en-US"/>
        </w:rPr>
      </w:pPr>
    </w:p>
    <w:p w14:paraId="03544B6E">
      <w:pPr>
        <w:keepNext w:val="0"/>
        <w:keepLines w:val="0"/>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lang w:val="en-US"/>
        </w:rPr>
      </w:pPr>
    </w:p>
    <w:p w14:paraId="4E00A8A5">
      <w:pPr>
        <w:keepNext w:val="0"/>
        <w:keepLines w:val="0"/>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lang w:val="en-US"/>
        </w:rPr>
      </w:pPr>
    </w:p>
    <w:p w14:paraId="09F9B482">
      <w:pPr>
        <w:pStyle w:val="2"/>
        <w:keepNext/>
        <w:keepLines/>
        <w:pageBreakBefore w:val="0"/>
        <w:widowControl/>
        <w:kinsoku/>
        <w:wordWrap/>
        <w:overflowPunct/>
        <w:topLinePunct w:val="0"/>
        <w:autoSpaceDE/>
        <w:autoSpaceDN/>
        <w:bidi w:val="0"/>
        <w:adjustRightInd/>
        <w:snapToGrid/>
        <w:spacing w:before="0" w:after="0" w:line="480" w:lineRule="auto"/>
        <w:jc w:val="center"/>
        <w:textAlignment w:val="auto"/>
        <w:rPr>
          <w:rFonts w:hint="default" w:ascii="Times New Roman" w:hAnsi="Times New Roman" w:cs="Times New Roman"/>
          <w:b/>
          <w:bCs/>
          <w:color w:val="000000" w:themeColor="text1"/>
          <w:sz w:val="24"/>
          <w:szCs w:val="24"/>
          <w:lang w:val="en-US" w:eastAsia="zh-CN"/>
          <w14:textFill>
            <w14:solidFill>
              <w14:schemeClr w14:val="tx1"/>
            </w14:solidFill>
          </w14:textFill>
        </w:rPr>
      </w:pPr>
      <w:bookmarkStart w:id="4" w:name="_Toc15723"/>
      <w:bookmarkStart w:id="5" w:name="_Toc8011"/>
      <w:bookmarkStart w:id="6" w:name="_Toc22375"/>
      <w:bookmarkStart w:id="7" w:name="_Toc3734"/>
      <w:r>
        <w:rPr>
          <w:rFonts w:hint="default" w:ascii="Times New Roman" w:hAnsi="Times New Roman" w:cs="Times New Roman"/>
          <w:b/>
          <w:bCs/>
          <w:color w:val="000000" w:themeColor="text1"/>
          <w:sz w:val="24"/>
          <w:szCs w:val="24"/>
          <w:lang w:val="en-US" w:eastAsia="zh-CN"/>
          <w14:textFill>
            <w14:solidFill>
              <w14:schemeClr w14:val="tx1"/>
            </w14:solidFill>
          </w14:textFill>
        </w:rPr>
        <w:t>Declaration and Statements</w:t>
      </w:r>
      <w:bookmarkEnd w:id="4"/>
      <w:bookmarkEnd w:id="5"/>
      <w:bookmarkEnd w:id="6"/>
      <w:bookmarkEnd w:id="7"/>
      <w:r>
        <w:rPr>
          <w:rFonts w:hint="default" w:ascii="Times New Roman" w:hAnsi="Times New Roman" w:cs="Times New Roman"/>
          <w:b/>
          <w:bCs/>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bCs/>
          <w:color w:val="000000" w:themeColor="text1"/>
          <w:sz w:val="24"/>
          <w:szCs w:val="24"/>
          <w:lang w:val="en-US" w:eastAsia="zh-CN"/>
          <w14:textFill>
            <w14:solidFill>
              <w14:schemeClr w14:val="tx1"/>
            </w14:solidFill>
          </w14:textFill>
        </w:rPr>
        <w:tab/>
      </w:r>
    </w:p>
    <w:p w14:paraId="38458D90">
      <w:pPr>
        <w:spacing w:after="0" w:line="240" w:lineRule="auto"/>
        <w:jc w:val="both"/>
        <w:rPr>
          <w:rFonts w:ascii="Arial" w:hAnsi="Arial" w:cs="Arial"/>
          <w:spacing w:val="-2"/>
        </w:rPr>
      </w:pPr>
    </w:p>
    <w:p w14:paraId="5F549DDC">
      <w:pPr>
        <w:spacing w:after="0" w:line="240" w:lineRule="auto"/>
        <w:ind w:left="720"/>
        <w:jc w:val="both"/>
        <w:rPr>
          <w:rFonts w:ascii="Arial" w:hAnsi="Arial" w:cs="Arial"/>
          <w:spacing w:val="-2"/>
        </w:rPr>
      </w:pPr>
      <w:r>
        <w:rPr>
          <w:rFonts w:ascii="Arial" w:hAnsi="Arial" w:cs="Arial"/>
          <w:spacing w:val="-2"/>
        </w:rPr>
        <w:t>DECLARATION</w:t>
      </w:r>
    </w:p>
    <w:p w14:paraId="4C38E4E0">
      <w:pPr>
        <w:spacing w:after="0" w:line="240" w:lineRule="auto"/>
        <w:ind w:left="720" w:hanging="630"/>
        <w:jc w:val="both"/>
        <w:rPr>
          <w:rFonts w:ascii="Arial" w:hAnsi="Arial" w:cs="Arial"/>
          <w:spacing w:val="-2"/>
        </w:rPr>
      </w:pPr>
      <w:r>
        <w:rPr>
          <w:rFonts w:ascii="Arial" w:hAnsi="Arial" w:cs="Arial"/>
          <w:spacing w:val="-2"/>
        </w:rPr>
        <w:tab/>
      </w:r>
    </w:p>
    <w:p w14:paraId="3DB14B0E">
      <w:pPr>
        <w:spacing w:after="0" w:line="240" w:lineRule="auto"/>
        <w:ind w:left="720"/>
        <w:jc w:val="both"/>
        <w:rPr>
          <w:rFonts w:ascii="Arial" w:hAnsi="Arial" w:cs="Arial"/>
          <w:spacing w:val="-2"/>
        </w:rPr>
      </w:pPr>
      <w:r>
        <w:rPr>
          <w:rFonts w:ascii="Arial" w:hAnsi="Arial" w:cs="Arial"/>
          <w:spacing w:val="-2"/>
        </w:rPr>
        <w:t>This work has not previously been accepted in substance for any degree and is not being concurrently submitted in candidature for any degree.</w:t>
      </w:r>
      <w:r>
        <w:rPr>
          <w:rFonts w:ascii="Arial" w:hAnsi="Arial" w:cs="Arial"/>
          <w:spacing w:val="-2"/>
        </w:rPr>
        <w:tab/>
      </w:r>
    </w:p>
    <w:p w14:paraId="55991E38">
      <w:pPr>
        <w:spacing w:after="0" w:line="240" w:lineRule="auto"/>
        <w:ind w:left="720"/>
        <w:jc w:val="both"/>
        <w:rPr>
          <w:rFonts w:ascii="Arial" w:hAnsi="Arial" w:cs="Arial"/>
          <w:spacing w:val="-2"/>
        </w:rPr>
      </w:pPr>
      <w:r>
        <w:rPr>
          <w:rFonts w:hint="eastAsia" w:ascii="Arial" w:hAnsi="Arial" w:cs="Arial" w:eastAsiaTheme="minorEastAsia"/>
          <w:spacing w:val="-2"/>
          <w:lang w:eastAsia="zh-CN"/>
        </w:rPr>
        <w:drawing>
          <wp:anchor distT="0" distB="0" distL="114300" distR="114300" simplePos="0" relativeHeight="251662336" behindDoc="0" locked="0" layoutInCell="1" allowOverlap="1">
            <wp:simplePos x="0" y="0"/>
            <wp:positionH relativeFrom="column">
              <wp:posOffset>1026160</wp:posOffset>
            </wp:positionH>
            <wp:positionV relativeFrom="paragraph">
              <wp:posOffset>153035</wp:posOffset>
            </wp:positionV>
            <wp:extent cx="1342390" cy="304165"/>
            <wp:effectExtent l="0" t="0" r="0" b="0"/>
            <wp:wrapNone/>
            <wp:docPr id="2" name="图片 2" descr="c73842eee14838cfd67f339edf066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c73842eee14838cfd67f339edf066263"/>
                    <pic:cNvPicPr>
                      <a:picLocks noChangeAspect="1"/>
                    </pic:cNvPicPr>
                  </pic:nvPicPr>
                  <pic:blipFill>
                    <a:blip r:embed="rId11"/>
                    <a:srcRect l="15066" t="10106" b="26197"/>
                    <a:stretch>
                      <a:fillRect/>
                    </a:stretch>
                  </pic:blipFill>
                  <pic:spPr>
                    <a:xfrm>
                      <a:off x="0" y="0"/>
                      <a:ext cx="1342390" cy="304165"/>
                    </a:xfrm>
                    <a:prstGeom prst="rect">
                      <a:avLst/>
                    </a:prstGeom>
                  </pic:spPr>
                </pic:pic>
              </a:graphicData>
            </a:graphic>
          </wp:anchor>
        </w:drawing>
      </w:r>
    </w:p>
    <w:p w14:paraId="6E2924C8">
      <w:pPr>
        <w:spacing w:after="0" w:line="240" w:lineRule="auto"/>
        <w:ind w:left="720"/>
        <w:jc w:val="both"/>
        <w:rPr>
          <w:rFonts w:hint="eastAsia" w:ascii="Arial" w:hAnsi="Arial" w:cs="Arial" w:eastAsiaTheme="minorEastAsia"/>
          <w:spacing w:val="-2"/>
          <w:lang w:eastAsia="zh-CN"/>
        </w:rPr>
      </w:pPr>
    </w:p>
    <w:p w14:paraId="3B74EFB6">
      <w:pPr>
        <w:spacing w:after="0" w:line="240" w:lineRule="auto"/>
        <w:ind w:left="720"/>
        <w:jc w:val="both"/>
        <w:rPr>
          <w:rFonts w:ascii="Arial" w:hAnsi="Arial" w:cs="Arial"/>
          <w:spacing w:val="-2"/>
        </w:rPr>
      </w:pPr>
      <w:r>
        <w:rPr>
          <w:rFonts w:ascii="Arial" w:hAnsi="Arial" w:cs="Arial"/>
          <w:spacing w:val="-2"/>
        </w:rPr>
        <w:t>Signed ...................................................................... (candidate)</w:t>
      </w:r>
      <w:r>
        <w:rPr>
          <w:rFonts w:ascii="Arial" w:hAnsi="Arial" w:cs="Arial"/>
          <w:spacing w:val="-2"/>
        </w:rPr>
        <w:tab/>
      </w:r>
    </w:p>
    <w:p w14:paraId="101CF80E">
      <w:pPr>
        <w:spacing w:after="0" w:line="240" w:lineRule="auto"/>
        <w:ind w:left="720"/>
        <w:jc w:val="both"/>
        <w:rPr>
          <w:rFonts w:ascii="Arial" w:hAnsi="Arial" w:cs="Arial"/>
          <w:spacing w:val="-2"/>
        </w:rPr>
      </w:pPr>
      <w:r>
        <w:rPr>
          <w:sz w:val="24"/>
        </w:rPr>
        <mc:AlternateContent>
          <mc:Choice Requires="wps">
            <w:drawing>
              <wp:anchor distT="0" distB="0" distL="114300" distR="114300" simplePos="0" relativeHeight="251659264" behindDoc="0" locked="0" layoutInCell="1" allowOverlap="1">
                <wp:simplePos x="0" y="0"/>
                <wp:positionH relativeFrom="column">
                  <wp:posOffset>843915</wp:posOffset>
                </wp:positionH>
                <wp:positionV relativeFrom="paragraph">
                  <wp:posOffset>58420</wp:posOffset>
                </wp:positionV>
                <wp:extent cx="1282700" cy="344805"/>
                <wp:effectExtent l="0" t="0" r="0" b="0"/>
                <wp:wrapNone/>
                <wp:docPr id="5" name="文本框 5"/>
                <wp:cNvGraphicFramePr/>
                <a:graphic xmlns:a="http://schemas.openxmlformats.org/drawingml/2006/main">
                  <a:graphicData uri="http://schemas.microsoft.com/office/word/2010/wordprocessingShape">
                    <wps:wsp>
                      <wps:cNvSpPr txBox="1"/>
                      <wps:spPr>
                        <a:xfrm>
                          <a:off x="4537710" y="2763520"/>
                          <a:ext cx="1282700" cy="34480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447A20C3">
                            <w:r>
                              <w:rPr>
                                <w:rFonts w:hint="eastAsia" w:ascii="Arial" w:hAnsi="Arial" w:cs="Arial"/>
                                <w:spacing w:val="-2"/>
                                <w:lang w:val="en-US" w:eastAsia="zh-CN"/>
                              </w:rPr>
                              <w:t>15/09/2026</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6.45pt;margin-top:4.6pt;height:27.15pt;width:101pt;z-index:251659264;mso-width-relative:page;mso-height-relative:page;" filled="f" stroked="f" coordsize="21600,21600" o:gfxdata="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">
                <v:fill on="f" focussize="0,0"/>
                <v:stroke on="f" weight="0.5pt"/>
                <v:imagedata o:title=""/>
                <o:lock v:ext="edit" aspectratio="f"/>
                <v:textbox>
                  <w:txbxContent>
                    <w:p w14:paraId="447A20C3">
                      <w:r>
                        <w:rPr>
                          <w:rFonts w:hint="eastAsia" w:ascii="Arial" w:hAnsi="Arial" w:cs="Arial"/>
                          <w:spacing w:val="-2"/>
                          <w:lang w:val="en-US" w:eastAsia="zh-CN"/>
                        </w:rPr>
                        <w:t>15/09/2026</w:t>
                      </w:r>
                    </w:p>
                  </w:txbxContent>
                </v:textbox>
              </v:shape>
            </w:pict>
          </mc:Fallback>
        </mc:AlternateContent>
      </w:r>
    </w:p>
    <w:p w14:paraId="4264E9E2">
      <w:pPr>
        <w:spacing w:after="0" w:line="240" w:lineRule="auto"/>
        <w:ind w:left="720"/>
        <w:jc w:val="both"/>
        <w:rPr>
          <w:rFonts w:ascii="Arial" w:hAnsi="Arial" w:cs="Arial"/>
          <w:spacing w:val="-2"/>
        </w:rPr>
      </w:pPr>
      <w:r>
        <w:rPr>
          <w:rFonts w:ascii="Arial" w:hAnsi="Arial" w:cs="Arial"/>
          <w:spacing w:val="-2"/>
        </w:rPr>
        <w:t>Date ........................................................................</w:t>
      </w:r>
      <w:r>
        <w:rPr>
          <w:rFonts w:ascii="Arial" w:hAnsi="Arial" w:cs="Arial"/>
          <w:spacing w:val="-2"/>
        </w:rPr>
        <w:tab/>
      </w:r>
    </w:p>
    <w:p w14:paraId="346D50CE">
      <w:pPr>
        <w:spacing w:after="0" w:line="240" w:lineRule="auto"/>
        <w:ind w:left="720"/>
        <w:jc w:val="both"/>
        <w:rPr>
          <w:rFonts w:ascii="Arial" w:hAnsi="Arial" w:cs="Arial"/>
          <w:spacing w:val="-2"/>
        </w:rPr>
      </w:pPr>
    </w:p>
    <w:p w14:paraId="60C1B02C">
      <w:pPr>
        <w:spacing w:after="0" w:line="240" w:lineRule="auto"/>
        <w:ind w:left="720"/>
        <w:jc w:val="both"/>
        <w:rPr>
          <w:rFonts w:ascii="Arial" w:hAnsi="Arial" w:cs="Arial"/>
          <w:spacing w:val="-2"/>
        </w:rPr>
      </w:pPr>
    </w:p>
    <w:p w14:paraId="019070D0">
      <w:pPr>
        <w:spacing w:after="0" w:line="240" w:lineRule="auto"/>
        <w:ind w:left="720"/>
        <w:jc w:val="both"/>
        <w:rPr>
          <w:rFonts w:ascii="Arial" w:hAnsi="Arial" w:cs="Arial"/>
          <w:spacing w:val="-2"/>
        </w:rPr>
      </w:pPr>
      <w:r>
        <w:rPr>
          <w:rFonts w:ascii="Arial" w:hAnsi="Arial" w:cs="Arial"/>
          <w:spacing w:val="-2"/>
        </w:rPr>
        <w:t>STATEMENT 1</w:t>
      </w:r>
      <w:r>
        <w:rPr>
          <w:rFonts w:ascii="Arial" w:hAnsi="Arial" w:cs="Arial"/>
          <w:spacing w:val="-2"/>
        </w:rPr>
        <w:tab/>
      </w:r>
    </w:p>
    <w:p w14:paraId="1D449376">
      <w:pPr>
        <w:spacing w:after="0" w:line="240" w:lineRule="auto"/>
        <w:ind w:left="720"/>
        <w:jc w:val="both"/>
        <w:rPr>
          <w:rFonts w:ascii="Arial" w:hAnsi="Arial" w:cs="Arial"/>
          <w:spacing w:val="-2"/>
        </w:rPr>
      </w:pPr>
    </w:p>
    <w:p w14:paraId="6AD9DCAC">
      <w:pPr>
        <w:spacing w:after="0" w:line="240" w:lineRule="auto"/>
        <w:ind w:left="720"/>
        <w:jc w:val="both"/>
        <w:rPr>
          <w:rFonts w:ascii="Arial" w:hAnsi="Arial" w:cs="Arial"/>
          <w:spacing w:val="-2"/>
        </w:rPr>
      </w:pPr>
      <w:r>
        <w:rPr>
          <w:rFonts w:ascii="Arial" w:hAnsi="Arial" w:cs="Arial"/>
          <w:spacing w:val="-2"/>
        </w:rPr>
        <w:t xml:space="preserve">This work is the result of my own investigations, except where otherwise stated. </w:t>
      </w:r>
    </w:p>
    <w:p w14:paraId="42F3B0C7">
      <w:pPr>
        <w:spacing w:after="0" w:line="240" w:lineRule="auto"/>
        <w:ind w:left="720"/>
        <w:jc w:val="both"/>
        <w:rPr>
          <w:rFonts w:ascii="Arial" w:hAnsi="Arial" w:cs="Arial"/>
          <w:spacing w:val="-2"/>
        </w:rPr>
      </w:pPr>
    </w:p>
    <w:p w14:paraId="19D18EF3">
      <w:pPr>
        <w:spacing w:after="0" w:line="240" w:lineRule="auto"/>
        <w:ind w:left="720"/>
        <w:jc w:val="both"/>
        <w:rPr>
          <w:rFonts w:ascii="Arial" w:hAnsi="Arial" w:cs="Arial"/>
          <w:spacing w:val="-2"/>
        </w:rPr>
      </w:pPr>
      <w:r>
        <w:rPr>
          <w:rFonts w:ascii="Arial" w:hAnsi="Arial" w:cs="Arial"/>
          <w:spacing w:val="-2"/>
        </w:rPr>
        <w:t>Other sources are acknowledged by footnotes giving explicit references.  A bibliography is appended.</w:t>
      </w:r>
    </w:p>
    <w:p w14:paraId="1765ACCA">
      <w:pPr>
        <w:spacing w:after="0" w:line="240" w:lineRule="auto"/>
        <w:ind w:left="720"/>
        <w:jc w:val="both"/>
        <w:rPr>
          <w:rFonts w:ascii="Arial" w:hAnsi="Arial" w:cs="Arial"/>
          <w:spacing w:val="-2"/>
        </w:rPr>
      </w:pPr>
      <w:r>
        <w:rPr>
          <w:rFonts w:hint="eastAsia" w:ascii="Arial" w:hAnsi="Arial" w:cs="Arial" w:eastAsiaTheme="minorEastAsia"/>
          <w:spacing w:val="-2"/>
          <w:lang w:eastAsia="zh-CN"/>
        </w:rPr>
        <w:drawing>
          <wp:anchor distT="0" distB="0" distL="114300" distR="114300" simplePos="0" relativeHeight="251663360" behindDoc="0" locked="0" layoutInCell="1" allowOverlap="1">
            <wp:simplePos x="0" y="0"/>
            <wp:positionH relativeFrom="column">
              <wp:posOffset>1124585</wp:posOffset>
            </wp:positionH>
            <wp:positionV relativeFrom="paragraph">
              <wp:posOffset>144145</wp:posOffset>
            </wp:positionV>
            <wp:extent cx="1342390" cy="304165"/>
            <wp:effectExtent l="0" t="0" r="3810" b="635"/>
            <wp:wrapNone/>
            <wp:docPr id="8" name="图片 8" descr="c73842eee14838cfd67f339edf066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c73842eee14838cfd67f339edf066263"/>
                    <pic:cNvPicPr>
                      <a:picLocks noChangeAspect="1"/>
                    </pic:cNvPicPr>
                  </pic:nvPicPr>
                  <pic:blipFill>
                    <a:blip r:embed="rId11"/>
                    <a:srcRect l="15066" t="10106" b="26197"/>
                    <a:stretch>
                      <a:fillRect/>
                    </a:stretch>
                  </pic:blipFill>
                  <pic:spPr>
                    <a:xfrm>
                      <a:off x="0" y="0"/>
                      <a:ext cx="1342390" cy="304165"/>
                    </a:xfrm>
                    <a:prstGeom prst="rect">
                      <a:avLst/>
                    </a:prstGeom>
                  </pic:spPr>
                </pic:pic>
              </a:graphicData>
            </a:graphic>
          </wp:anchor>
        </w:drawing>
      </w:r>
    </w:p>
    <w:p w14:paraId="32A270D0">
      <w:pPr>
        <w:spacing w:after="0" w:line="240" w:lineRule="auto"/>
        <w:ind w:left="720"/>
        <w:jc w:val="both"/>
        <w:rPr>
          <w:rFonts w:ascii="Arial" w:hAnsi="Arial" w:cs="Arial"/>
          <w:spacing w:val="-2"/>
        </w:rPr>
      </w:pPr>
    </w:p>
    <w:p w14:paraId="1CCEB494">
      <w:pPr>
        <w:spacing w:after="0" w:line="240" w:lineRule="auto"/>
        <w:ind w:left="720"/>
        <w:jc w:val="both"/>
        <w:rPr>
          <w:rFonts w:ascii="Arial" w:hAnsi="Arial" w:cs="Arial"/>
          <w:spacing w:val="-2"/>
        </w:rPr>
      </w:pPr>
      <w:r>
        <w:rPr>
          <w:rFonts w:ascii="Arial" w:hAnsi="Arial" w:cs="Arial"/>
          <w:spacing w:val="-2"/>
        </w:rPr>
        <w:t>Signed ..................................................................... (candidate)</w:t>
      </w:r>
      <w:r>
        <w:rPr>
          <w:rFonts w:ascii="Arial" w:hAnsi="Arial" w:cs="Arial"/>
          <w:spacing w:val="-2"/>
        </w:rPr>
        <w:tab/>
      </w:r>
    </w:p>
    <w:p w14:paraId="40F26383">
      <w:pPr>
        <w:spacing w:after="0" w:line="240" w:lineRule="auto"/>
        <w:ind w:left="720"/>
        <w:jc w:val="both"/>
        <w:rPr>
          <w:rFonts w:ascii="Arial" w:hAnsi="Arial" w:cs="Arial"/>
          <w:spacing w:val="-2"/>
        </w:rPr>
      </w:pPr>
      <w:r>
        <w:rPr>
          <w:sz w:val="24"/>
        </w:rPr>
        <mc:AlternateContent>
          <mc:Choice Requires="wps">
            <w:drawing>
              <wp:anchor distT="0" distB="0" distL="114300" distR="114300" simplePos="0" relativeHeight="251660288" behindDoc="0" locked="0" layoutInCell="1" allowOverlap="1">
                <wp:simplePos x="0" y="0"/>
                <wp:positionH relativeFrom="column">
                  <wp:posOffset>763270</wp:posOffset>
                </wp:positionH>
                <wp:positionV relativeFrom="paragraph">
                  <wp:posOffset>50800</wp:posOffset>
                </wp:positionV>
                <wp:extent cx="1282700" cy="344805"/>
                <wp:effectExtent l="0" t="0" r="0" b="0"/>
                <wp:wrapNone/>
                <wp:docPr id="6" name="文本框 6"/>
                <wp:cNvGraphicFramePr/>
                <a:graphic xmlns:a="http://schemas.openxmlformats.org/drawingml/2006/main">
                  <a:graphicData uri="http://schemas.microsoft.com/office/word/2010/wordprocessingShape">
                    <wps:wsp>
                      <wps:cNvSpPr txBox="1"/>
                      <wps:spPr>
                        <a:xfrm>
                          <a:off x="0" y="0"/>
                          <a:ext cx="1282700" cy="34480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1DFE461E">
                            <w:r>
                              <w:rPr>
                                <w:rFonts w:hint="eastAsia" w:ascii="Arial" w:hAnsi="Arial" w:cs="Arial"/>
                                <w:spacing w:val="-2"/>
                                <w:lang w:val="en-US" w:eastAsia="zh-CN"/>
                              </w:rPr>
                              <w:t>15/09/2026</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0.1pt;margin-top:4pt;height:27.15pt;width:101pt;z-index:251660288;mso-width-relative:page;mso-height-relative:page;" filled="f" stroked="f" coordsize="21600,21600" o:gfxdata="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">
                <v:fill on="f" focussize="0,0"/>
                <v:stroke on="f" weight="0.5pt"/>
                <v:imagedata o:title=""/>
                <o:lock v:ext="edit" aspectratio="f"/>
                <v:textbox>
                  <w:txbxContent>
                    <w:p w14:paraId="1DFE461E">
                      <w:r>
                        <w:rPr>
                          <w:rFonts w:hint="eastAsia" w:ascii="Arial" w:hAnsi="Arial" w:cs="Arial"/>
                          <w:spacing w:val="-2"/>
                          <w:lang w:val="en-US" w:eastAsia="zh-CN"/>
                        </w:rPr>
                        <w:t>15/09/2026</w:t>
                      </w:r>
                    </w:p>
                  </w:txbxContent>
                </v:textbox>
              </v:shape>
            </w:pict>
          </mc:Fallback>
        </mc:AlternateContent>
      </w:r>
    </w:p>
    <w:p w14:paraId="2DE078F3">
      <w:pPr>
        <w:spacing w:after="0" w:line="240" w:lineRule="auto"/>
        <w:ind w:left="720"/>
        <w:jc w:val="both"/>
        <w:rPr>
          <w:rFonts w:ascii="Arial" w:hAnsi="Arial" w:cs="Arial"/>
          <w:spacing w:val="-2"/>
        </w:rPr>
      </w:pPr>
      <w:r>
        <w:rPr>
          <w:rFonts w:ascii="Arial" w:hAnsi="Arial" w:cs="Arial"/>
          <w:spacing w:val="-2"/>
        </w:rPr>
        <w:t>Date ........................................................................</w:t>
      </w:r>
      <w:r>
        <w:rPr>
          <w:rFonts w:ascii="Arial" w:hAnsi="Arial" w:cs="Arial"/>
          <w:spacing w:val="-2"/>
        </w:rPr>
        <w:tab/>
      </w:r>
    </w:p>
    <w:p w14:paraId="178CCC62">
      <w:pPr>
        <w:spacing w:after="0" w:line="240" w:lineRule="auto"/>
        <w:ind w:left="720"/>
        <w:jc w:val="both"/>
        <w:rPr>
          <w:rFonts w:ascii="Arial" w:hAnsi="Arial" w:cs="Arial"/>
          <w:spacing w:val="-2"/>
        </w:rPr>
      </w:pPr>
    </w:p>
    <w:p w14:paraId="0F8997BB">
      <w:pPr>
        <w:spacing w:after="0" w:line="240" w:lineRule="auto"/>
        <w:ind w:left="720"/>
        <w:jc w:val="both"/>
        <w:rPr>
          <w:rFonts w:ascii="Arial" w:hAnsi="Arial" w:cs="Arial"/>
          <w:spacing w:val="-2"/>
        </w:rPr>
      </w:pPr>
    </w:p>
    <w:p w14:paraId="2C8EA964">
      <w:pPr>
        <w:spacing w:after="0" w:line="240" w:lineRule="auto"/>
        <w:ind w:left="720"/>
        <w:jc w:val="both"/>
        <w:rPr>
          <w:rFonts w:ascii="Arial" w:hAnsi="Arial" w:cs="Arial"/>
          <w:spacing w:val="-2"/>
        </w:rPr>
      </w:pPr>
      <w:r>
        <w:rPr>
          <w:rFonts w:ascii="Arial" w:hAnsi="Arial" w:cs="Arial"/>
          <w:spacing w:val="-2"/>
        </w:rPr>
        <w:t>STATEMENT 2</w:t>
      </w:r>
      <w:r>
        <w:rPr>
          <w:rFonts w:ascii="Arial" w:hAnsi="Arial" w:cs="Arial"/>
          <w:spacing w:val="-2"/>
        </w:rPr>
        <w:tab/>
      </w:r>
    </w:p>
    <w:p w14:paraId="78052D9A">
      <w:pPr>
        <w:spacing w:after="0" w:line="240" w:lineRule="auto"/>
        <w:ind w:left="720"/>
        <w:jc w:val="both"/>
        <w:rPr>
          <w:rFonts w:ascii="Arial" w:hAnsi="Arial" w:cs="Arial"/>
          <w:spacing w:val="-2"/>
        </w:rPr>
      </w:pPr>
    </w:p>
    <w:p w14:paraId="79B369B3">
      <w:pPr>
        <w:spacing w:after="0" w:line="240" w:lineRule="auto"/>
        <w:ind w:left="720"/>
        <w:jc w:val="both"/>
        <w:rPr>
          <w:rFonts w:ascii="Arial" w:hAnsi="Arial" w:cs="Arial"/>
          <w:spacing w:val="-2"/>
        </w:rPr>
      </w:pPr>
      <w:r>
        <w:rPr>
          <w:rFonts w:ascii="Arial" w:hAnsi="Arial" w:cs="Arial"/>
          <w:spacing w:val="-2"/>
        </w:rPr>
        <w:t>I hereby give consent for my work, if accepted, to be available for photocopying and for inter-library loan, and for the title and summary to be made available to outside organisations.</w:t>
      </w:r>
      <w:r>
        <w:rPr>
          <w:rFonts w:ascii="Arial" w:hAnsi="Arial" w:cs="Arial"/>
          <w:spacing w:val="-2"/>
        </w:rPr>
        <w:tab/>
      </w:r>
    </w:p>
    <w:p w14:paraId="72EAE27F">
      <w:pPr>
        <w:spacing w:after="0" w:line="240" w:lineRule="auto"/>
        <w:ind w:left="720"/>
        <w:jc w:val="both"/>
        <w:rPr>
          <w:rFonts w:ascii="Arial" w:hAnsi="Arial" w:cs="Arial"/>
          <w:spacing w:val="-2"/>
        </w:rPr>
      </w:pPr>
      <w:r>
        <w:rPr>
          <w:rFonts w:hint="eastAsia" w:ascii="Arial" w:hAnsi="Arial" w:cs="Arial" w:eastAsiaTheme="minorEastAsia"/>
          <w:spacing w:val="-2"/>
          <w:lang w:eastAsia="zh-CN"/>
        </w:rPr>
        <w:drawing>
          <wp:anchor distT="0" distB="0" distL="114300" distR="114300" simplePos="0" relativeHeight="251664384" behindDoc="0" locked="0" layoutInCell="1" allowOverlap="1">
            <wp:simplePos x="0" y="0"/>
            <wp:positionH relativeFrom="column">
              <wp:posOffset>1146810</wp:posOffset>
            </wp:positionH>
            <wp:positionV relativeFrom="paragraph">
              <wp:posOffset>147320</wp:posOffset>
            </wp:positionV>
            <wp:extent cx="1342390" cy="304165"/>
            <wp:effectExtent l="0" t="0" r="3810" b="635"/>
            <wp:wrapNone/>
            <wp:docPr id="9" name="图片 9" descr="c73842eee14838cfd67f339edf066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c73842eee14838cfd67f339edf066263"/>
                    <pic:cNvPicPr>
                      <a:picLocks noChangeAspect="1"/>
                    </pic:cNvPicPr>
                  </pic:nvPicPr>
                  <pic:blipFill>
                    <a:blip r:embed="rId11"/>
                    <a:srcRect l="15066" t="10106" b="26197"/>
                    <a:stretch>
                      <a:fillRect/>
                    </a:stretch>
                  </pic:blipFill>
                  <pic:spPr>
                    <a:xfrm>
                      <a:off x="0" y="0"/>
                      <a:ext cx="1342390" cy="304165"/>
                    </a:xfrm>
                    <a:prstGeom prst="rect">
                      <a:avLst/>
                    </a:prstGeom>
                  </pic:spPr>
                </pic:pic>
              </a:graphicData>
            </a:graphic>
          </wp:anchor>
        </w:drawing>
      </w:r>
    </w:p>
    <w:p w14:paraId="380026B0">
      <w:pPr>
        <w:spacing w:after="0" w:line="240" w:lineRule="auto"/>
        <w:ind w:left="720"/>
        <w:jc w:val="both"/>
        <w:rPr>
          <w:rFonts w:ascii="Arial" w:hAnsi="Arial" w:cs="Arial"/>
          <w:spacing w:val="-2"/>
        </w:rPr>
      </w:pPr>
    </w:p>
    <w:p w14:paraId="78D8EDD9">
      <w:pPr>
        <w:spacing w:after="0" w:line="240" w:lineRule="auto"/>
        <w:ind w:left="720"/>
        <w:jc w:val="both"/>
        <w:rPr>
          <w:rFonts w:ascii="Arial" w:hAnsi="Arial" w:cs="Arial"/>
          <w:spacing w:val="-2"/>
        </w:rPr>
      </w:pPr>
      <w:r>
        <w:rPr>
          <w:rFonts w:ascii="Arial" w:hAnsi="Arial" w:cs="Arial"/>
          <w:spacing w:val="-2"/>
        </w:rPr>
        <w:t>Signed ..................................................................... (candidate)</w:t>
      </w:r>
      <w:r>
        <w:rPr>
          <w:rFonts w:ascii="Arial" w:hAnsi="Arial" w:cs="Arial"/>
          <w:spacing w:val="-2"/>
        </w:rPr>
        <w:tab/>
      </w:r>
    </w:p>
    <w:p w14:paraId="35299BB6">
      <w:pPr>
        <w:spacing w:after="0" w:line="240" w:lineRule="auto"/>
        <w:ind w:left="720"/>
        <w:jc w:val="both"/>
        <w:rPr>
          <w:rFonts w:ascii="Arial" w:hAnsi="Arial" w:cs="Arial"/>
          <w:spacing w:val="-2"/>
        </w:rPr>
      </w:pPr>
      <w:r>
        <w:rPr>
          <w:sz w:val="24"/>
        </w:rPr>
        <mc:AlternateContent>
          <mc:Choice Requires="wps">
            <w:drawing>
              <wp:anchor distT="0" distB="0" distL="114300" distR="114300" simplePos="0" relativeHeight="251661312" behindDoc="0" locked="0" layoutInCell="1" allowOverlap="1">
                <wp:simplePos x="0" y="0"/>
                <wp:positionH relativeFrom="column">
                  <wp:posOffset>821055</wp:posOffset>
                </wp:positionH>
                <wp:positionV relativeFrom="paragraph">
                  <wp:posOffset>66675</wp:posOffset>
                </wp:positionV>
                <wp:extent cx="1282700" cy="344805"/>
                <wp:effectExtent l="0" t="0" r="0" b="0"/>
                <wp:wrapNone/>
                <wp:docPr id="7" name="文本框 7"/>
                <wp:cNvGraphicFramePr/>
                <a:graphic xmlns:a="http://schemas.openxmlformats.org/drawingml/2006/main">
                  <a:graphicData uri="http://schemas.microsoft.com/office/word/2010/wordprocessingShape">
                    <wps:wsp>
                      <wps:cNvSpPr txBox="1"/>
                      <wps:spPr>
                        <a:xfrm>
                          <a:off x="0" y="0"/>
                          <a:ext cx="1282700" cy="34480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795084E3">
                            <w:r>
                              <w:rPr>
                                <w:rFonts w:hint="eastAsia" w:ascii="Arial" w:hAnsi="Arial" w:cs="Arial"/>
                                <w:spacing w:val="-2"/>
                                <w:lang w:val="en-US" w:eastAsia="zh-CN"/>
                              </w:rPr>
                              <w:t>15/09/2026</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4.65pt;margin-top:5.25pt;height:27.15pt;width:101pt;z-index:251661312;mso-width-relative:page;mso-height-relative:page;" filled="f" stroked="f" coordsize="21600,21600" o:gfxdata="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&#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">
                <v:fill on="f" focussize="0,0"/>
                <v:stroke on="f" weight="0.5pt"/>
                <v:imagedata o:title=""/>
                <o:lock v:ext="edit" aspectratio="f"/>
                <v:textbox>
                  <w:txbxContent>
                    <w:p w14:paraId="795084E3">
                      <w:r>
                        <w:rPr>
                          <w:rFonts w:hint="eastAsia" w:ascii="Arial" w:hAnsi="Arial" w:cs="Arial"/>
                          <w:spacing w:val="-2"/>
                          <w:lang w:val="en-US" w:eastAsia="zh-CN"/>
                        </w:rPr>
                        <w:t>15/09/2026</w:t>
                      </w:r>
                    </w:p>
                  </w:txbxContent>
                </v:textbox>
              </v:shape>
            </w:pict>
          </mc:Fallback>
        </mc:AlternateContent>
      </w:r>
    </w:p>
    <w:p w14:paraId="184774F4">
      <w:pPr>
        <w:spacing w:after="0" w:line="240" w:lineRule="auto"/>
        <w:ind w:left="720"/>
        <w:jc w:val="both"/>
        <w:rPr>
          <w:rFonts w:ascii="Arial" w:hAnsi="Arial" w:cs="Arial"/>
          <w:spacing w:val="-2"/>
        </w:rPr>
      </w:pPr>
      <w:r>
        <w:rPr>
          <w:rFonts w:ascii="Arial" w:hAnsi="Arial" w:cs="Arial"/>
          <w:spacing w:val="-2"/>
        </w:rPr>
        <w:t>Date ........................................................................</w:t>
      </w:r>
    </w:p>
    <w:p w14:paraId="146029F9">
      <w:pPr>
        <w:keepNext w:val="0"/>
        <w:keepLines w:val="0"/>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lang w:val="en-US"/>
        </w:rPr>
      </w:pPr>
    </w:p>
    <w:p w14:paraId="1E5FFAC8">
      <w:pPr>
        <w:keepNext w:val="0"/>
        <w:keepLines w:val="0"/>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lang w:val="en-US"/>
        </w:rPr>
      </w:pPr>
    </w:p>
    <w:p w14:paraId="3F6D5310">
      <w:pPr>
        <w:spacing w:line="360" w:lineRule="auto"/>
        <w:rPr>
          <w:rFonts w:ascii="Times New Roman" w:hAnsi="Times New Roman" w:cs="Times New Roman"/>
          <w:b/>
          <w:bCs/>
          <w:lang w:val="en-US"/>
        </w:rPr>
      </w:pPr>
    </w:p>
    <w:p w14:paraId="02D2620F">
      <w:pPr>
        <w:spacing w:line="360" w:lineRule="auto"/>
        <w:rPr>
          <w:rFonts w:ascii="Times New Roman" w:hAnsi="Times New Roman" w:cs="Times New Roman"/>
          <w:b/>
          <w:bCs/>
          <w:lang w:val="en-US"/>
        </w:rPr>
      </w:pPr>
    </w:p>
    <w:sdt>
      <w:sdtPr>
        <w:rPr>
          <w:rFonts w:hint="default" w:ascii="Times New Roman" w:hAnsi="Times New Roman" w:cs="Times New Roman"/>
          <w:b/>
          <w:bCs/>
          <w:color w:val="000000" w:themeColor="text1"/>
          <w:sz w:val="24"/>
          <w:szCs w:val="24"/>
          <w:lang w:val="en-GB" w:eastAsia="zh-CN"/>
          <w14:textFill>
            <w14:solidFill>
              <w14:schemeClr w14:val="tx1"/>
            </w14:solidFill>
          </w14:textFill>
        </w:rPr>
        <w:id w:val="613257588"/>
        <w:docPartObj>
          <w:docPartGallery w:val="Table of Contents"/>
          <w:docPartUnique/>
        </w:docPartObj>
      </w:sdtPr>
      <w:sdtEndPr>
        <w:rPr>
          <w:rFonts w:hint="default" w:ascii="Times New Roman" w:hAnsi="Times New Roman" w:cs="Times New Roman" w:eastAsiaTheme="minorEastAsia"/>
          <w:b/>
          <w:bCs/>
          <w:color w:val="auto"/>
          <w:kern w:val="2"/>
          <w:sz w:val="24"/>
          <w:szCs w:val="24"/>
          <w:lang w:val="en-GB" w:eastAsia="zh-CN"/>
          <w14:ligatures w14:val="standardContextual"/>
        </w:rPr>
      </w:sdtEndPr>
      <w:sdtContent>
        <w:p w14:paraId="52FF9994">
          <w:pPr>
            <w:pStyle w:val="2"/>
            <w:keepNext/>
            <w:keepLines/>
            <w:pageBreakBefore w:val="0"/>
            <w:widowControl/>
            <w:kinsoku/>
            <w:wordWrap/>
            <w:overflowPunct/>
            <w:topLinePunct w:val="0"/>
            <w:autoSpaceDE/>
            <w:autoSpaceDN/>
            <w:bidi w:val="0"/>
            <w:adjustRightInd/>
            <w:snapToGrid/>
            <w:spacing w:before="0" w:after="0" w:line="480" w:lineRule="auto"/>
            <w:jc w:val="center"/>
            <w:textAlignment w:val="auto"/>
            <w:rPr>
              <w:rFonts w:hint="default" w:ascii="Times New Roman" w:hAnsi="Times New Roman" w:cs="Times New Roman"/>
              <w:b/>
              <w:bCs/>
              <w:color w:val="000000" w:themeColor="text1"/>
              <w:sz w:val="24"/>
              <w:szCs w:val="24"/>
              <w:lang w:val="en-US" w:eastAsia="zh-CN"/>
              <w14:textFill>
                <w14:solidFill>
                  <w14:schemeClr w14:val="tx1"/>
                </w14:solidFill>
              </w14:textFill>
            </w:rPr>
          </w:pPr>
          <w:bookmarkStart w:id="8" w:name="_Toc3522"/>
          <w:bookmarkStart w:id="9" w:name="_Toc14834"/>
          <w:bookmarkStart w:id="10" w:name="_Toc22841"/>
          <w:bookmarkStart w:id="11" w:name="_Toc10307"/>
          <w:r>
            <w:rPr>
              <w:rFonts w:hint="default" w:ascii="Times New Roman" w:hAnsi="Times New Roman" w:cs="Times New Roman"/>
              <w:b/>
              <w:bCs/>
              <w:color w:val="000000" w:themeColor="text1"/>
              <w:sz w:val="24"/>
              <w:szCs w:val="24"/>
              <w:lang w:val="en-US" w:eastAsia="zh-CN"/>
              <w14:textFill>
                <w14:solidFill>
                  <w14:schemeClr w14:val="tx1"/>
                </w14:solidFill>
              </w14:textFill>
            </w:rPr>
            <w:t>Table of Contents</w:t>
          </w:r>
          <w:bookmarkEnd w:id="8"/>
          <w:bookmarkEnd w:id="9"/>
          <w:bookmarkEnd w:id="10"/>
          <w:bookmarkEnd w:id="11"/>
        </w:p>
        <w:p w14:paraId="14CA1CD4">
          <w:pPr>
            <w:pStyle w:val="16"/>
            <w:tabs>
              <w:tab w:val="right" w:leader="dot" w:pos="9360"/>
            </w:tabs>
            <w:rPr>
              <w:b/>
              <w:bCs/>
            </w:rPr>
          </w:pPr>
          <w:r>
            <w:fldChar w:fldCharType="begin"/>
          </w:r>
          <w:r>
            <w:instrText xml:space="preserve">TOC \o "1-3" \h \u </w:instrText>
          </w:r>
          <w:r>
            <w:fldChar w:fldCharType="separate"/>
          </w:r>
          <w:r>
            <w:rPr>
              <w:b/>
              <w:bCs/>
            </w:rPr>
            <w:fldChar w:fldCharType="begin"/>
          </w:r>
          <w:r>
            <w:rPr>
              <w:b/>
              <w:bCs/>
            </w:rPr>
            <w:instrText xml:space="preserve"> HYPERLINK \l _Toc5920 </w:instrText>
          </w:r>
          <w:r>
            <w:rPr>
              <w:b/>
              <w:bCs/>
            </w:rPr>
            <w:fldChar w:fldCharType="separate"/>
          </w:r>
          <w:r>
            <w:rPr>
              <w:rFonts w:hint="default" w:ascii="Times New Roman" w:hAnsi="Times New Roman" w:cs="Times New Roman"/>
              <w:b/>
              <w:bCs/>
              <w:szCs w:val="24"/>
              <w:lang w:val="en-US" w:eastAsia="zh-CN"/>
            </w:rPr>
            <w:t>Abstract</w:t>
          </w:r>
          <w:r>
            <w:rPr>
              <w:b/>
              <w:bCs/>
            </w:rPr>
            <w:tab/>
          </w:r>
          <w:r>
            <w:rPr>
              <w:b/>
              <w:bCs/>
            </w:rPr>
            <w:fldChar w:fldCharType="begin"/>
          </w:r>
          <w:r>
            <w:rPr>
              <w:b/>
              <w:bCs/>
            </w:rPr>
            <w:instrText xml:space="preserve"> PAGEREF _Toc5920 \h </w:instrText>
          </w:r>
          <w:r>
            <w:rPr>
              <w:b/>
              <w:bCs/>
            </w:rPr>
            <w:fldChar w:fldCharType="separate"/>
          </w:r>
          <w:r>
            <w:rPr>
              <w:b/>
              <w:bCs/>
            </w:rPr>
            <w:t>1</w:t>
          </w:r>
          <w:r>
            <w:rPr>
              <w:b/>
              <w:bCs/>
            </w:rPr>
            <w:fldChar w:fldCharType="end"/>
          </w:r>
          <w:r>
            <w:rPr>
              <w:b/>
              <w:bCs/>
            </w:rPr>
            <w:fldChar w:fldCharType="end"/>
          </w:r>
        </w:p>
        <w:p w14:paraId="3C43B4A7">
          <w:pPr>
            <w:pStyle w:val="16"/>
            <w:tabs>
              <w:tab w:val="right" w:leader="dot" w:pos="9360"/>
            </w:tabs>
            <w:rPr>
              <w:b/>
              <w:bCs/>
            </w:rPr>
          </w:pPr>
          <w:r>
            <w:rPr>
              <w:b/>
              <w:bCs/>
            </w:rPr>
            <w:fldChar w:fldCharType="begin"/>
          </w:r>
          <w:r>
            <w:rPr>
              <w:b/>
              <w:bCs/>
            </w:rPr>
            <w:instrText xml:space="preserve"> HYPERLINK \l _Toc3734 </w:instrText>
          </w:r>
          <w:r>
            <w:rPr>
              <w:b/>
              <w:bCs/>
            </w:rPr>
            <w:fldChar w:fldCharType="separate"/>
          </w:r>
          <w:r>
            <w:rPr>
              <w:rFonts w:hint="default" w:ascii="Times New Roman" w:hAnsi="Times New Roman" w:cs="Times New Roman"/>
              <w:b/>
              <w:bCs/>
              <w:szCs w:val="24"/>
              <w:lang w:val="en-US" w:eastAsia="zh-CN"/>
            </w:rPr>
            <w:t>Declaration and Statements</w:t>
          </w:r>
          <w:r>
            <w:rPr>
              <w:b/>
              <w:bCs/>
            </w:rPr>
            <w:tab/>
          </w:r>
          <w:r>
            <w:rPr>
              <w:b/>
              <w:bCs/>
            </w:rPr>
            <w:fldChar w:fldCharType="begin"/>
          </w:r>
          <w:r>
            <w:rPr>
              <w:b/>
              <w:bCs/>
            </w:rPr>
            <w:instrText xml:space="preserve"> PAGEREF _Toc3734 \h </w:instrText>
          </w:r>
          <w:r>
            <w:rPr>
              <w:b/>
              <w:bCs/>
            </w:rPr>
            <w:fldChar w:fldCharType="separate"/>
          </w:r>
          <w:r>
            <w:rPr>
              <w:b/>
              <w:bCs/>
            </w:rPr>
            <w:t>3</w:t>
          </w:r>
          <w:r>
            <w:rPr>
              <w:b/>
              <w:bCs/>
            </w:rPr>
            <w:fldChar w:fldCharType="end"/>
          </w:r>
          <w:r>
            <w:rPr>
              <w:b/>
              <w:bCs/>
            </w:rPr>
            <w:fldChar w:fldCharType="end"/>
          </w:r>
        </w:p>
        <w:p w14:paraId="5C101C5C">
          <w:pPr>
            <w:pStyle w:val="16"/>
            <w:tabs>
              <w:tab w:val="right" w:leader="dot" w:pos="9360"/>
            </w:tabs>
            <w:rPr>
              <w:b/>
              <w:bCs/>
            </w:rPr>
          </w:pPr>
          <w:r>
            <w:rPr>
              <w:b/>
              <w:bCs/>
            </w:rPr>
            <w:fldChar w:fldCharType="begin"/>
          </w:r>
          <w:r>
            <w:rPr>
              <w:b/>
              <w:bCs/>
            </w:rPr>
            <w:instrText xml:space="preserve"> HYPERLINK \l _Toc3522 </w:instrText>
          </w:r>
          <w:r>
            <w:rPr>
              <w:b/>
              <w:bCs/>
            </w:rPr>
            <w:fldChar w:fldCharType="separate"/>
          </w:r>
          <w:r>
            <w:rPr>
              <w:rFonts w:hint="default" w:ascii="Times New Roman" w:hAnsi="Times New Roman" w:cs="Times New Roman"/>
              <w:b/>
              <w:bCs/>
              <w:szCs w:val="24"/>
              <w:lang w:val="en-US" w:eastAsia="zh-CN"/>
            </w:rPr>
            <w:t>Table of Contents</w:t>
          </w:r>
          <w:r>
            <w:rPr>
              <w:b/>
              <w:bCs/>
            </w:rPr>
            <w:tab/>
          </w:r>
          <w:r>
            <w:rPr>
              <w:b/>
              <w:bCs/>
            </w:rPr>
            <w:fldChar w:fldCharType="begin"/>
          </w:r>
          <w:r>
            <w:rPr>
              <w:b/>
              <w:bCs/>
            </w:rPr>
            <w:instrText xml:space="preserve"> PAGEREF _Toc3522 \h </w:instrText>
          </w:r>
          <w:r>
            <w:rPr>
              <w:b/>
              <w:bCs/>
            </w:rPr>
            <w:fldChar w:fldCharType="separate"/>
          </w:r>
          <w:r>
            <w:rPr>
              <w:b/>
              <w:bCs/>
            </w:rPr>
            <w:t>4</w:t>
          </w:r>
          <w:r>
            <w:rPr>
              <w:b/>
              <w:bCs/>
            </w:rPr>
            <w:fldChar w:fldCharType="end"/>
          </w:r>
          <w:r>
            <w:rPr>
              <w:b/>
              <w:bCs/>
            </w:rPr>
            <w:fldChar w:fldCharType="end"/>
          </w:r>
        </w:p>
        <w:p w14:paraId="16331432">
          <w:pPr>
            <w:pStyle w:val="16"/>
            <w:tabs>
              <w:tab w:val="right" w:leader="dot" w:pos="9360"/>
            </w:tabs>
            <w:rPr>
              <w:b/>
              <w:bCs/>
            </w:rPr>
          </w:pPr>
          <w:r>
            <w:rPr>
              <w:b/>
              <w:bCs/>
            </w:rPr>
            <w:fldChar w:fldCharType="begin"/>
          </w:r>
          <w:r>
            <w:rPr>
              <w:b/>
              <w:bCs/>
            </w:rPr>
            <w:instrText xml:space="preserve"> HYPERLINK \l _Toc28743 </w:instrText>
          </w:r>
          <w:r>
            <w:rPr>
              <w:b/>
              <w:bCs/>
            </w:rPr>
            <w:fldChar w:fldCharType="separate"/>
          </w:r>
          <w:r>
            <w:rPr>
              <w:rFonts w:hint="default" w:ascii="Times New Roman" w:hAnsi="Times New Roman" w:cs="Times New Roman"/>
              <w:b/>
              <w:bCs/>
              <w:szCs w:val="24"/>
              <w:lang w:val="en-US" w:eastAsia="zh-CN"/>
            </w:rPr>
            <w:t>List of Tables</w:t>
          </w:r>
          <w:r>
            <w:rPr>
              <w:b/>
              <w:bCs/>
            </w:rPr>
            <w:tab/>
          </w:r>
          <w:r>
            <w:rPr>
              <w:b/>
              <w:bCs/>
            </w:rPr>
            <w:fldChar w:fldCharType="begin"/>
          </w:r>
          <w:r>
            <w:rPr>
              <w:b/>
              <w:bCs/>
            </w:rPr>
            <w:instrText xml:space="preserve"> PAGEREF _Toc28743 \h </w:instrText>
          </w:r>
          <w:r>
            <w:rPr>
              <w:b/>
              <w:bCs/>
            </w:rPr>
            <w:fldChar w:fldCharType="separate"/>
          </w:r>
          <w:r>
            <w:rPr>
              <w:b/>
              <w:bCs/>
            </w:rPr>
            <w:t>6</w:t>
          </w:r>
          <w:r>
            <w:rPr>
              <w:b/>
              <w:bCs/>
            </w:rPr>
            <w:fldChar w:fldCharType="end"/>
          </w:r>
          <w:r>
            <w:rPr>
              <w:b/>
              <w:bCs/>
            </w:rPr>
            <w:fldChar w:fldCharType="end"/>
          </w:r>
        </w:p>
        <w:p w14:paraId="11F77218">
          <w:pPr>
            <w:pStyle w:val="16"/>
            <w:tabs>
              <w:tab w:val="right" w:leader="dot" w:pos="9360"/>
            </w:tabs>
          </w:pPr>
          <w:r>
            <w:rPr>
              <w:b/>
              <w:bCs/>
            </w:rPr>
            <w:fldChar w:fldCharType="begin"/>
          </w:r>
          <w:r>
            <w:rPr>
              <w:b/>
              <w:bCs/>
            </w:rPr>
            <w:instrText xml:space="preserve"> HYPERLINK \l _Toc12420 </w:instrText>
          </w:r>
          <w:r>
            <w:rPr>
              <w:b/>
              <w:bCs/>
            </w:rPr>
            <w:fldChar w:fldCharType="separate"/>
          </w:r>
          <w:r>
            <w:rPr>
              <w:rFonts w:hint="default" w:ascii="Times New Roman" w:hAnsi="Times New Roman" w:cs="Times New Roman"/>
              <w:b/>
              <w:bCs/>
              <w:szCs w:val="24"/>
              <w:lang w:val="en-US" w:eastAsia="zh-CN"/>
            </w:rPr>
            <w:t>Acknowledgements</w:t>
          </w:r>
          <w:r>
            <w:rPr>
              <w:b/>
              <w:bCs/>
            </w:rPr>
            <w:tab/>
          </w:r>
          <w:r>
            <w:rPr>
              <w:b/>
              <w:bCs/>
            </w:rPr>
            <w:fldChar w:fldCharType="begin"/>
          </w:r>
          <w:r>
            <w:rPr>
              <w:b/>
              <w:bCs/>
            </w:rPr>
            <w:instrText xml:space="preserve"> PAGEREF _Toc12420 \h </w:instrText>
          </w:r>
          <w:r>
            <w:rPr>
              <w:b/>
              <w:bCs/>
            </w:rPr>
            <w:fldChar w:fldCharType="separate"/>
          </w:r>
          <w:r>
            <w:rPr>
              <w:b/>
              <w:bCs/>
            </w:rPr>
            <w:t>7</w:t>
          </w:r>
          <w:r>
            <w:rPr>
              <w:b/>
              <w:bCs/>
            </w:rPr>
            <w:fldChar w:fldCharType="end"/>
          </w:r>
          <w:r>
            <w:rPr>
              <w:b/>
              <w:bCs/>
            </w:rPr>
            <w:fldChar w:fldCharType="end"/>
          </w:r>
        </w:p>
        <w:p w14:paraId="37A6DEC8">
          <w:pPr>
            <w:pStyle w:val="16"/>
            <w:tabs>
              <w:tab w:val="right" w:leader="dot" w:pos="9360"/>
            </w:tabs>
            <w:rPr>
              <w:b/>
              <w:bCs/>
            </w:rPr>
          </w:pPr>
          <w:r>
            <w:rPr>
              <w:b/>
              <w:bCs/>
            </w:rPr>
            <w:fldChar w:fldCharType="begin"/>
          </w:r>
          <w:r>
            <w:rPr>
              <w:b/>
              <w:bCs/>
            </w:rPr>
            <w:instrText xml:space="preserve"> HYPERLINK \l _Toc22975 </w:instrText>
          </w:r>
          <w:r>
            <w:rPr>
              <w:b/>
              <w:bCs/>
            </w:rPr>
            <w:fldChar w:fldCharType="separate"/>
          </w:r>
          <w:r>
            <w:rPr>
              <w:rFonts w:hint="default" w:ascii="Times New Roman" w:hAnsi="Times New Roman" w:cs="Times New Roman"/>
              <w:b/>
              <w:bCs/>
              <w:szCs w:val="24"/>
              <w:lang w:val="en-US" w:eastAsia="zh-CN"/>
            </w:rPr>
            <w:t>1.0 INTRODUCTION</w:t>
          </w:r>
          <w:r>
            <w:rPr>
              <w:b/>
              <w:bCs/>
            </w:rPr>
            <w:tab/>
          </w:r>
          <w:r>
            <w:rPr>
              <w:b/>
              <w:bCs/>
            </w:rPr>
            <w:fldChar w:fldCharType="begin"/>
          </w:r>
          <w:r>
            <w:rPr>
              <w:b/>
              <w:bCs/>
            </w:rPr>
            <w:instrText xml:space="preserve"> PAGEREF _Toc22975 \h </w:instrText>
          </w:r>
          <w:r>
            <w:rPr>
              <w:b/>
              <w:bCs/>
            </w:rPr>
            <w:fldChar w:fldCharType="separate"/>
          </w:r>
          <w:r>
            <w:rPr>
              <w:b/>
              <w:bCs/>
            </w:rPr>
            <w:t>8</w:t>
          </w:r>
          <w:r>
            <w:rPr>
              <w:b/>
              <w:bCs/>
            </w:rPr>
            <w:fldChar w:fldCharType="end"/>
          </w:r>
          <w:r>
            <w:rPr>
              <w:b/>
              <w:bCs/>
            </w:rPr>
            <w:fldChar w:fldCharType="end"/>
          </w:r>
        </w:p>
        <w:p w14:paraId="617669BB">
          <w:pPr>
            <w:pStyle w:val="19"/>
            <w:tabs>
              <w:tab w:val="right" w:leader="dot" w:pos="9360"/>
            </w:tabs>
          </w:pPr>
          <w:r>
            <w:fldChar w:fldCharType="begin"/>
          </w:r>
          <w:r>
            <w:instrText xml:space="preserve"> HYPERLINK \l _Toc24628 </w:instrText>
          </w:r>
          <w:r>
            <w:fldChar w:fldCharType="separate"/>
          </w:r>
          <w:r>
            <w:rPr>
              <w:rFonts w:ascii="Times New Roman" w:hAnsi="Times New Roman" w:cs="Times New Roman"/>
              <w:bCs/>
              <w:szCs w:val="24"/>
            </w:rPr>
            <w:t>1.2 Conceptual Foundations of Influencer Credibility, Authenticity, Parasocial Interaction and Consumer Purchase Intention</w:t>
          </w:r>
          <w:r>
            <w:tab/>
          </w:r>
          <w:r>
            <w:fldChar w:fldCharType="begin"/>
          </w:r>
          <w:r>
            <w:instrText xml:space="preserve"> PAGEREF _Toc24628 \h </w:instrText>
          </w:r>
          <w:r>
            <w:fldChar w:fldCharType="separate"/>
          </w:r>
          <w:r>
            <w:t>11</w:t>
          </w:r>
          <w:r>
            <w:fldChar w:fldCharType="end"/>
          </w:r>
          <w:r>
            <w:fldChar w:fldCharType="end"/>
          </w:r>
        </w:p>
        <w:p w14:paraId="1F37DE29">
          <w:pPr>
            <w:pStyle w:val="19"/>
            <w:tabs>
              <w:tab w:val="right" w:leader="dot" w:pos="9360"/>
            </w:tabs>
          </w:pPr>
          <w:r>
            <w:fldChar w:fldCharType="begin"/>
          </w:r>
          <w:r>
            <w:instrText xml:space="preserve"> HYPERLINK \l _Toc12118 </w:instrText>
          </w:r>
          <w:r>
            <w:fldChar w:fldCharType="separate"/>
          </w:r>
          <w:r>
            <w:rPr>
              <w:rFonts w:ascii="Times New Roman" w:hAnsi="Times New Roman" w:cs="Times New Roman"/>
              <w:bCs/>
              <w:szCs w:val="24"/>
              <w:lang w:val="en-US"/>
            </w:rPr>
            <w:t>1.3 Aim, Objectives, Research Questions</w:t>
          </w:r>
          <w:r>
            <w:tab/>
          </w:r>
          <w:r>
            <w:fldChar w:fldCharType="begin"/>
          </w:r>
          <w:r>
            <w:instrText xml:space="preserve"> PAGEREF _Toc12118 \h </w:instrText>
          </w:r>
          <w:r>
            <w:fldChar w:fldCharType="separate"/>
          </w:r>
          <w:r>
            <w:t>14</w:t>
          </w:r>
          <w:r>
            <w:fldChar w:fldCharType="end"/>
          </w:r>
          <w:r>
            <w:fldChar w:fldCharType="end"/>
          </w:r>
        </w:p>
        <w:p w14:paraId="0E8816B9">
          <w:pPr>
            <w:pStyle w:val="19"/>
            <w:tabs>
              <w:tab w:val="right" w:leader="dot" w:pos="9360"/>
            </w:tabs>
          </w:pPr>
          <w:r>
            <w:fldChar w:fldCharType="begin"/>
          </w:r>
          <w:r>
            <w:instrText xml:space="preserve"> HYPERLINK \l _Toc8098 </w:instrText>
          </w:r>
          <w:r>
            <w:fldChar w:fldCharType="separate"/>
          </w:r>
          <w:r>
            <w:rPr>
              <w:rFonts w:ascii="Times New Roman" w:hAnsi="Times New Roman" w:cs="Times New Roman"/>
              <w:bCs/>
              <w:szCs w:val="24"/>
              <w:lang w:val="en-US"/>
            </w:rPr>
            <w:t>1.4 Research Purpose and Significance</w:t>
          </w:r>
          <w:r>
            <w:tab/>
          </w:r>
          <w:r>
            <w:fldChar w:fldCharType="begin"/>
          </w:r>
          <w:r>
            <w:instrText xml:space="preserve"> PAGEREF _Toc8098 \h </w:instrText>
          </w:r>
          <w:r>
            <w:fldChar w:fldCharType="separate"/>
          </w:r>
          <w:r>
            <w:t>16</w:t>
          </w:r>
          <w:r>
            <w:fldChar w:fldCharType="end"/>
          </w:r>
          <w:r>
            <w:fldChar w:fldCharType="end"/>
          </w:r>
        </w:p>
        <w:p w14:paraId="02A4B35E">
          <w:pPr>
            <w:pStyle w:val="19"/>
            <w:tabs>
              <w:tab w:val="right" w:leader="dot" w:pos="9360"/>
            </w:tabs>
          </w:pPr>
          <w:r>
            <w:fldChar w:fldCharType="begin"/>
          </w:r>
          <w:r>
            <w:instrText xml:space="preserve"> HYPERLINK \l _Toc26137 </w:instrText>
          </w:r>
          <w:r>
            <w:fldChar w:fldCharType="separate"/>
          </w:r>
          <w:r>
            <w:rPr>
              <w:rFonts w:ascii="Times New Roman" w:hAnsi="Times New Roman" w:cs="Times New Roman"/>
              <w:bCs/>
              <w:szCs w:val="24"/>
              <w:lang w:val="en-US"/>
            </w:rPr>
            <w:t>1.5 Dissertation Structure</w:t>
          </w:r>
          <w:r>
            <w:tab/>
          </w:r>
          <w:r>
            <w:fldChar w:fldCharType="begin"/>
          </w:r>
          <w:r>
            <w:instrText xml:space="preserve"> PAGEREF _Toc26137 \h </w:instrText>
          </w:r>
          <w:r>
            <w:fldChar w:fldCharType="separate"/>
          </w:r>
          <w:r>
            <w:t>17</w:t>
          </w:r>
          <w:r>
            <w:fldChar w:fldCharType="end"/>
          </w:r>
          <w:r>
            <w:fldChar w:fldCharType="end"/>
          </w:r>
        </w:p>
        <w:p w14:paraId="3F275C04">
          <w:pPr>
            <w:pStyle w:val="16"/>
            <w:tabs>
              <w:tab w:val="right" w:leader="dot" w:pos="9360"/>
            </w:tabs>
            <w:rPr>
              <w:b/>
              <w:bCs/>
            </w:rPr>
          </w:pPr>
          <w:r>
            <w:rPr>
              <w:b/>
              <w:bCs/>
            </w:rPr>
            <w:fldChar w:fldCharType="begin"/>
          </w:r>
          <w:r>
            <w:rPr>
              <w:b/>
              <w:bCs/>
            </w:rPr>
            <w:instrText xml:space="preserve"> HYPERLINK \l _Toc31569 </w:instrText>
          </w:r>
          <w:r>
            <w:rPr>
              <w:b/>
              <w:bCs/>
            </w:rPr>
            <w:fldChar w:fldCharType="separate"/>
          </w:r>
          <w:r>
            <w:rPr>
              <w:rFonts w:hint="eastAsia" w:ascii="Times New Roman" w:hAnsi="Times New Roman" w:cs="Times New Roman"/>
              <w:b/>
              <w:bCs/>
              <w:szCs w:val="24"/>
              <w:lang w:val="en-US" w:eastAsia="zh-CN"/>
            </w:rPr>
            <w:t xml:space="preserve">2.0 </w:t>
          </w:r>
          <w:r>
            <w:rPr>
              <w:rFonts w:hint="default" w:ascii="Times New Roman" w:hAnsi="Times New Roman" w:cs="Times New Roman"/>
              <w:b/>
              <w:bCs/>
              <w:szCs w:val="24"/>
              <w:lang w:val="en-US" w:eastAsia="zh-CN"/>
            </w:rPr>
            <w:t>LITERATURE REVIEW</w:t>
          </w:r>
          <w:r>
            <w:rPr>
              <w:b/>
              <w:bCs/>
            </w:rPr>
            <w:tab/>
          </w:r>
          <w:r>
            <w:rPr>
              <w:b/>
              <w:bCs/>
            </w:rPr>
            <w:fldChar w:fldCharType="begin"/>
          </w:r>
          <w:r>
            <w:rPr>
              <w:b/>
              <w:bCs/>
            </w:rPr>
            <w:instrText xml:space="preserve"> PAGEREF _Toc31569 \h </w:instrText>
          </w:r>
          <w:r>
            <w:rPr>
              <w:b/>
              <w:bCs/>
            </w:rPr>
            <w:fldChar w:fldCharType="separate"/>
          </w:r>
          <w:r>
            <w:rPr>
              <w:b/>
              <w:bCs/>
            </w:rPr>
            <w:t>18</w:t>
          </w:r>
          <w:r>
            <w:rPr>
              <w:b/>
              <w:bCs/>
            </w:rPr>
            <w:fldChar w:fldCharType="end"/>
          </w:r>
          <w:r>
            <w:rPr>
              <w:b/>
              <w:bCs/>
            </w:rPr>
            <w:fldChar w:fldCharType="end"/>
          </w:r>
        </w:p>
        <w:p w14:paraId="11CCCE73">
          <w:pPr>
            <w:pStyle w:val="19"/>
            <w:tabs>
              <w:tab w:val="right" w:leader="dot" w:pos="9360"/>
            </w:tabs>
          </w:pPr>
          <w:r>
            <w:fldChar w:fldCharType="begin"/>
          </w:r>
          <w:r>
            <w:instrText xml:space="preserve"> HYPERLINK \l _Toc13763 </w:instrText>
          </w:r>
          <w:r>
            <w:fldChar w:fldCharType="separate"/>
          </w:r>
          <w:r>
            <w:rPr>
              <w:rFonts w:ascii="Times New Roman" w:hAnsi="Times New Roman" w:cs="Times New Roman"/>
              <w:bCs/>
              <w:szCs w:val="24"/>
              <w:lang w:val="en-US"/>
            </w:rPr>
            <w:t>2.1 Introduction</w:t>
          </w:r>
          <w:r>
            <w:tab/>
          </w:r>
          <w:r>
            <w:fldChar w:fldCharType="begin"/>
          </w:r>
          <w:r>
            <w:instrText xml:space="preserve"> PAGEREF _Toc13763 \h </w:instrText>
          </w:r>
          <w:r>
            <w:fldChar w:fldCharType="separate"/>
          </w:r>
          <w:r>
            <w:t>18</w:t>
          </w:r>
          <w:r>
            <w:fldChar w:fldCharType="end"/>
          </w:r>
          <w:r>
            <w:fldChar w:fldCharType="end"/>
          </w:r>
        </w:p>
        <w:p w14:paraId="678F9FCA">
          <w:pPr>
            <w:pStyle w:val="19"/>
            <w:tabs>
              <w:tab w:val="right" w:leader="dot" w:pos="9360"/>
            </w:tabs>
          </w:pPr>
          <w:r>
            <w:fldChar w:fldCharType="begin"/>
          </w:r>
          <w:r>
            <w:instrText xml:space="preserve"> HYPERLINK \l _Toc15435 </w:instrText>
          </w:r>
          <w:r>
            <w:fldChar w:fldCharType="separate"/>
          </w:r>
          <w:r>
            <w:rPr>
              <w:rFonts w:ascii="Times New Roman" w:hAnsi="Times New Roman" w:cs="Times New Roman"/>
              <w:bCs/>
              <w:szCs w:val="24"/>
              <w:lang w:val="en-US"/>
            </w:rPr>
            <w:t>2.2 Influencer Marketing and the Fashion Context</w:t>
          </w:r>
          <w:r>
            <w:tab/>
          </w:r>
          <w:r>
            <w:fldChar w:fldCharType="begin"/>
          </w:r>
          <w:r>
            <w:instrText xml:space="preserve"> PAGEREF _Toc15435 \h </w:instrText>
          </w:r>
          <w:r>
            <w:fldChar w:fldCharType="separate"/>
          </w:r>
          <w:r>
            <w:t>19</w:t>
          </w:r>
          <w:r>
            <w:fldChar w:fldCharType="end"/>
          </w:r>
          <w:r>
            <w:fldChar w:fldCharType="end"/>
          </w:r>
        </w:p>
        <w:p w14:paraId="68E78BAD">
          <w:pPr>
            <w:pStyle w:val="19"/>
            <w:tabs>
              <w:tab w:val="right" w:leader="dot" w:pos="9360"/>
            </w:tabs>
          </w:pPr>
          <w:r>
            <w:fldChar w:fldCharType="begin"/>
          </w:r>
          <w:r>
            <w:instrText xml:space="preserve"> HYPERLINK \l _Toc23178 </w:instrText>
          </w:r>
          <w:r>
            <w:fldChar w:fldCharType="separate"/>
          </w:r>
          <w:r>
            <w:rPr>
              <w:rFonts w:ascii="Times New Roman" w:hAnsi="Times New Roman" w:cs="Times New Roman"/>
              <w:bCs/>
              <w:szCs w:val="24"/>
              <w:lang w:val="en-US"/>
            </w:rPr>
            <w:t>2.3 Theoretical Explanations of Influencer Persuasion</w:t>
          </w:r>
          <w:r>
            <w:tab/>
          </w:r>
          <w:r>
            <w:fldChar w:fldCharType="begin"/>
          </w:r>
          <w:r>
            <w:instrText xml:space="preserve"> PAGEREF _Toc23178 \h </w:instrText>
          </w:r>
          <w:r>
            <w:fldChar w:fldCharType="separate"/>
          </w:r>
          <w:r>
            <w:t>22</w:t>
          </w:r>
          <w:r>
            <w:fldChar w:fldCharType="end"/>
          </w:r>
          <w:r>
            <w:fldChar w:fldCharType="end"/>
          </w:r>
        </w:p>
        <w:p w14:paraId="09A313E3">
          <w:pPr>
            <w:pStyle w:val="19"/>
            <w:tabs>
              <w:tab w:val="right" w:leader="dot" w:pos="9360"/>
            </w:tabs>
          </w:pPr>
          <w:r>
            <w:fldChar w:fldCharType="begin"/>
          </w:r>
          <w:r>
            <w:instrText xml:space="preserve"> HYPERLINK \l _Toc12282 </w:instrText>
          </w:r>
          <w:r>
            <w:fldChar w:fldCharType="separate"/>
          </w:r>
          <w:r>
            <w:rPr>
              <w:rFonts w:ascii="Times New Roman" w:hAnsi="Times New Roman" w:cs="Times New Roman"/>
              <w:bCs/>
              <w:szCs w:val="24"/>
              <w:lang w:val="en-US"/>
            </w:rPr>
            <w:t>2.4 Authenticity, Trust and Sponsorship Disclosure</w:t>
          </w:r>
          <w:r>
            <w:tab/>
          </w:r>
          <w:r>
            <w:fldChar w:fldCharType="begin"/>
          </w:r>
          <w:r>
            <w:instrText xml:space="preserve"> PAGEREF _Toc12282 \h </w:instrText>
          </w:r>
          <w:r>
            <w:fldChar w:fldCharType="separate"/>
          </w:r>
          <w:r>
            <w:t>24</w:t>
          </w:r>
          <w:r>
            <w:fldChar w:fldCharType="end"/>
          </w:r>
          <w:r>
            <w:fldChar w:fldCharType="end"/>
          </w:r>
        </w:p>
        <w:p w14:paraId="23968279">
          <w:pPr>
            <w:pStyle w:val="19"/>
            <w:tabs>
              <w:tab w:val="right" w:leader="dot" w:pos="9360"/>
            </w:tabs>
          </w:pPr>
          <w:r>
            <w:fldChar w:fldCharType="begin"/>
          </w:r>
          <w:r>
            <w:instrText xml:space="preserve"> HYPERLINK \l _Toc3599 </w:instrText>
          </w:r>
          <w:r>
            <w:fldChar w:fldCharType="separate"/>
          </w:r>
          <w:r>
            <w:rPr>
              <w:rFonts w:ascii="Times New Roman" w:hAnsi="Times New Roman" w:cs="Times New Roman"/>
              <w:bCs/>
              <w:szCs w:val="24"/>
              <w:lang w:val="en-US"/>
            </w:rPr>
            <w:t>2.5 Empirical Evidence on Engagement, Purchase Intention and ROI</w:t>
          </w:r>
          <w:r>
            <w:tab/>
          </w:r>
          <w:r>
            <w:fldChar w:fldCharType="begin"/>
          </w:r>
          <w:r>
            <w:instrText xml:space="preserve"> PAGEREF _Toc3599 \h </w:instrText>
          </w:r>
          <w:r>
            <w:fldChar w:fldCharType="separate"/>
          </w:r>
          <w:r>
            <w:t>26</w:t>
          </w:r>
          <w:r>
            <w:fldChar w:fldCharType="end"/>
          </w:r>
          <w:r>
            <w:fldChar w:fldCharType="end"/>
          </w:r>
        </w:p>
        <w:p w14:paraId="1D0D56F4">
          <w:pPr>
            <w:pStyle w:val="19"/>
            <w:tabs>
              <w:tab w:val="right" w:leader="dot" w:pos="9360"/>
            </w:tabs>
          </w:pPr>
          <w:r>
            <w:fldChar w:fldCharType="begin"/>
          </w:r>
          <w:r>
            <w:instrText xml:space="preserve"> HYPERLINK \l _Toc19414 </w:instrText>
          </w:r>
          <w:r>
            <w:fldChar w:fldCharType="separate"/>
          </w:r>
          <w:r>
            <w:rPr>
              <w:rFonts w:ascii="Times New Roman" w:hAnsi="Times New Roman" w:cs="Times New Roman"/>
              <w:bCs/>
              <w:szCs w:val="24"/>
              <w:lang w:val="en-US"/>
            </w:rPr>
            <w:t>2.6 Critical Synthesis and Research Gap</w:t>
          </w:r>
          <w:r>
            <w:tab/>
          </w:r>
          <w:r>
            <w:fldChar w:fldCharType="begin"/>
          </w:r>
          <w:r>
            <w:instrText xml:space="preserve"> PAGEREF _Toc19414 \h </w:instrText>
          </w:r>
          <w:r>
            <w:fldChar w:fldCharType="separate"/>
          </w:r>
          <w:r>
            <w:t>28</w:t>
          </w:r>
          <w:r>
            <w:fldChar w:fldCharType="end"/>
          </w:r>
          <w:r>
            <w:fldChar w:fldCharType="end"/>
          </w:r>
        </w:p>
        <w:p w14:paraId="164D8EEC">
          <w:pPr>
            <w:pStyle w:val="19"/>
            <w:tabs>
              <w:tab w:val="right" w:leader="dot" w:pos="9360"/>
            </w:tabs>
          </w:pPr>
          <w:r>
            <w:fldChar w:fldCharType="begin"/>
          </w:r>
          <w:r>
            <w:instrText xml:space="preserve"> HYPERLINK \l _Toc28892 </w:instrText>
          </w:r>
          <w:r>
            <w:fldChar w:fldCharType="separate"/>
          </w:r>
          <w:r>
            <w:rPr>
              <w:rFonts w:ascii="Times New Roman" w:hAnsi="Times New Roman" w:cs="Times New Roman"/>
              <w:bCs/>
              <w:szCs w:val="24"/>
              <w:lang w:val="en-US"/>
            </w:rPr>
            <w:t>2.7 Summary</w:t>
          </w:r>
          <w:r>
            <w:tab/>
          </w:r>
          <w:r>
            <w:fldChar w:fldCharType="begin"/>
          </w:r>
          <w:r>
            <w:instrText xml:space="preserve"> PAGEREF _Toc28892 \h </w:instrText>
          </w:r>
          <w:r>
            <w:fldChar w:fldCharType="separate"/>
          </w:r>
          <w:r>
            <w:t>30</w:t>
          </w:r>
          <w:r>
            <w:fldChar w:fldCharType="end"/>
          </w:r>
          <w:r>
            <w:fldChar w:fldCharType="end"/>
          </w:r>
        </w:p>
        <w:p w14:paraId="0395F981">
          <w:pPr>
            <w:pStyle w:val="16"/>
            <w:tabs>
              <w:tab w:val="right" w:leader="dot" w:pos="9360"/>
            </w:tabs>
            <w:rPr>
              <w:b/>
              <w:bCs/>
            </w:rPr>
          </w:pPr>
          <w:r>
            <w:rPr>
              <w:b/>
              <w:bCs/>
            </w:rPr>
            <w:fldChar w:fldCharType="begin"/>
          </w:r>
          <w:r>
            <w:rPr>
              <w:b/>
              <w:bCs/>
            </w:rPr>
            <w:instrText xml:space="preserve"> HYPERLINK \l _Toc29544 </w:instrText>
          </w:r>
          <w:r>
            <w:rPr>
              <w:b/>
              <w:bCs/>
            </w:rPr>
            <w:fldChar w:fldCharType="separate"/>
          </w:r>
          <w:r>
            <w:rPr>
              <w:rFonts w:hint="default" w:ascii="Times New Roman" w:hAnsi="Times New Roman" w:cs="Times New Roman"/>
              <w:b/>
              <w:bCs/>
              <w:szCs w:val="24"/>
              <w:lang w:val="en-US" w:eastAsia="zh-CN"/>
            </w:rPr>
            <w:t>3.0 METHODOLOGY</w:t>
          </w:r>
          <w:r>
            <w:rPr>
              <w:b/>
              <w:bCs/>
            </w:rPr>
            <w:tab/>
          </w:r>
          <w:r>
            <w:rPr>
              <w:b/>
              <w:bCs/>
            </w:rPr>
            <w:fldChar w:fldCharType="begin"/>
          </w:r>
          <w:r>
            <w:rPr>
              <w:b/>
              <w:bCs/>
            </w:rPr>
            <w:instrText xml:space="preserve"> PAGEREF _Toc29544 \h </w:instrText>
          </w:r>
          <w:r>
            <w:rPr>
              <w:b/>
              <w:bCs/>
            </w:rPr>
            <w:fldChar w:fldCharType="separate"/>
          </w:r>
          <w:r>
            <w:rPr>
              <w:b/>
              <w:bCs/>
            </w:rPr>
            <w:t>31</w:t>
          </w:r>
          <w:r>
            <w:rPr>
              <w:b/>
              <w:bCs/>
            </w:rPr>
            <w:fldChar w:fldCharType="end"/>
          </w:r>
          <w:r>
            <w:rPr>
              <w:b/>
              <w:bCs/>
            </w:rPr>
            <w:fldChar w:fldCharType="end"/>
          </w:r>
        </w:p>
        <w:p w14:paraId="6A93AD98">
          <w:pPr>
            <w:pStyle w:val="19"/>
            <w:tabs>
              <w:tab w:val="right" w:leader="dot" w:pos="9360"/>
            </w:tabs>
          </w:pPr>
          <w:r>
            <w:fldChar w:fldCharType="begin"/>
          </w:r>
          <w:r>
            <w:instrText xml:space="preserve"> HYPERLINK \l _Toc12507 </w:instrText>
          </w:r>
          <w:r>
            <w:fldChar w:fldCharType="separate"/>
          </w:r>
          <w:r>
            <w:rPr>
              <w:rFonts w:ascii="Times New Roman" w:hAnsi="Times New Roman" w:cs="Times New Roman"/>
              <w:bCs/>
              <w:szCs w:val="24"/>
              <w:lang w:val="en-US"/>
            </w:rPr>
            <w:t>3.1 Introduction</w:t>
          </w:r>
          <w:r>
            <w:tab/>
          </w:r>
          <w:r>
            <w:fldChar w:fldCharType="begin"/>
          </w:r>
          <w:r>
            <w:instrText xml:space="preserve"> PAGEREF _Toc12507 \h </w:instrText>
          </w:r>
          <w:r>
            <w:fldChar w:fldCharType="separate"/>
          </w:r>
          <w:r>
            <w:t>31</w:t>
          </w:r>
          <w:r>
            <w:fldChar w:fldCharType="end"/>
          </w:r>
          <w:r>
            <w:fldChar w:fldCharType="end"/>
          </w:r>
        </w:p>
        <w:p w14:paraId="1ADED05C">
          <w:pPr>
            <w:pStyle w:val="19"/>
            <w:tabs>
              <w:tab w:val="right" w:leader="dot" w:pos="9360"/>
            </w:tabs>
          </w:pPr>
          <w:r>
            <w:fldChar w:fldCharType="begin"/>
          </w:r>
          <w:r>
            <w:instrText xml:space="preserve"> HYPERLINK \l _Toc7021 </w:instrText>
          </w:r>
          <w:r>
            <w:fldChar w:fldCharType="separate"/>
          </w:r>
          <w:r>
            <w:rPr>
              <w:rFonts w:ascii="Times New Roman" w:hAnsi="Times New Roman" w:cs="Times New Roman"/>
              <w:bCs/>
              <w:szCs w:val="24"/>
              <w:lang w:val="en-US"/>
            </w:rPr>
            <w:t>3.2 Research Approach and Design</w:t>
          </w:r>
          <w:r>
            <w:tab/>
          </w:r>
          <w:r>
            <w:fldChar w:fldCharType="begin"/>
          </w:r>
          <w:r>
            <w:instrText xml:space="preserve"> PAGEREF _Toc7021 \h </w:instrText>
          </w:r>
          <w:r>
            <w:fldChar w:fldCharType="separate"/>
          </w:r>
          <w:r>
            <w:t>31</w:t>
          </w:r>
          <w:r>
            <w:fldChar w:fldCharType="end"/>
          </w:r>
          <w:r>
            <w:fldChar w:fldCharType="end"/>
          </w:r>
        </w:p>
        <w:p w14:paraId="3A2E134D">
          <w:pPr>
            <w:pStyle w:val="19"/>
            <w:tabs>
              <w:tab w:val="right" w:leader="dot" w:pos="9360"/>
            </w:tabs>
          </w:pPr>
          <w:r>
            <w:fldChar w:fldCharType="begin"/>
          </w:r>
          <w:r>
            <w:instrText xml:space="preserve"> HYPERLINK \l _Toc23652 </w:instrText>
          </w:r>
          <w:r>
            <w:fldChar w:fldCharType="separate"/>
          </w:r>
          <w:r>
            <w:rPr>
              <w:rFonts w:ascii="Times New Roman" w:hAnsi="Times New Roman" w:cs="Times New Roman"/>
              <w:bCs/>
              <w:szCs w:val="24"/>
              <w:lang w:val="en-US"/>
            </w:rPr>
            <w:t>3.3 Data Sources, Selection and Screening</w:t>
          </w:r>
          <w:r>
            <w:tab/>
          </w:r>
          <w:r>
            <w:fldChar w:fldCharType="begin"/>
          </w:r>
          <w:r>
            <w:instrText xml:space="preserve"> PAGEREF _Toc23652 \h </w:instrText>
          </w:r>
          <w:r>
            <w:fldChar w:fldCharType="separate"/>
          </w:r>
          <w:r>
            <w:t>32</w:t>
          </w:r>
          <w:r>
            <w:fldChar w:fldCharType="end"/>
          </w:r>
          <w:r>
            <w:fldChar w:fldCharType="end"/>
          </w:r>
        </w:p>
        <w:p w14:paraId="71F22416">
          <w:pPr>
            <w:pStyle w:val="19"/>
            <w:tabs>
              <w:tab w:val="right" w:leader="dot" w:pos="9360"/>
            </w:tabs>
          </w:pPr>
          <w:r>
            <w:fldChar w:fldCharType="begin"/>
          </w:r>
          <w:r>
            <w:instrText xml:space="preserve"> HYPERLINK \l _Toc6952 </w:instrText>
          </w:r>
          <w:r>
            <w:fldChar w:fldCharType="separate"/>
          </w:r>
          <w:r>
            <w:rPr>
              <w:rFonts w:ascii="Times New Roman" w:hAnsi="Times New Roman" w:cs="Times New Roman"/>
              <w:bCs/>
              <w:szCs w:val="24"/>
              <w:lang w:val="en-US"/>
            </w:rPr>
            <w:t>3.4 Data Extraction and Quality Assessment</w:t>
          </w:r>
          <w:r>
            <w:tab/>
          </w:r>
          <w:r>
            <w:fldChar w:fldCharType="begin"/>
          </w:r>
          <w:r>
            <w:instrText xml:space="preserve"> PAGEREF _Toc6952 \h </w:instrText>
          </w:r>
          <w:r>
            <w:fldChar w:fldCharType="separate"/>
          </w:r>
          <w:r>
            <w:t>35</w:t>
          </w:r>
          <w:r>
            <w:fldChar w:fldCharType="end"/>
          </w:r>
          <w:r>
            <w:fldChar w:fldCharType="end"/>
          </w:r>
        </w:p>
        <w:p w14:paraId="52D03A2E">
          <w:pPr>
            <w:pStyle w:val="19"/>
            <w:tabs>
              <w:tab w:val="right" w:leader="dot" w:pos="9360"/>
            </w:tabs>
          </w:pPr>
          <w:r>
            <w:fldChar w:fldCharType="begin"/>
          </w:r>
          <w:r>
            <w:instrText xml:space="preserve"> HYPERLINK \l _Toc3796 </w:instrText>
          </w:r>
          <w:r>
            <w:fldChar w:fldCharType="separate"/>
          </w:r>
          <w:r>
            <w:rPr>
              <w:rFonts w:ascii="Times New Roman" w:hAnsi="Times New Roman" w:cs="Times New Roman"/>
              <w:bCs/>
              <w:szCs w:val="24"/>
              <w:lang w:val="en-US"/>
            </w:rPr>
            <w:t>3.5 Data Analysis</w:t>
          </w:r>
          <w:r>
            <w:tab/>
          </w:r>
          <w:r>
            <w:fldChar w:fldCharType="begin"/>
          </w:r>
          <w:r>
            <w:instrText xml:space="preserve"> PAGEREF _Toc3796 \h </w:instrText>
          </w:r>
          <w:r>
            <w:fldChar w:fldCharType="separate"/>
          </w:r>
          <w:r>
            <w:t>36</w:t>
          </w:r>
          <w:r>
            <w:fldChar w:fldCharType="end"/>
          </w:r>
          <w:r>
            <w:fldChar w:fldCharType="end"/>
          </w:r>
        </w:p>
        <w:p w14:paraId="2609BAC9">
          <w:pPr>
            <w:pStyle w:val="19"/>
            <w:tabs>
              <w:tab w:val="right" w:leader="dot" w:pos="9360"/>
            </w:tabs>
          </w:pPr>
          <w:r>
            <w:fldChar w:fldCharType="begin"/>
          </w:r>
          <w:r>
            <w:instrText xml:space="preserve"> HYPERLINK \l _Toc17692 </w:instrText>
          </w:r>
          <w:r>
            <w:fldChar w:fldCharType="separate"/>
          </w:r>
          <w:r>
            <w:rPr>
              <w:rFonts w:ascii="Times New Roman" w:hAnsi="Times New Roman" w:cs="Times New Roman"/>
              <w:bCs/>
              <w:szCs w:val="24"/>
              <w:lang w:val="en-US"/>
            </w:rPr>
            <w:t>3.6 Ethical Considerations, Trustworthiness and Limitations</w:t>
          </w:r>
          <w:r>
            <w:tab/>
          </w:r>
          <w:r>
            <w:fldChar w:fldCharType="begin"/>
          </w:r>
          <w:r>
            <w:instrText xml:space="preserve"> PAGEREF _Toc17692 \h </w:instrText>
          </w:r>
          <w:r>
            <w:fldChar w:fldCharType="separate"/>
          </w:r>
          <w:r>
            <w:t>36</w:t>
          </w:r>
          <w:r>
            <w:fldChar w:fldCharType="end"/>
          </w:r>
          <w:r>
            <w:fldChar w:fldCharType="end"/>
          </w:r>
        </w:p>
        <w:p w14:paraId="04A83916">
          <w:pPr>
            <w:pStyle w:val="16"/>
            <w:tabs>
              <w:tab w:val="right" w:leader="dot" w:pos="9360"/>
            </w:tabs>
            <w:rPr>
              <w:b/>
              <w:bCs/>
            </w:rPr>
          </w:pPr>
          <w:r>
            <w:rPr>
              <w:b/>
              <w:bCs/>
            </w:rPr>
            <w:fldChar w:fldCharType="begin"/>
          </w:r>
          <w:r>
            <w:rPr>
              <w:b/>
              <w:bCs/>
            </w:rPr>
            <w:instrText xml:space="preserve"> HYPERLINK \l _Toc19149 </w:instrText>
          </w:r>
          <w:r>
            <w:rPr>
              <w:b/>
              <w:bCs/>
            </w:rPr>
            <w:fldChar w:fldCharType="separate"/>
          </w:r>
          <w:r>
            <w:rPr>
              <w:rFonts w:hint="default" w:ascii="Times New Roman" w:hAnsi="Times New Roman" w:cs="Times New Roman"/>
              <w:b/>
              <w:bCs/>
              <w:szCs w:val="24"/>
              <w:lang w:val="en-US" w:eastAsia="zh-CN"/>
            </w:rPr>
            <w:t>4.0 DATA ANALYSIS</w:t>
          </w:r>
          <w:r>
            <w:rPr>
              <w:b/>
              <w:bCs/>
            </w:rPr>
            <w:tab/>
          </w:r>
          <w:r>
            <w:rPr>
              <w:b/>
              <w:bCs/>
            </w:rPr>
            <w:fldChar w:fldCharType="begin"/>
          </w:r>
          <w:r>
            <w:rPr>
              <w:b/>
              <w:bCs/>
            </w:rPr>
            <w:instrText xml:space="preserve"> PAGEREF _Toc19149 \h </w:instrText>
          </w:r>
          <w:r>
            <w:rPr>
              <w:b/>
              <w:bCs/>
            </w:rPr>
            <w:fldChar w:fldCharType="separate"/>
          </w:r>
          <w:r>
            <w:rPr>
              <w:b/>
              <w:bCs/>
            </w:rPr>
            <w:t>38</w:t>
          </w:r>
          <w:r>
            <w:rPr>
              <w:b/>
              <w:bCs/>
            </w:rPr>
            <w:fldChar w:fldCharType="end"/>
          </w:r>
          <w:r>
            <w:rPr>
              <w:b/>
              <w:bCs/>
            </w:rPr>
            <w:fldChar w:fldCharType="end"/>
          </w:r>
        </w:p>
        <w:p w14:paraId="49BA4019">
          <w:pPr>
            <w:pStyle w:val="19"/>
            <w:tabs>
              <w:tab w:val="right" w:leader="dot" w:pos="9360"/>
            </w:tabs>
          </w:pPr>
          <w:r>
            <w:fldChar w:fldCharType="begin"/>
          </w:r>
          <w:r>
            <w:instrText xml:space="preserve"> HYPERLINK \l _Toc27339 </w:instrText>
          </w:r>
          <w:r>
            <w:fldChar w:fldCharType="separate"/>
          </w:r>
          <w:r>
            <w:rPr>
              <w:rFonts w:ascii="Times New Roman" w:hAnsi="Times New Roman" w:cs="Times New Roman"/>
              <w:bCs/>
              <w:szCs w:val="24"/>
              <w:lang w:val="en-US"/>
            </w:rPr>
            <w:t>4.1 Introduction</w:t>
          </w:r>
          <w:r>
            <w:tab/>
          </w:r>
          <w:r>
            <w:fldChar w:fldCharType="begin"/>
          </w:r>
          <w:r>
            <w:instrText xml:space="preserve"> PAGEREF _Toc27339 \h </w:instrText>
          </w:r>
          <w:r>
            <w:fldChar w:fldCharType="separate"/>
          </w:r>
          <w:r>
            <w:t>38</w:t>
          </w:r>
          <w:r>
            <w:fldChar w:fldCharType="end"/>
          </w:r>
          <w:r>
            <w:fldChar w:fldCharType="end"/>
          </w:r>
        </w:p>
        <w:p w14:paraId="00DB1297">
          <w:pPr>
            <w:pStyle w:val="19"/>
            <w:tabs>
              <w:tab w:val="right" w:leader="dot" w:pos="9360"/>
            </w:tabs>
          </w:pPr>
          <w:r>
            <w:fldChar w:fldCharType="begin"/>
          </w:r>
          <w:r>
            <w:instrText xml:space="preserve"> HYPERLINK \l _Toc14225 </w:instrText>
          </w:r>
          <w:r>
            <w:fldChar w:fldCharType="separate"/>
          </w:r>
          <w:r>
            <w:rPr>
              <w:rFonts w:ascii="Times New Roman" w:hAnsi="Times New Roman" w:cs="Times New Roman"/>
              <w:bCs/>
              <w:szCs w:val="24"/>
              <w:lang w:val="en-US"/>
            </w:rPr>
            <w:t>4.2 Credibility, Trust and Expertise</w:t>
          </w:r>
          <w:r>
            <w:tab/>
          </w:r>
          <w:r>
            <w:fldChar w:fldCharType="begin"/>
          </w:r>
          <w:r>
            <w:instrText xml:space="preserve"> PAGEREF _Toc14225 \h </w:instrText>
          </w:r>
          <w:r>
            <w:fldChar w:fldCharType="separate"/>
          </w:r>
          <w:r>
            <w:t>39</w:t>
          </w:r>
          <w:r>
            <w:fldChar w:fldCharType="end"/>
          </w:r>
          <w:r>
            <w:fldChar w:fldCharType="end"/>
          </w:r>
        </w:p>
        <w:p w14:paraId="045EAEA4">
          <w:pPr>
            <w:pStyle w:val="19"/>
            <w:tabs>
              <w:tab w:val="right" w:leader="dot" w:pos="9360"/>
            </w:tabs>
          </w:pPr>
          <w:r>
            <w:fldChar w:fldCharType="begin"/>
          </w:r>
          <w:r>
            <w:instrText xml:space="preserve"> HYPERLINK \l _Toc19241 </w:instrText>
          </w:r>
          <w:r>
            <w:fldChar w:fldCharType="separate"/>
          </w:r>
          <w:r>
            <w:rPr>
              <w:rFonts w:ascii="Times New Roman" w:hAnsi="Times New Roman" w:cs="Times New Roman"/>
              <w:bCs/>
              <w:szCs w:val="24"/>
              <w:lang w:val="en-US"/>
            </w:rPr>
            <w:t>4.3 Authenticity and Product-Influencer Congruence</w:t>
          </w:r>
          <w:r>
            <w:tab/>
          </w:r>
          <w:r>
            <w:fldChar w:fldCharType="begin"/>
          </w:r>
          <w:r>
            <w:instrText xml:space="preserve"> PAGEREF _Toc19241 \h </w:instrText>
          </w:r>
          <w:r>
            <w:fldChar w:fldCharType="separate"/>
          </w:r>
          <w:r>
            <w:t>43</w:t>
          </w:r>
          <w:r>
            <w:fldChar w:fldCharType="end"/>
          </w:r>
          <w:r>
            <w:fldChar w:fldCharType="end"/>
          </w:r>
        </w:p>
        <w:p w14:paraId="05C24695">
          <w:pPr>
            <w:pStyle w:val="19"/>
            <w:tabs>
              <w:tab w:val="right" w:leader="dot" w:pos="9360"/>
            </w:tabs>
          </w:pPr>
          <w:r>
            <w:fldChar w:fldCharType="begin"/>
          </w:r>
          <w:r>
            <w:instrText xml:space="preserve"> HYPERLINK \l _Toc25111 </w:instrText>
          </w:r>
          <w:r>
            <w:fldChar w:fldCharType="separate"/>
          </w:r>
          <w:r>
            <w:rPr>
              <w:rFonts w:ascii="Times New Roman" w:hAnsi="Times New Roman" w:cs="Times New Roman"/>
              <w:bCs/>
              <w:szCs w:val="24"/>
              <w:lang w:val="en-US"/>
            </w:rPr>
            <w:t>4.4 Parasocial Relationships, Attachment and Other Psychological Mechanisms</w:t>
          </w:r>
          <w:r>
            <w:tab/>
          </w:r>
          <w:r>
            <w:fldChar w:fldCharType="begin"/>
          </w:r>
          <w:r>
            <w:instrText xml:space="preserve"> PAGEREF _Toc25111 \h </w:instrText>
          </w:r>
          <w:r>
            <w:fldChar w:fldCharType="separate"/>
          </w:r>
          <w:r>
            <w:t>47</w:t>
          </w:r>
          <w:r>
            <w:fldChar w:fldCharType="end"/>
          </w:r>
          <w:r>
            <w:fldChar w:fldCharType="end"/>
          </w:r>
        </w:p>
        <w:p w14:paraId="7315C7B6">
          <w:pPr>
            <w:pStyle w:val="19"/>
            <w:tabs>
              <w:tab w:val="right" w:leader="dot" w:pos="9360"/>
            </w:tabs>
          </w:pPr>
          <w:r>
            <w:fldChar w:fldCharType="begin"/>
          </w:r>
          <w:r>
            <w:instrText xml:space="preserve"> HYPERLINK \l _Toc10720 </w:instrText>
          </w:r>
          <w:r>
            <w:fldChar w:fldCharType="separate"/>
          </w:r>
          <w:r>
            <w:rPr>
              <w:rFonts w:ascii="Times New Roman" w:hAnsi="Times New Roman" w:cs="Times New Roman"/>
              <w:bCs/>
              <w:szCs w:val="24"/>
              <w:lang w:val="en-US"/>
            </w:rPr>
            <w:t>4.5 Sponsorship Disclosure</w:t>
          </w:r>
          <w:r>
            <w:tab/>
          </w:r>
          <w:r>
            <w:fldChar w:fldCharType="begin"/>
          </w:r>
          <w:r>
            <w:instrText xml:space="preserve"> PAGEREF _Toc10720 \h </w:instrText>
          </w:r>
          <w:r>
            <w:fldChar w:fldCharType="separate"/>
          </w:r>
          <w:r>
            <w:t>52</w:t>
          </w:r>
          <w:r>
            <w:fldChar w:fldCharType="end"/>
          </w:r>
          <w:r>
            <w:fldChar w:fldCharType="end"/>
          </w:r>
        </w:p>
        <w:p w14:paraId="74E8E1EC">
          <w:pPr>
            <w:pStyle w:val="19"/>
            <w:tabs>
              <w:tab w:val="right" w:leader="dot" w:pos="9360"/>
            </w:tabs>
          </w:pPr>
          <w:r>
            <w:fldChar w:fldCharType="begin"/>
          </w:r>
          <w:r>
            <w:instrText xml:space="preserve"> HYPERLINK \l _Toc26558 </w:instrText>
          </w:r>
          <w:r>
            <w:fldChar w:fldCharType="separate"/>
          </w:r>
          <w:r>
            <w:rPr>
              <w:rFonts w:ascii="Times New Roman" w:hAnsi="Times New Roman" w:cs="Times New Roman"/>
              <w:bCs/>
              <w:szCs w:val="24"/>
              <w:lang w:val="en-US"/>
            </w:rPr>
            <w:t>4.6 Engagement, Brand Awareness and Campaign Performance</w:t>
          </w:r>
          <w:r>
            <w:tab/>
          </w:r>
          <w:r>
            <w:fldChar w:fldCharType="begin"/>
          </w:r>
          <w:r>
            <w:instrText xml:space="preserve"> PAGEREF _Toc26558 \h </w:instrText>
          </w:r>
          <w:r>
            <w:fldChar w:fldCharType="separate"/>
          </w:r>
          <w:r>
            <w:t>56</w:t>
          </w:r>
          <w:r>
            <w:fldChar w:fldCharType="end"/>
          </w:r>
          <w:r>
            <w:fldChar w:fldCharType="end"/>
          </w:r>
        </w:p>
        <w:p w14:paraId="57BE6FDC">
          <w:pPr>
            <w:pStyle w:val="19"/>
            <w:tabs>
              <w:tab w:val="right" w:leader="dot" w:pos="9360"/>
            </w:tabs>
          </w:pPr>
          <w:r>
            <w:fldChar w:fldCharType="begin"/>
          </w:r>
          <w:r>
            <w:instrText xml:space="preserve"> HYPERLINK \l _Toc32164 </w:instrText>
          </w:r>
          <w:r>
            <w:fldChar w:fldCharType="separate"/>
          </w:r>
          <w:r>
            <w:rPr>
              <w:rFonts w:ascii="Times New Roman" w:hAnsi="Times New Roman" w:cs="Times New Roman"/>
              <w:bCs/>
              <w:szCs w:val="24"/>
              <w:lang w:val="en-US"/>
            </w:rPr>
            <w:t>4.7 Purchase Intention, Conversion and ROI-Related Evidence</w:t>
          </w:r>
          <w:r>
            <w:tab/>
          </w:r>
          <w:r>
            <w:fldChar w:fldCharType="begin"/>
          </w:r>
          <w:r>
            <w:instrText xml:space="preserve"> PAGEREF _Toc32164 \h </w:instrText>
          </w:r>
          <w:r>
            <w:fldChar w:fldCharType="separate"/>
          </w:r>
          <w:r>
            <w:t>59</w:t>
          </w:r>
          <w:r>
            <w:fldChar w:fldCharType="end"/>
          </w:r>
          <w:r>
            <w:fldChar w:fldCharType="end"/>
          </w:r>
        </w:p>
        <w:p w14:paraId="485F6180">
          <w:pPr>
            <w:pStyle w:val="19"/>
            <w:tabs>
              <w:tab w:val="right" w:leader="dot" w:pos="9360"/>
            </w:tabs>
          </w:pPr>
          <w:r>
            <w:fldChar w:fldCharType="begin"/>
          </w:r>
          <w:r>
            <w:instrText xml:space="preserve"> HYPERLINK \l _Toc24542 </w:instrText>
          </w:r>
          <w:r>
            <w:fldChar w:fldCharType="separate"/>
          </w:r>
          <w:r>
            <w:rPr>
              <w:rFonts w:ascii="Times New Roman" w:hAnsi="Times New Roman" w:cs="Times New Roman"/>
              <w:bCs/>
              <w:szCs w:val="24"/>
              <w:lang w:val="en-US"/>
            </w:rPr>
            <w:t>4.8 Summary of Findings</w:t>
          </w:r>
          <w:r>
            <w:tab/>
          </w:r>
          <w:r>
            <w:fldChar w:fldCharType="begin"/>
          </w:r>
          <w:r>
            <w:instrText xml:space="preserve"> PAGEREF _Toc24542 \h </w:instrText>
          </w:r>
          <w:r>
            <w:fldChar w:fldCharType="separate"/>
          </w:r>
          <w:r>
            <w:t>63</w:t>
          </w:r>
          <w:r>
            <w:fldChar w:fldCharType="end"/>
          </w:r>
          <w:r>
            <w:fldChar w:fldCharType="end"/>
          </w:r>
        </w:p>
        <w:p w14:paraId="316C167B">
          <w:pPr>
            <w:pStyle w:val="16"/>
            <w:tabs>
              <w:tab w:val="right" w:leader="dot" w:pos="9360"/>
            </w:tabs>
            <w:rPr>
              <w:b/>
              <w:bCs/>
            </w:rPr>
          </w:pPr>
          <w:r>
            <w:rPr>
              <w:b/>
              <w:bCs/>
            </w:rPr>
            <w:fldChar w:fldCharType="begin"/>
          </w:r>
          <w:r>
            <w:rPr>
              <w:b/>
              <w:bCs/>
            </w:rPr>
            <w:instrText xml:space="preserve"> HYPERLINK \l _Toc22047 </w:instrText>
          </w:r>
          <w:r>
            <w:rPr>
              <w:b/>
              <w:bCs/>
            </w:rPr>
            <w:fldChar w:fldCharType="separate"/>
          </w:r>
          <w:r>
            <w:rPr>
              <w:rFonts w:hint="eastAsia" w:ascii="Times New Roman" w:hAnsi="Times New Roman" w:cs="Times New Roman"/>
              <w:b/>
              <w:bCs/>
              <w:szCs w:val="24"/>
              <w:lang w:val="en-US" w:eastAsia="zh-CN"/>
            </w:rPr>
            <w:t xml:space="preserve">5.0 </w:t>
          </w:r>
          <w:r>
            <w:rPr>
              <w:rFonts w:hint="default" w:ascii="Times New Roman" w:hAnsi="Times New Roman" w:cs="Times New Roman"/>
              <w:b/>
              <w:bCs/>
              <w:szCs w:val="24"/>
              <w:lang w:val="en-US" w:eastAsia="zh-CN"/>
            </w:rPr>
            <w:t>CONCLUSION AND RECOMMENDATIONS</w:t>
          </w:r>
          <w:r>
            <w:rPr>
              <w:b/>
              <w:bCs/>
            </w:rPr>
            <w:tab/>
          </w:r>
          <w:r>
            <w:rPr>
              <w:b/>
              <w:bCs/>
            </w:rPr>
            <w:fldChar w:fldCharType="begin"/>
          </w:r>
          <w:r>
            <w:rPr>
              <w:b/>
              <w:bCs/>
            </w:rPr>
            <w:instrText xml:space="preserve"> PAGEREF _Toc22047 \h </w:instrText>
          </w:r>
          <w:r>
            <w:rPr>
              <w:b/>
              <w:bCs/>
            </w:rPr>
            <w:fldChar w:fldCharType="separate"/>
          </w:r>
          <w:r>
            <w:rPr>
              <w:b/>
              <w:bCs/>
            </w:rPr>
            <w:t>65</w:t>
          </w:r>
          <w:r>
            <w:rPr>
              <w:b/>
              <w:bCs/>
            </w:rPr>
            <w:fldChar w:fldCharType="end"/>
          </w:r>
          <w:r>
            <w:rPr>
              <w:b/>
              <w:bCs/>
            </w:rPr>
            <w:fldChar w:fldCharType="end"/>
          </w:r>
        </w:p>
        <w:p w14:paraId="59A26852">
          <w:pPr>
            <w:pStyle w:val="19"/>
            <w:tabs>
              <w:tab w:val="right" w:leader="dot" w:pos="9360"/>
            </w:tabs>
          </w:pPr>
          <w:r>
            <w:fldChar w:fldCharType="begin"/>
          </w:r>
          <w:r>
            <w:instrText xml:space="preserve"> HYPERLINK \l _Toc17019 </w:instrText>
          </w:r>
          <w:r>
            <w:fldChar w:fldCharType="separate"/>
          </w:r>
          <w:r>
            <w:rPr>
              <w:rFonts w:ascii="Times New Roman" w:hAnsi="Times New Roman" w:cs="Times New Roman"/>
              <w:bCs/>
              <w:szCs w:val="24"/>
              <w:lang w:val="en-US"/>
            </w:rPr>
            <w:t>5.1 Overview</w:t>
          </w:r>
          <w:r>
            <w:tab/>
          </w:r>
          <w:r>
            <w:fldChar w:fldCharType="begin"/>
          </w:r>
          <w:r>
            <w:instrText xml:space="preserve"> PAGEREF _Toc17019 \h </w:instrText>
          </w:r>
          <w:r>
            <w:fldChar w:fldCharType="separate"/>
          </w:r>
          <w:r>
            <w:t>65</w:t>
          </w:r>
          <w:r>
            <w:fldChar w:fldCharType="end"/>
          </w:r>
          <w:r>
            <w:fldChar w:fldCharType="end"/>
          </w:r>
        </w:p>
        <w:p w14:paraId="2165FAE4">
          <w:pPr>
            <w:pStyle w:val="19"/>
            <w:tabs>
              <w:tab w:val="right" w:leader="dot" w:pos="9360"/>
            </w:tabs>
          </w:pPr>
          <w:r>
            <w:fldChar w:fldCharType="begin"/>
          </w:r>
          <w:r>
            <w:instrText xml:space="preserve"> HYPERLINK \l _Toc24126 </w:instrText>
          </w:r>
          <w:r>
            <w:fldChar w:fldCharType="separate"/>
          </w:r>
          <w:r>
            <w:rPr>
              <w:rFonts w:ascii="Times New Roman" w:hAnsi="Times New Roman" w:cs="Times New Roman"/>
              <w:bCs/>
              <w:szCs w:val="24"/>
              <w:lang w:val="en-US"/>
            </w:rPr>
            <w:t>5.2 Recommendations</w:t>
          </w:r>
          <w:r>
            <w:tab/>
          </w:r>
          <w:r>
            <w:fldChar w:fldCharType="begin"/>
          </w:r>
          <w:r>
            <w:instrText xml:space="preserve"> PAGEREF _Toc24126 \h </w:instrText>
          </w:r>
          <w:r>
            <w:fldChar w:fldCharType="separate"/>
          </w:r>
          <w:r>
            <w:t>67</w:t>
          </w:r>
          <w:r>
            <w:fldChar w:fldCharType="end"/>
          </w:r>
          <w:r>
            <w:fldChar w:fldCharType="end"/>
          </w:r>
        </w:p>
        <w:p w14:paraId="0C69FFE0">
          <w:pPr>
            <w:pStyle w:val="19"/>
            <w:tabs>
              <w:tab w:val="right" w:leader="dot" w:pos="9360"/>
            </w:tabs>
          </w:pPr>
          <w:r>
            <w:fldChar w:fldCharType="begin"/>
          </w:r>
          <w:r>
            <w:instrText xml:space="preserve"> HYPERLINK \l _Toc15840 </w:instrText>
          </w:r>
          <w:r>
            <w:fldChar w:fldCharType="separate"/>
          </w:r>
          <w:r>
            <w:rPr>
              <w:rFonts w:ascii="Times New Roman" w:hAnsi="Times New Roman" w:cs="Times New Roman"/>
              <w:bCs/>
              <w:szCs w:val="24"/>
              <w:lang w:val="en-US"/>
            </w:rPr>
            <w:t>5.3 Limitations of the Study</w:t>
          </w:r>
          <w:r>
            <w:tab/>
          </w:r>
          <w:r>
            <w:fldChar w:fldCharType="begin"/>
          </w:r>
          <w:r>
            <w:instrText xml:space="preserve"> PAGEREF _Toc15840 \h </w:instrText>
          </w:r>
          <w:r>
            <w:fldChar w:fldCharType="separate"/>
          </w:r>
          <w:r>
            <w:t>68</w:t>
          </w:r>
          <w:r>
            <w:fldChar w:fldCharType="end"/>
          </w:r>
          <w:r>
            <w:fldChar w:fldCharType="end"/>
          </w:r>
        </w:p>
        <w:p w14:paraId="249AE35D">
          <w:pPr>
            <w:pStyle w:val="19"/>
            <w:tabs>
              <w:tab w:val="right" w:leader="dot" w:pos="9360"/>
            </w:tabs>
          </w:pPr>
          <w:r>
            <w:fldChar w:fldCharType="begin"/>
          </w:r>
          <w:r>
            <w:instrText xml:space="preserve"> HYPERLINK \l _Toc17895 </w:instrText>
          </w:r>
          <w:r>
            <w:fldChar w:fldCharType="separate"/>
          </w:r>
          <w:r>
            <w:rPr>
              <w:rFonts w:ascii="Times New Roman" w:hAnsi="Times New Roman" w:cs="Times New Roman"/>
              <w:bCs/>
              <w:szCs w:val="24"/>
              <w:lang w:val="en-US"/>
            </w:rPr>
            <w:t>5.4 Future Research</w:t>
          </w:r>
          <w:r>
            <w:tab/>
          </w:r>
          <w:r>
            <w:fldChar w:fldCharType="begin"/>
          </w:r>
          <w:r>
            <w:instrText xml:space="preserve"> PAGEREF _Toc17895 \h </w:instrText>
          </w:r>
          <w:r>
            <w:fldChar w:fldCharType="separate"/>
          </w:r>
          <w:r>
            <w:t>69</w:t>
          </w:r>
          <w:r>
            <w:fldChar w:fldCharType="end"/>
          </w:r>
          <w:r>
            <w:fldChar w:fldCharType="end"/>
          </w:r>
        </w:p>
        <w:p w14:paraId="1B5AA3AE">
          <w:pPr>
            <w:pStyle w:val="16"/>
            <w:tabs>
              <w:tab w:val="right" w:leader="dot" w:pos="9360"/>
            </w:tabs>
            <w:rPr>
              <w:b/>
              <w:bCs/>
            </w:rPr>
          </w:pPr>
          <w:r>
            <w:rPr>
              <w:b/>
              <w:bCs/>
            </w:rPr>
            <w:fldChar w:fldCharType="begin"/>
          </w:r>
          <w:r>
            <w:rPr>
              <w:b/>
              <w:bCs/>
            </w:rPr>
            <w:instrText xml:space="preserve"> HYPERLINK \l _Toc14847 </w:instrText>
          </w:r>
          <w:r>
            <w:rPr>
              <w:b/>
              <w:bCs/>
            </w:rPr>
            <w:fldChar w:fldCharType="separate"/>
          </w:r>
          <w:r>
            <w:rPr>
              <w:rFonts w:ascii="Times New Roman" w:hAnsi="Times New Roman" w:cs="Times New Roman"/>
              <w:b/>
              <w:bCs/>
              <w:szCs w:val="24"/>
              <w:lang w:val="en-US"/>
            </w:rPr>
            <w:t>References</w:t>
          </w:r>
          <w:r>
            <w:rPr>
              <w:b/>
              <w:bCs/>
            </w:rPr>
            <w:tab/>
          </w:r>
          <w:r>
            <w:rPr>
              <w:b/>
              <w:bCs/>
            </w:rPr>
            <w:fldChar w:fldCharType="begin"/>
          </w:r>
          <w:r>
            <w:rPr>
              <w:b/>
              <w:bCs/>
            </w:rPr>
            <w:instrText xml:space="preserve"> PAGEREF _Toc14847 \h </w:instrText>
          </w:r>
          <w:r>
            <w:rPr>
              <w:b/>
              <w:bCs/>
            </w:rPr>
            <w:fldChar w:fldCharType="separate"/>
          </w:r>
          <w:r>
            <w:rPr>
              <w:b/>
              <w:bCs/>
            </w:rPr>
            <w:t>71</w:t>
          </w:r>
          <w:r>
            <w:rPr>
              <w:b/>
              <w:bCs/>
            </w:rPr>
            <w:fldChar w:fldCharType="end"/>
          </w:r>
          <w:r>
            <w:rPr>
              <w:b/>
              <w:bCs/>
            </w:rPr>
            <w:fldChar w:fldCharType="end"/>
          </w:r>
        </w:p>
        <w:p w14:paraId="5452C27F">
          <w:pPr>
            <w:pStyle w:val="16"/>
            <w:tabs>
              <w:tab w:val="right" w:leader="dot" w:pos="9360"/>
            </w:tabs>
            <w:rPr>
              <w:b/>
              <w:bCs/>
            </w:rPr>
          </w:pPr>
          <w:r>
            <w:rPr>
              <w:b/>
              <w:bCs/>
            </w:rPr>
            <w:fldChar w:fldCharType="begin"/>
          </w:r>
          <w:r>
            <w:rPr>
              <w:b/>
              <w:bCs/>
            </w:rPr>
            <w:instrText xml:space="preserve"> HYPERLINK \l _Toc30303 </w:instrText>
          </w:r>
          <w:r>
            <w:rPr>
              <w:b/>
              <w:bCs/>
            </w:rPr>
            <w:fldChar w:fldCharType="separate"/>
          </w:r>
          <w:r>
            <w:rPr>
              <w:rFonts w:ascii="Times New Roman" w:hAnsi="Times New Roman" w:cs="Times New Roman"/>
              <w:b/>
              <w:bCs/>
              <w:szCs w:val="24"/>
            </w:rPr>
            <w:t>APPENDICES</w:t>
          </w:r>
          <w:r>
            <w:rPr>
              <w:b/>
              <w:bCs/>
            </w:rPr>
            <w:tab/>
          </w:r>
          <w:r>
            <w:rPr>
              <w:b/>
              <w:bCs/>
            </w:rPr>
            <w:fldChar w:fldCharType="begin"/>
          </w:r>
          <w:r>
            <w:rPr>
              <w:b/>
              <w:bCs/>
            </w:rPr>
            <w:instrText xml:space="preserve"> PAGEREF _Toc30303 \h </w:instrText>
          </w:r>
          <w:r>
            <w:rPr>
              <w:b/>
              <w:bCs/>
            </w:rPr>
            <w:fldChar w:fldCharType="separate"/>
          </w:r>
          <w:r>
            <w:rPr>
              <w:b/>
              <w:bCs/>
            </w:rPr>
            <w:t>76</w:t>
          </w:r>
          <w:r>
            <w:rPr>
              <w:b/>
              <w:bCs/>
            </w:rPr>
            <w:fldChar w:fldCharType="end"/>
          </w:r>
          <w:r>
            <w:rPr>
              <w:b/>
              <w:bCs/>
            </w:rPr>
            <w:fldChar w:fldCharType="end"/>
          </w:r>
        </w:p>
        <w:p w14:paraId="721EEC81">
          <w:pPr>
            <w:pStyle w:val="19"/>
            <w:tabs>
              <w:tab w:val="right" w:leader="dot" w:pos="9360"/>
            </w:tabs>
          </w:pPr>
          <w:r>
            <w:fldChar w:fldCharType="begin"/>
          </w:r>
          <w:r>
            <w:instrText xml:space="preserve"> HYPERLINK \l _Toc32698 </w:instrText>
          </w:r>
          <w:r>
            <w:fldChar w:fldCharType="separate"/>
          </w:r>
          <w:r>
            <w:rPr>
              <w:rFonts w:ascii="Times New Roman" w:hAnsi="Times New Roman" w:cs="Times New Roman"/>
              <w:bCs/>
              <w:szCs w:val="24"/>
            </w:rPr>
            <w:t>Appendix A. Thematic Results Across the 18 Studies</w:t>
          </w:r>
          <w:r>
            <w:tab/>
          </w:r>
          <w:r>
            <w:fldChar w:fldCharType="begin"/>
          </w:r>
          <w:r>
            <w:instrText xml:space="preserve"> PAGEREF _Toc32698 \h </w:instrText>
          </w:r>
          <w:r>
            <w:fldChar w:fldCharType="separate"/>
          </w:r>
          <w:r>
            <w:t>76</w:t>
          </w:r>
          <w:r>
            <w:fldChar w:fldCharType="end"/>
          </w:r>
          <w:r>
            <w:fldChar w:fldCharType="end"/>
          </w:r>
        </w:p>
        <w:p w14:paraId="59D1AC60">
          <w:pPr>
            <w:pStyle w:val="19"/>
            <w:tabs>
              <w:tab w:val="right" w:leader="dot" w:pos="9360"/>
            </w:tabs>
          </w:pPr>
          <w:r>
            <w:fldChar w:fldCharType="begin"/>
          </w:r>
          <w:r>
            <w:instrText xml:space="preserve"> HYPERLINK \l _Toc20203 </w:instrText>
          </w:r>
          <w:r>
            <w:fldChar w:fldCharType="separate"/>
          </w:r>
          <w:r>
            <w:rPr>
              <w:rFonts w:ascii="Times New Roman" w:hAnsi="Times New Roman" w:cs="Times New Roman"/>
              <w:bCs/>
              <w:szCs w:val="24"/>
            </w:rPr>
            <w:t>Appendix B. Findings</w:t>
          </w:r>
          <w:r>
            <w:tab/>
          </w:r>
          <w:r>
            <w:fldChar w:fldCharType="begin"/>
          </w:r>
          <w:r>
            <w:instrText xml:space="preserve"> PAGEREF _Toc20203 \h </w:instrText>
          </w:r>
          <w:r>
            <w:fldChar w:fldCharType="separate"/>
          </w:r>
          <w:r>
            <w:t>77</w:t>
          </w:r>
          <w:r>
            <w:fldChar w:fldCharType="end"/>
          </w:r>
          <w:r>
            <w:fldChar w:fldCharType="end"/>
          </w:r>
        </w:p>
        <w:p w14:paraId="74EB2117">
          <w:pPr>
            <w:pStyle w:val="19"/>
            <w:tabs>
              <w:tab w:val="right" w:leader="dot" w:pos="9360"/>
            </w:tabs>
          </w:pPr>
          <w:r>
            <w:fldChar w:fldCharType="begin"/>
          </w:r>
          <w:r>
            <w:instrText xml:space="preserve"> HYPERLINK \l _Toc27521 </w:instrText>
          </w:r>
          <w:r>
            <w:fldChar w:fldCharType="separate"/>
          </w:r>
          <w:r>
            <w:rPr>
              <w:rFonts w:ascii="Times New Roman" w:hAnsi="Times New Roman" w:cs="Times New Roman"/>
              <w:bCs/>
              <w:szCs w:val="24"/>
            </w:rPr>
            <w:t>Appendix C. Outcome Hierarchy in the 18-Study Corpus</w:t>
          </w:r>
          <w:r>
            <w:tab/>
          </w:r>
          <w:r>
            <w:fldChar w:fldCharType="begin"/>
          </w:r>
          <w:r>
            <w:instrText xml:space="preserve"> PAGEREF _Toc27521 \h </w:instrText>
          </w:r>
          <w:r>
            <w:fldChar w:fldCharType="separate"/>
          </w:r>
          <w:r>
            <w:t>78</w:t>
          </w:r>
          <w:r>
            <w:fldChar w:fldCharType="end"/>
          </w:r>
          <w:r>
            <w:fldChar w:fldCharType="end"/>
          </w:r>
          <w:r>
            <w:fldChar w:fldCharType="end"/>
          </w:r>
        </w:p>
        <w:p w14:paraId="32B3933D">
          <w:pPr>
            <w:rPr>
              <w:rFonts w:ascii="Times New Roman" w:hAnsi="Times New Roman" w:cs="Times New Roman"/>
            </w:rPr>
          </w:pPr>
        </w:p>
      </w:sdtContent>
    </w:sdt>
    <w:p w14:paraId="4A9C923F">
      <w:pPr>
        <w:rPr>
          <w:rFonts w:ascii="Times New Roman" w:hAnsi="Times New Roman" w:cs="Times New Roman"/>
        </w:rPr>
      </w:pPr>
    </w:p>
    <w:p w14:paraId="01C8279D">
      <w:pPr>
        <w:rPr>
          <w:rFonts w:ascii="Times New Roman" w:hAnsi="Times New Roman" w:cs="Times New Roman"/>
        </w:rPr>
      </w:pPr>
    </w:p>
    <w:p w14:paraId="115507FA">
      <w:pPr>
        <w:rPr>
          <w:rFonts w:ascii="Times New Roman" w:hAnsi="Times New Roman" w:cs="Times New Roman"/>
        </w:rPr>
      </w:pPr>
    </w:p>
    <w:p w14:paraId="064992E9">
      <w:pPr>
        <w:rPr>
          <w:rFonts w:ascii="Times New Roman" w:hAnsi="Times New Roman" w:cs="Times New Roman"/>
        </w:rPr>
      </w:pPr>
    </w:p>
    <w:p w14:paraId="0C034085">
      <w:pPr>
        <w:rPr>
          <w:rFonts w:ascii="Times New Roman" w:hAnsi="Times New Roman" w:cs="Times New Roman"/>
        </w:rPr>
      </w:pPr>
    </w:p>
    <w:p w14:paraId="6550EFA9">
      <w:pPr>
        <w:rPr>
          <w:rFonts w:ascii="Times New Roman" w:hAnsi="Times New Roman" w:cs="Times New Roman"/>
        </w:rPr>
      </w:pPr>
    </w:p>
    <w:p w14:paraId="2CBEFFF5">
      <w:pPr>
        <w:rPr>
          <w:rFonts w:ascii="Times New Roman" w:hAnsi="Times New Roman" w:cs="Times New Roman"/>
        </w:rPr>
      </w:pPr>
    </w:p>
    <w:p w14:paraId="48C4E7D5">
      <w:pPr>
        <w:rPr>
          <w:rFonts w:ascii="Times New Roman" w:hAnsi="Times New Roman" w:cs="Times New Roman"/>
        </w:rPr>
      </w:pPr>
    </w:p>
    <w:p w14:paraId="626A9832">
      <w:pPr>
        <w:rPr>
          <w:rFonts w:ascii="Times New Roman" w:hAnsi="Times New Roman" w:cs="Times New Roman"/>
        </w:rPr>
      </w:pPr>
    </w:p>
    <w:p w14:paraId="59A6BF6A">
      <w:pPr>
        <w:pStyle w:val="2"/>
        <w:keepNext/>
        <w:keepLines/>
        <w:pageBreakBefore w:val="0"/>
        <w:widowControl/>
        <w:kinsoku/>
        <w:wordWrap/>
        <w:overflowPunct/>
        <w:topLinePunct w:val="0"/>
        <w:autoSpaceDE/>
        <w:autoSpaceDN/>
        <w:bidi w:val="0"/>
        <w:adjustRightInd/>
        <w:snapToGrid/>
        <w:spacing w:before="0" w:after="0" w:line="480" w:lineRule="auto"/>
        <w:jc w:val="center"/>
        <w:textAlignment w:val="auto"/>
        <w:rPr>
          <w:rFonts w:hint="default" w:ascii="Times New Roman" w:hAnsi="Times New Roman" w:cs="Times New Roman"/>
          <w:b/>
          <w:bCs/>
          <w:color w:val="000000" w:themeColor="text1"/>
          <w:sz w:val="24"/>
          <w:szCs w:val="24"/>
          <w:lang w:val="en-US" w:eastAsia="zh-CN"/>
          <w14:textFill>
            <w14:solidFill>
              <w14:schemeClr w14:val="tx1"/>
            </w14:solidFill>
          </w14:textFill>
        </w:rPr>
      </w:pPr>
      <w:bookmarkStart w:id="12" w:name="_Toc5716"/>
      <w:bookmarkStart w:id="13" w:name="_Toc5112"/>
      <w:bookmarkStart w:id="14" w:name="_Toc28743"/>
      <w:bookmarkStart w:id="15" w:name="_Toc18144"/>
      <w:r>
        <w:rPr>
          <w:rFonts w:hint="default" w:ascii="Times New Roman" w:hAnsi="Times New Roman" w:cs="Times New Roman"/>
          <w:b/>
          <w:bCs/>
          <w:color w:val="000000" w:themeColor="text1"/>
          <w:sz w:val="24"/>
          <w:szCs w:val="24"/>
          <w:lang w:val="en-US" w:eastAsia="zh-CN"/>
          <w14:textFill>
            <w14:solidFill>
              <w14:schemeClr w14:val="tx1"/>
            </w14:solidFill>
          </w14:textFill>
        </w:rPr>
        <w:t>List of Tables</w:t>
      </w:r>
      <w:bookmarkEnd w:id="12"/>
      <w:bookmarkEnd w:id="13"/>
      <w:bookmarkEnd w:id="14"/>
      <w:bookmarkEnd w:id="15"/>
    </w:p>
    <w:p w14:paraId="4F3691D7">
      <w:pPr>
        <w:pStyle w:val="18"/>
        <w:tabs>
          <w:tab w:val="right" w:leader="dot" w:pos="9360"/>
        </w:tabs>
      </w:pPr>
      <w:bookmarkStart w:id="16" w:name="_Toc240993908"/>
      <w:r>
        <w:rPr>
          <w:rFonts w:ascii="Times New Roman" w:hAnsi="Times New Roman" w:cs="Times New Roman"/>
          <w:lang w:val="en-US"/>
        </w:rPr>
        <w:fldChar w:fldCharType="begin"/>
      </w:r>
      <w:r>
        <w:rPr>
          <w:rFonts w:ascii="Times New Roman" w:hAnsi="Times New Roman" w:cs="Times New Roman"/>
          <w:lang w:val="en-US"/>
        </w:rPr>
        <w:instrText xml:space="preserve">TOC \f F \t "题注" \h \c</w:instrText>
      </w:r>
      <w:r>
        <w:rPr>
          <w:rFonts w:ascii="Times New Roman" w:hAnsi="Times New Roman" w:cs="Times New Roman"/>
          <w:lang w:val="en-US"/>
        </w:rPr>
        <w:fldChar w:fldCharType="separate"/>
      </w:r>
      <w:r>
        <w:rPr>
          <w:rFonts w:ascii="Times New Roman" w:hAnsi="Times New Roman" w:cs="Times New Roman"/>
          <w:lang w:val="en-US"/>
        </w:rPr>
        <w:fldChar w:fldCharType="begin"/>
      </w:r>
      <w:r>
        <w:rPr>
          <w:rFonts w:ascii="Times New Roman" w:hAnsi="Times New Roman" w:cs="Times New Roman"/>
          <w:lang w:val="en-US"/>
        </w:rPr>
        <w:instrText xml:space="preserve"> HYPERLINK \l _Toc6747 </w:instrText>
      </w:r>
      <w:r>
        <w:rPr>
          <w:rFonts w:ascii="Times New Roman" w:hAnsi="Times New Roman" w:cs="Times New Roman"/>
          <w:lang w:val="en-US"/>
        </w:rPr>
        <w:fldChar w:fldCharType="separate"/>
      </w:r>
      <w:r>
        <w:rPr>
          <w:rFonts w:ascii="Times New Roman" w:hAnsi="Times New Roman" w:cs="Times New Roman"/>
          <w:szCs w:val="24"/>
        </w:rPr>
        <w:t>Table 1: Academic Sources Included in the Final Analytical Corpus and Their Principal Relevance to the Study</w:t>
      </w:r>
      <w:r>
        <w:tab/>
      </w:r>
      <w:r>
        <w:fldChar w:fldCharType="begin"/>
      </w:r>
      <w:r>
        <w:instrText xml:space="preserve"> PAGEREF _Toc6747 \h </w:instrText>
      </w:r>
      <w:r>
        <w:fldChar w:fldCharType="separate"/>
      </w:r>
      <w:r>
        <w:t>33</w:t>
      </w:r>
      <w:r>
        <w:fldChar w:fldCharType="end"/>
      </w:r>
      <w:r>
        <w:rPr>
          <w:rFonts w:ascii="Times New Roman" w:hAnsi="Times New Roman" w:cs="Times New Roman"/>
          <w:lang w:val="en-US"/>
        </w:rPr>
        <w:fldChar w:fldCharType="end"/>
      </w:r>
    </w:p>
    <w:p w14:paraId="60D5FAFE">
      <w:pPr>
        <w:pStyle w:val="18"/>
        <w:tabs>
          <w:tab w:val="right" w:leader="dot" w:pos="9360"/>
        </w:tabs>
      </w:pPr>
      <w:r>
        <w:rPr>
          <w:rFonts w:ascii="Times New Roman" w:hAnsi="Times New Roman" w:cs="Times New Roman"/>
          <w:lang w:val="en-US"/>
        </w:rPr>
        <w:fldChar w:fldCharType="begin"/>
      </w:r>
      <w:r>
        <w:rPr>
          <w:rFonts w:ascii="Times New Roman" w:hAnsi="Times New Roman" w:cs="Times New Roman"/>
          <w:lang w:val="en-US"/>
        </w:rPr>
        <w:instrText xml:space="preserve"> HYPERLINK \l _Toc19909 </w:instrText>
      </w:r>
      <w:r>
        <w:rPr>
          <w:rFonts w:ascii="Times New Roman" w:hAnsi="Times New Roman" w:cs="Times New Roman"/>
          <w:lang w:val="en-US"/>
        </w:rPr>
        <w:fldChar w:fldCharType="separate"/>
      </w:r>
      <w:r>
        <w:rPr>
          <w:rFonts w:ascii="Times New Roman" w:hAnsi="Times New Roman" w:cs="Times New Roman"/>
          <w:szCs w:val="24"/>
        </w:rPr>
        <w:t>Table 2: Industry Sources Included in the Secondary Dataset and Their Principal Relevance to the Study</w:t>
      </w:r>
      <w:r>
        <w:tab/>
      </w:r>
      <w:r>
        <w:fldChar w:fldCharType="begin"/>
      </w:r>
      <w:r>
        <w:instrText xml:space="preserve"> PAGEREF _Toc19909 \h </w:instrText>
      </w:r>
      <w:r>
        <w:fldChar w:fldCharType="separate"/>
      </w:r>
      <w:r>
        <w:t>35</w:t>
      </w:r>
      <w:r>
        <w:fldChar w:fldCharType="end"/>
      </w:r>
      <w:r>
        <w:rPr>
          <w:rFonts w:ascii="Times New Roman" w:hAnsi="Times New Roman" w:cs="Times New Roman"/>
          <w:lang w:val="en-US"/>
        </w:rPr>
        <w:fldChar w:fldCharType="end"/>
      </w:r>
    </w:p>
    <w:p w14:paraId="40B458C3">
      <w:pPr>
        <w:pStyle w:val="18"/>
        <w:tabs>
          <w:tab w:val="right" w:leader="dot" w:pos="9360"/>
        </w:tabs>
      </w:pPr>
      <w:r>
        <w:rPr>
          <w:rFonts w:ascii="Times New Roman" w:hAnsi="Times New Roman" w:cs="Times New Roman"/>
          <w:lang w:val="en-US"/>
        </w:rPr>
        <w:fldChar w:fldCharType="begin"/>
      </w:r>
      <w:r>
        <w:rPr>
          <w:rFonts w:ascii="Times New Roman" w:hAnsi="Times New Roman" w:cs="Times New Roman"/>
          <w:lang w:val="en-US"/>
        </w:rPr>
        <w:instrText xml:space="preserve"> HYPERLINK \l _Toc31430 </w:instrText>
      </w:r>
      <w:r>
        <w:rPr>
          <w:rFonts w:ascii="Times New Roman" w:hAnsi="Times New Roman" w:cs="Times New Roman"/>
          <w:lang w:val="en-US"/>
        </w:rPr>
        <w:fldChar w:fldCharType="separate"/>
      </w:r>
      <w:r>
        <w:rPr>
          <w:rFonts w:ascii="Times New Roman" w:hAnsi="Times New Roman" w:cs="Times New Roman"/>
          <w:szCs w:val="24"/>
        </w:rPr>
        <w:t>Table 3: Overall pattern of findings across the six themes</w:t>
      </w:r>
      <w:r>
        <w:tab/>
      </w:r>
      <w:r>
        <w:fldChar w:fldCharType="begin"/>
      </w:r>
      <w:r>
        <w:instrText xml:space="preserve"> PAGEREF _Toc31430 \h </w:instrText>
      </w:r>
      <w:r>
        <w:fldChar w:fldCharType="separate"/>
      </w:r>
      <w:r>
        <w:t>39</w:t>
      </w:r>
      <w:r>
        <w:fldChar w:fldCharType="end"/>
      </w:r>
      <w:r>
        <w:rPr>
          <w:rFonts w:ascii="Times New Roman" w:hAnsi="Times New Roman" w:cs="Times New Roman"/>
          <w:lang w:val="en-US"/>
        </w:rPr>
        <w:fldChar w:fldCharType="end"/>
      </w:r>
    </w:p>
    <w:p w14:paraId="624CEFF8">
      <w:pPr>
        <w:pStyle w:val="18"/>
        <w:tabs>
          <w:tab w:val="right" w:leader="dot" w:pos="9360"/>
        </w:tabs>
      </w:pPr>
      <w:r>
        <w:rPr>
          <w:rFonts w:ascii="Times New Roman" w:hAnsi="Times New Roman" w:cs="Times New Roman"/>
          <w:lang w:val="en-US"/>
        </w:rPr>
        <w:fldChar w:fldCharType="begin"/>
      </w:r>
      <w:r>
        <w:rPr>
          <w:rFonts w:ascii="Times New Roman" w:hAnsi="Times New Roman" w:cs="Times New Roman"/>
          <w:lang w:val="en-US"/>
        </w:rPr>
        <w:instrText xml:space="preserve"> HYPERLINK \l _Toc23033 </w:instrText>
      </w:r>
      <w:r>
        <w:rPr>
          <w:rFonts w:ascii="Times New Roman" w:hAnsi="Times New Roman" w:cs="Times New Roman"/>
          <w:lang w:val="en-US"/>
        </w:rPr>
        <w:fldChar w:fldCharType="separate"/>
      </w:r>
      <w:r>
        <w:rPr>
          <w:rFonts w:ascii="Times New Roman" w:hAnsi="Times New Roman" w:cs="Times New Roman"/>
          <w:szCs w:val="24"/>
        </w:rPr>
        <w:t>Table 4: Findings on credibility, trust and expertise</w:t>
      </w:r>
      <w:r>
        <w:tab/>
      </w:r>
      <w:r>
        <w:fldChar w:fldCharType="begin"/>
      </w:r>
      <w:r>
        <w:instrText xml:space="preserve"> PAGEREF _Toc23033 \h </w:instrText>
      </w:r>
      <w:r>
        <w:fldChar w:fldCharType="separate"/>
      </w:r>
      <w:r>
        <w:t>42</w:t>
      </w:r>
      <w:r>
        <w:fldChar w:fldCharType="end"/>
      </w:r>
      <w:r>
        <w:rPr>
          <w:rFonts w:ascii="Times New Roman" w:hAnsi="Times New Roman" w:cs="Times New Roman"/>
          <w:lang w:val="en-US"/>
        </w:rPr>
        <w:fldChar w:fldCharType="end"/>
      </w:r>
    </w:p>
    <w:p w14:paraId="2513D2E4">
      <w:pPr>
        <w:pStyle w:val="18"/>
        <w:tabs>
          <w:tab w:val="right" w:leader="dot" w:pos="9360"/>
        </w:tabs>
      </w:pPr>
      <w:r>
        <w:rPr>
          <w:rFonts w:ascii="Times New Roman" w:hAnsi="Times New Roman" w:cs="Times New Roman"/>
          <w:lang w:val="en-US"/>
        </w:rPr>
        <w:fldChar w:fldCharType="begin"/>
      </w:r>
      <w:r>
        <w:rPr>
          <w:rFonts w:ascii="Times New Roman" w:hAnsi="Times New Roman" w:cs="Times New Roman"/>
          <w:lang w:val="en-US"/>
        </w:rPr>
        <w:instrText xml:space="preserve"> HYPERLINK \l _Toc5615 </w:instrText>
      </w:r>
      <w:r>
        <w:rPr>
          <w:rFonts w:ascii="Times New Roman" w:hAnsi="Times New Roman" w:cs="Times New Roman"/>
          <w:lang w:val="en-US"/>
        </w:rPr>
        <w:fldChar w:fldCharType="separate"/>
      </w:r>
      <w:r>
        <w:rPr>
          <w:rFonts w:ascii="Times New Roman" w:hAnsi="Times New Roman" w:cs="Times New Roman"/>
          <w:szCs w:val="24"/>
        </w:rPr>
        <w:t>Table 5: authenticity/congruence</w:t>
      </w:r>
      <w:r>
        <w:tab/>
      </w:r>
      <w:r>
        <w:fldChar w:fldCharType="begin"/>
      </w:r>
      <w:r>
        <w:instrText xml:space="preserve"> PAGEREF _Toc5615 \h </w:instrText>
      </w:r>
      <w:r>
        <w:fldChar w:fldCharType="separate"/>
      </w:r>
      <w:r>
        <w:t>46</w:t>
      </w:r>
      <w:r>
        <w:fldChar w:fldCharType="end"/>
      </w:r>
      <w:r>
        <w:rPr>
          <w:rFonts w:ascii="Times New Roman" w:hAnsi="Times New Roman" w:cs="Times New Roman"/>
          <w:lang w:val="en-US"/>
        </w:rPr>
        <w:fldChar w:fldCharType="end"/>
      </w:r>
    </w:p>
    <w:p w14:paraId="230C15E8">
      <w:pPr>
        <w:pStyle w:val="18"/>
        <w:tabs>
          <w:tab w:val="right" w:leader="dot" w:pos="9360"/>
        </w:tabs>
      </w:pPr>
      <w:r>
        <w:rPr>
          <w:rFonts w:ascii="Times New Roman" w:hAnsi="Times New Roman" w:cs="Times New Roman"/>
          <w:lang w:val="en-US"/>
        </w:rPr>
        <w:fldChar w:fldCharType="begin"/>
      </w:r>
      <w:r>
        <w:rPr>
          <w:rFonts w:ascii="Times New Roman" w:hAnsi="Times New Roman" w:cs="Times New Roman"/>
          <w:lang w:val="en-US"/>
        </w:rPr>
        <w:instrText xml:space="preserve"> HYPERLINK \l _Toc28878 </w:instrText>
      </w:r>
      <w:r>
        <w:rPr>
          <w:rFonts w:ascii="Times New Roman" w:hAnsi="Times New Roman" w:cs="Times New Roman"/>
          <w:lang w:val="en-US"/>
        </w:rPr>
        <w:fldChar w:fldCharType="separate"/>
      </w:r>
      <w:r>
        <w:rPr>
          <w:rFonts w:ascii="Times New Roman" w:hAnsi="Times New Roman" w:cs="Times New Roman"/>
          <w:szCs w:val="24"/>
        </w:rPr>
        <w:t>Table 6: Parasocial and psychological findings</w:t>
      </w:r>
      <w:r>
        <w:tab/>
      </w:r>
      <w:r>
        <w:fldChar w:fldCharType="begin"/>
      </w:r>
      <w:r>
        <w:instrText xml:space="preserve"> PAGEREF _Toc28878 \h </w:instrText>
      </w:r>
      <w:r>
        <w:fldChar w:fldCharType="separate"/>
      </w:r>
      <w:r>
        <w:t>51</w:t>
      </w:r>
      <w:r>
        <w:fldChar w:fldCharType="end"/>
      </w:r>
      <w:r>
        <w:rPr>
          <w:rFonts w:ascii="Times New Roman" w:hAnsi="Times New Roman" w:cs="Times New Roman"/>
          <w:lang w:val="en-US"/>
        </w:rPr>
        <w:fldChar w:fldCharType="end"/>
      </w:r>
    </w:p>
    <w:p w14:paraId="411814C8">
      <w:pPr>
        <w:pStyle w:val="18"/>
        <w:tabs>
          <w:tab w:val="right" w:leader="dot" w:pos="9360"/>
        </w:tabs>
      </w:pPr>
      <w:r>
        <w:rPr>
          <w:rFonts w:ascii="Times New Roman" w:hAnsi="Times New Roman" w:cs="Times New Roman"/>
          <w:lang w:val="en-US"/>
        </w:rPr>
        <w:fldChar w:fldCharType="begin"/>
      </w:r>
      <w:r>
        <w:rPr>
          <w:rFonts w:ascii="Times New Roman" w:hAnsi="Times New Roman" w:cs="Times New Roman"/>
          <w:lang w:val="en-US"/>
        </w:rPr>
        <w:instrText xml:space="preserve"> HYPERLINK \l _Toc8609 </w:instrText>
      </w:r>
      <w:r>
        <w:rPr>
          <w:rFonts w:ascii="Times New Roman" w:hAnsi="Times New Roman" w:cs="Times New Roman"/>
          <w:lang w:val="en-US"/>
        </w:rPr>
        <w:fldChar w:fldCharType="separate"/>
      </w:r>
      <w:r>
        <w:rPr>
          <w:rFonts w:ascii="Times New Roman" w:hAnsi="Times New Roman" w:cs="Times New Roman"/>
          <w:szCs w:val="24"/>
        </w:rPr>
        <w:t>Table 7: Sponsorship-disclosure findings</w:t>
      </w:r>
      <w:r>
        <w:tab/>
      </w:r>
      <w:r>
        <w:fldChar w:fldCharType="begin"/>
      </w:r>
      <w:r>
        <w:instrText xml:space="preserve"> PAGEREF _Toc8609 \h </w:instrText>
      </w:r>
      <w:r>
        <w:fldChar w:fldCharType="separate"/>
      </w:r>
      <w:r>
        <w:t>55</w:t>
      </w:r>
      <w:r>
        <w:fldChar w:fldCharType="end"/>
      </w:r>
      <w:r>
        <w:rPr>
          <w:rFonts w:ascii="Times New Roman" w:hAnsi="Times New Roman" w:cs="Times New Roman"/>
          <w:lang w:val="en-US"/>
        </w:rPr>
        <w:fldChar w:fldCharType="end"/>
      </w:r>
    </w:p>
    <w:p w14:paraId="0FDE7284">
      <w:pPr>
        <w:pStyle w:val="18"/>
        <w:tabs>
          <w:tab w:val="right" w:leader="dot" w:pos="9360"/>
        </w:tabs>
      </w:pPr>
      <w:r>
        <w:rPr>
          <w:rFonts w:ascii="Times New Roman" w:hAnsi="Times New Roman" w:cs="Times New Roman"/>
          <w:lang w:val="en-US"/>
        </w:rPr>
        <w:fldChar w:fldCharType="begin"/>
      </w:r>
      <w:r>
        <w:rPr>
          <w:rFonts w:ascii="Times New Roman" w:hAnsi="Times New Roman" w:cs="Times New Roman"/>
          <w:lang w:val="en-US"/>
        </w:rPr>
        <w:instrText xml:space="preserve"> HYPERLINK \l _Toc16837 </w:instrText>
      </w:r>
      <w:r>
        <w:rPr>
          <w:rFonts w:ascii="Times New Roman" w:hAnsi="Times New Roman" w:cs="Times New Roman"/>
          <w:lang w:val="en-US"/>
        </w:rPr>
        <w:fldChar w:fldCharType="separate"/>
      </w:r>
      <w:r>
        <w:rPr>
          <w:rFonts w:ascii="Times New Roman" w:hAnsi="Times New Roman" w:cs="Times New Roman"/>
          <w:szCs w:val="24"/>
        </w:rPr>
        <w:t>Table 8: Engagement and campaign-performance findings</w:t>
      </w:r>
      <w:r>
        <w:tab/>
      </w:r>
      <w:r>
        <w:fldChar w:fldCharType="begin"/>
      </w:r>
      <w:r>
        <w:instrText xml:space="preserve"> PAGEREF _Toc16837 \h </w:instrText>
      </w:r>
      <w:r>
        <w:fldChar w:fldCharType="separate"/>
      </w:r>
      <w:r>
        <w:t>59</w:t>
      </w:r>
      <w:r>
        <w:fldChar w:fldCharType="end"/>
      </w:r>
      <w:r>
        <w:rPr>
          <w:rFonts w:ascii="Times New Roman" w:hAnsi="Times New Roman" w:cs="Times New Roman"/>
          <w:lang w:val="en-US"/>
        </w:rPr>
        <w:fldChar w:fldCharType="end"/>
      </w:r>
    </w:p>
    <w:p w14:paraId="455DC6DB">
      <w:pPr>
        <w:pStyle w:val="18"/>
        <w:tabs>
          <w:tab w:val="right" w:leader="dot" w:pos="9360"/>
        </w:tabs>
      </w:pPr>
      <w:r>
        <w:rPr>
          <w:rFonts w:ascii="Times New Roman" w:hAnsi="Times New Roman" w:cs="Times New Roman"/>
          <w:lang w:val="en-US"/>
        </w:rPr>
        <w:fldChar w:fldCharType="begin"/>
      </w:r>
      <w:r>
        <w:rPr>
          <w:rFonts w:ascii="Times New Roman" w:hAnsi="Times New Roman" w:cs="Times New Roman"/>
          <w:lang w:val="en-US"/>
        </w:rPr>
        <w:instrText xml:space="preserve"> HYPERLINK \l _Toc9394 </w:instrText>
      </w:r>
      <w:r>
        <w:rPr>
          <w:rFonts w:ascii="Times New Roman" w:hAnsi="Times New Roman" w:cs="Times New Roman"/>
          <w:lang w:val="en-US"/>
        </w:rPr>
        <w:fldChar w:fldCharType="separate"/>
      </w:r>
      <w:r>
        <w:rPr>
          <w:rFonts w:ascii="Times New Roman" w:hAnsi="Times New Roman" w:cs="Times New Roman"/>
          <w:szCs w:val="24"/>
        </w:rPr>
        <w:t xml:space="preserve">Table </w:t>
      </w:r>
      <w:r>
        <w:rPr>
          <w:rFonts w:hint="eastAsia" w:ascii="Times New Roman" w:hAnsi="Times New Roman" w:cs="Times New Roman"/>
          <w:szCs w:val="24"/>
          <w:lang w:val="en-US" w:eastAsia="zh-CN"/>
        </w:rPr>
        <w:t>9</w:t>
      </w:r>
      <w:r>
        <w:rPr>
          <w:rFonts w:ascii="Times New Roman" w:hAnsi="Times New Roman" w:cs="Times New Roman"/>
          <w:szCs w:val="24"/>
        </w:rPr>
        <w:t>: Strength of evidence across the outcome hierarchy</w:t>
      </w:r>
      <w:r>
        <w:tab/>
      </w:r>
      <w:r>
        <w:fldChar w:fldCharType="begin"/>
      </w:r>
      <w:r>
        <w:instrText xml:space="preserve"> PAGEREF _Toc9394 \h </w:instrText>
      </w:r>
      <w:r>
        <w:fldChar w:fldCharType="separate"/>
      </w:r>
      <w:r>
        <w:t>63</w:t>
      </w:r>
      <w:r>
        <w:fldChar w:fldCharType="end"/>
      </w:r>
      <w:r>
        <w:rPr>
          <w:rFonts w:ascii="Times New Roman" w:hAnsi="Times New Roman" w:cs="Times New Roman"/>
          <w:lang w:val="en-US"/>
        </w:rPr>
        <w:fldChar w:fldCharType="end"/>
      </w:r>
    </w:p>
    <w:p w14:paraId="20FB93D0">
      <w:pPr>
        <w:pStyle w:val="2"/>
        <w:numPr>
          <w:ilvl w:val="0"/>
          <w:numId w:val="0"/>
        </w:numPr>
        <w:rPr>
          <w:rFonts w:ascii="Times New Roman" w:hAnsi="Times New Roman" w:cs="Times New Roman"/>
          <w:lang w:val="en-US"/>
        </w:rPr>
      </w:pPr>
      <w:r>
        <w:rPr>
          <w:rFonts w:ascii="Times New Roman" w:hAnsi="Times New Roman" w:cs="Times New Roman"/>
          <w:lang w:val="en-US"/>
        </w:rPr>
        <w:fldChar w:fldCharType="end"/>
      </w:r>
    </w:p>
    <w:p w14:paraId="73B54713">
      <w:pPr>
        <w:rPr>
          <w:rFonts w:ascii="Times New Roman" w:hAnsi="Times New Roman" w:cs="Times New Roman"/>
          <w:lang w:val="en-US"/>
        </w:rPr>
      </w:pPr>
    </w:p>
    <w:p w14:paraId="217B38D1">
      <w:pPr>
        <w:rPr>
          <w:rFonts w:ascii="Times New Roman" w:hAnsi="Times New Roman" w:cs="Times New Roman"/>
          <w:lang w:val="en-US"/>
        </w:rPr>
      </w:pPr>
    </w:p>
    <w:p w14:paraId="201F11C6">
      <w:pPr>
        <w:rPr>
          <w:rFonts w:ascii="Times New Roman" w:hAnsi="Times New Roman" w:cs="Times New Roman"/>
          <w:lang w:val="en-US"/>
        </w:rPr>
      </w:pPr>
    </w:p>
    <w:p w14:paraId="052F1BBB">
      <w:pPr>
        <w:rPr>
          <w:rFonts w:ascii="Times New Roman" w:hAnsi="Times New Roman" w:cs="Times New Roman"/>
          <w:lang w:val="en-US"/>
        </w:rPr>
      </w:pPr>
    </w:p>
    <w:p w14:paraId="349BDF1C">
      <w:pPr>
        <w:rPr>
          <w:rFonts w:ascii="Times New Roman" w:hAnsi="Times New Roman" w:cs="Times New Roman"/>
          <w:lang w:val="en-US"/>
        </w:rPr>
      </w:pPr>
    </w:p>
    <w:p w14:paraId="26FA935D">
      <w:pPr>
        <w:rPr>
          <w:rFonts w:ascii="Times New Roman" w:hAnsi="Times New Roman" w:cs="Times New Roman"/>
          <w:lang w:val="en-US"/>
        </w:rPr>
      </w:pPr>
    </w:p>
    <w:p w14:paraId="5792A443">
      <w:pPr>
        <w:rPr>
          <w:rFonts w:ascii="Times New Roman" w:hAnsi="Times New Roman" w:cs="Times New Roman"/>
          <w:lang w:val="en-US"/>
        </w:rPr>
      </w:pPr>
    </w:p>
    <w:p w14:paraId="4344DA0F">
      <w:pPr>
        <w:rPr>
          <w:rFonts w:ascii="Times New Roman" w:hAnsi="Times New Roman" w:cs="Times New Roman"/>
          <w:lang w:val="en-US"/>
        </w:rPr>
      </w:pPr>
    </w:p>
    <w:p w14:paraId="3D96DD10">
      <w:pPr>
        <w:rPr>
          <w:rFonts w:ascii="Times New Roman" w:hAnsi="Times New Roman" w:cs="Times New Roman"/>
          <w:lang w:val="en-US"/>
        </w:rPr>
      </w:pPr>
    </w:p>
    <w:p w14:paraId="38A5B4E2">
      <w:pPr>
        <w:rPr>
          <w:rFonts w:ascii="Times New Roman" w:hAnsi="Times New Roman" w:cs="Times New Roman"/>
          <w:lang w:val="en-US"/>
        </w:rPr>
      </w:pPr>
    </w:p>
    <w:p w14:paraId="2BEF45EF">
      <w:pPr>
        <w:rPr>
          <w:rFonts w:ascii="Times New Roman" w:hAnsi="Times New Roman" w:cs="Times New Roman"/>
          <w:lang w:val="en-US"/>
        </w:rPr>
      </w:pPr>
    </w:p>
    <w:p w14:paraId="162504A2">
      <w:pPr>
        <w:rPr>
          <w:rFonts w:hint="eastAsia" w:ascii="Times New Roman" w:hAnsi="Times New Roman" w:cs="Times New Roman"/>
          <w:lang w:val="en-US" w:eastAsia="zh-CN"/>
        </w:rPr>
      </w:pPr>
      <w:r>
        <w:rPr>
          <w:rFonts w:hint="eastAsia" w:ascii="Times New Roman" w:hAnsi="Times New Roman" w:cs="Times New Roman"/>
          <w:lang w:val="en-US" w:eastAsia="zh-CN"/>
        </w:rPr>
        <w:t xml:space="preserve">   </w:t>
      </w:r>
    </w:p>
    <w:p w14:paraId="6846F593">
      <w:pPr>
        <w:rPr>
          <w:rFonts w:hint="default" w:ascii="Times New Roman" w:hAnsi="Times New Roman" w:cs="Times New Roman"/>
          <w:lang w:val="en-US" w:eastAsia="zh-CN"/>
        </w:rPr>
      </w:pPr>
    </w:p>
    <w:p w14:paraId="25FE4AAA">
      <w:pPr>
        <w:rPr>
          <w:rFonts w:ascii="Times New Roman" w:hAnsi="Times New Roman" w:cs="Times New Roman"/>
          <w:lang w:val="en-US"/>
        </w:rPr>
      </w:pPr>
    </w:p>
    <w:p w14:paraId="1CE89B16">
      <w:pPr>
        <w:pStyle w:val="2"/>
        <w:keepNext/>
        <w:keepLines/>
        <w:pageBreakBefore w:val="0"/>
        <w:widowControl/>
        <w:kinsoku/>
        <w:wordWrap/>
        <w:overflowPunct/>
        <w:topLinePunct w:val="0"/>
        <w:autoSpaceDE/>
        <w:autoSpaceDN/>
        <w:bidi w:val="0"/>
        <w:adjustRightInd/>
        <w:snapToGrid/>
        <w:spacing w:before="0" w:after="0" w:line="480" w:lineRule="auto"/>
        <w:jc w:val="center"/>
        <w:textAlignment w:val="auto"/>
        <w:rPr>
          <w:rFonts w:hint="default" w:ascii="Times New Roman" w:hAnsi="Times New Roman" w:cs="Times New Roman"/>
          <w:b/>
          <w:bCs/>
          <w:color w:val="000000" w:themeColor="text1"/>
          <w:sz w:val="24"/>
          <w:szCs w:val="24"/>
          <w:lang w:val="en-US" w:eastAsia="zh-CN"/>
          <w14:textFill>
            <w14:solidFill>
              <w14:schemeClr w14:val="tx1"/>
            </w14:solidFill>
          </w14:textFill>
        </w:rPr>
      </w:pPr>
      <w:bookmarkStart w:id="17" w:name="_Toc29851"/>
      <w:bookmarkStart w:id="18" w:name="_Toc28643"/>
      <w:bookmarkStart w:id="19" w:name="_Toc16364"/>
      <w:bookmarkStart w:id="20" w:name="_Toc12420"/>
      <w:r>
        <w:rPr>
          <w:rFonts w:hint="default" w:ascii="Times New Roman" w:hAnsi="Times New Roman" w:cs="Times New Roman"/>
          <w:b/>
          <w:bCs/>
          <w:color w:val="000000" w:themeColor="text1"/>
          <w:sz w:val="24"/>
          <w:szCs w:val="24"/>
          <w:lang w:val="en-US" w:eastAsia="zh-CN"/>
          <w14:textFill>
            <w14:solidFill>
              <w14:schemeClr w14:val="tx1"/>
            </w14:solidFill>
          </w14:textFill>
        </w:rPr>
        <w:t>Acknowledgements</w:t>
      </w:r>
      <w:bookmarkEnd w:id="17"/>
      <w:bookmarkEnd w:id="18"/>
      <w:bookmarkEnd w:id="19"/>
      <w:bookmarkEnd w:id="20"/>
    </w:p>
    <w:p w14:paraId="14A112B6">
      <w:pPr>
        <w:keepNext w:val="0"/>
        <w:keepLines w:val="0"/>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lang w:val="en-US"/>
        </w:rPr>
      </w:pPr>
      <w:r>
        <w:rPr>
          <w:rFonts w:ascii="Times New Roman" w:hAnsi="Times New Roman" w:cs="Times New Roman"/>
          <w:lang w:val="en-US"/>
        </w:rPr>
        <w:t>I would like to express my sincere gratitude to my supervisor for the guidance, constructive feedback, and academic support provided throughout the development of this dissertation. The supervision received was invaluable in refining the focus of the study, strengthening the analytical approach, and sustaining progress across the different stages of the research process.</w:t>
      </w:r>
    </w:p>
    <w:p w14:paraId="74C3C88E">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2B902F73">
      <w:pPr>
        <w:keepNext w:val="0"/>
        <w:keepLines w:val="0"/>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lang w:val="en-US"/>
        </w:rPr>
      </w:pPr>
      <w:r>
        <w:rPr>
          <w:rFonts w:ascii="Times New Roman" w:hAnsi="Times New Roman" w:cs="Times New Roman"/>
          <w:lang w:val="en-US"/>
        </w:rPr>
        <w:t>I am also grateful to the academic staff and wider university community for providing the intellectual environment, learning resources, and research support necessary for the successful completion of this work. Access to academic databases, scholarly literature, and methodological guidance significantly supported the development of the dissertation.</w:t>
      </w:r>
    </w:p>
    <w:p w14:paraId="32D98C7F">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61A4A454">
      <w:pPr>
        <w:keepNext w:val="0"/>
        <w:keepLines w:val="0"/>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lang w:val="en-US"/>
        </w:rPr>
      </w:pPr>
      <w:r>
        <w:rPr>
          <w:rFonts w:ascii="Times New Roman" w:hAnsi="Times New Roman" w:cs="Times New Roman"/>
          <w:lang w:val="en-US"/>
        </w:rPr>
        <w:t>My appreciation also extends to my family, friends, and colleagues for their encouragement, patience, and continued support throughout the research process. Their understanding and motivation were especially valuable during the more demanding stages of the project.</w:t>
      </w:r>
    </w:p>
    <w:p w14:paraId="42C40F69">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6A44B8EF">
      <w:pPr>
        <w:keepNext w:val="0"/>
        <w:keepLines w:val="0"/>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lang w:val="en-US"/>
        </w:rPr>
      </w:pPr>
      <w:r>
        <w:rPr>
          <w:rFonts w:ascii="Times New Roman" w:hAnsi="Times New Roman" w:cs="Times New Roman"/>
          <w:lang w:val="en-US"/>
        </w:rPr>
        <w:t>Finally, I acknowledge the contribution of the scholars and industry researchers whose published work formed the evidence base for this dissertation. Their research made it possible to critically examine influencer-marketing effectiveness, consumer purchase intention, and the limitations of existing ROI measures within the fashion industry.</w:t>
      </w:r>
    </w:p>
    <w:p w14:paraId="13A1CC7F">
      <w:pPr>
        <w:keepNext w:val="0"/>
        <w:keepLines w:val="0"/>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lang w:val="en-US"/>
        </w:rPr>
      </w:pPr>
    </w:p>
    <w:p w14:paraId="3F084BB7">
      <w:pPr>
        <w:keepNext w:val="0"/>
        <w:keepLines w:val="0"/>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lang w:val="en-US"/>
        </w:rPr>
      </w:pPr>
    </w:p>
    <w:p w14:paraId="3D36C80E">
      <w:pPr>
        <w:pStyle w:val="2"/>
        <w:keepNext/>
        <w:keepLines/>
        <w:pageBreakBefore w:val="0"/>
        <w:widowControl/>
        <w:kinsoku/>
        <w:wordWrap/>
        <w:overflowPunct/>
        <w:topLinePunct w:val="0"/>
        <w:autoSpaceDE/>
        <w:autoSpaceDN/>
        <w:bidi w:val="0"/>
        <w:adjustRightInd/>
        <w:snapToGrid/>
        <w:spacing w:before="0" w:after="0" w:line="480" w:lineRule="auto"/>
        <w:textAlignment w:val="auto"/>
        <w:rPr>
          <w:rFonts w:hint="default" w:ascii="Times New Roman" w:hAnsi="Times New Roman" w:cs="Times New Roman"/>
          <w:b/>
          <w:bCs/>
          <w:color w:val="000000" w:themeColor="text1"/>
          <w:sz w:val="24"/>
          <w:szCs w:val="24"/>
          <w:lang w:val="en-US" w:eastAsia="zh-CN"/>
          <w14:textFill>
            <w14:solidFill>
              <w14:schemeClr w14:val="tx1"/>
            </w14:solidFill>
          </w14:textFill>
        </w:rPr>
      </w:pPr>
      <w:bookmarkStart w:id="21" w:name="_Toc18188"/>
      <w:bookmarkStart w:id="22" w:name="_Toc17286"/>
      <w:bookmarkStart w:id="23" w:name="_Toc31557"/>
      <w:bookmarkStart w:id="24" w:name="_Toc22975"/>
      <w:bookmarkStart w:id="25" w:name="_Toc8731"/>
      <w:r>
        <w:rPr>
          <w:rFonts w:hint="default" w:ascii="Times New Roman" w:hAnsi="Times New Roman" w:cs="Times New Roman"/>
          <w:b/>
          <w:bCs/>
          <w:color w:val="000000" w:themeColor="text1"/>
          <w:sz w:val="24"/>
          <w:szCs w:val="24"/>
          <w:lang w:val="en-US" w:eastAsia="zh-CN"/>
          <w14:textFill>
            <w14:solidFill>
              <w14:schemeClr w14:val="tx1"/>
            </w14:solidFill>
          </w14:textFill>
        </w:rPr>
        <w:t>1.0 INTRODUCTION</w:t>
      </w:r>
      <w:bookmarkEnd w:id="16"/>
      <w:bookmarkEnd w:id="21"/>
      <w:bookmarkEnd w:id="22"/>
      <w:bookmarkEnd w:id="23"/>
      <w:bookmarkEnd w:id="24"/>
      <w:bookmarkEnd w:id="25"/>
    </w:p>
    <w:p w14:paraId="4444DEA7">
      <w:pPr>
        <w:pStyle w:val="3"/>
        <w:keepNext w:val="0"/>
        <w:keepLines w:val="0"/>
        <w:pageBreakBefore w:val="0"/>
        <w:widowControl/>
        <w:kinsoku/>
        <w:wordWrap/>
        <w:overflowPunct/>
        <w:topLinePunct w:val="0"/>
        <w:autoSpaceDE/>
        <w:autoSpaceDN/>
        <w:bidi w:val="0"/>
        <w:adjustRightInd/>
        <w:snapToGrid/>
        <w:spacing w:before="0" w:beforeAutospacing="0" w:after="0" w:afterAutospacing="0" w:line="480" w:lineRule="auto"/>
        <w:jc w:val="left"/>
        <w:textAlignment w:val="auto"/>
        <w:outlineLvl w:val="9"/>
        <w:rPr>
          <w:rFonts w:hint="default" w:ascii="Times New Roman" w:hAnsi="Times New Roman" w:eastAsia="宋体" w:cs="Times New Roman"/>
          <w:b/>
          <w:bCs/>
          <w:kern w:val="0"/>
          <w:sz w:val="24"/>
          <w:szCs w:val="24"/>
          <w:lang w:val="en-US" w:eastAsia="zh-CN" w:bidi="ar"/>
          <w14:ligatures w14:val="none"/>
        </w:rPr>
      </w:pPr>
      <w:bookmarkStart w:id="26" w:name="_Toc240993909"/>
      <w:r>
        <w:rPr>
          <w:rFonts w:hint="default" w:ascii="Times New Roman" w:hAnsi="Times New Roman" w:eastAsia="宋体" w:cs="Times New Roman"/>
          <w:b/>
          <w:bCs/>
          <w:kern w:val="0"/>
          <w:sz w:val="24"/>
          <w:szCs w:val="24"/>
          <w:lang w:val="en-US" w:eastAsia="zh-CN" w:bidi="ar"/>
          <w14:ligatures w14:val="none"/>
        </w:rPr>
        <w:t>1.1 Background</w:t>
      </w:r>
      <w:bookmarkEnd w:id="26"/>
    </w:p>
    <w:p w14:paraId="48EC9BBB">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Influencer marketing has become a central form of digital brand communication because it places commercial messages within content that audiences choose to follow. Unlike traditional advertising, influencer marketing is integrated into styling advice, product demonstrations and lifestyle content, making promotion appear familiar while blurring the distinction between recommendation and commercial persuasion. Vrontis et al. (2021) demonstrate that influencer-marketing effectiveness is shaped by influencer characteristics, message features, audience responses, and contextual conditions. Effectiveness cannot be inferred from a single observable metric because exposure is only the first stage of a process that may or may not result in a purchase.</w:t>
      </w:r>
    </w:p>
    <w:p w14:paraId="52ED34ED">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0DC35824">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increasing commercial importance of influencer marketing reflects a wider transformation in digital consumption, where consumers increasingly encounter brands through personalised, socially embedded communication rather than through traditional advertising channels. Influencer marketing is different from traditional promotional methods, which are “passive” in nature and disconnect the advertiser from the audience, because it replaces traditional promotional practice with a new format that blends commercial messages into the natural content creation process. Recent studies suggest that the effectiveness of an influencer is a function of a combination of many factors, including influencer characteristics, message characteristics, audience relationships and contextual factors, instead of a single measure of influencer effectiveness (Vrontis et al., 2021; Pan et al., 2025). Such complexity is especially relevant in the context of fashion where clothing choices often carry symbolic significance, and may be associated with notions of self-expression and identity-building more than with pragmatics.</w:t>
      </w:r>
    </w:p>
    <w:p w14:paraId="3E288928">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Recent developments in influencer marketing research have therefore shifted attention away from simple exposure-based explanations towards more sophisticated models of consumer persuasion. In a large-scale meta-analytic review, Pan et al. (2025) show that influencer effects are context-dependent: depending on which outcome it is that is being measured. They conclude that there are non-transactional outcomes (attitudes, engagement and purchase intention) and transactional outcomes (actual purchasing behaviour and sales). It is especially important for fashion brands, as engagement data can often be easily obtained while there is much more difficulty in gathering evidence of incremental sales and profits.</w:t>
      </w:r>
    </w:p>
    <w:p w14:paraId="5ABB0539">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381F3272">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UK fashion industry provides a relevant context because clothing is visual, symbolic and closely connected to identity. Fashion influencers demonstrate how clothing can be styled and incorporated into desirable lifestyles. Casaló, Flavián and Ibáñez-Sánchez (2020) discovered that perceived opinion leadership was reinforced by the aspect of originality and uniqueness in the follower of a fashion-oriented Instagram account. This implies that the concept of influence requires the perception of being unique and personally appropriate other than being popular. Nonetheless, trust in the advice on fashion is an attitudinal reaction that cannot be regarded as indicative that a consumer will buy the promoted product.</w:t>
      </w:r>
    </w:p>
    <w:p w14:paraId="45496608">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4CE94CD8">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UK fashion market represents a particularly valuable setting for examining influencer effectiveness because fashion purchasing decisions are shaped by both economic and symbolic considerations. As well as assessing product characteristics like price, quality and availability, consumers also assess whether brands and products fit with their personal identity, aspirations and social belonging. Consequently, influencers occupy a distinctive position because they simultaneously function as product communicators, lifestyle models and identity references. Congruence between influencers, products and consumers has a significant impact on consumer response as evidenced by Belanche et al. (2021), which indicates that when the endorsement is congruent with the influencer identity as well as the consumer self-perception, the influence is strengthened.</w:t>
      </w:r>
    </w:p>
    <w:p w14:paraId="7736D52C">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623740CE">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However, the increasing professionalisation of influencer marketing has also created challenges regarding credibility and commercial transparency. Influencer-brand partnerships are becoming more common, which could lead to increased awareness of the persuasive nature of the content, potentially causing conflicts between commercial goals and authenticity. Duffek et al. (2025) highlight that authenticity in influencer marketing is multidimensional, involving consistency, transparency, integrity and relational connection. This means that brands can't just go for the popular ones, but they need to make sure that their collaboration with the influencers is still credible in the community of consumers they are trying to reach.</w:t>
      </w:r>
    </w:p>
    <w:p w14:paraId="7DF3C933">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1FDF0D44">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commercial problem is that fashion brands often assess campaigns through followers, reach, views, likes and comments, even though these indicators do not demonstrate conversion or profit. De Veirman, Cauberghe and Hudders (2017) discovered that the perceived popularity grew with the larger numbers of follower groups but not always with opinion leadership and sometimes with brand one-of-a-kind products. Tafesse and Wood (2021) also identified a negative association between engagement and both the number of followers and content. These findings challenge the assumption that audience size automatically creates marketing value. The dissertation hence studies whether the influence characteristics and the campaign indicators can provide credible evidence of purchase intention in the UK fashion sector.</w:t>
      </w:r>
    </w:p>
    <w:p w14:paraId="6CE28CB7">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2F6B1D7E">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This measurement challenge represents one of the central unresolved issues within influencer-marketing research. Digital platforms offer a wealth of behavioural data, but data doesn't always equate to a better understanding of commercial effectiveness. While engagement can be a sign of attention or interaction, it doesn't necessarily mean that the consumer bought a product, that the purchase was due to the influencer, or that the campaign resulted in extra profit. Leung et al. (2022) show that there is a correlation between influencer spending and engagement, but engagement is not necessarily correlated with financial return. Likewise, Hughes et al. (2019) demonstrate that the effectiveness of a campaign depends on the platform and the campaign's goal, meaning that effectiveness measures should be chosen based on the outcome of the campaign.</w:t>
      </w:r>
    </w:p>
    <w:p w14:paraId="35D71F28">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4B096E5A">
      <w:pPr>
        <w:pStyle w:val="3"/>
        <w:keepNext/>
        <w:keepLines/>
        <w:pageBreakBefore w:val="0"/>
        <w:widowControl/>
        <w:kinsoku/>
        <w:wordWrap/>
        <w:overflowPunct/>
        <w:topLinePunct w:val="0"/>
        <w:autoSpaceDE/>
        <w:autoSpaceDN/>
        <w:bidi w:val="0"/>
        <w:adjustRightInd/>
        <w:snapToGrid/>
        <w:spacing w:before="0" w:after="0" w:line="480" w:lineRule="auto"/>
        <w:textAlignment w:val="auto"/>
        <w:rPr>
          <w:rFonts w:ascii="Times New Roman" w:hAnsi="Times New Roman" w:cs="Times New Roman"/>
          <w:b/>
          <w:bCs/>
          <w:color w:val="auto"/>
          <w:sz w:val="24"/>
          <w:szCs w:val="24"/>
        </w:rPr>
      </w:pPr>
      <w:bookmarkStart w:id="27" w:name="_Toc10793"/>
      <w:bookmarkStart w:id="28" w:name="_Toc24628"/>
      <w:bookmarkStart w:id="29" w:name="_Toc3089"/>
      <w:bookmarkStart w:id="30" w:name="_Toc240993910"/>
      <w:bookmarkStart w:id="31" w:name="_Toc1155"/>
      <w:bookmarkStart w:id="32" w:name="_Toc11041"/>
      <w:r>
        <w:rPr>
          <w:rFonts w:ascii="Times New Roman" w:hAnsi="Times New Roman" w:cs="Times New Roman"/>
          <w:b/>
          <w:bCs/>
          <w:color w:val="auto"/>
          <w:sz w:val="24"/>
          <w:szCs w:val="24"/>
        </w:rPr>
        <w:t>1.2 Conceptual Foundations of Influencer Credibility, Authenticity, Parasocial Interaction and Consumer Purchase Intention</w:t>
      </w:r>
      <w:bookmarkEnd w:id="27"/>
      <w:bookmarkEnd w:id="28"/>
      <w:bookmarkEnd w:id="29"/>
      <w:bookmarkEnd w:id="30"/>
      <w:bookmarkEnd w:id="31"/>
      <w:bookmarkEnd w:id="32"/>
    </w:p>
    <w:p w14:paraId="42212F67">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Influencer-marketing effectiveness depends on how consumers evaluate both the influencer and the promotional message. Credibility means perceived expertise, trustworthiness, attractiveness and similarity, and authenticity is the question of whether the identity of the influencer, communication and brand partnerships seem to be authentic and consistent. Lou and Yuan (2019) identified that informative value, trustworthiness, attractiveness and similarity enhanced trust in branded influencer content, and consequently brand awareness and purchase intention. It is hence the correlation between a source, message and audience that generates credibility and not the influencer itself. A person may have credibility with a particular group of fashion consumers but may not have credibility with another group which may be in need of different needs, values or fashion choices.</w:t>
      </w:r>
    </w:p>
    <w:p w14:paraId="79641C8A">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6F17CC90">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theoretical explanation of influencer persuasion has consequently expanded beyond traditional advertising models. While Source Credibility Theory focuses on how expertise, trustworthiness and attractiveness impact message acceptance, influencer marketing adds other relational aspects that are not as frequently studied in traditional endorsement research. Consumers can build up a sense of familiarity and emotional connection with influencers by seeing them repeatedly, which can shape the way that commercial messages are understood. Liu and Zheng (2024) show that authenticity, homophily and informative value can lead to parasocial relationships, which in turn can affect brand credibility and purchase intention. This means that persuasion by influencers can be done through cognitive evaluation and through relational attachment.</w:t>
      </w:r>
    </w:p>
    <w:p w14:paraId="7FE70E56">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0E24616E">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Authenticity is important because commercialisation can weaken the trust that makes influencers persuasive. Audrezet, de Kerviler and Moulard (2020) differentiate between passionate and transparent authenticity when collaborations are based on the interests of the influencer and when the commercial relationships are openly defined. Authenticity should be followed instead of expected though endeavors to sound authentic need not be persuasive enough to the followers. This is a serious limitation since authenticity is a construct of the audience, not merely how those influence do their motives or how they package sponsored content.</w:t>
      </w:r>
    </w:p>
    <w:p w14:paraId="5F152135">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24BA78BA">
      <w:pPr>
        <w:keepNext w:val="0"/>
        <w:keepLines w:val="0"/>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lang w:val="en-US"/>
        </w:rPr>
      </w:pPr>
      <w:r>
        <w:rPr>
          <w:rFonts w:ascii="Times New Roman" w:hAnsi="Times New Roman" w:cs="Times New Roman"/>
          <w:lang w:val="en-US"/>
        </w:rPr>
        <w:t>Parasocial interaction and product–influencer fit help explain how credibility may translate into purchase intention. Parasocial interaction refers to one-sided familiarity that builds up as a result of frequent exposure to an influencer. Credibility and parasocial interaction were identified as positively predicting purchase intention by Sokolova and Kefi (2020), whereas the authors Schouten, Janssen and Verspaget (2020) established the inclusion of similarity, identification and a product-endorser fit. These results would claim a mediated image of persuasion, yet psychological response is still distinct to final purchases. A follower may trust an influencer and respond positively to a fashion product without having the financial capacity, need or final motivation to purchase it.</w:t>
      </w:r>
    </w:p>
    <w:p w14:paraId="6A0A89E9">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75815164">
      <w:pPr>
        <w:keepNext w:val="0"/>
        <w:keepLines w:val="0"/>
        <w:pageBreakBefore w:val="0"/>
        <w:widowControl/>
        <w:kinsoku/>
        <w:wordWrap/>
        <w:overflowPunct/>
        <w:topLinePunct w:val="0"/>
        <w:autoSpaceDE/>
        <w:autoSpaceDN/>
        <w:bidi w:val="0"/>
        <w:adjustRightInd/>
        <w:snapToGrid/>
        <w:spacing w:line="480" w:lineRule="auto"/>
        <w:jc w:val="both"/>
        <w:textAlignment w:val="auto"/>
        <w:rPr>
          <w:rFonts w:ascii="Times New Roman" w:hAnsi="Times New Roman" w:cs="Times New Roman"/>
          <w:lang w:val="en-US"/>
        </w:rPr>
      </w:pPr>
      <w:r>
        <w:rPr>
          <w:rFonts w:ascii="Times New Roman" w:hAnsi="Times New Roman" w:cs="Times New Roman"/>
          <w:lang w:val="en-US"/>
        </w:rPr>
        <w:t>The importance of relational mechanisms is particularly relevant within fashion because consumers often engage with influencers as representatives of desirable lifestyles rather than simply as information providers. Ki et al. (2020) define influencers as human brands that can create attachments with their followers by satisfying their psychological needs. This view adds to the typical marketing explanations and posits that the effectiveness of influencers can stem from the emotional and identity-based relationships that are built over time. However, the psychological attachment and relational proximity should not be taken as a direct indicator of buying behaviour, as the psychological attachment might affect attitudes but not necessarily overcome practical obstacles like price, availability or competing alternatives.</w:t>
      </w:r>
    </w:p>
    <w:p w14:paraId="448EC10F">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6FBC3B0A">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Engagement, purchase intention, conversion and return on investment are related but distinct indicators. The likes, comments, shares, saves, views and clicks—engagement: the likelihood to make a purchase; purchase intention, a stated likelihood of making the purchase: conversion is a measurable activity such as visiting a product page or a transaction and financial ROI: attributable profit to the total cost of the campaign. Jimenez-Castillo and Sancha-Fernandez (2019) discovered the perceived influencer power led to more engagement, expectation of value and purchase intention but their model stopped at intention and not at actual purchase. Like or comment is therefore less informative than purchase intention but it is still an incomplete measure of profitability.</w:t>
      </w:r>
    </w:p>
    <w:p w14:paraId="38BA4DDB">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703C3F0C">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distinction between these outcomes has become increasingly important as influencer marketing matures as a commercial practice. Previous assessments have tended to be based on platform metrics that can be easily accessed and compared. But today, there is growing research that suggests that effectiveness is dependent on the alignment of measurement strategy and campaign goals. There is a valid argument for prioritizing reach and recognition in awareness campaigns, and conversion, attributable sales and financial contribution in performance campaigns. Pan et al. (2025) highlight that the effectiveness of influencers should be assessed based on the stage of the consumer journey they are tracking and not by a single universal effectiveness measure.</w:t>
      </w:r>
    </w:p>
    <w:p w14:paraId="7317064F">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4DA29754">
      <w:pPr>
        <w:pStyle w:val="3"/>
        <w:keepNext/>
        <w:keepLines/>
        <w:pageBreakBefore w:val="0"/>
        <w:widowControl/>
        <w:kinsoku/>
        <w:wordWrap/>
        <w:overflowPunct/>
        <w:topLinePunct w:val="0"/>
        <w:autoSpaceDE/>
        <w:autoSpaceDN/>
        <w:bidi w:val="0"/>
        <w:adjustRightInd/>
        <w:snapToGrid/>
        <w:spacing w:before="0" w:after="0" w:line="480" w:lineRule="auto"/>
        <w:textAlignment w:val="auto"/>
        <w:rPr>
          <w:rFonts w:ascii="Times New Roman" w:hAnsi="Times New Roman" w:cs="Times New Roman"/>
          <w:b/>
          <w:bCs/>
          <w:color w:val="auto"/>
          <w:sz w:val="24"/>
          <w:szCs w:val="24"/>
          <w:lang w:val="en-US"/>
        </w:rPr>
      </w:pPr>
      <w:bookmarkStart w:id="33" w:name="_Toc21536"/>
      <w:bookmarkStart w:id="34" w:name="_Toc29305"/>
      <w:bookmarkStart w:id="35" w:name="_Toc12118"/>
      <w:bookmarkStart w:id="36" w:name="_Toc240993911"/>
      <w:bookmarkStart w:id="37" w:name="_Toc3646"/>
      <w:bookmarkStart w:id="38" w:name="_Toc20347"/>
      <w:r>
        <w:rPr>
          <w:rFonts w:ascii="Times New Roman" w:hAnsi="Times New Roman" w:cs="Times New Roman"/>
          <w:b/>
          <w:bCs/>
          <w:color w:val="auto"/>
          <w:sz w:val="24"/>
          <w:szCs w:val="24"/>
          <w:lang w:val="en-US"/>
        </w:rPr>
        <w:t>1.3 Aim, Objectives, Research Questions</w:t>
      </w:r>
      <w:bookmarkEnd w:id="33"/>
      <w:bookmarkEnd w:id="34"/>
      <w:bookmarkEnd w:id="35"/>
      <w:bookmarkEnd w:id="36"/>
      <w:bookmarkEnd w:id="37"/>
      <w:bookmarkEnd w:id="38"/>
      <w:r>
        <w:rPr>
          <w:rFonts w:ascii="Times New Roman" w:hAnsi="Times New Roman" w:cs="Times New Roman"/>
          <w:b/>
          <w:bCs/>
          <w:color w:val="auto"/>
          <w:sz w:val="24"/>
          <w:szCs w:val="24"/>
          <w:lang w:val="en-US"/>
        </w:rPr>
        <w:t xml:space="preserve"> </w:t>
      </w:r>
    </w:p>
    <w:p w14:paraId="71945D8F">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aim of this dissertation is to critically synthesise secondary academic and industry evidence concerning the relationship between influencer-marketing characteristics, campaign-performance indicators and consumer purchase intention in the UK fashion industry.</w:t>
      </w:r>
    </w:p>
    <w:p w14:paraId="63D6344D">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research objectives are:</w:t>
      </w:r>
    </w:p>
    <w:p w14:paraId="2BA169D5">
      <w:pPr>
        <w:keepNext w:val="0"/>
        <w:keepLines w:val="0"/>
        <w:pageBreakBefore w:val="0"/>
        <w:widowControl/>
        <w:numPr>
          <w:ilvl w:val="0"/>
          <w:numId w:val="1"/>
        </w:numPr>
        <w:kinsoku/>
        <w:wordWrap/>
        <w:overflowPunct/>
        <w:topLinePunct w:val="0"/>
        <w:autoSpaceDE/>
        <w:autoSpaceDN/>
        <w:bidi w:val="0"/>
        <w:adjustRightInd/>
        <w:snapToGrid/>
        <w:spacing w:after="0" w:line="480" w:lineRule="auto"/>
        <w:ind w:left="720" w:leftChars="0" w:hanging="360" w:firstLineChars="0"/>
        <w:jc w:val="both"/>
        <w:textAlignment w:val="auto"/>
        <w:rPr>
          <w:rFonts w:ascii="Times New Roman" w:hAnsi="Times New Roman" w:cs="Times New Roman"/>
          <w:lang w:val="en-US"/>
        </w:rPr>
      </w:pPr>
      <w:r>
        <w:rPr>
          <w:rFonts w:ascii="Times New Roman" w:hAnsi="Times New Roman" w:cs="Times New Roman"/>
          <w:lang w:val="en-US"/>
        </w:rPr>
        <w:t>To critically review academic and industry evidence concerning influencer-marketing effectiveness in the UK fashion industry.</w:t>
      </w:r>
    </w:p>
    <w:p w14:paraId="6A65CD85">
      <w:pPr>
        <w:keepNext w:val="0"/>
        <w:keepLines w:val="0"/>
        <w:pageBreakBefore w:val="0"/>
        <w:widowControl/>
        <w:numPr>
          <w:ilvl w:val="0"/>
          <w:numId w:val="1"/>
        </w:numPr>
        <w:kinsoku/>
        <w:wordWrap/>
        <w:overflowPunct/>
        <w:topLinePunct w:val="0"/>
        <w:autoSpaceDE/>
        <w:autoSpaceDN/>
        <w:bidi w:val="0"/>
        <w:adjustRightInd/>
        <w:snapToGrid/>
        <w:spacing w:after="0" w:line="480" w:lineRule="auto"/>
        <w:ind w:left="720" w:leftChars="0" w:hanging="360" w:firstLineChars="0"/>
        <w:jc w:val="both"/>
        <w:textAlignment w:val="auto"/>
        <w:rPr>
          <w:rFonts w:ascii="Times New Roman" w:hAnsi="Times New Roman" w:cs="Times New Roman"/>
          <w:lang w:val="en-US"/>
        </w:rPr>
      </w:pPr>
      <w:r>
        <w:rPr>
          <w:rFonts w:ascii="Times New Roman" w:hAnsi="Times New Roman" w:cs="Times New Roman"/>
          <w:lang w:val="en-US"/>
        </w:rPr>
        <w:t>To examine how credibility, authenticity, trust, parasocial interaction and product–influencer fit are associated with purchase intention.</w:t>
      </w:r>
    </w:p>
    <w:p w14:paraId="5E8A498C">
      <w:pPr>
        <w:keepNext w:val="0"/>
        <w:keepLines w:val="0"/>
        <w:pageBreakBefore w:val="0"/>
        <w:widowControl/>
        <w:numPr>
          <w:ilvl w:val="0"/>
          <w:numId w:val="1"/>
        </w:numPr>
        <w:kinsoku/>
        <w:wordWrap/>
        <w:overflowPunct/>
        <w:topLinePunct w:val="0"/>
        <w:autoSpaceDE/>
        <w:autoSpaceDN/>
        <w:bidi w:val="0"/>
        <w:adjustRightInd/>
        <w:snapToGrid/>
        <w:spacing w:after="0" w:line="480" w:lineRule="auto"/>
        <w:ind w:left="720" w:leftChars="0" w:hanging="360" w:firstLineChars="0"/>
        <w:jc w:val="both"/>
        <w:textAlignment w:val="auto"/>
        <w:rPr>
          <w:rFonts w:ascii="Times New Roman" w:hAnsi="Times New Roman" w:cs="Times New Roman"/>
          <w:lang w:val="en-US"/>
        </w:rPr>
      </w:pPr>
      <w:r>
        <w:rPr>
          <w:rFonts w:ascii="Times New Roman" w:hAnsi="Times New Roman" w:cs="Times New Roman"/>
          <w:lang w:val="en-US"/>
        </w:rPr>
        <w:t>To evaluate secondary evidence concerning engagement, brand awareness, conversion and campaign performance.</w:t>
      </w:r>
    </w:p>
    <w:p w14:paraId="7A345EB7">
      <w:pPr>
        <w:keepNext w:val="0"/>
        <w:keepLines w:val="0"/>
        <w:pageBreakBefore w:val="0"/>
        <w:widowControl/>
        <w:numPr>
          <w:ilvl w:val="0"/>
          <w:numId w:val="1"/>
        </w:numPr>
        <w:kinsoku/>
        <w:wordWrap/>
        <w:overflowPunct/>
        <w:topLinePunct w:val="0"/>
        <w:autoSpaceDE/>
        <w:autoSpaceDN/>
        <w:bidi w:val="0"/>
        <w:adjustRightInd/>
        <w:snapToGrid/>
        <w:spacing w:after="0" w:line="480" w:lineRule="auto"/>
        <w:ind w:left="720" w:leftChars="0" w:hanging="360" w:firstLineChars="0"/>
        <w:jc w:val="both"/>
        <w:textAlignment w:val="auto"/>
        <w:rPr>
          <w:rFonts w:ascii="Times New Roman" w:hAnsi="Times New Roman" w:cs="Times New Roman"/>
          <w:lang w:val="en-US"/>
        </w:rPr>
      </w:pPr>
      <w:r>
        <w:rPr>
          <w:rFonts w:ascii="Times New Roman" w:hAnsi="Times New Roman" w:cs="Times New Roman"/>
          <w:lang w:val="en-US"/>
        </w:rPr>
        <w:t>To assess the usefulness and limitations of engagement, trust, awareness, conversion and purchase intention as effectiveness indicators.</w:t>
      </w:r>
    </w:p>
    <w:p w14:paraId="46229109">
      <w:pPr>
        <w:keepNext w:val="0"/>
        <w:keepLines w:val="0"/>
        <w:pageBreakBefore w:val="0"/>
        <w:widowControl/>
        <w:numPr>
          <w:ilvl w:val="0"/>
          <w:numId w:val="1"/>
        </w:numPr>
        <w:kinsoku/>
        <w:wordWrap/>
        <w:overflowPunct/>
        <w:topLinePunct w:val="0"/>
        <w:autoSpaceDE/>
        <w:autoSpaceDN/>
        <w:bidi w:val="0"/>
        <w:adjustRightInd/>
        <w:snapToGrid/>
        <w:spacing w:after="0" w:line="480" w:lineRule="auto"/>
        <w:ind w:left="720" w:leftChars="0" w:hanging="360" w:firstLineChars="0"/>
        <w:jc w:val="both"/>
        <w:textAlignment w:val="auto"/>
        <w:rPr>
          <w:rFonts w:ascii="Times New Roman" w:hAnsi="Times New Roman" w:cs="Times New Roman"/>
          <w:lang w:val="en-US"/>
        </w:rPr>
      </w:pPr>
      <w:r>
        <w:rPr>
          <w:rFonts w:ascii="Times New Roman" w:hAnsi="Times New Roman" w:cs="Times New Roman"/>
          <w:lang w:val="en-US"/>
        </w:rPr>
        <w:t>To compare academic and industry interpretations of performance and identify implications for UK fashion brands.</w:t>
      </w:r>
    </w:p>
    <w:p w14:paraId="31E862FE">
      <w:pPr>
        <w:keepNext w:val="0"/>
        <w:keepLines w:val="0"/>
        <w:pageBreakBefore w:val="0"/>
        <w:widowControl/>
        <w:numPr>
          <w:ilvl w:val="0"/>
          <w:numId w:val="0"/>
        </w:numPr>
        <w:kinsoku/>
        <w:wordWrap/>
        <w:overflowPunct/>
        <w:topLinePunct w:val="0"/>
        <w:autoSpaceDE/>
        <w:autoSpaceDN/>
        <w:bidi w:val="0"/>
        <w:adjustRightInd/>
        <w:snapToGrid/>
        <w:spacing w:after="0" w:line="480" w:lineRule="auto"/>
        <w:ind w:left="360" w:leftChars="0"/>
        <w:jc w:val="both"/>
        <w:textAlignment w:val="auto"/>
        <w:rPr>
          <w:rFonts w:ascii="Times New Roman" w:hAnsi="Times New Roman" w:cs="Times New Roman"/>
          <w:lang w:val="en-US"/>
        </w:rPr>
      </w:pPr>
    </w:p>
    <w:p w14:paraId="1B5B0166">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i/>
          <w:iCs/>
          <w:lang w:val="en-US"/>
        </w:rPr>
      </w:pPr>
      <w:r>
        <w:rPr>
          <w:rFonts w:ascii="Times New Roman" w:hAnsi="Times New Roman" w:cs="Times New Roman"/>
          <w:i/>
          <w:iCs/>
          <w:lang w:val="en-US"/>
        </w:rPr>
        <w:t>Main Research Question</w:t>
      </w:r>
    </w:p>
    <w:p w14:paraId="0D516D77">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What does existing academic and industry evidence reveal about the relationship between influencer marketing and consumer purchase intention in the UK fashion industry?</w:t>
      </w:r>
    </w:p>
    <w:p w14:paraId="07E125AE">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i/>
          <w:iCs/>
          <w:lang w:val="en-US"/>
        </w:rPr>
      </w:pPr>
      <w:r>
        <w:rPr>
          <w:rFonts w:ascii="Times New Roman" w:hAnsi="Times New Roman" w:cs="Times New Roman"/>
          <w:i/>
          <w:iCs/>
          <w:lang w:val="en-US"/>
        </w:rPr>
        <w:t>Supporting Research Questions</w:t>
      </w:r>
    </w:p>
    <w:p w14:paraId="636F4792">
      <w:pPr>
        <w:keepNext w:val="0"/>
        <w:keepLines w:val="0"/>
        <w:pageBreakBefore w:val="0"/>
        <w:widowControl/>
        <w:numPr>
          <w:ilvl w:val="0"/>
          <w:numId w:val="2"/>
        </w:numPr>
        <w:kinsoku/>
        <w:wordWrap/>
        <w:overflowPunct/>
        <w:topLinePunct w:val="0"/>
        <w:autoSpaceDE/>
        <w:autoSpaceDN/>
        <w:bidi w:val="0"/>
        <w:adjustRightInd/>
        <w:snapToGrid/>
        <w:spacing w:after="0" w:line="480" w:lineRule="auto"/>
        <w:ind w:left="726" w:hanging="363"/>
        <w:jc w:val="both"/>
        <w:textAlignment w:val="auto"/>
        <w:rPr>
          <w:rFonts w:ascii="Times New Roman" w:hAnsi="Times New Roman" w:cs="Times New Roman"/>
          <w:lang w:val="en-US"/>
        </w:rPr>
      </w:pPr>
      <w:r>
        <w:rPr>
          <w:rFonts w:ascii="Times New Roman" w:hAnsi="Times New Roman" w:cs="Times New Roman"/>
          <w:lang w:val="en-US"/>
        </w:rPr>
        <w:t>How are influencer credibility, authenticity, trust, parasocial interaction and product–influencer fit associated with consumer purchase intention?</w:t>
      </w:r>
    </w:p>
    <w:p w14:paraId="3F199131">
      <w:pPr>
        <w:keepNext w:val="0"/>
        <w:keepLines w:val="0"/>
        <w:pageBreakBefore w:val="0"/>
        <w:widowControl/>
        <w:numPr>
          <w:ilvl w:val="0"/>
          <w:numId w:val="2"/>
        </w:numPr>
        <w:kinsoku/>
        <w:wordWrap/>
        <w:overflowPunct/>
        <w:topLinePunct w:val="0"/>
        <w:autoSpaceDE/>
        <w:autoSpaceDN/>
        <w:bidi w:val="0"/>
        <w:adjustRightInd/>
        <w:snapToGrid/>
        <w:spacing w:after="0" w:line="480" w:lineRule="auto"/>
        <w:ind w:left="726" w:hanging="363"/>
        <w:jc w:val="both"/>
        <w:textAlignment w:val="auto"/>
        <w:rPr>
          <w:rFonts w:ascii="Times New Roman" w:hAnsi="Times New Roman" w:cs="Times New Roman"/>
          <w:lang w:val="en-US"/>
        </w:rPr>
      </w:pPr>
      <w:r>
        <w:rPr>
          <w:rFonts w:ascii="Times New Roman" w:hAnsi="Times New Roman" w:cs="Times New Roman"/>
          <w:lang w:val="en-US"/>
        </w:rPr>
        <w:t>How useful are engagement, brand awareness, conversion and purchase-intention measures for evaluating influencer-marketing effectiveness?</w:t>
      </w:r>
    </w:p>
    <w:p w14:paraId="52E3E6E2">
      <w:pPr>
        <w:keepNext w:val="0"/>
        <w:keepLines w:val="0"/>
        <w:pageBreakBefore w:val="0"/>
        <w:widowControl/>
        <w:numPr>
          <w:ilvl w:val="0"/>
          <w:numId w:val="2"/>
        </w:numPr>
        <w:kinsoku/>
        <w:wordWrap/>
        <w:overflowPunct/>
        <w:topLinePunct w:val="0"/>
        <w:autoSpaceDE/>
        <w:autoSpaceDN/>
        <w:bidi w:val="0"/>
        <w:adjustRightInd/>
        <w:snapToGrid/>
        <w:spacing w:after="0" w:line="480" w:lineRule="auto"/>
        <w:ind w:left="726" w:hanging="363"/>
        <w:jc w:val="both"/>
        <w:textAlignment w:val="auto"/>
        <w:rPr>
          <w:rFonts w:ascii="Times New Roman" w:hAnsi="Times New Roman" w:cs="Times New Roman"/>
          <w:lang w:val="en-US"/>
        </w:rPr>
      </w:pPr>
      <w:r>
        <w:rPr>
          <w:rFonts w:ascii="Times New Roman" w:hAnsi="Times New Roman" w:cs="Times New Roman"/>
          <w:lang w:val="en-US"/>
        </w:rPr>
        <w:t>How do academic studies and industry reports differ in their measurement and interpretation of influencer-marketing performance?</w:t>
      </w:r>
    </w:p>
    <w:p w14:paraId="0C1D3D07">
      <w:pPr>
        <w:keepNext w:val="0"/>
        <w:keepLines w:val="0"/>
        <w:pageBreakBefore w:val="0"/>
        <w:widowControl/>
        <w:numPr>
          <w:ilvl w:val="0"/>
          <w:numId w:val="2"/>
        </w:numPr>
        <w:kinsoku/>
        <w:wordWrap/>
        <w:overflowPunct/>
        <w:topLinePunct w:val="0"/>
        <w:autoSpaceDE/>
        <w:autoSpaceDN/>
        <w:bidi w:val="0"/>
        <w:adjustRightInd/>
        <w:snapToGrid/>
        <w:spacing w:after="0" w:line="480" w:lineRule="auto"/>
        <w:ind w:left="726" w:hanging="363"/>
        <w:jc w:val="both"/>
        <w:textAlignment w:val="auto"/>
        <w:rPr>
          <w:rFonts w:ascii="Times New Roman" w:hAnsi="Times New Roman" w:cs="Times New Roman"/>
          <w:lang w:val="en-US"/>
        </w:rPr>
      </w:pPr>
      <w:r>
        <w:rPr>
          <w:rFonts w:ascii="Times New Roman" w:hAnsi="Times New Roman" w:cs="Times New Roman"/>
          <w:lang w:val="en-US"/>
        </w:rPr>
        <w:t>What limitations arise when secondary evidence is used to evaluate influencer-marketing ROI and consumer purchasing outcomes?</w:t>
      </w:r>
    </w:p>
    <w:p w14:paraId="4240BD23">
      <w:pPr>
        <w:keepNext w:val="0"/>
        <w:keepLines w:val="0"/>
        <w:pageBreakBefore w:val="0"/>
        <w:widowControl/>
        <w:numPr>
          <w:ilvl w:val="0"/>
          <w:numId w:val="0"/>
        </w:numPr>
        <w:tabs>
          <w:tab w:val="left" w:pos="720"/>
        </w:tabs>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2BB92CD2">
      <w:pPr>
        <w:keepNext w:val="0"/>
        <w:keepLines w:val="0"/>
        <w:pageBreakBefore w:val="0"/>
        <w:widowControl/>
        <w:numPr>
          <w:ilvl w:val="0"/>
          <w:numId w:val="0"/>
        </w:numPr>
        <w:tabs>
          <w:tab w:val="left" w:pos="720"/>
        </w:tabs>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1EDF5C99">
      <w:pPr>
        <w:pStyle w:val="3"/>
        <w:keepNext/>
        <w:keepLines/>
        <w:pageBreakBefore w:val="0"/>
        <w:widowControl/>
        <w:kinsoku/>
        <w:wordWrap/>
        <w:overflowPunct/>
        <w:topLinePunct w:val="0"/>
        <w:autoSpaceDE/>
        <w:autoSpaceDN/>
        <w:bidi w:val="0"/>
        <w:adjustRightInd/>
        <w:snapToGrid/>
        <w:spacing w:before="0" w:after="0" w:line="480" w:lineRule="auto"/>
        <w:textAlignment w:val="auto"/>
        <w:rPr>
          <w:rFonts w:ascii="Times New Roman" w:hAnsi="Times New Roman" w:cs="Times New Roman"/>
          <w:b/>
          <w:bCs/>
          <w:color w:val="auto"/>
          <w:sz w:val="24"/>
          <w:szCs w:val="24"/>
          <w:lang w:val="en-US"/>
        </w:rPr>
      </w:pPr>
      <w:bookmarkStart w:id="39" w:name="_Toc240993912"/>
      <w:bookmarkStart w:id="40" w:name="_Toc10234"/>
      <w:bookmarkStart w:id="41" w:name="_Toc3665"/>
      <w:bookmarkStart w:id="42" w:name="_Toc26123"/>
      <w:bookmarkStart w:id="43" w:name="_Toc16700"/>
      <w:bookmarkStart w:id="44" w:name="_Toc8098"/>
      <w:r>
        <w:rPr>
          <w:rFonts w:ascii="Times New Roman" w:hAnsi="Times New Roman" w:cs="Times New Roman"/>
          <w:b/>
          <w:bCs/>
          <w:color w:val="auto"/>
          <w:sz w:val="24"/>
          <w:szCs w:val="24"/>
          <w:lang w:val="en-US"/>
        </w:rPr>
        <w:t>1.4 Research Purpose and Significance</w:t>
      </w:r>
      <w:bookmarkEnd w:id="39"/>
      <w:bookmarkEnd w:id="40"/>
      <w:bookmarkEnd w:id="41"/>
      <w:bookmarkEnd w:id="42"/>
      <w:bookmarkEnd w:id="43"/>
      <w:bookmarkEnd w:id="44"/>
    </w:p>
    <w:p w14:paraId="79F00A95">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purpose of the dissertation is to determine how confidently influencer-marketing effectiveness can be assessed using published evidence. It evaluates when credibility, authenticity, trust, parasocial interaction and product fit contribute to purchase intention and whether common indicators provide sufficient evidence of commercial value.</w:t>
      </w:r>
    </w:p>
    <w:p w14:paraId="5BE9F492">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08D2EE64">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study is academically significant because it connects psychological theories of persuasion with campaign-performance measures. Source Credibility Theory explains why trustworthiness, expertise and attractiveness may influence message acceptance, while Parasocial Interaction Theory explains how perceived closeness can strengthen influence. However, neither theory alone explains the movement from engagement to financial return. Leung et al. (2022) show that influencer effectiveness is shaped by originality, follower size, sponsor salience, activity, fit and positivity, including nonlinear relationships. This confirms that no single metric can adequately represent performance. The study will therefore connect theoretical explanations of consumer response with evidence concerning measurable campaign outcomes.</w:t>
      </w:r>
    </w:p>
    <w:p w14:paraId="23E04493">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1F103A56">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study is practically significant because UK fashion brands may misallocate resources when popularity or engagement is treated as proof of return. Hughes, Swaminathan and Brooks (2019) found that campaign outcomes differed by platform and objective, indicating that awareness and trial campaigns require different strategies and measures. Metrics should therefore be selected according to the intended result rather than used interchangeably. Reach may be appropriate for an awareness campaign, whereas clicks, conversions and attributable sales are more relevant to a sales-focused campaign.</w:t>
      </w:r>
    </w:p>
    <w:p w14:paraId="4C9ABE12">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Methodologically, the dissertation uses a qualitative secondary design because complete campaign costs, sales uplift and profit margins are rarely publicly accessible. It compares peer-reviewed research with carefully appraised industry evidence while recognising commercial bias and inconsistent measures. It will not recruit participants, analyse private social-media data or calculate an original financial ROI.</w:t>
      </w:r>
    </w:p>
    <w:p w14:paraId="233B1CDB">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677AA7A8">
      <w:pPr>
        <w:pStyle w:val="3"/>
        <w:keepNext/>
        <w:keepLines/>
        <w:pageBreakBefore w:val="0"/>
        <w:widowControl/>
        <w:kinsoku/>
        <w:wordWrap/>
        <w:overflowPunct/>
        <w:topLinePunct w:val="0"/>
        <w:autoSpaceDE/>
        <w:autoSpaceDN/>
        <w:bidi w:val="0"/>
        <w:adjustRightInd/>
        <w:snapToGrid/>
        <w:spacing w:before="0" w:after="0" w:line="480" w:lineRule="auto"/>
        <w:textAlignment w:val="auto"/>
        <w:rPr>
          <w:rFonts w:ascii="Times New Roman" w:hAnsi="Times New Roman" w:cs="Times New Roman"/>
          <w:b/>
          <w:bCs/>
          <w:color w:val="auto"/>
          <w:sz w:val="24"/>
          <w:szCs w:val="24"/>
          <w:lang w:val="en-US"/>
        </w:rPr>
      </w:pPr>
      <w:bookmarkStart w:id="45" w:name="_Toc21731"/>
      <w:bookmarkStart w:id="46" w:name="_Toc14094"/>
      <w:bookmarkStart w:id="47" w:name="_Toc15944"/>
      <w:bookmarkStart w:id="48" w:name="_Toc29183"/>
      <w:bookmarkStart w:id="49" w:name="_Toc240993913"/>
      <w:bookmarkStart w:id="50" w:name="_Toc26137"/>
      <w:r>
        <w:rPr>
          <w:rFonts w:ascii="Times New Roman" w:hAnsi="Times New Roman" w:cs="Times New Roman"/>
          <w:b/>
          <w:bCs/>
          <w:color w:val="auto"/>
          <w:sz w:val="24"/>
          <w:szCs w:val="24"/>
          <w:lang w:val="en-US"/>
        </w:rPr>
        <w:t>1.5 Dissertation Structure</w:t>
      </w:r>
      <w:bookmarkEnd w:id="45"/>
      <w:bookmarkEnd w:id="46"/>
      <w:bookmarkEnd w:id="47"/>
      <w:bookmarkEnd w:id="48"/>
      <w:bookmarkEnd w:id="49"/>
      <w:bookmarkEnd w:id="50"/>
    </w:p>
    <w:p w14:paraId="48406C06">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Chapter One introduces the research background, conceptual foundations, aim, objectives, research questions, purpose and significance of the study. Chapter Two critically reviews existing literature on influencer marketing, credibility, authenticity, parasocial interaction, sponsorship disclosure, consumer purchase intention and ROI measurement. Chapter Three explains the qualitative secondary research methodology, including the research design, data sources, selection criteria, quality assessment, data extraction and analytical approach. Chapter Four presents the findings from the thematic and comparative analysis of academic and industry evidence. Chapter Five concludes the dissertation by discussing the findings, presenting recommendations, acknowledging study limitations and identifying areas for future research.</w:t>
      </w:r>
    </w:p>
    <w:p w14:paraId="57FF9BEF">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2B34D222">
      <w:pPr>
        <w:spacing w:line="360" w:lineRule="auto"/>
        <w:jc w:val="both"/>
        <w:rPr>
          <w:rFonts w:ascii="Times New Roman" w:hAnsi="Times New Roman" w:cs="Times New Roman"/>
          <w:lang w:val="en-US"/>
        </w:rPr>
      </w:pPr>
    </w:p>
    <w:p w14:paraId="31561483">
      <w:pPr>
        <w:spacing w:line="360" w:lineRule="auto"/>
        <w:jc w:val="both"/>
        <w:rPr>
          <w:rFonts w:ascii="Times New Roman" w:hAnsi="Times New Roman" w:cs="Times New Roman"/>
          <w:lang w:val="en-US"/>
        </w:rPr>
      </w:pPr>
    </w:p>
    <w:p w14:paraId="7C327FE4">
      <w:pPr>
        <w:spacing w:line="360" w:lineRule="auto"/>
        <w:jc w:val="both"/>
        <w:rPr>
          <w:rFonts w:ascii="Times New Roman" w:hAnsi="Times New Roman" w:cs="Times New Roman"/>
          <w:lang w:val="en-US"/>
        </w:rPr>
      </w:pPr>
    </w:p>
    <w:p w14:paraId="36A79B5A">
      <w:pPr>
        <w:pStyle w:val="2"/>
        <w:keepNext w:val="0"/>
        <w:keepLines w:val="0"/>
        <w:pageBreakBefore w:val="0"/>
        <w:widowControl/>
        <w:kinsoku/>
        <w:wordWrap/>
        <w:overflowPunct/>
        <w:topLinePunct w:val="0"/>
        <w:autoSpaceDE/>
        <w:autoSpaceDN/>
        <w:bidi w:val="0"/>
        <w:adjustRightInd/>
        <w:snapToGrid/>
        <w:spacing w:before="0" w:beforeAutospacing="0" w:after="0" w:afterAutospacing="0" w:line="360" w:lineRule="auto"/>
        <w:jc w:val="left"/>
        <w:textAlignment w:val="auto"/>
        <w:outlineLvl w:val="9"/>
        <w:rPr>
          <w:rFonts w:hint="default" w:ascii="Times New Roman" w:hAnsi="Times New Roman" w:eastAsia="宋体" w:cs="Times New Roman"/>
          <w:b/>
          <w:bCs/>
          <w:kern w:val="44"/>
          <w:sz w:val="24"/>
          <w:szCs w:val="24"/>
          <w:lang w:val="en-US" w:eastAsia="zh-CN" w:bidi="ar"/>
          <w14:ligatures w14:val="none"/>
        </w:rPr>
      </w:pPr>
      <w:bookmarkStart w:id="51" w:name="_Toc240993914"/>
    </w:p>
    <w:p w14:paraId="7779162D">
      <w:pPr>
        <w:rPr>
          <w:rFonts w:hint="default" w:ascii="Times New Roman" w:hAnsi="Times New Roman" w:eastAsia="宋体" w:cs="Times New Roman"/>
          <w:b/>
          <w:bCs/>
          <w:kern w:val="44"/>
          <w:sz w:val="24"/>
          <w:szCs w:val="24"/>
          <w:lang w:val="en-US" w:eastAsia="zh-CN" w:bidi="ar"/>
          <w14:ligatures w14:val="none"/>
        </w:rPr>
      </w:pPr>
    </w:p>
    <w:p w14:paraId="0E540C74">
      <w:pPr>
        <w:rPr>
          <w:rFonts w:hint="default" w:ascii="Times New Roman" w:hAnsi="Times New Roman" w:eastAsia="宋体" w:cs="Times New Roman"/>
          <w:b/>
          <w:bCs/>
          <w:kern w:val="44"/>
          <w:sz w:val="24"/>
          <w:szCs w:val="24"/>
          <w:lang w:val="en-US" w:eastAsia="zh-CN" w:bidi="ar"/>
          <w14:ligatures w14:val="none"/>
        </w:rPr>
      </w:pPr>
    </w:p>
    <w:p w14:paraId="3E0E519E">
      <w:pPr>
        <w:rPr>
          <w:rFonts w:hint="default" w:ascii="Times New Roman" w:hAnsi="Times New Roman" w:eastAsia="宋体" w:cs="Times New Roman"/>
          <w:b/>
          <w:bCs/>
          <w:kern w:val="44"/>
          <w:sz w:val="24"/>
          <w:szCs w:val="24"/>
          <w:lang w:val="en-US" w:eastAsia="zh-CN" w:bidi="ar"/>
          <w14:ligatures w14:val="none"/>
        </w:rPr>
      </w:pPr>
    </w:p>
    <w:p w14:paraId="78F05BE5">
      <w:pPr>
        <w:pStyle w:val="2"/>
        <w:keepNext/>
        <w:keepLines/>
        <w:pageBreakBefore w:val="0"/>
        <w:widowControl/>
        <w:kinsoku/>
        <w:wordWrap/>
        <w:overflowPunct/>
        <w:topLinePunct w:val="0"/>
        <w:autoSpaceDE/>
        <w:autoSpaceDN/>
        <w:bidi w:val="0"/>
        <w:adjustRightInd/>
        <w:snapToGrid/>
        <w:spacing w:before="0" w:after="0" w:line="480" w:lineRule="auto"/>
        <w:textAlignment w:val="auto"/>
        <w:rPr>
          <w:rFonts w:hint="default" w:ascii="Times New Roman" w:hAnsi="Times New Roman" w:cs="Times New Roman"/>
          <w:b/>
          <w:bCs/>
          <w:color w:val="000000" w:themeColor="text1"/>
          <w:sz w:val="24"/>
          <w:szCs w:val="24"/>
          <w:lang w:val="en-US" w:eastAsia="zh-CN"/>
          <w14:textFill>
            <w14:solidFill>
              <w14:schemeClr w14:val="tx1"/>
            </w14:solidFill>
          </w14:textFill>
        </w:rPr>
      </w:pPr>
      <w:bookmarkStart w:id="52" w:name="_Toc4935"/>
      <w:bookmarkStart w:id="53" w:name="_Toc31569"/>
      <w:bookmarkStart w:id="54" w:name="_Toc23109"/>
      <w:bookmarkStart w:id="55" w:name="_Toc4681"/>
      <w:bookmarkStart w:id="56" w:name="_Toc18553"/>
      <w:r>
        <w:rPr>
          <w:rFonts w:hint="eastAsia" w:ascii="Times New Roman" w:hAnsi="Times New Roman" w:cs="Times New Roman"/>
          <w:b/>
          <w:bCs/>
          <w:color w:val="000000" w:themeColor="text1"/>
          <w:sz w:val="24"/>
          <w:szCs w:val="24"/>
          <w:lang w:val="en-US" w:eastAsia="zh-CN"/>
          <w14:textFill>
            <w14:solidFill>
              <w14:schemeClr w14:val="tx1"/>
            </w14:solidFill>
          </w14:textFill>
        </w:rPr>
        <w:t xml:space="preserve">2.0 </w:t>
      </w:r>
      <w:r>
        <w:rPr>
          <w:rFonts w:hint="default" w:ascii="Times New Roman" w:hAnsi="Times New Roman" w:cs="Times New Roman"/>
          <w:b/>
          <w:bCs/>
          <w:color w:val="000000" w:themeColor="text1"/>
          <w:sz w:val="24"/>
          <w:szCs w:val="24"/>
          <w:lang w:val="en-US" w:eastAsia="zh-CN"/>
          <w14:textFill>
            <w14:solidFill>
              <w14:schemeClr w14:val="tx1"/>
            </w14:solidFill>
          </w14:textFill>
        </w:rPr>
        <w:t>LITERATURE REVIEW</w:t>
      </w:r>
      <w:bookmarkEnd w:id="51"/>
      <w:bookmarkEnd w:id="52"/>
      <w:bookmarkEnd w:id="53"/>
      <w:bookmarkEnd w:id="54"/>
      <w:bookmarkEnd w:id="55"/>
      <w:bookmarkEnd w:id="56"/>
    </w:p>
    <w:p w14:paraId="3802663D">
      <w:pPr>
        <w:pStyle w:val="3"/>
        <w:keepNext/>
        <w:keepLines/>
        <w:pageBreakBefore w:val="0"/>
        <w:widowControl/>
        <w:kinsoku/>
        <w:wordWrap/>
        <w:overflowPunct/>
        <w:topLinePunct w:val="0"/>
        <w:autoSpaceDE/>
        <w:autoSpaceDN/>
        <w:bidi w:val="0"/>
        <w:adjustRightInd/>
        <w:snapToGrid/>
        <w:spacing w:before="0" w:after="0" w:line="480" w:lineRule="auto"/>
        <w:textAlignment w:val="auto"/>
        <w:rPr>
          <w:rFonts w:ascii="Times New Roman" w:hAnsi="Times New Roman" w:cs="Times New Roman"/>
          <w:b/>
          <w:bCs/>
          <w:color w:val="auto"/>
          <w:sz w:val="24"/>
          <w:szCs w:val="24"/>
          <w:lang w:val="en-US"/>
        </w:rPr>
      </w:pPr>
      <w:bookmarkStart w:id="57" w:name="_Toc12466"/>
      <w:bookmarkStart w:id="58" w:name="_Toc9240"/>
      <w:bookmarkStart w:id="59" w:name="_Toc31905"/>
      <w:bookmarkStart w:id="60" w:name="_Toc1228"/>
      <w:bookmarkStart w:id="61" w:name="_Toc240993915"/>
      <w:bookmarkStart w:id="62" w:name="_Toc13763"/>
      <w:r>
        <w:rPr>
          <w:rFonts w:ascii="Times New Roman" w:hAnsi="Times New Roman" w:cs="Times New Roman"/>
          <w:b/>
          <w:bCs/>
          <w:color w:val="auto"/>
          <w:sz w:val="24"/>
          <w:szCs w:val="24"/>
          <w:lang w:val="en-US"/>
        </w:rPr>
        <w:t>2.1 Introduction</w:t>
      </w:r>
      <w:bookmarkEnd w:id="57"/>
      <w:bookmarkEnd w:id="58"/>
      <w:bookmarkEnd w:id="59"/>
      <w:bookmarkEnd w:id="60"/>
      <w:bookmarkEnd w:id="61"/>
      <w:bookmarkEnd w:id="62"/>
    </w:p>
    <w:p w14:paraId="684DDF47">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Influencer-marketing effectiveness should be understood as a staged process rather than a direct movement from exposure to purchase. Studies show that the features of an influencer determine credibility, authenticity, identification and parasocial attachment; these reactions can further influence engagement, purchase intentions and brand attitudes. The evidence however, gets weaker at the stage of actual conversion and monetary compensation. And this difference is key since the UK fashion brands tend to be dependent on the number of followers, likes and comments regardless of whether these measurement scales reflect a purchase behaviour or a profit. This chapter hence appraises the nature of influencer traits influencing consumer attitudes, the influence that consumer attitudes have on purchasing behavior, and the extent to which typical campaign indicators can substantiate assertions regarding ROI.</w:t>
      </w:r>
    </w:p>
    <w:p w14:paraId="29C4F26F">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3D9BA2E1">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Contemporary influencer-marketing research has increasingly moved beyond the assumption that influencers operate as simplified digital substitutes for traditional celebrity endorsers. Rather, influencers are multifaceted commercial agents that merge aspects of interpersonal communication, entertainment production, identity building and brand promotion. This development poses theoretical and measurement issues as the effectiveness of influencers is not just about whether consumers are paying attention to the message, but also about how they perceive the credibility of the source, the authenticity of the relationship and the relevance of the product to their own identity. According to Vrontis et al. (2021), the research on influencer marketing is scattered across several theories, such as source credibility, relationship-based theories, and consumer behaviour models. This diversity offers a more comprehensive understanding of the persuasion of influencers, but it also makes it challenging to create a standard measurement framework.</w:t>
      </w:r>
    </w:p>
    <w:p w14:paraId="16C479F7">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0FE99F8E">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Recent meta-analytic evidence further demonstrates that influencer effectiveness should not be evaluated through a single outcome. Pan et al. (2025) differentiate between non-transactional outcomes (e.g., attitudes, engagement and purchase intention) and transactional outcomes (e.g., actual purchasing behaviour and sales). This is important as many studies focus on psychological reactions and intentions, whereas brands may need proof of commercial return. Therefore, the central challenge within influencer-marketing scholarship is not whether influencers influence consumers, but rather determining the stage at which influence becomes measurable commercial value.</w:t>
      </w:r>
    </w:p>
    <w:p w14:paraId="604AF6A1">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default" w:ascii="Times New Roman" w:hAnsi="Times New Roman" w:cs="Times New Roman"/>
          <w:lang w:val="en-US"/>
        </w:rPr>
      </w:pPr>
    </w:p>
    <w:p w14:paraId="35C89895">
      <w:pPr>
        <w:pStyle w:val="3"/>
        <w:pageBreakBefore w:val="0"/>
        <w:widowControl/>
        <w:kinsoku/>
        <w:wordWrap/>
        <w:overflowPunct/>
        <w:topLinePunct w:val="0"/>
        <w:autoSpaceDE/>
        <w:autoSpaceDN/>
        <w:bidi w:val="0"/>
        <w:adjustRightInd/>
        <w:snapToGrid/>
        <w:spacing w:before="0" w:line="480" w:lineRule="auto"/>
        <w:textAlignment w:val="auto"/>
        <w:rPr>
          <w:rFonts w:ascii="Times New Roman" w:hAnsi="Times New Roman" w:cs="Times New Roman"/>
          <w:b/>
          <w:bCs/>
          <w:color w:val="auto"/>
          <w:sz w:val="24"/>
          <w:szCs w:val="24"/>
          <w:lang w:val="en-US"/>
        </w:rPr>
      </w:pPr>
      <w:bookmarkStart w:id="63" w:name="_Toc15435"/>
      <w:bookmarkStart w:id="64" w:name="_Toc240993916"/>
      <w:bookmarkStart w:id="65" w:name="_Toc25218"/>
      <w:bookmarkStart w:id="66" w:name="_Toc14707"/>
      <w:bookmarkStart w:id="67" w:name="_Toc1896"/>
      <w:bookmarkStart w:id="68" w:name="_Toc29652"/>
      <w:r>
        <w:rPr>
          <w:rFonts w:ascii="Times New Roman" w:hAnsi="Times New Roman" w:cs="Times New Roman"/>
          <w:b/>
          <w:bCs/>
          <w:color w:val="auto"/>
          <w:sz w:val="24"/>
          <w:szCs w:val="24"/>
          <w:lang w:val="en-US"/>
        </w:rPr>
        <w:t>2.2 Influencer Marketing and the Fashion Context</w:t>
      </w:r>
      <w:bookmarkEnd w:id="63"/>
      <w:bookmarkEnd w:id="64"/>
      <w:bookmarkEnd w:id="65"/>
      <w:bookmarkEnd w:id="66"/>
      <w:bookmarkEnd w:id="67"/>
      <w:bookmarkEnd w:id="68"/>
    </w:p>
    <w:p w14:paraId="673CB0D8">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Unlike traditional celebrity-endorsed environments, influencer marketing relies on frequent repetition of content, a sense of perceived approachability and engagement with their audience. Vrontis et al. (2021, pp. 628) show that the field spans source characteristics, message design, relational processes, consumer outcomes and contextual moderators. Their systematic review rejects a single-factor explanation of influencer-marketing effectiveness. However, systematic review organises the results instead of dispelling contradictions, thus, individual empirical investigations are required.</w:t>
      </w:r>
    </w:p>
    <w:p w14:paraId="6D6DF713">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62F270BE">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Fashion can be effectively applied to influence marketing, although clothing is the communication of identity, lifestyle and belonging. Casaló, Flavián and Ibanez-Sanchez (2020) found that originality and uniqueness strengthened opinion leadership among followers of a fashion-focused Instagram account. These findings indicate that originality and perceived relevance may establish an influencer’s authority within fashion communities, but their commercial value remains uncertain unless such attitudinal influence can be linked to measurable purchase intention, conversion or actual buying behaviour. Opinion leadership subsequently augmented intentions to connect and suggest the account and follow their guidance. It means that influence is enhanced in case the followers perceive an influencer as unique and pertinent. Nevertheless, advice is an attitudinal response and not a sign of purchasing.</w:t>
      </w:r>
    </w:p>
    <w:p w14:paraId="1CD84B66">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5F112216">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symbolic nature of fashion consumption makes influencer effectiveness particularly dependent on perceived identity alignment. Fashion products convey meaning, social positioning and lifestyle preferences, unlike many utilitarian products where functional properties might be the main reason for buying. Influencers therefore add value in more than just information; they also represent desirable identities that consumers might want to emulate. Belanche et al. (2021) shows that there is a significant impact of congruence between influencers, products and consumers on consumer responses. They concluded that persuasion is enhanced when the influencer's identity, meaning of the product and consumer's self-concept seem to be compatible.</w:t>
      </w:r>
    </w:p>
    <w:p w14:paraId="3959F120">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However, congruence should not be interpreted as a universal guarantee of commercial effectiveness. Even if the highly congruent influencer has a positive impact on the attitude of the consumer, it does not necessarily result in purchase behaviour because of practical obstacles such as price, availability or changing preferences. This limitation is important because much influencer research measures psychological responses rather than completed purchases. Thus, identity alignment can account for the formation of favourable evaluations of fashion products, but further behavioral data are needed to substantiate financial effectiveness.</w:t>
      </w:r>
    </w:p>
    <w:p w14:paraId="012CEE96">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592FE0E7">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number of followers is as well unclear as compared to industry practice. De Veirman, Cauberghe and Hudders (2017) found that a larger following increased popularity and likeability but strengthened opinion leadership only under limited conditions. Tafesse and Wood (2021, pp. 6–8) similarly found follower count and content volume negatively associated with engagement. Different in their approach, both studies contest the idea that the number of followers equates to more value introduced. Taken together, the findings suggest that follower count may increase visibility without necessarily improving audience involvement, persuasive authority or commercial outcomes; therefore, brands should assess audience quality, engagement and influencer–brand fit rather than relying on scale alone. The UK fashion houses are thus required to strike a balance between the extent of reach and exclusivity, intimacy with the audience, and strategic fit.</w:t>
      </w:r>
    </w:p>
    <w:p w14:paraId="4ECF3F18">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6BAA6E20">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limitations of follower-based evaluation have encouraged researchers to examine alternative indicators of influencer effectiveness. As shown by Tafesse and Wood (2021), audience engagement is not solely based on the number of followers but on the content strategy and the behaviour of the influencers. Their results call into question the notion that bigger audiences necessarily yield greater influence. Likewise, Leung et al. (2022) demonstrate that influencer effectiveness is a nonlinear function of influencer attributes, audience fit, and sponsor salience and campaign outcomes. The results indicate that brands need to shift from a one-dimensional selection process to a multi-dimensional evaluation process that includes audience relevance, content quality, and relationship strength and commercial results.</w:t>
      </w:r>
    </w:p>
    <w:p w14:paraId="6C8F08CE">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5672206C">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This issue is particularly relevant for the UK fashion industry because different fashion categories operate according to different consumer motivations. Exclusivity and symbolic association might be important to luxury fashion, while accessibility, trend adoption and immediacy might be more important to fast fashion. Thus, the results of one fashion category cannot simply be applied to another. The literature shows that the effectiveness of influencers depends on the relationship between the characteristics of influencers, product category and consumer expectations.</w:t>
      </w:r>
    </w:p>
    <w:p w14:paraId="075DE16A">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6B51330D">
      <w:pPr>
        <w:pStyle w:val="3"/>
        <w:keepNext/>
        <w:keepLines/>
        <w:pageBreakBefore w:val="0"/>
        <w:widowControl/>
        <w:kinsoku/>
        <w:wordWrap/>
        <w:overflowPunct/>
        <w:topLinePunct w:val="0"/>
        <w:autoSpaceDE/>
        <w:autoSpaceDN/>
        <w:bidi w:val="0"/>
        <w:adjustRightInd/>
        <w:snapToGrid/>
        <w:spacing w:before="0" w:after="0" w:line="480" w:lineRule="auto"/>
        <w:textAlignment w:val="auto"/>
        <w:rPr>
          <w:rFonts w:ascii="Times New Roman" w:hAnsi="Times New Roman" w:cs="Times New Roman"/>
          <w:b/>
          <w:bCs/>
          <w:color w:val="auto"/>
          <w:sz w:val="24"/>
          <w:szCs w:val="24"/>
          <w:lang w:val="en-US"/>
        </w:rPr>
      </w:pPr>
      <w:bookmarkStart w:id="69" w:name="_Toc240993917"/>
      <w:bookmarkStart w:id="70" w:name="_Toc14081"/>
      <w:bookmarkStart w:id="71" w:name="_Toc18815"/>
      <w:bookmarkStart w:id="72" w:name="_Toc23178"/>
      <w:bookmarkStart w:id="73" w:name="_Toc3235"/>
      <w:bookmarkStart w:id="74" w:name="_Toc844"/>
      <w:r>
        <w:rPr>
          <w:rFonts w:ascii="Times New Roman" w:hAnsi="Times New Roman" w:cs="Times New Roman"/>
          <w:b/>
          <w:bCs/>
          <w:color w:val="auto"/>
          <w:sz w:val="24"/>
          <w:szCs w:val="24"/>
          <w:lang w:val="en-US"/>
        </w:rPr>
        <w:t>2.3 Theoretical Explanations of Influencer Persuasion</w:t>
      </w:r>
      <w:bookmarkEnd w:id="69"/>
      <w:bookmarkEnd w:id="70"/>
      <w:bookmarkEnd w:id="71"/>
      <w:bookmarkEnd w:id="72"/>
      <w:bookmarkEnd w:id="73"/>
      <w:bookmarkEnd w:id="74"/>
    </w:p>
    <w:p w14:paraId="67A7E53A">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theory, Source Credibility, describes persuasive process in terms of expertise, trustworthiness and attractiveness. Lou and Yuan (2019, pp. 65) found that informative value, trustworthiness, attractiveness and similarity increased trust in branded influencer content, which then strengthened brand awareness and purchase intention. Such findings not only corroborate the theory, they also generalize it: credibility is created when there is an interaction between influencer, message and audience. A fashion influencer can thus be reliable and ineffective among other segments. This limitation demonstrates that Source Credibility Theory, although valuable, provides only a partial explanation of influencer persuasion. Traditional credibility models have been created in an environment where the flow of communication is mainly from a known source to a passive audience. The difference is that audiences are involved in interpretation, interaction and relationship-building with influencer marketing. So credibility is not just passed on from influencer to consumer, it's constantly negotiated based on the quality of content, the perceived honesty, consistency and audience experience.</w:t>
      </w:r>
    </w:p>
    <w:p w14:paraId="4CB06202">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56DE45C1">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Schouten, Janssen and Verspaget (2020, pp. 269–277) found influencers more similar and trustworthy than celebrities and associated them with stronger identification. The trustworthiness, similarity and wishful identification facilitated the explanation of advertising performance, but expertise did not do so consistently explain the advantage of influencer. It is possible that relational credibility thus becomes a more important aspect than formal expertise on the Internet. Nevertheless, influencers did not outperform in all outcomes and therefore the study cannot be said to be supportive of them being more effective players in all cases.</w:t>
      </w:r>
    </w:p>
    <w:p w14:paraId="74FB13AE">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773067DE">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Desire-to-Mimic model involves that favourable perceptions of source translate then into behavioural intentions. Ki and Kim (2019, pp. 918) found that attractive, prestigious, expert, informative and interactive characteristics increased opinion leadership. This effectively encouraged the need to imitate the influencer by consumers and this reinforced the word of mouth and the intention to buy. The model applies to fashion since an idealized identity may be estimated by clothes. Its weakness is that it reflects the intention but not the observed imitation or buying.</w:t>
      </w:r>
    </w:p>
    <w:p w14:paraId="015144D8">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A complementary explanation is provided by Human Brand Theory. Ki et al. (2020, pp. 6–9) that inspiration, enjoyability, similarity and informativeness helped influencers satisfy followers’ needs for ideality, relatedness and competence. Attachment was enhanced by need fulfilment, and transferred over to endorsed products. Compared with Ki and Kim (2019), this model emphasises enduring attachment rather than short-term mimicry. Collectively, the articles demonstrate that persuasion can be a result of aspiration and attachment though this attachment can diminish a critical evaluation of commercial messages.</w:t>
      </w:r>
    </w:p>
    <w:p w14:paraId="432A855B">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6D105DFE">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This friendship-like relationship is attributed to Parasocial Interaction Theory. Sokolova and Kefi (2020, pp. 5–7) found that attitude homophily was strongly associated with credibility and parasocial interaction, and both positively predicted purchase intention. It explained 48.5% of its variance by their model. Reinikainen et al. (2020, pp. 289–293) likewise found that parasocial relationships increased influencer credibility, which contributed to brand trust and purchase intention. The studies concur that relational closeness is important and are different in their causes: one study contains credibility and parasocial interaction as correlated predictors and another study portrays the parasocial relationships as a cause of credibility. The line of influence thus is not established.</w:t>
      </w:r>
    </w:p>
    <w:p w14:paraId="3F30E48D">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2902B0D0">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Liu and Zheng (2024, pp. 8-10) found that informative value, authenticity, and homophily reinforced parasocial relationships that were associated with brand credibility and purchase intention. Knowledge on persuasion undermined the correlation between the brand credibility and purchase intention. Consumers can thus be aware of commercial persuasion and can still respond to a person of authority. But, the cross-sectional design is unable to determine causality.</w:t>
      </w:r>
    </w:p>
    <w:p w14:paraId="0F69E8CF">
      <w:pPr>
        <w:spacing w:line="360" w:lineRule="auto"/>
        <w:jc w:val="both"/>
        <w:rPr>
          <w:rFonts w:ascii="Times New Roman" w:hAnsi="Times New Roman" w:cs="Times New Roman"/>
          <w:lang w:val="en-US"/>
        </w:rPr>
      </w:pPr>
    </w:p>
    <w:p w14:paraId="0106EC0D">
      <w:pPr>
        <w:pStyle w:val="3"/>
        <w:keepNext/>
        <w:keepLines/>
        <w:pageBreakBefore w:val="0"/>
        <w:widowControl/>
        <w:kinsoku/>
        <w:wordWrap/>
        <w:overflowPunct/>
        <w:topLinePunct w:val="0"/>
        <w:autoSpaceDE/>
        <w:autoSpaceDN/>
        <w:bidi w:val="0"/>
        <w:adjustRightInd/>
        <w:snapToGrid/>
        <w:spacing w:before="0" w:after="0" w:line="480" w:lineRule="auto"/>
        <w:textAlignment w:val="auto"/>
        <w:rPr>
          <w:rFonts w:ascii="Times New Roman" w:hAnsi="Times New Roman" w:cs="Times New Roman"/>
          <w:b/>
          <w:bCs/>
          <w:color w:val="auto"/>
          <w:sz w:val="24"/>
          <w:szCs w:val="24"/>
          <w:lang w:val="en-US"/>
        </w:rPr>
      </w:pPr>
      <w:bookmarkStart w:id="75" w:name="_Toc12282"/>
      <w:bookmarkStart w:id="76" w:name="_Toc11162"/>
      <w:bookmarkStart w:id="77" w:name="_Toc28289"/>
      <w:bookmarkStart w:id="78" w:name="_Toc240993918"/>
      <w:bookmarkStart w:id="79" w:name="_Toc24093"/>
      <w:bookmarkStart w:id="80" w:name="_Toc828"/>
      <w:r>
        <w:rPr>
          <w:rFonts w:ascii="Times New Roman" w:hAnsi="Times New Roman" w:cs="Times New Roman"/>
          <w:b/>
          <w:bCs/>
          <w:color w:val="auto"/>
          <w:sz w:val="24"/>
          <w:szCs w:val="24"/>
          <w:lang w:val="en-US"/>
        </w:rPr>
        <w:t>2.4 Authenticity, Trust and Sponsorship Disclosure</w:t>
      </w:r>
      <w:bookmarkEnd w:id="75"/>
      <w:bookmarkEnd w:id="76"/>
      <w:bookmarkEnd w:id="77"/>
      <w:bookmarkEnd w:id="78"/>
      <w:bookmarkEnd w:id="79"/>
      <w:bookmarkEnd w:id="80"/>
    </w:p>
    <w:p w14:paraId="1C345F01">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Credibility can be better seen as a bargained business stance rather than a predetermined characteristic. Audrezet, de Kerviler and Moulard (2020, pp. 563–567) identify passionate authenticity, where collaborations reflect the influencer’s interests, and transparent authenticity, where commercial relationships are openly acknowledged. This is why the actors of influence are trying to maintain credibility and cash-in audiences. Its weakness is that it lays more emphasis on the influencer tactics and the followers do not necessarily perceive them to be genuine.</w:t>
      </w:r>
    </w:p>
    <w:p w14:paraId="32AF3F0B">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202D5CE0">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Lou and Yuan (2019, pp. 65–68) show that informative and credible content strengthens trust in branded posts. Authenticity thus is only commercially useful when it generates an effective, realistic communication; it can not be diminished to informative language and personal narrative. Even bad brand fit or over sponsoring can undermine trust.</w:t>
      </w:r>
    </w:p>
    <w:p w14:paraId="2715239A">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04022F79">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Disclosure research disputes the belief that transparency results in effectiveness decrease. Evans et al. (2017, pp. 144–147) found that “Paid Ad” generated clearer advertising recognition than weaker labels such as “SP” or “Sponsored.” This promotes persuasion-knowledge theory as definite titles aid consumers to notice business intent. However, increased recognition did not necessarily lead to the development of more positive behavioural results.</w:t>
      </w:r>
    </w:p>
    <w:p w14:paraId="4693164A">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59FA3748">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Boerman (2020, pp. 203–205) found that Instagram’s “Paid partnership with” label improved advertising recognition and indirectly increased brand recall and engagement intention without damaging parasocial interaction. Kay, Mulcahy and Parkinson (2020, pp. 264–270) found that disclosed micro-influencer posts produced higher purchase intention than nondisclosed micro-influencer posts and some macro-influencer conditions. These results coupled with those of Evans et al. (2017) demonstrate that the disclosure effects depend on the wording, the size of the person and the outcome measure. Recall, recognition and purchase intention are connected, though different. Ethical compliance and effectiveness must not then be considered as opposites.</w:t>
      </w:r>
    </w:p>
    <w:p w14:paraId="61CE62FC">
      <w:pPr>
        <w:pStyle w:val="3"/>
        <w:keepNext/>
        <w:keepLines/>
        <w:pageBreakBefore w:val="0"/>
        <w:widowControl/>
        <w:kinsoku/>
        <w:wordWrap/>
        <w:overflowPunct/>
        <w:topLinePunct w:val="0"/>
        <w:autoSpaceDE/>
        <w:autoSpaceDN/>
        <w:bidi w:val="0"/>
        <w:adjustRightInd/>
        <w:snapToGrid/>
        <w:spacing w:before="0" w:after="0" w:line="480" w:lineRule="auto"/>
        <w:textAlignment w:val="auto"/>
        <w:rPr>
          <w:rFonts w:ascii="Times New Roman" w:hAnsi="Times New Roman" w:cs="Times New Roman"/>
          <w:b/>
          <w:bCs/>
          <w:color w:val="auto"/>
          <w:sz w:val="24"/>
          <w:szCs w:val="24"/>
          <w:lang w:val="en-US"/>
        </w:rPr>
      </w:pPr>
      <w:bookmarkStart w:id="81" w:name="_Toc3599"/>
      <w:bookmarkStart w:id="82" w:name="_Toc14875"/>
      <w:bookmarkStart w:id="83" w:name="_Toc27913"/>
      <w:bookmarkStart w:id="84" w:name="_Toc14787"/>
      <w:bookmarkStart w:id="85" w:name="_Toc13175"/>
      <w:bookmarkStart w:id="86" w:name="_Toc240993919"/>
      <w:r>
        <w:rPr>
          <w:rFonts w:ascii="Times New Roman" w:hAnsi="Times New Roman" w:cs="Times New Roman"/>
          <w:b/>
          <w:bCs/>
          <w:color w:val="auto"/>
          <w:sz w:val="24"/>
          <w:szCs w:val="24"/>
          <w:lang w:val="en-US"/>
        </w:rPr>
        <w:t>2.5 Empirical Evidence on Engagement, Purchase Intention and ROI</w:t>
      </w:r>
      <w:bookmarkEnd w:id="81"/>
      <w:bookmarkEnd w:id="82"/>
      <w:bookmarkEnd w:id="83"/>
      <w:bookmarkEnd w:id="84"/>
      <w:bookmarkEnd w:id="85"/>
      <w:bookmarkEnd w:id="86"/>
    </w:p>
    <w:p w14:paraId="47376261">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Influencer marketing and purchase intention are positively related in the literature, but no general mechanism is described. Jiménez-Castillo and Sánchez-Fernandez (2019, pp. 371–374) found that perceived influencer power increased brand engagement, expected brand value and purchase intention. Sokolova and Kefi (2020, pp. 5–7) found credibility and parasocial interaction directly predicted purchase intention, while Ki and Kim (2019, pp. 913–918) identified desire to mimic as the mediating mechanism. These studies are in agreement that influencers have a role to play in behavioural intentions, but with a difference in the manner. Trust, identification, expected value, attachment and aspiration may therefore lead to the development of purchase intention.</w:t>
      </w:r>
    </w:p>
    <w:p w14:paraId="02FBF4F1">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6F3D48F0">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Findings associated with credibility gravitate more towards trust and similarity compared to expertise. Djafarova and Rushworth (2017, pp. 4–6) associated credibility with relatability and personal product experience. Lou and Yuan (2019, pp. 65–68) found trustworthiness and similarity strengthened trust in branded posts. Schouten, Janssen and Verspaget (2020, pp. 269–277) found influencers more trustworthy and similar than celebrities but not more expert. The social media should consequently be modified to emulate the source credibility Theory by placing more emphasis on relational trust.</w:t>
      </w:r>
    </w:p>
    <w:p w14:paraId="5FC29133">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0AAA758C">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Evidence of engagement is less stable. Hughes, Swaminathan and Brooks (2019, pp. 87–92) found expertise, hedonic content and incentives produced different effects depending on platform and campaign objective. Tafesse and Wood (2021, pp. 68) added more followers and content might decrease engagement. Leung et al. (2022, pp. 101–109) found originality, follower size and sponsor salience could improve effectiveness, while activity, follower–brand fit and positivity showed inverted U-shaped effects. The growth of engagement is thus influenced by platform architecture, audience makeup, content strategy and purpose of campaign.</w:t>
      </w:r>
    </w:p>
    <w:p w14:paraId="18830598">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7C0A0943">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Campaign objectives matter. Hughes, Swaminathan and Brooks (2019, pp. 87–92) show that expertise was useful for awareness-oriented blog campaigns, whereas hedonic content performed better in trial-oriented Facebook campaigns. The term metric has a meaning when it is compared to desired result. Awareness campaign can be focused on the number of people reached, and conversion campaign must be measured in terms of clicks and purchases. Brands need to reflect the way of early-stage outputs supporting commercial worth otherwise, the awareness and engagement turns into a poor substitute of individual responsibility.</w:t>
      </w:r>
    </w:p>
    <w:p w14:paraId="658F7C9B">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28123D7C">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This issue is exacerbated by the UK fashion context due to the fact that the fast fashion, luxury, sustainable fashion and independent retail have varying margins, purchasing cycles and symbolism. A evidence belonging to one part cannot be applied to another. Aspirational and exclusivity-based luxury preference could be driven by aspiration, as well as fast-fashion campaigns, which could be based on immediacy. Transferability has to be evaluated in a critical synthesis, not to conceptualize fashion as homogenous.</w:t>
      </w:r>
    </w:p>
    <w:p w14:paraId="0639D7F4">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41F3B43B">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contrast between Tafesse and Wood (2021) and Leung et al. (2022) shows why metric design matters. The former report a negative correlation between the number of follower and level of engagement, and the latter include follower size, potentially positively affecting cost-adjusted engagement elasticity. A big influencer can produce a smaller percentage engagement but more total interactions as compared to expenditure. Percentages type of engagement, total response and cost efficiency provide response to various questions of a manager.</w:t>
      </w:r>
    </w:p>
    <w:p w14:paraId="439FBCE7">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29305EFA">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Effectiveness should be thereafter perceived as power. Some of the measures used in analysing exposure are reach, impressions and views; and some measures used in analysing engagement are likes, comments, shares and saves; and measures used in analysing psychological outcomes are trust, awareness and purchase intention; and measures used in analysing behavioural outcomes are clicks and purchases and measures used in analysis of financial outcomes require attributable revenue, campaign cost and incremental profit. The majority of studies are most effective at an engagement and psychological level. Even Leung et al. (2022), who incorporate costs into engagement elasticity, do not provide a complete profit-based ROI measure.</w:t>
      </w:r>
    </w:p>
    <w:p w14:paraId="679FA6E0">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3C828A21">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 xml:space="preserve">The cost of influencer, cost of agency and cost of production, cost of product, incremental sales, profit margin, returns and sales without the campaign would have been included, which would result in the valid calculation of ROI. This information is not all together in the literature in relation to UK fashion campaigns. It is academic findings that point more to this explanation of persuasion mechanisms rather than precise financial pay-off. Interaction or buying desire should not be redefined as earnings. </w:t>
      </w:r>
    </w:p>
    <w:p w14:paraId="07C9BAFA">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13510092">
      <w:pPr>
        <w:pStyle w:val="3"/>
        <w:keepNext/>
        <w:keepLines/>
        <w:pageBreakBefore w:val="0"/>
        <w:widowControl/>
        <w:kinsoku/>
        <w:wordWrap/>
        <w:overflowPunct/>
        <w:topLinePunct w:val="0"/>
        <w:autoSpaceDE/>
        <w:autoSpaceDN/>
        <w:bidi w:val="0"/>
        <w:adjustRightInd/>
        <w:snapToGrid/>
        <w:spacing w:before="0" w:after="0" w:line="480" w:lineRule="auto"/>
        <w:textAlignment w:val="auto"/>
        <w:rPr>
          <w:rFonts w:ascii="Times New Roman" w:hAnsi="Times New Roman" w:cs="Times New Roman"/>
          <w:b/>
          <w:bCs/>
          <w:color w:val="auto"/>
          <w:sz w:val="24"/>
          <w:szCs w:val="24"/>
          <w:lang w:val="en-US"/>
        </w:rPr>
      </w:pPr>
      <w:bookmarkStart w:id="87" w:name="_Toc19414"/>
      <w:bookmarkStart w:id="88" w:name="_Toc5765"/>
      <w:bookmarkStart w:id="89" w:name="_Toc17616"/>
      <w:bookmarkStart w:id="90" w:name="_Toc11412"/>
      <w:bookmarkStart w:id="91" w:name="_Toc240993920"/>
      <w:bookmarkStart w:id="92" w:name="_Toc6415"/>
      <w:r>
        <w:rPr>
          <w:rFonts w:ascii="Times New Roman" w:hAnsi="Times New Roman" w:cs="Times New Roman"/>
          <w:b/>
          <w:bCs/>
          <w:color w:val="auto"/>
          <w:sz w:val="24"/>
          <w:szCs w:val="24"/>
          <w:lang w:val="en-US"/>
        </w:rPr>
        <w:t>2.6 Critical Synthesis and Research Gap</w:t>
      </w:r>
      <w:bookmarkEnd w:id="87"/>
      <w:bookmarkEnd w:id="88"/>
      <w:bookmarkEnd w:id="89"/>
      <w:bookmarkEnd w:id="90"/>
      <w:bookmarkEnd w:id="91"/>
      <w:bookmarkEnd w:id="92"/>
    </w:p>
    <w:p w14:paraId="7B9A16F8">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literature supports a mediated model of influencer-marketing effectiveness. Credibility, originality, authenticity, informativeness, similarity and product–influencer fit shape audience interpretations, which may develop trust, identification, parasocial interaction, attachment and imitation. These responses can influence engagement, brand attitudes and purchase intention. However, conversion, repeat purchasing and profit occur later, reinforcing that favourable responses are not conclusive evidence of financial ROI alone.</w:t>
      </w:r>
    </w:p>
    <w:p w14:paraId="29370D14">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10BBFAB3">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pathway is not guaranteed. Consumers can interact with no purchase intent, purchase intent or ultimately complete purchase intending to assist a purchase but not to remain loyal. Platform, influencer size, product category, disclosure, campaign objective and audience characteristics further moderate outcomes. The theory of Source Credibility, which explains trust and similarity, the theory of Parasocial Interaction, which explains relational closeness, and the attitude of Human Brand perspectives and the desire-to-mimic perspectives explain attachment and aspiration. There is no unified theory that encompasses the process.</w:t>
      </w:r>
    </w:p>
    <w:p w14:paraId="3A44266A">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2ADFECA6">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Three gaps remain. One, most researches use self-reported buying intention, but not taking the actual purchase. Second, the measures of engagement are not always comparable to each other. Third, there is a dearth of published research which combines both consumer-response mechanisms and campaign expenditures, conversion and incremental profit in the fashion industry in the UK. The gaps are filled by this dissertation by critically synthesizing the academic and industry evidence. It adds value by determining which indicators represent trustworthy evidence of effectiveness and at which point conclusions are constrained due to method or the surrounding situation or inaccessible trading information.</w:t>
      </w:r>
    </w:p>
    <w:p w14:paraId="2BC04AEA">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0AA062F0">
      <w:pPr>
        <w:pStyle w:val="3"/>
        <w:keepNext/>
        <w:keepLines/>
        <w:pageBreakBefore w:val="0"/>
        <w:widowControl/>
        <w:kinsoku/>
        <w:wordWrap/>
        <w:overflowPunct/>
        <w:topLinePunct w:val="0"/>
        <w:autoSpaceDE/>
        <w:autoSpaceDN/>
        <w:bidi w:val="0"/>
        <w:adjustRightInd/>
        <w:snapToGrid/>
        <w:spacing w:before="0" w:after="0" w:line="480" w:lineRule="auto"/>
        <w:textAlignment w:val="auto"/>
        <w:rPr>
          <w:rFonts w:ascii="Times New Roman" w:hAnsi="Times New Roman" w:cs="Times New Roman"/>
          <w:b/>
          <w:bCs/>
          <w:color w:val="auto"/>
          <w:sz w:val="24"/>
          <w:szCs w:val="24"/>
          <w:lang w:val="en-US"/>
        </w:rPr>
      </w:pPr>
      <w:bookmarkStart w:id="93" w:name="_Toc14043"/>
      <w:bookmarkStart w:id="94" w:name="_Toc28892"/>
      <w:bookmarkStart w:id="95" w:name="_Toc19007"/>
      <w:bookmarkStart w:id="96" w:name="_Toc32205"/>
      <w:bookmarkStart w:id="97" w:name="_Toc18044"/>
      <w:bookmarkStart w:id="98" w:name="_Toc240993921"/>
      <w:r>
        <w:rPr>
          <w:rFonts w:ascii="Times New Roman" w:hAnsi="Times New Roman" w:cs="Times New Roman"/>
          <w:b/>
          <w:bCs/>
          <w:color w:val="auto"/>
          <w:sz w:val="24"/>
          <w:szCs w:val="24"/>
          <w:lang w:val="en-US"/>
        </w:rPr>
        <w:t>2.7 Summary</w:t>
      </w:r>
      <w:bookmarkEnd w:id="93"/>
      <w:bookmarkEnd w:id="94"/>
      <w:bookmarkEnd w:id="95"/>
      <w:bookmarkEnd w:id="96"/>
      <w:bookmarkEnd w:id="97"/>
      <w:bookmarkEnd w:id="98"/>
    </w:p>
    <w:p w14:paraId="108F2E77">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This literature review argues that influencer-marketing effectiveness is a staged, context-dependent process rather than a direct path from exposure to purchase. Credibility, authenticity, similarity, parasocial interaction, attachment and product fit can strengthen trust, engagement and purchase intention. However, follower count and engagement alone do not prove success, while disclosure effects vary by wording, influencer size and campaign context. Evidence shows that purchase intention is not the same as buying behaviour or financial ROI. Major gaps remain because many studies rely on self-reported intentions, use inconsistent engagement metrics and rarely connect consumer responses with conversion, profit and UK fashion campaign data.</w:t>
      </w:r>
    </w:p>
    <w:p w14:paraId="1FFAA0C4">
      <w:pPr>
        <w:spacing w:line="360" w:lineRule="auto"/>
        <w:jc w:val="both"/>
        <w:rPr>
          <w:rFonts w:ascii="Times New Roman" w:hAnsi="Times New Roman" w:cs="Times New Roman"/>
          <w:lang w:val="en-US"/>
        </w:rPr>
      </w:pPr>
    </w:p>
    <w:p w14:paraId="78A1B41A">
      <w:pPr>
        <w:rPr>
          <w:rFonts w:ascii="Times New Roman" w:hAnsi="Times New Roman" w:cs="Times New Roman"/>
          <w:b/>
          <w:bCs/>
          <w:color w:val="auto"/>
          <w:sz w:val="24"/>
          <w:szCs w:val="24"/>
          <w:lang w:val="en-US"/>
        </w:rPr>
      </w:pPr>
      <w:bookmarkStart w:id="99" w:name="_Toc240993922"/>
    </w:p>
    <w:p w14:paraId="5AAF7B94">
      <w:pPr>
        <w:rPr>
          <w:rFonts w:ascii="Times New Roman" w:hAnsi="Times New Roman" w:cs="Times New Roman"/>
          <w:b/>
          <w:bCs/>
          <w:color w:val="auto"/>
          <w:sz w:val="24"/>
          <w:szCs w:val="24"/>
          <w:lang w:val="en-US"/>
        </w:rPr>
      </w:pPr>
    </w:p>
    <w:p w14:paraId="7EF2D7BC">
      <w:pPr>
        <w:rPr>
          <w:rFonts w:ascii="Times New Roman" w:hAnsi="Times New Roman" w:cs="Times New Roman"/>
          <w:b/>
          <w:bCs/>
          <w:color w:val="auto"/>
          <w:sz w:val="24"/>
          <w:szCs w:val="24"/>
          <w:lang w:val="en-US"/>
        </w:rPr>
      </w:pPr>
    </w:p>
    <w:p w14:paraId="5D445603">
      <w:pPr>
        <w:rPr>
          <w:rFonts w:ascii="Times New Roman" w:hAnsi="Times New Roman" w:cs="Times New Roman"/>
          <w:b/>
          <w:bCs/>
          <w:color w:val="auto"/>
          <w:sz w:val="24"/>
          <w:szCs w:val="24"/>
          <w:lang w:val="en-US"/>
        </w:rPr>
      </w:pPr>
    </w:p>
    <w:p w14:paraId="13CFB33D">
      <w:pPr>
        <w:rPr>
          <w:rFonts w:ascii="Times New Roman" w:hAnsi="Times New Roman" w:cs="Times New Roman"/>
          <w:b/>
          <w:bCs/>
          <w:color w:val="auto"/>
          <w:sz w:val="24"/>
          <w:szCs w:val="24"/>
          <w:lang w:val="en-US"/>
        </w:rPr>
      </w:pPr>
    </w:p>
    <w:p w14:paraId="27ECE14C">
      <w:pPr>
        <w:rPr>
          <w:rFonts w:ascii="Times New Roman" w:hAnsi="Times New Roman" w:cs="Times New Roman"/>
          <w:b/>
          <w:bCs/>
          <w:color w:val="auto"/>
          <w:sz w:val="24"/>
          <w:szCs w:val="24"/>
          <w:lang w:val="en-US"/>
        </w:rPr>
      </w:pPr>
    </w:p>
    <w:p w14:paraId="180309D7">
      <w:pPr>
        <w:rPr>
          <w:rFonts w:ascii="Times New Roman" w:hAnsi="Times New Roman" w:cs="Times New Roman"/>
          <w:b/>
          <w:bCs/>
          <w:color w:val="auto"/>
          <w:sz w:val="24"/>
          <w:szCs w:val="24"/>
          <w:lang w:val="en-US"/>
        </w:rPr>
      </w:pPr>
    </w:p>
    <w:p w14:paraId="169C2422">
      <w:pPr>
        <w:rPr>
          <w:rFonts w:ascii="Times New Roman" w:hAnsi="Times New Roman" w:cs="Times New Roman"/>
          <w:b/>
          <w:bCs/>
          <w:color w:val="auto"/>
          <w:sz w:val="24"/>
          <w:szCs w:val="24"/>
          <w:lang w:val="en-US"/>
        </w:rPr>
      </w:pPr>
    </w:p>
    <w:p w14:paraId="484E8626">
      <w:pPr>
        <w:rPr>
          <w:rFonts w:ascii="Times New Roman" w:hAnsi="Times New Roman" w:cs="Times New Roman"/>
          <w:b/>
          <w:bCs/>
          <w:color w:val="auto"/>
          <w:sz w:val="24"/>
          <w:szCs w:val="24"/>
          <w:lang w:val="en-US"/>
        </w:rPr>
      </w:pPr>
    </w:p>
    <w:p w14:paraId="1EF18EF4">
      <w:pPr>
        <w:rPr>
          <w:rFonts w:ascii="Times New Roman" w:hAnsi="Times New Roman" w:cs="Times New Roman"/>
          <w:b/>
          <w:bCs/>
          <w:color w:val="auto"/>
          <w:sz w:val="24"/>
          <w:szCs w:val="24"/>
          <w:lang w:val="en-US"/>
        </w:rPr>
      </w:pPr>
    </w:p>
    <w:p w14:paraId="5BFC5E70">
      <w:pPr>
        <w:rPr>
          <w:rFonts w:ascii="Times New Roman" w:hAnsi="Times New Roman" w:cs="Times New Roman"/>
          <w:b/>
          <w:bCs/>
          <w:color w:val="auto"/>
          <w:sz w:val="24"/>
          <w:szCs w:val="24"/>
          <w:lang w:val="en-US"/>
        </w:rPr>
      </w:pPr>
    </w:p>
    <w:p w14:paraId="7958321E">
      <w:pPr>
        <w:rPr>
          <w:rFonts w:ascii="Times New Roman" w:hAnsi="Times New Roman" w:cs="Times New Roman"/>
          <w:b/>
          <w:bCs/>
          <w:color w:val="auto"/>
          <w:sz w:val="24"/>
          <w:szCs w:val="24"/>
          <w:lang w:val="en-US"/>
        </w:rPr>
      </w:pPr>
    </w:p>
    <w:p w14:paraId="65D94F8A">
      <w:pPr>
        <w:rPr>
          <w:rFonts w:ascii="Times New Roman" w:hAnsi="Times New Roman" w:cs="Times New Roman"/>
          <w:b/>
          <w:bCs/>
          <w:color w:val="auto"/>
          <w:sz w:val="24"/>
          <w:szCs w:val="24"/>
          <w:lang w:val="en-US"/>
        </w:rPr>
      </w:pPr>
    </w:p>
    <w:p w14:paraId="160A26F3">
      <w:pPr>
        <w:rPr>
          <w:rFonts w:ascii="Times New Roman" w:hAnsi="Times New Roman" w:cs="Times New Roman"/>
          <w:b/>
          <w:bCs/>
          <w:color w:val="auto"/>
          <w:sz w:val="24"/>
          <w:szCs w:val="24"/>
          <w:lang w:val="en-US"/>
        </w:rPr>
      </w:pPr>
    </w:p>
    <w:p w14:paraId="0820E06E">
      <w:pPr>
        <w:rPr>
          <w:rFonts w:ascii="Times New Roman" w:hAnsi="Times New Roman" w:cs="Times New Roman"/>
          <w:b/>
          <w:bCs/>
          <w:color w:val="auto"/>
          <w:sz w:val="24"/>
          <w:szCs w:val="24"/>
          <w:lang w:val="en-US"/>
        </w:rPr>
      </w:pPr>
    </w:p>
    <w:p w14:paraId="1DF7F0AB">
      <w:pPr>
        <w:pStyle w:val="2"/>
        <w:keepNext/>
        <w:keepLines/>
        <w:pageBreakBefore w:val="0"/>
        <w:widowControl/>
        <w:kinsoku/>
        <w:wordWrap/>
        <w:overflowPunct/>
        <w:topLinePunct w:val="0"/>
        <w:autoSpaceDE/>
        <w:autoSpaceDN/>
        <w:bidi w:val="0"/>
        <w:adjustRightInd/>
        <w:snapToGrid/>
        <w:spacing w:before="0" w:after="0" w:line="480" w:lineRule="auto"/>
        <w:textAlignment w:val="auto"/>
        <w:rPr>
          <w:rFonts w:hint="default" w:ascii="Times New Roman" w:hAnsi="Times New Roman" w:cs="Times New Roman"/>
          <w:b/>
          <w:bCs/>
          <w:color w:val="000000" w:themeColor="text1"/>
          <w:sz w:val="24"/>
          <w:szCs w:val="24"/>
          <w:lang w:val="en-US" w:eastAsia="zh-CN"/>
          <w14:textFill>
            <w14:solidFill>
              <w14:schemeClr w14:val="tx1"/>
            </w14:solidFill>
          </w14:textFill>
        </w:rPr>
      </w:pPr>
      <w:bookmarkStart w:id="100" w:name="_Toc13109"/>
      <w:bookmarkStart w:id="101" w:name="_Toc29544"/>
      <w:bookmarkStart w:id="102" w:name="_Toc1669"/>
      <w:bookmarkStart w:id="103" w:name="_Toc12443"/>
      <w:bookmarkStart w:id="104" w:name="_Toc7776"/>
      <w:r>
        <w:rPr>
          <w:rFonts w:hint="default" w:ascii="Times New Roman" w:hAnsi="Times New Roman" w:cs="Times New Roman"/>
          <w:b/>
          <w:bCs/>
          <w:color w:val="000000" w:themeColor="text1"/>
          <w:sz w:val="24"/>
          <w:szCs w:val="24"/>
          <w:lang w:val="en-US" w:eastAsia="zh-CN"/>
          <w14:textFill>
            <w14:solidFill>
              <w14:schemeClr w14:val="tx1"/>
            </w14:solidFill>
          </w14:textFill>
        </w:rPr>
        <w:t>3.0 METHODOLOGY</w:t>
      </w:r>
      <w:bookmarkEnd w:id="99"/>
      <w:bookmarkEnd w:id="100"/>
      <w:bookmarkEnd w:id="101"/>
      <w:bookmarkEnd w:id="102"/>
      <w:bookmarkEnd w:id="103"/>
      <w:bookmarkEnd w:id="104"/>
    </w:p>
    <w:p w14:paraId="4BD89F9F">
      <w:pPr>
        <w:pStyle w:val="3"/>
        <w:keepNext/>
        <w:keepLines/>
        <w:pageBreakBefore w:val="0"/>
        <w:widowControl/>
        <w:kinsoku/>
        <w:wordWrap/>
        <w:overflowPunct/>
        <w:topLinePunct w:val="0"/>
        <w:autoSpaceDE/>
        <w:autoSpaceDN/>
        <w:bidi w:val="0"/>
        <w:adjustRightInd/>
        <w:snapToGrid/>
        <w:spacing w:before="0" w:after="0" w:line="480" w:lineRule="auto"/>
        <w:jc w:val="both"/>
        <w:textAlignment w:val="auto"/>
        <w:rPr>
          <w:rFonts w:ascii="Times New Roman" w:hAnsi="Times New Roman" w:cs="Times New Roman"/>
          <w:b/>
          <w:bCs/>
          <w:color w:val="auto"/>
          <w:sz w:val="24"/>
          <w:szCs w:val="24"/>
          <w:lang w:val="en-US"/>
        </w:rPr>
      </w:pPr>
      <w:bookmarkStart w:id="105" w:name="_Toc12507"/>
      <w:bookmarkStart w:id="106" w:name="_Toc27608"/>
      <w:bookmarkStart w:id="107" w:name="_Toc6718"/>
      <w:bookmarkStart w:id="108" w:name="_Toc13159"/>
      <w:bookmarkStart w:id="109" w:name="_Toc17870"/>
      <w:bookmarkStart w:id="110" w:name="_Toc240993923"/>
      <w:r>
        <w:rPr>
          <w:rFonts w:ascii="Times New Roman" w:hAnsi="Times New Roman" w:cs="Times New Roman"/>
          <w:b/>
          <w:bCs/>
          <w:color w:val="auto"/>
          <w:sz w:val="24"/>
          <w:szCs w:val="24"/>
          <w:lang w:val="en-US"/>
        </w:rPr>
        <w:t>3.1 Introduction</w:t>
      </w:r>
      <w:bookmarkEnd w:id="105"/>
      <w:bookmarkEnd w:id="106"/>
      <w:bookmarkEnd w:id="107"/>
      <w:bookmarkEnd w:id="108"/>
      <w:bookmarkEnd w:id="109"/>
      <w:bookmarkEnd w:id="110"/>
    </w:p>
    <w:p w14:paraId="507065E3">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This chapter explain the methodology used to investigate influencer-marketing effectiveness and consumer purchase intention in the UK fashion industry. The study adopted a qualitative, desk-based secondary research design. Two forms of secondary evidence were analysed: a core academic corpus of 18 peer-reviewed journal articles and a separate dataset of industry reports. The methodology involved structured searching, source selection, screening, evidence extraction, quality assessment, deductive thematic analysis and comparative content analysis. This design enabled academic explanations of influencer persuasion to be compared with industry approaches to campaign measurement and performance.</w:t>
      </w:r>
    </w:p>
    <w:p w14:paraId="2C0C0747">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0301881D">
      <w:pPr>
        <w:pStyle w:val="3"/>
        <w:keepNext/>
        <w:keepLines/>
        <w:pageBreakBefore w:val="0"/>
        <w:widowControl/>
        <w:kinsoku/>
        <w:wordWrap/>
        <w:overflowPunct/>
        <w:topLinePunct w:val="0"/>
        <w:autoSpaceDE/>
        <w:autoSpaceDN/>
        <w:bidi w:val="0"/>
        <w:adjustRightInd/>
        <w:snapToGrid/>
        <w:spacing w:before="0" w:after="0" w:line="480" w:lineRule="auto"/>
        <w:jc w:val="both"/>
        <w:textAlignment w:val="auto"/>
        <w:rPr>
          <w:rFonts w:ascii="Times New Roman" w:hAnsi="Times New Roman" w:cs="Times New Roman"/>
          <w:b/>
          <w:bCs/>
          <w:color w:val="auto"/>
          <w:sz w:val="24"/>
          <w:szCs w:val="24"/>
          <w:lang w:val="en-US"/>
        </w:rPr>
      </w:pPr>
      <w:bookmarkStart w:id="111" w:name="_Toc7021"/>
      <w:bookmarkStart w:id="112" w:name="_Toc240993924"/>
      <w:bookmarkStart w:id="113" w:name="_Toc25357"/>
      <w:bookmarkStart w:id="114" w:name="_Toc20193"/>
      <w:bookmarkStart w:id="115" w:name="_Toc27655"/>
      <w:bookmarkStart w:id="116" w:name="_Toc17697"/>
      <w:r>
        <w:rPr>
          <w:rFonts w:ascii="Times New Roman" w:hAnsi="Times New Roman" w:cs="Times New Roman"/>
          <w:b/>
          <w:bCs/>
          <w:color w:val="auto"/>
          <w:sz w:val="24"/>
          <w:szCs w:val="24"/>
          <w:lang w:val="en-US"/>
        </w:rPr>
        <w:t>3.2 Research Approach and Design</w:t>
      </w:r>
      <w:bookmarkEnd w:id="111"/>
      <w:bookmarkEnd w:id="112"/>
      <w:bookmarkEnd w:id="113"/>
      <w:bookmarkEnd w:id="114"/>
      <w:bookmarkEnd w:id="115"/>
      <w:bookmarkEnd w:id="116"/>
    </w:p>
    <w:p w14:paraId="6CCF816C">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A qualitative secondary-research approach was adopted because the study aimed to interpret and critically compare existing evidence rather than collect new data from participants. No questionnaires, interviews, focus groups, observations or experiments were undertaken.</w:t>
      </w:r>
    </w:p>
    <w:p w14:paraId="4C3288B6">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6FA4F19D">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approach was important because influencer-marketing effectiveness had been measured differently across previous studies. Some research examined credibility, authenticity, trust and parasocial interaction, while other studies focused on engagement, purchase intention or campaign performance. A qualitative comparative design allowed these different measures to be analysed according to the outcomes they actually represented.</w:t>
      </w:r>
    </w:p>
    <w:p w14:paraId="2FC20AF2">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25D5FBAA">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approach also supported the distinction between exposure, engagement, psychological response, purchase intention, actual behaviour and financial performance. Engagement was therefore not assumed to represent purchasing behaviour, while purchase intention was not treated automatically as evidence of financial ROI. This was particularly appropriate because complete information on influencer fees, campaign expenditure, incremental sales, profit margins and attributable profits was rarely publicly available.</w:t>
      </w:r>
    </w:p>
    <w:p w14:paraId="7CB983E5">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1D246454">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study therefore focused on critically determining the strength and meaning of existing evidence rather than producing an original financial ROI calculation.</w:t>
      </w:r>
    </w:p>
    <w:p w14:paraId="0997BEAD">
      <w:pPr>
        <w:spacing w:line="360" w:lineRule="auto"/>
        <w:jc w:val="both"/>
        <w:rPr>
          <w:rFonts w:ascii="Times New Roman" w:hAnsi="Times New Roman" w:cs="Times New Roman"/>
          <w:lang w:val="en-US"/>
        </w:rPr>
      </w:pPr>
    </w:p>
    <w:p w14:paraId="1D7A9B89">
      <w:pPr>
        <w:pStyle w:val="3"/>
        <w:keepNext/>
        <w:keepLines/>
        <w:pageBreakBefore w:val="0"/>
        <w:widowControl/>
        <w:kinsoku/>
        <w:wordWrap/>
        <w:overflowPunct/>
        <w:topLinePunct w:val="0"/>
        <w:autoSpaceDE/>
        <w:autoSpaceDN/>
        <w:bidi w:val="0"/>
        <w:adjustRightInd/>
        <w:snapToGrid/>
        <w:spacing w:before="0" w:after="0" w:line="480" w:lineRule="auto"/>
        <w:jc w:val="both"/>
        <w:textAlignment w:val="auto"/>
        <w:rPr>
          <w:rFonts w:ascii="Times New Roman" w:hAnsi="Times New Roman" w:cs="Times New Roman"/>
          <w:b/>
          <w:bCs/>
          <w:color w:val="auto"/>
          <w:sz w:val="24"/>
          <w:szCs w:val="24"/>
          <w:lang w:val="en-US"/>
        </w:rPr>
      </w:pPr>
      <w:bookmarkStart w:id="117" w:name="_Toc20200"/>
      <w:bookmarkStart w:id="118" w:name="_Toc5029"/>
      <w:bookmarkStart w:id="119" w:name="_Toc240993925"/>
      <w:bookmarkStart w:id="120" w:name="_Toc4933"/>
      <w:bookmarkStart w:id="121" w:name="_Toc23652"/>
      <w:bookmarkStart w:id="122" w:name="_Toc20352"/>
      <w:r>
        <w:rPr>
          <w:rFonts w:ascii="Times New Roman" w:hAnsi="Times New Roman" w:cs="Times New Roman"/>
          <w:b/>
          <w:bCs/>
          <w:color w:val="auto"/>
          <w:sz w:val="24"/>
          <w:szCs w:val="24"/>
          <w:lang w:val="en-US"/>
        </w:rPr>
        <w:t>3.3 Data Sources, Selection and Screening</w:t>
      </w:r>
      <w:bookmarkEnd w:id="117"/>
      <w:bookmarkEnd w:id="118"/>
      <w:bookmarkEnd w:id="119"/>
      <w:bookmarkEnd w:id="120"/>
      <w:bookmarkEnd w:id="121"/>
      <w:bookmarkEnd w:id="122"/>
    </w:p>
    <w:p w14:paraId="03ADA273">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Academic evidence was identified through ScienceDirect, Emerald Insight, SAGE Journals, Taylor &amp; Francis Online, Wiley Online Library, Google Scholar and the University of Wales Trinity Saint David library catalogue. Searches combined keywords using Boolean operators such as AND and OR. Examples included “influencer marketing” AND “purchase intention”, “fashion influencer” AND credibility, “influencer authenticity” AND trust, “parasocial interaction” AND purchase intention, “influencer disclosure” AND consumer behaviour, and “influencer marketing” AND campaign effectiveness or ROI.</w:t>
      </w:r>
    </w:p>
    <w:p w14:paraId="440ACAD5">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373DDACA">
      <w:pPr>
        <w:numPr>
          <w:ilvl w:val="0"/>
          <w:numId w:val="3"/>
        </w:numPr>
        <w:spacing w:line="360" w:lineRule="auto"/>
        <w:jc w:val="both"/>
        <w:rPr>
          <w:rFonts w:ascii="Times New Roman" w:hAnsi="Times New Roman" w:cs="Times New Roman"/>
          <w:lang w:val="en-US"/>
        </w:rPr>
      </w:pPr>
      <w:r>
        <w:rPr>
          <w:rFonts w:ascii="Times New Roman" w:hAnsi="Times New Roman" w:cs="Times New Roman"/>
          <w:lang w:val="en-US"/>
        </w:rPr>
        <w:t>The following inclusion criteria were applied:</w:t>
      </w:r>
    </w:p>
    <w:p w14:paraId="5AFF3606">
      <w:pPr>
        <w:numPr>
          <w:ilvl w:val="0"/>
          <w:numId w:val="3"/>
        </w:numPr>
        <w:spacing w:line="360" w:lineRule="auto"/>
        <w:jc w:val="both"/>
        <w:rPr>
          <w:rFonts w:ascii="Times New Roman" w:hAnsi="Times New Roman" w:cs="Times New Roman"/>
          <w:lang w:val="en-US"/>
        </w:rPr>
      </w:pPr>
      <w:r>
        <w:rPr>
          <w:rFonts w:ascii="Times New Roman" w:hAnsi="Times New Roman" w:cs="Times New Roman"/>
          <w:lang w:val="en-US"/>
        </w:rPr>
        <w:t>peer-reviewed journal articles published between 2017 and 2026;</w:t>
      </w:r>
    </w:p>
    <w:p w14:paraId="0BC85854">
      <w:pPr>
        <w:numPr>
          <w:ilvl w:val="0"/>
          <w:numId w:val="3"/>
        </w:numPr>
        <w:spacing w:line="360" w:lineRule="auto"/>
        <w:jc w:val="both"/>
        <w:rPr>
          <w:rFonts w:ascii="Times New Roman" w:hAnsi="Times New Roman" w:cs="Times New Roman"/>
          <w:lang w:val="en-US"/>
        </w:rPr>
      </w:pPr>
      <w:r>
        <w:rPr>
          <w:rFonts w:ascii="Times New Roman" w:hAnsi="Times New Roman" w:cs="Times New Roman"/>
          <w:lang w:val="en-US"/>
        </w:rPr>
        <w:t>studies substantially focused on social-media influencer marketing;</w:t>
      </w:r>
    </w:p>
    <w:p w14:paraId="1FF14152">
      <w:pPr>
        <w:numPr>
          <w:ilvl w:val="0"/>
          <w:numId w:val="3"/>
        </w:numPr>
        <w:spacing w:line="360" w:lineRule="auto"/>
        <w:jc w:val="both"/>
        <w:rPr>
          <w:rFonts w:ascii="Times New Roman" w:hAnsi="Times New Roman" w:cs="Times New Roman"/>
          <w:lang w:val="en-US"/>
        </w:rPr>
      </w:pPr>
      <w:r>
        <w:rPr>
          <w:rFonts w:ascii="Times New Roman" w:hAnsi="Times New Roman" w:cs="Times New Roman"/>
          <w:lang w:val="en-US"/>
        </w:rPr>
        <w:t>studies examining credibility, authenticity, trust, parasocial interaction, disclosure, engagement, purchase intention, conversion or effectiveness;</w:t>
      </w:r>
    </w:p>
    <w:p w14:paraId="0563A01D">
      <w:pPr>
        <w:numPr>
          <w:ilvl w:val="0"/>
          <w:numId w:val="3"/>
        </w:numPr>
        <w:spacing w:line="360" w:lineRule="auto"/>
        <w:jc w:val="both"/>
        <w:rPr>
          <w:rFonts w:ascii="Times New Roman" w:hAnsi="Times New Roman" w:cs="Times New Roman"/>
          <w:lang w:val="en-US"/>
        </w:rPr>
      </w:pPr>
      <w:r>
        <w:rPr>
          <w:rFonts w:ascii="Times New Roman" w:hAnsi="Times New Roman" w:cs="Times New Roman"/>
          <w:lang w:val="en-US"/>
        </w:rPr>
        <w:t>studies reporting identifiable methodology and findings;</w:t>
      </w:r>
    </w:p>
    <w:p w14:paraId="5A022A49">
      <w:pPr>
        <w:numPr>
          <w:ilvl w:val="0"/>
          <w:numId w:val="3"/>
        </w:numPr>
        <w:spacing w:line="360" w:lineRule="auto"/>
        <w:jc w:val="both"/>
        <w:rPr>
          <w:rFonts w:ascii="Times New Roman" w:hAnsi="Times New Roman" w:cs="Times New Roman"/>
          <w:lang w:val="en-US"/>
        </w:rPr>
      </w:pPr>
      <w:r>
        <w:rPr>
          <w:rFonts w:ascii="Times New Roman" w:hAnsi="Times New Roman" w:cs="Times New Roman"/>
          <w:lang w:val="en-US"/>
        </w:rPr>
        <w:t>studies contributing to at least one research question;</w:t>
      </w:r>
    </w:p>
    <w:p w14:paraId="201D23BD">
      <w:pPr>
        <w:numPr>
          <w:ilvl w:val="0"/>
          <w:numId w:val="3"/>
        </w:numPr>
        <w:spacing w:line="360" w:lineRule="auto"/>
        <w:jc w:val="both"/>
        <w:rPr>
          <w:rFonts w:ascii="Times New Roman" w:hAnsi="Times New Roman" w:cs="Times New Roman"/>
          <w:lang w:val="en-US"/>
        </w:rPr>
      </w:pPr>
      <w:r>
        <w:rPr>
          <w:rFonts w:ascii="Times New Roman" w:hAnsi="Times New Roman" w:cs="Times New Roman"/>
          <w:lang w:val="en-US"/>
        </w:rPr>
        <w:t>fashion-specific studies or wider influencer studies with findings transferable to fashion.</w:t>
      </w:r>
    </w:p>
    <w:p w14:paraId="53F518D6">
      <w:pPr>
        <w:numPr>
          <w:ilvl w:val="0"/>
          <w:numId w:val="0"/>
        </w:numPr>
        <w:spacing w:line="360" w:lineRule="auto"/>
        <w:ind w:left="360" w:leftChars="0"/>
        <w:jc w:val="both"/>
        <w:rPr>
          <w:rFonts w:ascii="Times New Roman" w:hAnsi="Times New Roman" w:cs="Times New Roman"/>
          <w:lang w:val="en-US"/>
        </w:rPr>
      </w:pPr>
    </w:p>
    <w:p w14:paraId="18F0CEBF">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exclusion criteria were:</w:t>
      </w:r>
    </w:p>
    <w:p w14:paraId="69383AFE">
      <w:pPr>
        <w:numPr>
          <w:ilvl w:val="0"/>
          <w:numId w:val="3"/>
        </w:numPr>
        <w:spacing w:line="360" w:lineRule="auto"/>
        <w:jc w:val="both"/>
        <w:rPr>
          <w:rFonts w:ascii="Times New Roman" w:hAnsi="Times New Roman" w:cs="Times New Roman"/>
          <w:lang w:val="en-US"/>
        </w:rPr>
      </w:pPr>
      <w:r>
        <w:rPr>
          <w:rFonts w:ascii="Times New Roman" w:hAnsi="Times New Roman" w:cs="Times New Roman"/>
          <w:lang w:val="en-US"/>
        </w:rPr>
        <w:t>duplicate records;</w:t>
      </w:r>
    </w:p>
    <w:p w14:paraId="2D3C18A9">
      <w:pPr>
        <w:numPr>
          <w:ilvl w:val="0"/>
          <w:numId w:val="3"/>
        </w:numPr>
        <w:spacing w:line="360" w:lineRule="auto"/>
        <w:jc w:val="both"/>
        <w:rPr>
          <w:rFonts w:ascii="Times New Roman" w:hAnsi="Times New Roman" w:cs="Times New Roman"/>
          <w:lang w:val="en-US"/>
        </w:rPr>
      </w:pPr>
      <w:r>
        <w:rPr>
          <w:rFonts w:ascii="Times New Roman" w:hAnsi="Times New Roman" w:cs="Times New Roman"/>
          <w:lang w:val="en-US"/>
        </w:rPr>
        <w:t>studies where influencer marketing was only peripheral;</w:t>
      </w:r>
    </w:p>
    <w:p w14:paraId="758AE4EE">
      <w:pPr>
        <w:numPr>
          <w:ilvl w:val="0"/>
          <w:numId w:val="3"/>
        </w:numPr>
        <w:spacing w:line="360" w:lineRule="auto"/>
        <w:jc w:val="both"/>
        <w:rPr>
          <w:rFonts w:ascii="Times New Roman" w:hAnsi="Times New Roman" w:cs="Times New Roman"/>
          <w:lang w:val="en-US"/>
        </w:rPr>
      </w:pPr>
      <w:r>
        <w:rPr>
          <w:rFonts w:ascii="Times New Roman" w:hAnsi="Times New Roman" w:cs="Times New Roman"/>
          <w:lang w:val="en-US"/>
        </w:rPr>
        <w:t>studies without relevant consumer or campaign outcomes;</w:t>
      </w:r>
    </w:p>
    <w:p w14:paraId="6C7D80FC">
      <w:pPr>
        <w:numPr>
          <w:ilvl w:val="0"/>
          <w:numId w:val="3"/>
        </w:numPr>
        <w:spacing w:line="360" w:lineRule="auto"/>
        <w:jc w:val="both"/>
        <w:rPr>
          <w:rFonts w:ascii="Times New Roman" w:hAnsi="Times New Roman" w:cs="Times New Roman"/>
          <w:lang w:val="en-US"/>
        </w:rPr>
      </w:pPr>
      <w:r>
        <w:rPr>
          <w:rFonts w:ascii="Times New Roman" w:hAnsi="Times New Roman" w:cs="Times New Roman"/>
          <w:lang w:val="en-US"/>
        </w:rPr>
        <w:t>sources with insufficient methodological information;</w:t>
      </w:r>
    </w:p>
    <w:p w14:paraId="25CA2D93">
      <w:pPr>
        <w:numPr>
          <w:ilvl w:val="0"/>
          <w:numId w:val="3"/>
        </w:numPr>
        <w:spacing w:line="360" w:lineRule="auto"/>
        <w:jc w:val="both"/>
        <w:rPr>
          <w:rFonts w:ascii="Times New Roman" w:hAnsi="Times New Roman" w:cs="Times New Roman"/>
          <w:lang w:val="en-US"/>
        </w:rPr>
      </w:pPr>
      <w:r>
        <w:rPr>
          <w:rFonts w:ascii="Times New Roman" w:hAnsi="Times New Roman" w:cs="Times New Roman"/>
          <w:lang w:val="en-US"/>
        </w:rPr>
        <w:t>unsupported opinion or promotional material;</w:t>
      </w:r>
    </w:p>
    <w:p w14:paraId="584314C7">
      <w:pPr>
        <w:numPr>
          <w:ilvl w:val="0"/>
          <w:numId w:val="3"/>
        </w:numPr>
        <w:spacing w:line="360" w:lineRule="auto"/>
        <w:jc w:val="both"/>
        <w:rPr>
          <w:rFonts w:ascii="Times New Roman" w:hAnsi="Times New Roman" w:cs="Times New Roman"/>
          <w:lang w:val="en-US"/>
        </w:rPr>
      </w:pPr>
      <w:r>
        <w:rPr>
          <w:rFonts w:ascii="Times New Roman" w:hAnsi="Times New Roman" w:cs="Times New Roman"/>
          <w:lang w:val="en-US"/>
        </w:rPr>
        <w:t>studies with very limited relevance to the research questions or fashion context.</w:t>
      </w:r>
    </w:p>
    <w:p w14:paraId="3690AD20">
      <w:pPr>
        <w:spacing w:line="360" w:lineRule="auto"/>
        <w:jc w:val="both"/>
        <w:rPr>
          <w:rFonts w:ascii="Times New Roman" w:hAnsi="Times New Roman" w:cs="Times New Roman"/>
          <w:lang w:val="en-US"/>
        </w:rPr>
      </w:pPr>
    </w:p>
    <w:p w14:paraId="2080EEDC">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search initially produced 74 academic sources. Fourteen duplicate records were removed, leaving 60. Title screening excluded 19 sources because influencer marketing was not a substantive focus, leaving 41. Abstract screening removed 13 studies that did not examine relevant constructs or outcomes, leaving 28. Full-text assessment excluded a further 10 studies because of insufficient methodological detail, limited relevance or weak applicability to the research questions. The final academic corpus therefore contained 18 studies.</w:t>
      </w:r>
    </w:p>
    <w:p w14:paraId="1EAFB9E2">
      <w:pPr>
        <w:pStyle w:val="11"/>
        <w:rPr>
          <w:rFonts w:ascii="Times New Roman" w:hAnsi="Times New Roman" w:cs="Times New Roman"/>
          <w:lang w:val="en-US"/>
        </w:rPr>
      </w:pPr>
      <w:bookmarkStart w:id="123" w:name="_Toc15131"/>
      <w:bookmarkStart w:id="124" w:name="_Toc6747"/>
      <w:r>
        <w:rPr>
          <w:rFonts w:ascii="Times New Roman" w:hAnsi="Times New Roman" w:cs="Times New Roman"/>
          <w:color w:val="auto"/>
          <w:sz w:val="24"/>
          <w:szCs w:val="24"/>
        </w:rPr>
        <w:t xml:space="preserve">Table </w:t>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SEQ Table \* ARABIC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t>: Academic Sources Included in the Final Analytical Corpus and Their Principal Relevance to the Study</w:t>
      </w:r>
      <w:bookmarkEnd w:id="123"/>
      <w:bookmarkEnd w:id="124"/>
    </w:p>
    <w:tbl>
      <w:tblPr>
        <w:tblStyle w:val="2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15" w:type="dxa"/>
          <w:left w:w="15" w:type="dxa"/>
          <w:bottom w:w="15" w:type="dxa"/>
          <w:right w:w="15" w:type="dxa"/>
        </w:tblCellMar>
      </w:tblPr>
      <w:tblGrid>
        <w:gridCol w:w="4308"/>
        <w:gridCol w:w="5082"/>
      </w:tblGrid>
      <w:tr w14:paraId="004128D2">
        <w:trPr>
          <w:tblHeader/>
        </w:trPr>
        <w:tc>
          <w:tcPr>
            <w:tcW w:w="0" w:type="auto"/>
            <w:vAlign w:val="center"/>
          </w:tcPr>
          <w:p w14:paraId="0D583C3A">
            <w:pPr>
              <w:spacing w:line="360" w:lineRule="auto"/>
              <w:jc w:val="both"/>
              <w:rPr>
                <w:rFonts w:ascii="Times New Roman" w:hAnsi="Times New Roman" w:cs="Times New Roman"/>
                <w:b/>
                <w:bCs/>
                <w:lang w:val="en-US"/>
              </w:rPr>
            </w:pPr>
            <w:r>
              <w:rPr>
                <w:rFonts w:ascii="Times New Roman" w:hAnsi="Times New Roman" w:cs="Times New Roman"/>
                <w:b/>
                <w:bCs/>
                <w:lang w:val="en-US"/>
              </w:rPr>
              <w:t>Academic source</w:t>
            </w:r>
          </w:p>
        </w:tc>
        <w:tc>
          <w:tcPr>
            <w:tcW w:w="0" w:type="auto"/>
            <w:vAlign w:val="center"/>
          </w:tcPr>
          <w:p w14:paraId="0D0B296E">
            <w:pPr>
              <w:spacing w:line="360" w:lineRule="auto"/>
              <w:jc w:val="both"/>
              <w:rPr>
                <w:rFonts w:ascii="Times New Roman" w:hAnsi="Times New Roman" w:cs="Times New Roman"/>
                <w:b/>
                <w:bCs/>
                <w:lang w:val="en-US"/>
              </w:rPr>
            </w:pPr>
            <w:r>
              <w:rPr>
                <w:rFonts w:ascii="Times New Roman" w:hAnsi="Times New Roman" w:cs="Times New Roman"/>
                <w:b/>
                <w:bCs/>
                <w:lang w:val="en-US"/>
              </w:rPr>
              <w:t>Principal relevance</w:t>
            </w:r>
          </w:p>
        </w:tc>
      </w:tr>
      <w:tr w14:paraId="48CF6753">
        <w:tc>
          <w:tcPr>
            <w:tcW w:w="0" w:type="auto"/>
            <w:vAlign w:val="center"/>
          </w:tcPr>
          <w:p w14:paraId="5EC7BB2E">
            <w:pPr>
              <w:spacing w:line="360" w:lineRule="auto"/>
              <w:jc w:val="both"/>
              <w:rPr>
                <w:rFonts w:ascii="Times New Roman" w:hAnsi="Times New Roman" w:cs="Times New Roman"/>
                <w:lang w:val="en-US"/>
              </w:rPr>
            </w:pPr>
            <w:r>
              <w:rPr>
                <w:rFonts w:ascii="Times New Roman" w:hAnsi="Times New Roman" w:cs="Times New Roman"/>
                <w:lang w:val="en-US"/>
              </w:rPr>
              <w:t>Audrezet et al. (2020)</w:t>
            </w:r>
          </w:p>
        </w:tc>
        <w:tc>
          <w:tcPr>
            <w:tcW w:w="0" w:type="auto"/>
            <w:vAlign w:val="center"/>
          </w:tcPr>
          <w:p w14:paraId="2F64CB13">
            <w:pPr>
              <w:spacing w:line="360" w:lineRule="auto"/>
              <w:jc w:val="both"/>
              <w:rPr>
                <w:rFonts w:ascii="Times New Roman" w:hAnsi="Times New Roman" w:cs="Times New Roman"/>
                <w:lang w:val="en-US"/>
              </w:rPr>
            </w:pPr>
            <w:r>
              <w:rPr>
                <w:rFonts w:ascii="Times New Roman" w:hAnsi="Times New Roman" w:cs="Times New Roman"/>
                <w:lang w:val="en-US"/>
              </w:rPr>
              <w:t>Authenticity and commercialisation</w:t>
            </w:r>
          </w:p>
        </w:tc>
      </w:tr>
      <w:tr w14:paraId="30415821">
        <w:tc>
          <w:tcPr>
            <w:tcW w:w="0" w:type="auto"/>
            <w:vAlign w:val="center"/>
          </w:tcPr>
          <w:p w14:paraId="57BBC9AC">
            <w:pPr>
              <w:spacing w:line="360" w:lineRule="auto"/>
              <w:jc w:val="both"/>
              <w:rPr>
                <w:rFonts w:ascii="Times New Roman" w:hAnsi="Times New Roman" w:cs="Times New Roman"/>
                <w:lang w:val="en-US"/>
              </w:rPr>
            </w:pPr>
            <w:r>
              <w:rPr>
                <w:rFonts w:ascii="Times New Roman" w:hAnsi="Times New Roman" w:cs="Times New Roman"/>
                <w:lang w:val="en-US"/>
              </w:rPr>
              <w:t>Boerman (2020)</w:t>
            </w:r>
          </w:p>
        </w:tc>
        <w:tc>
          <w:tcPr>
            <w:tcW w:w="0" w:type="auto"/>
            <w:vAlign w:val="center"/>
          </w:tcPr>
          <w:p w14:paraId="5A34A240">
            <w:pPr>
              <w:spacing w:line="360" w:lineRule="auto"/>
              <w:jc w:val="both"/>
              <w:rPr>
                <w:rFonts w:ascii="Times New Roman" w:hAnsi="Times New Roman" w:cs="Times New Roman"/>
                <w:lang w:val="en-US"/>
              </w:rPr>
            </w:pPr>
            <w:r>
              <w:rPr>
                <w:rFonts w:ascii="Times New Roman" w:hAnsi="Times New Roman" w:cs="Times New Roman"/>
                <w:lang w:val="en-US"/>
              </w:rPr>
              <w:t>Disclosure and advertising recognition</w:t>
            </w:r>
          </w:p>
        </w:tc>
      </w:tr>
      <w:tr w14:paraId="7FF12E54">
        <w:tc>
          <w:tcPr>
            <w:tcW w:w="0" w:type="auto"/>
            <w:vAlign w:val="center"/>
          </w:tcPr>
          <w:p w14:paraId="55DEAC86">
            <w:pPr>
              <w:spacing w:line="360" w:lineRule="auto"/>
              <w:jc w:val="both"/>
              <w:rPr>
                <w:rFonts w:ascii="Times New Roman" w:hAnsi="Times New Roman" w:cs="Times New Roman"/>
                <w:lang w:val="en-US"/>
              </w:rPr>
            </w:pPr>
            <w:r>
              <w:rPr>
                <w:rFonts w:ascii="Times New Roman" w:hAnsi="Times New Roman" w:cs="Times New Roman"/>
                <w:lang w:val="en-US"/>
              </w:rPr>
              <w:t>Chetioui et al. (2020)</w:t>
            </w:r>
          </w:p>
        </w:tc>
        <w:tc>
          <w:tcPr>
            <w:tcW w:w="0" w:type="auto"/>
            <w:vAlign w:val="center"/>
          </w:tcPr>
          <w:p w14:paraId="5A8D75E8">
            <w:pPr>
              <w:spacing w:line="360" w:lineRule="auto"/>
              <w:jc w:val="both"/>
              <w:rPr>
                <w:rFonts w:ascii="Times New Roman" w:hAnsi="Times New Roman" w:cs="Times New Roman"/>
                <w:lang w:val="en-US"/>
              </w:rPr>
            </w:pPr>
            <w:r>
              <w:rPr>
                <w:rFonts w:ascii="Times New Roman" w:hAnsi="Times New Roman" w:cs="Times New Roman"/>
                <w:lang w:val="en-US"/>
              </w:rPr>
              <w:t>Fashion purchase intention</w:t>
            </w:r>
          </w:p>
        </w:tc>
      </w:tr>
      <w:tr w14:paraId="6E46883C">
        <w:tc>
          <w:tcPr>
            <w:tcW w:w="0" w:type="auto"/>
            <w:vAlign w:val="center"/>
          </w:tcPr>
          <w:p w14:paraId="628B3FAE">
            <w:pPr>
              <w:spacing w:line="360" w:lineRule="auto"/>
              <w:jc w:val="both"/>
              <w:rPr>
                <w:rFonts w:ascii="Times New Roman" w:hAnsi="Times New Roman" w:cs="Times New Roman"/>
                <w:lang w:val="en-US"/>
              </w:rPr>
            </w:pPr>
            <w:r>
              <w:rPr>
                <w:rFonts w:ascii="Times New Roman" w:hAnsi="Times New Roman" w:cs="Times New Roman"/>
                <w:lang w:val="en-US"/>
              </w:rPr>
              <w:t>De Veirman et al. (2017)</w:t>
            </w:r>
          </w:p>
        </w:tc>
        <w:tc>
          <w:tcPr>
            <w:tcW w:w="0" w:type="auto"/>
            <w:vAlign w:val="center"/>
          </w:tcPr>
          <w:p w14:paraId="1316D719">
            <w:pPr>
              <w:spacing w:line="360" w:lineRule="auto"/>
              <w:jc w:val="both"/>
              <w:rPr>
                <w:rFonts w:ascii="Times New Roman" w:hAnsi="Times New Roman" w:cs="Times New Roman"/>
                <w:lang w:val="en-US"/>
              </w:rPr>
            </w:pPr>
            <w:r>
              <w:rPr>
                <w:rFonts w:ascii="Times New Roman" w:hAnsi="Times New Roman" w:cs="Times New Roman"/>
                <w:lang w:val="en-US"/>
              </w:rPr>
              <w:t>Follower numbers and brand outcomes</w:t>
            </w:r>
          </w:p>
        </w:tc>
      </w:tr>
      <w:tr w14:paraId="12DB58DF">
        <w:tc>
          <w:tcPr>
            <w:tcW w:w="0" w:type="auto"/>
            <w:vAlign w:val="center"/>
          </w:tcPr>
          <w:p w14:paraId="22E561CE">
            <w:pPr>
              <w:spacing w:line="360" w:lineRule="auto"/>
              <w:jc w:val="both"/>
              <w:rPr>
                <w:rFonts w:ascii="Times New Roman" w:hAnsi="Times New Roman" w:cs="Times New Roman"/>
                <w:lang w:val="en-US"/>
              </w:rPr>
            </w:pPr>
            <w:r>
              <w:rPr>
                <w:rFonts w:ascii="Times New Roman" w:hAnsi="Times New Roman" w:cs="Times New Roman"/>
                <w:lang w:val="en-US"/>
              </w:rPr>
              <w:t>Duffek et al. (2025)</w:t>
            </w:r>
          </w:p>
        </w:tc>
        <w:tc>
          <w:tcPr>
            <w:tcW w:w="0" w:type="auto"/>
            <w:vAlign w:val="center"/>
          </w:tcPr>
          <w:p w14:paraId="54E5E6FD">
            <w:pPr>
              <w:spacing w:line="360" w:lineRule="auto"/>
              <w:jc w:val="both"/>
              <w:rPr>
                <w:rFonts w:ascii="Times New Roman" w:hAnsi="Times New Roman" w:cs="Times New Roman"/>
                <w:lang w:val="en-US"/>
              </w:rPr>
            </w:pPr>
            <w:r>
              <w:rPr>
                <w:rFonts w:ascii="Times New Roman" w:hAnsi="Times New Roman" w:cs="Times New Roman"/>
                <w:lang w:val="en-US"/>
              </w:rPr>
              <w:t>Influencer authenticity</w:t>
            </w:r>
          </w:p>
        </w:tc>
      </w:tr>
      <w:tr w14:paraId="26E5979D">
        <w:tc>
          <w:tcPr>
            <w:tcW w:w="0" w:type="auto"/>
            <w:vAlign w:val="center"/>
          </w:tcPr>
          <w:p w14:paraId="03ED1824">
            <w:pPr>
              <w:spacing w:line="360" w:lineRule="auto"/>
              <w:jc w:val="both"/>
              <w:rPr>
                <w:rFonts w:ascii="Times New Roman" w:hAnsi="Times New Roman" w:cs="Times New Roman"/>
                <w:lang w:val="en-US"/>
              </w:rPr>
            </w:pPr>
            <w:r>
              <w:rPr>
                <w:rFonts w:ascii="Times New Roman" w:hAnsi="Times New Roman" w:cs="Times New Roman"/>
                <w:lang w:val="en-US"/>
              </w:rPr>
              <w:t>Evans et al. (2017)</w:t>
            </w:r>
          </w:p>
        </w:tc>
        <w:tc>
          <w:tcPr>
            <w:tcW w:w="0" w:type="auto"/>
            <w:vAlign w:val="center"/>
          </w:tcPr>
          <w:p w14:paraId="39C3C83D">
            <w:pPr>
              <w:spacing w:line="360" w:lineRule="auto"/>
              <w:jc w:val="both"/>
              <w:rPr>
                <w:rFonts w:ascii="Times New Roman" w:hAnsi="Times New Roman" w:cs="Times New Roman"/>
                <w:lang w:val="en-US"/>
              </w:rPr>
            </w:pPr>
            <w:r>
              <w:rPr>
                <w:rFonts w:ascii="Times New Roman" w:hAnsi="Times New Roman" w:cs="Times New Roman"/>
                <w:lang w:val="en-US"/>
              </w:rPr>
              <w:t>Disclosure and behavioural intention</w:t>
            </w:r>
          </w:p>
        </w:tc>
      </w:tr>
      <w:tr w14:paraId="5B1D52AB">
        <w:tc>
          <w:tcPr>
            <w:tcW w:w="0" w:type="auto"/>
            <w:vAlign w:val="center"/>
          </w:tcPr>
          <w:p w14:paraId="50F63880">
            <w:pPr>
              <w:spacing w:line="360" w:lineRule="auto"/>
              <w:jc w:val="both"/>
              <w:rPr>
                <w:rFonts w:ascii="Times New Roman" w:hAnsi="Times New Roman" w:cs="Times New Roman"/>
                <w:lang w:val="en-US"/>
              </w:rPr>
            </w:pPr>
            <w:r>
              <w:rPr>
                <w:rFonts w:ascii="Times New Roman" w:hAnsi="Times New Roman" w:cs="Times New Roman"/>
                <w:lang w:val="en-US"/>
              </w:rPr>
              <w:t>Gomes et al. (2022)</w:t>
            </w:r>
          </w:p>
        </w:tc>
        <w:tc>
          <w:tcPr>
            <w:tcW w:w="0" w:type="auto"/>
            <w:vAlign w:val="center"/>
          </w:tcPr>
          <w:p w14:paraId="10E277DF">
            <w:pPr>
              <w:spacing w:line="360" w:lineRule="auto"/>
              <w:jc w:val="both"/>
              <w:rPr>
                <w:rFonts w:ascii="Times New Roman" w:hAnsi="Times New Roman" w:cs="Times New Roman"/>
                <w:lang w:val="en-US"/>
              </w:rPr>
            </w:pPr>
            <w:r>
              <w:rPr>
                <w:rFonts w:ascii="Times New Roman" w:hAnsi="Times New Roman" w:cs="Times New Roman"/>
                <w:lang w:val="en-US"/>
              </w:rPr>
              <w:t>Fashion influencer characteristics</w:t>
            </w:r>
          </w:p>
        </w:tc>
      </w:tr>
      <w:tr w14:paraId="7D902096">
        <w:tc>
          <w:tcPr>
            <w:tcW w:w="0" w:type="auto"/>
            <w:vAlign w:val="center"/>
          </w:tcPr>
          <w:p w14:paraId="0EF94DDB">
            <w:pPr>
              <w:spacing w:line="360" w:lineRule="auto"/>
              <w:jc w:val="both"/>
              <w:rPr>
                <w:rFonts w:ascii="Times New Roman" w:hAnsi="Times New Roman" w:cs="Times New Roman"/>
                <w:lang w:val="en-US"/>
              </w:rPr>
            </w:pPr>
            <w:r>
              <w:rPr>
                <w:rFonts w:ascii="Times New Roman" w:hAnsi="Times New Roman" w:cs="Times New Roman"/>
                <w:lang w:val="en-US"/>
              </w:rPr>
              <w:t>Goo and An (2026)</w:t>
            </w:r>
          </w:p>
        </w:tc>
        <w:tc>
          <w:tcPr>
            <w:tcW w:w="0" w:type="auto"/>
            <w:vAlign w:val="center"/>
          </w:tcPr>
          <w:p w14:paraId="0D2C74F9">
            <w:pPr>
              <w:spacing w:line="360" w:lineRule="auto"/>
              <w:jc w:val="both"/>
              <w:rPr>
                <w:rFonts w:ascii="Times New Roman" w:hAnsi="Times New Roman" w:cs="Times New Roman"/>
                <w:lang w:val="en-US"/>
              </w:rPr>
            </w:pPr>
            <w:r>
              <w:rPr>
                <w:rFonts w:ascii="Times New Roman" w:hAnsi="Times New Roman" w:cs="Times New Roman"/>
                <w:lang w:val="en-US"/>
              </w:rPr>
              <w:t>Psychological factors and fashion purchase intention</w:t>
            </w:r>
          </w:p>
        </w:tc>
      </w:tr>
      <w:tr w14:paraId="43F70766">
        <w:tc>
          <w:tcPr>
            <w:tcW w:w="0" w:type="auto"/>
            <w:vAlign w:val="center"/>
          </w:tcPr>
          <w:p w14:paraId="1D3F1A2C">
            <w:pPr>
              <w:spacing w:line="360" w:lineRule="auto"/>
              <w:jc w:val="both"/>
              <w:rPr>
                <w:rFonts w:ascii="Times New Roman" w:hAnsi="Times New Roman" w:cs="Times New Roman"/>
                <w:lang w:val="en-US"/>
              </w:rPr>
            </w:pPr>
            <w:r>
              <w:rPr>
                <w:rFonts w:ascii="Times New Roman" w:hAnsi="Times New Roman" w:cs="Times New Roman"/>
                <w:lang w:val="en-US"/>
              </w:rPr>
              <w:t>Hughes et al. (2019)</w:t>
            </w:r>
          </w:p>
        </w:tc>
        <w:tc>
          <w:tcPr>
            <w:tcW w:w="0" w:type="auto"/>
            <w:vAlign w:val="center"/>
          </w:tcPr>
          <w:p w14:paraId="18DBD13E">
            <w:pPr>
              <w:spacing w:line="360" w:lineRule="auto"/>
              <w:jc w:val="both"/>
              <w:rPr>
                <w:rFonts w:ascii="Times New Roman" w:hAnsi="Times New Roman" w:cs="Times New Roman"/>
                <w:lang w:val="en-US"/>
              </w:rPr>
            </w:pPr>
            <w:r>
              <w:rPr>
                <w:rFonts w:ascii="Times New Roman" w:hAnsi="Times New Roman" w:cs="Times New Roman"/>
                <w:lang w:val="en-US"/>
              </w:rPr>
              <w:t>Engagement and campaign performance</w:t>
            </w:r>
          </w:p>
        </w:tc>
      </w:tr>
      <w:tr w14:paraId="24928F73">
        <w:tc>
          <w:tcPr>
            <w:tcW w:w="0" w:type="auto"/>
            <w:vAlign w:val="center"/>
          </w:tcPr>
          <w:p w14:paraId="76E39FA8">
            <w:pPr>
              <w:spacing w:line="360" w:lineRule="auto"/>
              <w:jc w:val="both"/>
              <w:rPr>
                <w:rFonts w:ascii="Times New Roman" w:hAnsi="Times New Roman" w:cs="Times New Roman"/>
                <w:lang w:val="en-US"/>
              </w:rPr>
            </w:pPr>
            <w:r>
              <w:rPr>
                <w:rFonts w:ascii="Times New Roman" w:hAnsi="Times New Roman" w:cs="Times New Roman"/>
                <w:lang w:val="en-US"/>
              </w:rPr>
              <w:t>Jiménez-Castillo and Sánchez-Fernández (2019)</w:t>
            </w:r>
          </w:p>
        </w:tc>
        <w:tc>
          <w:tcPr>
            <w:tcW w:w="0" w:type="auto"/>
            <w:vAlign w:val="center"/>
          </w:tcPr>
          <w:p w14:paraId="1570D470">
            <w:pPr>
              <w:spacing w:line="360" w:lineRule="auto"/>
              <w:jc w:val="both"/>
              <w:rPr>
                <w:rFonts w:ascii="Times New Roman" w:hAnsi="Times New Roman" w:cs="Times New Roman"/>
                <w:lang w:val="en-US"/>
              </w:rPr>
            </w:pPr>
            <w:r>
              <w:rPr>
                <w:rFonts w:ascii="Times New Roman" w:hAnsi="Times New Roman" w:cs="Times New Roman"/>
                <w:lang w:val="en-US"/>
              </w:rPr>
              <w:t>Engagement and purchase intention</w:t>
            </w:r>
          </w:p>
        </w:tc>
      </w:tr>
      <w:tr w14:paraId="3C9875C9">
        <w:tc>
          <w:tcPr>
            <w:tcW w:w="0" w:type="auto"/>
            <w:vAlign w:val="center"/>
          </w:tcPr>
          <w:p w14:paraId="2596028D">
            <w:pPr>
              <w:spacing w:line="360" w:lineRule="auto"/>
              <w:jc w:val="both"/>
              <w:rPr>
                <w:rFonts w:ascii="Times New Roman" w:hAnsi="Times New Roman" w:cs="Times New Roman"/>
                <w:lang w:val="en-US"/>
              </w:rPr>
            </w:pPr>
            <w:r>
              <w:rPr>
                <w:rFonts w:ascii="Times New Roman" w:hAnsi="Times New Roman" w:cs="Times New Roman"/>
                <w:lang w:val="en-US"/>
              </w:rPr>
              <w:t>Kay et al. (2020)</w:t>
            </w:r>
          </w:p>
        </w:tc>
        <w:tc>
          <w:tcPr>
            <w:tcW w:w="0" w:type="auto"/>
            <w:vAlign w:val="center"/>
          </w:tcPr>
          <w:p w14:paraId="06EC918D">
            <w:pPr>
              <w:spacing w:line="360" w:lineRule="auto"/>
              <w:jc w:val="both"/>
              <w:rPr>
                <w:rFonts w:ascii="Times New Roman" w:hAnsi="Times New Roman" w:cs="Times New Roman"/>
                <w:lang w:val="en-US"/>
              </w:rPr>
            </w:pPr>
            <w:r>
              <w:rPr>
                <w:rFonts w:ascii="Times New Roman" w:hAnsi="Times New Roman" w:cs="Times New Roman"/>
                <w:lang w:val="en-US"/>
              </w:rPr>
              <w:t>Disclosure and influencer size</w:t>
            </w:r>
          </w:p>
        </w:tc>
      </w:tr>
      <w:tr w14:paraId="689ECBDB">
        <w:tc>
          <w:tcPr>
            <w:tcW w:w="0" w:type="auto"/>
            <w:vAlign w:val="center"/>
          </w:tcPr>
          <w:p w14:paraId="3FEB7643">
            <w:pPr>
              <w:spacing w:line="360" w:lineRule="auto"/>
              <w:jc w:val="both"/>
              <w:rPr>
                <w:rFonts w:ascii="Times New Roman" w:hAnsi="Times New Roman" w:cs="Times New Roman"/>
                <w:lang w:val="en-US"/>
              </w:rPr>
            </w:pPr>
            <w:r>
              <w:rPr>
                <w:rFonts w:ascii="Times New Roman" w:hAnsi="Times New Roman" w:cs="Times New Roman"/>
                <w:lang w:val="en-US"/>
              </w:rPr>
              <w:t>Ki et al. (2020)</w:t>
            </w:r>
          </w:p>
        </w:tc>
        <w:tc>
          <w:tcPr>
            <w:tcW w:w="0" w:type="auto"/>
            <w:vAlign w:val="center"/>
          </w:tcPr>
          <w:p w14:paraId="4724C4CD">
            <w:pPr>
              <w:spacing w:line="360" w:lineRule="auto"/>
              <w:jc w:val="both"/>
              <w:rPr>
                <w:rFonts w:ascii="Times New Roman" w:hAnsi="Times New Roman" w:cs="Times New Roman"/>
                <w:lang w:val="en-US"/>
              </w:rPr>
            </w:pPr>
            <w:r>
              <w:rPr>
                <w:rFonts w:ascii="Times New Roman" w:hAnsi="Times New Roman" w:cs="Times New Roman"/>
                <w:lang w:val="en-US"/>
              </w:rPr>
              <w:t>Human-brand attachment</w:t>
            </w:r>
          </w:p>
        </w:tc>
      </w:tr>
      <w:tr w14:paraId="1434CA2C">
        <w:tc>
          <w:tcPr>
            <w:tcW w:w="0" w:type="auto"/>
            <w:vAlign w:val="center"/>
          </w:tcPr>
          <w:p w14:paraId="2EFF732A">
            <w:pPr>
              <w:spacing w:line="360" w:lineRule="auto"/>
              <w:jc w:val="both"/>
              <w:rPr>
                <w:rFonts w:ascii="Times New Roman" w:hAnsi="Times New Roman" w:cs="Times New Roman"/>
                <w:lang w:val="en-US"/>
              </w:rPr>
            </w:pPr>
            <w:r>
              <w:rPr>
                <w:rFonts w:ascii="Times New Roman" w:hAnsi="Times New Roman" w:cs="Times New Roman"/>
                <w:lang w:val="en-US"/>
              </w:rPr>
              <w:t>Leung et al. (2022)</w:t>
            </w:r>
          </w:p>
        </w:tc>
        <w:tc>
          <w:tcPr>
            <w:tcW w:w="0" w:type="auto"/>
            <w:vAlign w:val="center"/>
          </w:tcPr>
          <w:p w14:paraId="18F1ED99">
            <w:pPr>
              <w:spacing w:line="360" w:lineRule="auto"/>
              <w:jc w:val="both"/>
              <w:rPr>
                <w:rFonts w:ascii="Times New Roman" w:hAnsi="Times New Roman" w:cs="Times New Roman"/>
                <w:lang w:val="en-US"/>
              </w:rPr>
            </w:pPr>
            <w:r>
              <w:rPr>
                <w:rFonts w:ascii="Times New Roman" w:hAnsi="Times New Roman" w:cs="Times New Roman"/>
                <w:lang w:val="en-US"/>
              </w:rPr>
              <w:t>Influencer-marketing effectiveness</w:t>
            </w:r>
          </w:p>
        </w:tc>
      </w:tr>
      <w:tr w14:paraId="4004F17D">
        <w:tc>
          <w:tcPr>
            <w:tcW w:w="0" w:type="auto"/>
            <w:vAlign w:val="center"/>
          </w:tcPr>
          <w:p w14:paraId="483CA751">
            <w:pPr>
              <w:spacing w:line="360" w:lineRule="auto"/>
              <w:jc w:val="both"/>
              <w:rPr>
                <w:rFonts w:ascii="Times New Roman" w:hAnsi="Times New Roman" w:cs="Times New Roman"/>
                <w:lang w:val="en-US"/>
              </w:rPr>
            </w:pPr>
            <w:r>
              <w:rPr>
                <w:rFonts w:ascii="Times New Roman" w:hAnsi="Times New Roman" w:cs="Times New Roman"/>
                <w:lang w:val="en-US"/>
              </w:rPr>
              <w:t>Liu and Zheng (2024)</w:t>
            </w:r>
          </w:p>
        </w:tc>
        <w:tc>
          <w:tcPr>
            <w:tcW w:w="0" w:type="auto"/>
            <w:vAlign w:val="center"/>
          </w:tcPr>
          <w:p w14:paraId="59EBA424">
            <w:pPr>
              <w:spacing w:line="360" w:lineRule="auto"/>
              <w:jc w:val="both"/>
              <w:rPr>
                <w:rFonts w:ascii="Times New Roman" w:hAnsi="Times New Roman" w:cs="Times New Roman"/>
                <w:lang w:val="en-US"/>
              </w:rPr>
            </w:pPr>
            <w:r>
              <w:rPr>
                <w:rFonts w:ascii="Times New Roman" w:hAnsi="Times New Roman" w:cs="Times New Roman"/>
                <w:lang w:val="en-US"/>
              </w:rPr>
              <w:t>Parasocial relationships and purchase intention</w:t>
            </w:r>
          </w:p>
        </w:tc>
      </w:tr>
      <w:tr w14:paraId="785DC4EA">
        <w:tc>
          <w:tcPr>
            <w:tcW w:w="0" w:type="auto"/>
            <w:vAlign w:val="center"/>
          </w:tcPr>
          <w:p w14:paraId="18B11E48">
            <w:pPr>
              <w:spacing w:line="360" w:lineRule="auto"/>
              <w:jc w:val="both"/>
              <w:rPr>
                <w:rFonts w:ascii="Times New Roman" w:hAnsi="Times New Roman" w:cs="Times New Roman"/>
                <w:lang w:val="en-US"/>
              </w:rPr>
            </w:pPr>
            <w:r>
              <w:rPr>
                <w:rFonts w:ascii="Times New Roman" w:hAnsi="Times New Roman" w:cs="Times New Roman"/>
                <w:lang w:val="en-US"/>
              </w:rPr>
              <w:t>Lou and Yuan (2019)</w:t>
            </w:r>
          </w:p>
        </w:tc>
        <w:tc>
          <w:tcPr>
            <w:tcW w:w="0" w:type="auto"/>
            <w:vAlign w:val="center"/>
          </w:tcPr>
          <w:p w14:paraId="5DE369C6">
            <w:pPr>
              <w:spacing w:line="360" w:lineRule="auto"/>
              <w:jc w:val="both"/>
              <w:rPr>
                <w:rFonts w:ascii="Times New Roman" w:hAnsi="Times New Roman" w:cs="Times New Roman"/>
                <w:lang w:val="en-US"/>
              </w:rPr>
            </w:pPr>
            <w:r>
              <w:rPr>
                <w:rFonts w:ascii="Times New Roman" w:hAnsi="Times New Roman" w:cs="Times New Roman"/>
                <w:lang w:val="en-US"/>
              </w:rPr>
              <w:t>Credibility, trust and purchase intention</w:t>
            </w:r>
          </w:p>
        </w:tc>
      </w:tr>
      <w:tr w14:paraId="58D6B015">
        <w:tc>
          <w:tcPr>
            <w:tcW w:w="0" w:type="auto"/>
            <w:vAlign w:val="center"/>
          </w:tcPr>
          <w:p w14:paraId="40584C1B">
            <w:pPr>
              <w:spacing w:line="360" w:lineRule="auto"/>
              <w:jc w:val="both"/>
              <w:rPr>
                <w:rFonts w:ascii="Times New Roman" w:hAnsi="Times New Roman" w:cs="Times New Roman"/>
                <w:lang w:val="en-US"/>
              </w:rPr>
            </w:pPr>
            <w:r>
              <w:rPr>
                <w:rFonts w:ascii="Times New Roman" w:hAnsi="Times New Roman" w:cs="Times New Roman"/>
                <w:lang w:val="en-US"/>
              </w:rPr>
              <w:t>Mahn et al. (2026)</w:t>
            </w:r>
          </w:p>
        </w:tc>
        <w:tc>
          <w:tcPr>
            <w:tcW w:w="0" w:type="auto"/>
            <w:vAlign w:val="center"/>
          </w:tcPr>
          <w:p w14:paraId="166C6E78">
            <w:pPr>
              <w:spacing w:line="360" w:lineRule="auto"/>
              <w:jc w:val="both"/>
              <w:rPr>
                <w:rFonts w:ascii="Times New Roman" w:hAnsi="Times New Roman" w:cs="Times New Roman"/>
                <w:lang w:val="en-US"/>
              </w:rPr>
            </w:pPr>
            <w:r>
              <w:rPr>
                <w:rFonts w:ascii="Times New Roman" w:hAnsi="Times New Roman" w:cs="Times New Roman"/>
                <w:lang w:val="en-US"/>
              </w:rPr>
              <w:t>Fashion-haul purchase intention</w:t>
            </w:r>
          </w:p>
        </w:tc>
      </w:tr>
      <w:tr w14:paraId="0DFC92C3">
        <w:tc>
          <w:tcPr>
            <w:tcW w:w="0" w:type="auto"/>
            <w:vAlign w:val="center"/>
          </w:tcPr>
          <w:p w14:paraId="3F2E0233">
            <w:pPr>
              <w:spacing w:line="360" w:lineRule="auto"/>
              <w:jc w:val="both"/>
              <w:rPr>
                <w:rFonts w:ascii="Times New Roman" w:hAnsi="Times New Roman" w:cs="Times New Roman"/>
                <w:lang w:val="en-US"/>
              </w:rPr>
            </w:pPr>
            <w:r>
              <w:rPr>
                <w:rFonts w:ascii="Times New Roman" w:hAnsi="Times New Roman" w:cs="Times New Roman"/>
                <w:lang w:val="en-US"/>
              </w:rPr>
              <w:t>Reinikainen et al. (2020)</w:t>
            </w:r>
          </w:p>
        </w:tc>
        <w:tc>
          <w:tcPr>
            <w:tcW w:w="0" w:type="auto"/>
            <w:vAlign w:val="center"/>
          </w:tcPr>
          <w:p w14:paraId="63173FEF">
            <w:pPr>
              <w:spacing w:line="360" w:lineRule="auto"/>
              <w:jc w:val="both"/>
              <w:rPr>
                <w:rFonts w:ascii="Times New Roman" w:hAnsi="Times New Roman" w:cs="Times New Roman"/>
                <w:lang w:val="en-US"/>
              </w:rPr>
            </w:pPr>
            <w:r>
              <w:rPr>
                <w:rFonts w:ascii="Times New Roman" w:hAnsi="Times New Roman" w:cs="Times New Roman"/>
                <w:lang w:val="en-US"/>
              </w:rPr>
              <w:t>Parasocial relationships and credibility</w:t>
            </w:r>
          </w:p>
        </w:tc>
      </w:tr>
      <w:tr w14:paraId="062C1DB6">
        <w:tc>
          <w:tcPr>
            <w:tcW w:w="0" w:type="auto"/>
            <w:vAlign w:val="center"/>
          </w:tcPr>
          <w:p w14:paraId="2D96FBA3">
            <w:pPr>
              <w:spacing w:line="360" w:lineRule="auto"/>
              <w:jc w:val="both"/>
              <w:rPr>
                <w:rFonts w:ascii="Times New Roman" w:hAnsi="Times New Roman" w:cs="Times New Roman"/>
                <w:lang w:val="en-US"/>
              </w:rPr>
            </w:pPr>
            <w:r>
              <w:rPr>
                <w:rFonts w:ascii="Times New Roman" w:hAnsi="Times New Roman" w:cs="Times New Roman"/>
                <w:lang w:val="en-US"/>
              </w:rPr>
              <w:t>Sokolova and Kefi (2020)</w:t>
            </w:r>
          </w:p>
        </w:tc>
        <w:tc>
          <w:tcPr>
            <w:tcW w:w="0" w:type="auto"/>
            <w:vAlign w:val="center"/>
          </w:tcPr>
          <w:p w14:paraId="144069EB">
            <w:pPr>
              <w:keepNext/>
              <w:spacing w:line="360" w:lineRule="auto"/>
              <w:jc w:val="both"/>
              <w:rPr>
                <w:rFonts w:ascii="Times New Roman" w:hAnsi="Times New Roman" w:cs="Times New Roman"/>
                <w:lang w:val="en-US"/>
              </w:rPr>
            </w:pPr>
            <w:r>
              <w:rPr>
                <w:rFonts w:ascii="Times New Roman" w:hAnsi="Times New Roman" w:cs="Times New Roman"/>
                <w:lang w:val="en-US"/>
              </w:rPr>
              <w:t>Credibility, parasocial interaction and purchase intention</w:t>
            </w:r>
          </w:p>
        </w:tc>
      </w:tr>
    </w:tbl>
    <w:p w14:paraId="687D310A"/>
    <w:p w14:paraId="76E9B906">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Industry evidence was searched separately using WARC, Statista, McKinsey &amp; Company and The Business of Fashion. Search terms included “influencer marketing effectiveness”, “influencer ROI”, “UK influencer marketing”, “campaign measurement”, “fashion social media” and “fashion consumer behaviour”. Industry sources were included where they contained identifiable data, performance frameworks or relevant fashion-market evidence and excluded where they were purely promotional or lacked a transparent evidence base.</w:t>
      </w:r>
    </w:p>
    <w:tbl>
      <w:tblPr>
        <w:tblStyle w:val="23"/>
        <w:tblpPr w:leftFromText="180" w:rightFromText="180" w:vertAnchor="text" w:horzAnchor="page" w:tblpX="1453" w:tblpY="954"/>
        <w:tblOverlap w:val="never"/>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15" w:type="dxa"/>
          <w:left w:w="15" w:type="dxa"/>
          <w:bottom w:w="15" w:type="dxa"/>
          <w:right w:w="15" w:type="dxa"/>
        </w:tblCellMar>
      </w:tblPr>
      <w:tblGrid>
        <w:gridCol w:w="6652"/>
        <w:gridCol w:w="2738"/>
      </w:tblGrid>
      <w:tr w14:paraId="2031368A">
        <w:trPr>
          <w:tblHeader/>
        </w:trPr>
        <w:tc>
          <w:tcPr>
            <w:tcW w:w="0" w:type="auto"/>
            <w:vAlign w:val="center"/>
          </w:tcPr>
          <w:p w14:paraId="7F6C0859">
            <w:pPr>
              <w:spacing w:line="360" w:lineRule="auto"/>
              <w:jc w:val="both"/>
              <w:rPr>
                <w:rFonts w:ascii="Times New Roman" w:hAnsi="Times New Roman" w:cs="Times New Roman"/>
                <w:b/>
                <w:bCs/>
                <w:lang w:val="en-US"/>
              </w:rPr>
            </w:pPr>
            <w:r>
              <w:rPr>
                <w:rFonts w:ascii="Times New Roman" w:hAnsi="Times New Roman" w:cs="Times New Roman"/>
                <w:b/>
                <w:bCs/>
                <w:lang w:val="en-US"/>
              </w:rPr>
              <w:t>Industry source</w:t>
            </w:r>
          </w:p>
        </w:tc>
        <w:tc>
          <w:tcPr>
            <w:tcW w:w="0" w:type="auto"/>
            <w:vAlign w:val="center"/>
          </w:tcPr>
          <w:p w14:paraId="6E893132">
            <w:pPr>
              <w:spacing w:line="360" w:lineRule="auto"/>
              <w:jc w:val="both"/>
              <w:rPr>
                <w:rFonts w:ascii="Times New Roman" w:hAnsi="Times New Roman" w:cs="Times New Roman"/>
                <w:b/>
                <w:bCs/>
                <w:lang w:val="en-US"/>
              </w:rPr>
            </w:pPr>
            <w:r>
              <w:rPr>
                <w:rFonts w:ascii="Times New Roman" w:hAnsi="Times New Roman" w:cs="Times New Roman"/>
                <w:b/>
                <w:bCs/>
                <w:lang w:val="en-US"/>
              </w:rPr>
              <w:t>Principal relevance</w:t>
            </w:r>
          </w:p>
        </w:tc>
      </w:tr>
      <w:tr w14:paraId="07731B6A">
        <w:tc>
          <w:tcPr>
            <w:tcW w:w="0" w:type="auto"/>
            <w:vAlign w:val="center"/>
          </w:tcPr>
          <w:p w14:paraId="694F3584">
            <w:pPr>
              <w:spacing w:line="360" w:lineRule="auto"/>
              <w:jc w:val="both"/>
              <w:rPr>
                <w:rFonts w:ascii="Times New Roman" w:hAnsi="Times New Roman" w:cs="Times New Roman"/>
                <w:lang w:val="en-US"/>
              </w:rPr>
            </w:pPr>
            <w:r>
              <w:rPr>
                <w:rFonts w:ascii="Times New Roman" w:hAnsi="Times New Roman" w:cs="Times New Roman"/>
              </w:rPr>
              <w:t xml:space="preserve">Clapp, R. (2020) </w:t>
            </w:r>
            <w:r>
              <w:rPr>
                <w:rFonts w:ascii="Times New Roman" w:hAnsi="Times New Roman" w:cs="Times New Roman"/>
                <w:lang w:val="en-US"/>
              </w:rPr>
              <w:t>– consumer/influencer evidence</w:t>
            </w:r>
          </w:p>
        </w:tc>
        <w:tc>
          <w:tcPr>
            <w:tcW w:w="0" w:type="auto"/>
            <w:vAlign w:val="center"/>
          </w:tcPr>
          <w:p w14:paraId="1EC50590">
            <w:pPr>
              <w:spacing w:line="360" w:lineRule="auto"/>
              <w:jc w:val="both"/>
              <w:rPr>
                <w:rFonts w:ascii="Times New Roman" w:hAnsi="Times New Roman" w:cs="Times New Roman"/>
                <w:lang w:val="en-US"/>
              </w:rPr>
            </w:pPr>
            <w:r>
              <w:rPr>
                <w:rFonts w:ascii="Times New Roman" w:hAnsi="Times New Roman" w:cs="Times New Roman"/>
                <w:lang w:val="en-US"/>
              </w:rPr>
              <w:t>Relationship between endorsements and purchasing</w:t>
            </w:r>
          </w:p>
        </w:tc>
      </w:tr>
      <w:tr w14:paraId="40B77EA4">
        <w:tc>
          <w:tcPr>
            <w:tcW w:w="0" w:type="auto"/>
            <w:vAlign w:val="center"/>
          </w:tcPr>
          <w:p w14:paraId="65EF6A87">
            <w:pPr>
              <w:spacing w:line="360" w:lineRule="auto"/>
              <w:jc w:val="both"/>
              <w:rPr>
                <w:rFonts w:ascii="Times New Roman" w:hAnsi="Times New Roman" w:cs="Times New Roman"/>
                <w:lang w:val="en-US"/>
              </w:rPr>
            </w:pPr>
            <w:r>
              <w:rPr>
                <w:rFonts w:ascii="Times New Roman" w:hAnsi="Times New Roman" w:cs="Times New Roman"/>
              </w:rPr>
              <w:t xml:space="preserve">McKinsey &amp; Company and The Business of Fashion (2024), McKinsey &amp; Company and The Business of Fashion (2025) </w:t>
            </w:r>
            <w:r>
              <w:rPr>
                <w:rFonts w:ascii="Times New Roman" w:hAnsi="Times New Roman" w:cs="Times New Roman"/>
                <w:lang w:val="en-US"/>
              </w:rPr>
              <w:t xml:space="preserve">– </w:t>
            </w:r>
            <w:r>
              <w:rPr>
                <w:rFonts w:ascii="Times New Roman" w:hAnsi="Times New Roman" w:cs="Times New Roman"/>
                <w:i/>
                <w:iCs/>
                <w:lang w:val="en-US"/>
              </w:rPr>
              <w:t>State of Fashion</w:t>
            </w:r>
            <w:r>
              <w:rPr>
                <w:rFonts w:ascii="Times New Roman" w:hAnsi="Times New Roman" w:cs="Times New Roman"/>
                <w:lang w:val="en-US"/>
              </w:rPr>
              <w:t xml:space="preserve"> reports</w:t>
            </w:r>
          </w:p>
        </w:tc>
        <w:tc>
          <w:tcPr>
            <w:tcW w:w="0" w:type="auto"/>
            <w:vAlign w:val="center"/>
          </w:tcPr>
          <w:p w14:paraId="2CD69FA6">
            <w:pPr>
              <w:keepNext/>
              <w:spacing w:line="360" w:lineRule="auto"/>
              <w:jc w:val="both"/>
              <w:rPr>
                <w:rFonts w:ascii="Times New Roman" w:hAnsi="Times New Roman" w:cs="Times New Roman"/>
                <w:lang w:val="en-US"/>
              </w:rPr>
            </w:pPr>
            <w:r>
              <w:rPr>
                <w:rFonts w:ascii="Times New Roman" w:hAnsi="Times New Roman" w:cs="Times New Roman"/>
                <w:lang w:val="en-US"/>
              </w:rPr>
              <w:t>Fashion-market and consumer-behaviour context</w:t>
            </w:r>
          </w:p>
        </w:tc>
      </w:tr>
    </w:tbl>
    <w:p w14:paraId="5A824387">
      <w:pPr>
        <w:pStyle w:val="11"/>
        <w:rPr>
          <w:rFonts w:ascii="Times New Roman" w:hAnsi="Times New Roman" w:cs="Times New Roman"/>
          <w:color w:val="auto"/>
          <w:sz w:val="24"/>
          <w:szCs w:val="24"/>
        </w:rPr>
      </w:pPr>
      <w:bookmarkStart w:id="125" w:name="_Toc5994"/>
      <w:bookmarkStart w:id="126" w:name="_Toc240641722"/>
      <w:bookmarkStart w:id="127" w:name="_Toc19909"/>
      <w:r>
        <w:rPr>
          <w:rFonts w:ascii="Times New Roman" w:hAnsi="Times New Roman" w:cs="Times New Roman"/>
          <w:color w:val="auto"/>
          <w:sz w:val="24"/>
          <w:szCs w:val="24"/>
        </w:rPr>
        <w:t xml:space="preserve">Table </w:t>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SEQ Table \* ARABIC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2</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t>: Industry Sources Included in the Secondary Dataset and Their Principal Relevance to the Study</w:t>
      </w:r>
      <w:bookmarkEnd w:id="125"/>
      <w:bookmarkEnd w:id="126"/>
      <w:bookmarkEnd w:id="127"/>
    </w:p>
    <w:p w14:paraId="200889A4">
      <w:pPr>
        <w:keepNext w:val="0"/>
        <w:keepLines w:val="0"/>
        <w:pageBreakBefore w:val="0"/>
        <w:widowControl/>
        <w:kinsoku/>
        <w:wordWrap/>
        <w:overflowPunct/>
        <w:topLinePunct w:val="0"/>
        <w:autoSpaceDE/>
        <w:autoSpaceDN/>
        <w:bidi w:val="0"/>
        <w:adjustRightInd/>
        <w:snapToGrid/>
        <w:spacing w:after="0" w:line="480" w:lineRule="auto"/>
        <w:textAlignment w:val="auto"/>
        <w:rPr>
          <w:rFonts w:ascii="Times New Roman" w:hAnsi="Times New Roman" w:cs="Times New Roman"/>
        </w:rPr>
      </w:pPr>
    </w:p>
    <w:p w14:paraId="526565BD">
      <w:pPr>
        <w:pStyle w:val="3"/>
        <w:keepNext/>
        <w:keepLines/>
        <w:pageBreakBefore w:val="0"/>
        <w:widowControl/>
        <w:kinsoku/>
        <w:wordWrap/>
        <w:overflowPunct/>
        <w:topLinePunct w:val="0"/>
        <w:autoSpaceDE/>
        <w:autoSpaceDN/>
        <w:bidi w:val="0"/>
        <w:adjustRightInd/>
        <w:snapToGrid/>
        <w:spacing w:before="0" w:after="0" w:line="480" w:lineRule="auto"/>
        <w:jc w:val="both"/>
        <w:textAlignment w:val="auto"/>
        <w:rPr>
          <w:rFonts w:ascii="Times New Roman" w:hAnsi="Times New Roman" w:cs="Times New Roman"/>
          <w:b/>
          <w:bCs/>
          <w:color w:val="auto"/>
          <w:sz w:val="24"/>
          <w:szCs w:val="24"/>
          <w:lang w:val="en-US"/>
        </w:rPr>
      </w:pPr>
      <w:bookmarkStart w:id="128" w:name="_Toc6952"/>
      <w:bookmarkStart w:id="129" w:name="_Toc480"/>
      <w:bookmarkStart w:id="130" w:name="_Toc27106"/>
      <w:bookmarkStart w:id="131" w:name="_Toc28922"/>
      <w:bookmarkStart w:id="132" w:name="_Toc240993926"/>
      <w:bookmarkStart w:id="133" w:name="_Toc27726"/>
      <w:r>
        <w:rPr>
          <w:rFonts w:ascii="Times New Roman" w:hAnsi="Times New Roman" w:cs="Times New Roman"/>
          <w:b/>
          <w:bCs/>
          <w:color w:val="auto"/>
          <w:sz w:val="24"/>
          <w:szCs w:val="24"/>
          <w:lang w:val="en-US"/>
        </w:rPr>
        <w:t>3.4 Data Extraction and Quality Assessment</w:t>
      </w:r>
      <w:bookmarkEnd w:id="128"/>
      <w:bookmarkEnd w:id="129"/>
      <w:bookmarkEnd w:id="130"/>
      <w:bookmarkEnd w:id="131"/>
      <w:bookmarkEnd w:id="132"/>
      <w:bookmarkEnd w:id="133"/>
    </w:p>
    <w:p w14:paraId="16FCD962">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A structured evidence-extraction matrix was used to record author or organisation, year, geographical context, research design, sample where applicable, theoretical framework, variables, outcome measures, findings, limitations and relevance to the research questions.</w:t>
      </w:r>
    </w:p>
    <w:p w14:paraId="1AFED4A3">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7D2C3048">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Academic studies were assessed according to peer-review status, methodological transparency, sample appropriateness, clarity of measurement and consistency between findings and conclusions. Particular attention was given to whether studies measured purchase intention or actual behaviour.</w:t>
      </w:r>
    </w:p>
    <w:p w14:paraId="23453664">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Industry sources were assessed separately according to publisher credibility, transparency of data sources, methodological clarity, sample information, geographical relevance, recency, definition of performance indicators and potential commercial bias. Greater weight was given to reports that clearly explained their data and measurement procedures.</w:t>
      </w:r>
    </w:p>
    <w:p w14:paraId="773B9ADE">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31445419">
      <w:pPr>
        <w:pStyle w:val="3"/>
        <w:pageBreakBefore w:val="0"/>
        <w:widowControl/>
        <w:kinsoku/>
        <w:wordWrap/>
        <w:overflowPunct/>
        <w:topLinePunct w:val="0"/>
        <w:autoSpaceDE/>
        <w:autoSpaceDN/>
        <w:bidi w:val="0"/>
        <w:adjustRightInd/>
        <w:snapToGrid/>
        <w:spacing w:before="0" w:line="480" w:lineRule="auto"/>
        <w:jc w:val="both"/>
        <w:textAlignment w:val="auto"/>
        <w:rPr>
          <w:rFonts w:ascii="Times New Roman" w:hAnsi="Times New Roman" w:cs="Times New Roman"/>
          <w:b/>
          <w:bCs/>
          <w:color w:val="auto"/>
          <w:sz w:val="24"/>
          <w:szCs w:val="24"/>
          <w:lang w:val="en-US"/>
        </w:rPr>
      </w:pPr>
      <w:bookmarkStart w:id="134" w:name="_Toc13920"/>
      <w:bookmarkStart w:id="135" w:name="_Toc4238"/>
      <w:bookmarkStart w:id="136" w:name="_Toc3796"/>
      <w:bookmarkStart w:id="137" w:name="_Toc23197"/>
      <w:bookmarkStart w:id="138" w:name="_Toc240993927"/>
      <w:bookmarkStart w:id="139" w:name="_Toc9041"/>
      <w:r>
        <w:rPr>
          <w:rFonts w:ascii="Times New Roman" w:hAnsi="Times New Roman" w:cs="Times New Roman"/>
          <w:b/>
          <w:bCs/>
          <w:color w:val="auto"/>
          <w:sz w:val="24"/>
          <w:szCs w:val="24"/>
          <w:lang w:val="en-US"/>
        </w:rPr>
        <w:t>3.5 Data Analysis</w:t>
      </w:r>
      <w:bookmarkEnd w:id="134"/>
      <w:bookmarkEnd w:id="135"/>
      <w:bookmarkEnd w:id="136"/>
      <w:bookmarkEnd w:id="137"/>
      <w:bookmarkEnd w:id="138"/>
      <w:bookmarkEnd w:id="139"/>
    </w:p>
    <w:p w14:paraId="255B1EA5">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evidence was analysed using deductive thematic analysis and comparative content analysis. Six themes were applied: credibility and trust; authenticity; parasocial relationships and psychological mechanisms; sponsorship disclosure; engagement and campaign performance; and purchase intention, conversion and ROI-related evidence.</w:t>
      </w:r>
    </w:p>
    <w:p w14:paraId="3D19E465">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33B3786F">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Sources could contribute to more than one theme. Findings were compared to identify agreements, contradictions and contextual differences. Academic and industry evidence were also compared to determine whether effectiveness was defined and measured differently.</w:t>
      </w:r>
    </w:p>
    <w:p w14:paraId="6F398AC4">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072001A9">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Evidence was further classified according to the strongest outcome demonstrated: exposure, engagement, psychological response, purchase intention, behavioural outcome or financial outcome. This prevented early-stage measures such as followers or likes from being interpreted as direct evidence of purchasing or profitability.</w:t>
      </w:r>
    </w:p>
    <w:p w14:paraId="2693C176">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71EC60DF">
      <w:pPr>
        <w:pStyle w:val="3"/>
        <w:pageBreakBefore w:val="0"/>
        <w:widowControl/>
        <w:kinsoku/>
        <w:wordWrap/>
        <w:overflowPunct/>
        <w:topLinePunct w:val="0"/>
        <w:autoSpaceDE/>
        <w:autoSpaceDN/>
        <w:bidi w:val="0"/>
        <w:adjustRightInd/>
        <w:snapToGrid/>
        <w:spacing w:before="0" w:line="480" w:lineRule="auto"/>
        <w:jc w:val="both"/>
        <w:textAlignment w:val="auto"/>
        <w:rPr>
          <w:rFonts w:ascii="Times New Roman" w:hAnsi="Times New Roman" w:cs="Times New Roman"/>
          <w:b/>
          <w:bCs/>
          <w:color w:val="auto"/>
          <w:sz w:val="24"/>
          <w:szCs w:val="24"/>
          <w:lang w:val="en-US"/>
        </w:rPr>
      </w:pPr>
      <w:bookmarkStart w:id="140" w:name="_Toc17318"/>
      <w:bookmarkStart w:id="141" w:name="_Toc240993928"/>
      <w:bookmarkStart w:id="142" w:name="_Toc17692"/>
      <w:bookmarkStart w:id="143" w:name="_Toc3126"/>
      <w:bookmarkStart w:id="144" w:name="_Toc22962"/>
      <w:bookmarkStart w:id="145" w:name="_Toc43"/>
      <w:r>
        <w:rPr>
          <w:rFonts w:ascii="Times New Roman" w:hAnsi="Times New Roman" w:cs="Times New Roman"/>
          <w:b/>
          <w:bCs/>
          <w:color w:val="auto"/>
          <w:sz w:val="24"/>
          <w:szCs w:val="24"/>
          <w:lang w:val="en-US"/>
        </w:rPr>
        <w:t>3.6 Ethical Considerations, Trustworthiness and Limitations</w:t>
      </w:r>
      <w:bookmarkEnd w:id="140"/>
      <w:bookmarkEnd w:id="141"/>
      <w:bookmarkEnd w:id="142"/>
      <w:bookmarkEnd w:id="143"/>
      <w:bookmarkEnd w:id="144"/>
      <w:bookmarkEnd w:id="145"/>
    </w:p>
    <w:p w14:paraId="144D38DC">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Ethical risk was low because the study used published secondary evidence and involved no participants, personal data or special-category data. Ethical practice was maintained through accurate citation, avoidance of plagiarism, fair representation of evidence and respect for copyright.</w:t>
      </w:r>
    </w:p>
    <w:p w14:paraId="718B0E7C">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Trustworthiness was strengthened through consistent extraction, transparent coding and comparison across multiple academic and industry sources. Contradictory findings were retained and examined rather than excluded.</w:t>
      </w:r>
    </w:p>
    <w:p w14:paraId="6EA3A6A7">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7EB79E95">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Limitations included the focused 18-study academic corpus, differences in geographical context, platforms and methodologies, and the frequent reliance on self-reported purchase intention. Industry evidence could also contain commercial interests or incomplete methodological information. Finally, limited access to campaign expenditure, attributable sales and incremental profit restricted the extent to which complete financial ROI could be established. These limitations were considered throughout the interpretation of the findings.</w:t>
      </w:r>
    </w:p>
    <w:p w14:paraId="654BBDED">
      <w:pPr>
        <w:spacing w:line="360" w:lineRule="auto"/>
        <w:jc w:val="both"/>
        <w:rPr>
          <w:rFonts w:ascii="Times New Roman" w:hAnsi="Times New Roman" w:cs="Times New Roman"/>
        </w:rPr>
      </w:pPr>
    </w:p>
    <w:p w14:paraId="4CB5CD0C">
      <w:pPr>
        <w:spacing w:line="360" w:lineRule="auto"/>
        <w:jc w:val="both"/>
        <w:rPr>
          <w:rFonts w:ascii="Times New Roman" w:hAnsi="Times New Roman" w:cs="Times New Roman"/>
          <w:lang w:val="en-US"/>
        </w:rPr>
      </w:pPr>
    </w:p>
    <w:p w14:paraId="499047D8">
      <w:pPr>
        <w:spacing w:line="360" w:lineRule="auto"/>
        <w:jc w:val="both"/>
        <w:rPr>
          <w:rFonts w:ascii="Times New Roman" w:hAnsi="Times New Roman" w:cs="Times New Roman"/>
          <w:lang w:val="en-US"/>
        </w:rPr>
      </w:pPr>
    </w:p>
    <w:p w14:paraId="2A2D843A">
      <w:pPr>
        <w:rPr>
          <w:rFonts w:ascii="Times New Roman" w:hAnsi="Times New Roman" w:cs="Times New Roman"/>
          <w:b/>
          <w:bCs/>
          <w:color w:val="auto"/>
          <w:sz w:val="24"/>
          <w:szCs w:val="24"/>
          <w:lang w:val="en-US"/>
        </w:rPr>
      </w:pPr>
      <w:bookmarkStart w:id="146" w:name="_Toc240993929"/>
    </w:p>
    <w:p w14:paraId="1BA72F21">
      <w:pPr>
        <w:rPr>
          <w:rFonts w:ascii="Times New Roman" w:hAnsi="Times New Roman" w:cs="Times New Roman"/>
          <w:b/>
          <w:bCs/>
          <w:color w:val="auto"/>
          <w:sz w:val="24"/>
          <w:szCs w:val="24"/>
          <w:lang w:val="en-US"/>
        </w:rPr>
      </w:pPr>
    </w:p>
    <w:p w14:paraId="5735701B">
      <w:pPr>
        <w:rPr>
          <w:rFonts w:ascii="Times New Roman" w:hAnsi="Times New Roman" w:cs="Times New Roman"/>
          <w:b/>
          <w:bCs/>
          <w:color w:val="auto"/>
          <w:sz w:val="24"/>
          <w:szCs w:val="24"/>
          <w:lang w:val="en-US"/>
        </w:rPr>
      </w:pPr>
    </w:p>
    <w:p w14:paraId="633303FF">
      <w:pPr>
        <w:rPr>
          <w:rFonts w:ascii="Times New Roman" w:hAnsi="Times New Roman" w:cs="Times New Roman"/>
          <w:b/>
          <w:bCs/>
          <w:color w:val="auto"/>
          <w:sz w:val="24"/>
          <w:szCs w:val="24"/>
          <w:lang w:val="en-US"/>
        </w:rPr>
      </w:pPr>
    </w:p>
    <w:p w14:paraId="016EF53D">
      <w:pPr>
        <w:rPr>
          <w:rFonts w:ascii="Times New Roman" w:hAnsi="Times New Roman" w:cs="Times New Roman"/>
          <w:b/>
          <w:bCs/>
          <w:color w:val="auto"/>
          <w:sz w:val="24"/>
          <w:szCs w:val="24"/>
          <w:lang w:val="en-US"/>
        </w:rPr>
      </w:pPr>
    </w:p>
    <w:p w14:paraId="6F8CE95C">
      <w:pPr>
        <w:rPr>
          <w:rFonts w:ascii="Times New Roman" w:hAnsi="Times New Roman" w:cs="Times New Roman"/>
          <w:b/>
          <w:bCs/>
          <w:color w:val="auto"/>
          <w:sz w:val="24"/>
          <w:szCs w:val="24"/>
          <w:lang w:val="en-US"/>
        </w:rPr>
      </w:pPr>
    </w:p>
    <w:p w14:paraId="5B898F43">
      <w:pPr>
        <w:rPr>
          <w:rFonts w:ascii="Times New Roman" w:hAnsi="Times New Roman" w:cs="Times New Roman"/>
          <w:b/>
          <w:bCs/>
          <w:color w:val="auto"/>
          <w:sz w:val="24"/>
          <w:szCs w:val="24"/>
          <w:lang w:val="en-US"/>
        </w:rPr>
      </w:pPr>
    </w:p>
    <w:p w14:paraId="6FB76F6E">
      <w:pPr>
        <w:rPr>
          <w:rFonts w:ascii="Times New Roman" w:hAnsi="Times New Roman" w:cs="Times New Roman"/>
          <w:b/>
          <w:bCs/>
          <w:color w:val="auto"/>
          <w:sz w:val="24"/>
          <w:szCs w:val="24"/>
          <w:lang w:val="en-US"/>
        </w:rPr>
      </w:pPr>
    </w:p>
    <w:p w14:paraId="51A54EAF">
      <w:pPr>
        <w:rPr>
          <w:rFonts w:ascii="Times New Roman" w:hAnsi="Times New Roman" w:cs="Times New Roman"/>
          <w:b/>
          <w:bCs/>
          <w:color w:val="auto"/>
          <w:sz w:val="24"/>
          <w:szCs w:val="24"/>
          <w:lang w:val="en-US"/>
        </w:rPr>
      </w:pPr>
    </w:p>
    <w:p w14:paraId="5195142E">
      <w:pPr>
        <w:rPr>
          <w:rFonts w:ascii="Times New Roman" w:hAnsi="Times New Roman" w:cs="Times New Roman"/>
          <w:b/>
          <w:bCs/>
          <w:color w:val="auto"/>
          <w:sz w:val="24"/>
          <w:szCs w:val="24"/>
          <w:lang w:val="en-US"/>
        </w:rPr>
      </w:pPr>
    </w:p>
    <w:p w14:paraId="710F679B">
      <w:pPr>
        <w:rPr>
          <w:rFonts w:ascii="Times New Roman" w:hAnsi="Times New Roman" w:cs="Times New Roman"/>
          <w:b/>
          <w:bCs/>
          <w:color w:val="auto"/>
          <w:sz w:val="24"/>
          <w:szCs w:val="24"/>
          <w:lang w:val="en-US"/>
        </w:rPr>
      </w:pPr>
    </w:p>
    <w:p w14:paraId="09EEC0EF">
      <w:pPr>
        <w:rPr>
          <w:rFonts w:ascii="Times New Roman" w:hAnsi="Times New Roman" w:cs="Times New Roman"/>
          <w:b/>
          <w:bCs/>
          <w:color w:val="auto"/>
          <w:sz w:val="24"/>
          <w:szCs w:val="24"/>
          <w:lang w:val="en-US"/>
        </w:rPr>
      </w:pPr>
    </w:p>
    <w:p w14:paraId="194C1F81">
      <w:pPr>
        <w:pStyle w:val="2"/>
        <w:keepNext/>
        <w:keepLines/>
        <w:pageBreakBefore w:val="0"/>
        <w:widowControl/>
        <w:kinsoku/>
        <w:wordWrap/>
        <w:overflowPunct/>
        <w:topLinePunct w:val="0"/>
        <w:autoSpaceDE/>
        <w:autoSpaceDN/>
        <w:bidi w:val="0"/>
        <w:adjustRightInd/>
        <w:snapToGrid/>
        <w:spacing w:before="0" w:after="0" w:line="480" w:lineRule="auto"/>
        <w:textAlignment w:val="auto"/>
        <w:rPr>
          <w:rFonts w:hint="default" w:ascii="Times New Roman" w:hAnsi="Times New Roman" w:cs="Times New Roman"/>
          <w:b/>
          <w:bCs/>
          <w:color w:val="000000" w:themeColor="text1"/>
          <w:sz w:val="24"/>
          <w:szCs w:val="24"/>
          <w:lang w:val="en-US" w:eastAsia="zh-CN"/>
          <w14:textFill>
            <w14:solidFill>
              <w14:schemeClr w14:val="tx1"/>
            </w14:solidFill>
          </w14:textFill>
        </w:rPr>
      </w:pPr>
      <w:bookmarkStart w:id="147" w:name="_Toc19149"/>
      <w:bookmarkStart w:id="148" w:name="_Toc32328"/>
      <w:r>
        <w:rPr>
          <w:rFonts w:hint="default" w:ascii="Times New Roman" w:hAnsi="Times New Roman" w:cs="Times New Roman"/>
          <w:b/>
          <w:bCs/>
          <w:color w:val="000000" w:themeColor="text1"/>
          <w:sz w:val="24"/>
          <w:szCs w:val="24"/>
          <w:lang w:val="en-US" w:eastAsia="zh-CN"/>
          <w14:textFill>
            <w14:solidFill>
              <w14:schemeClr w14:val="tx1"/>
            </w14:solidFill>
          </w14:textFill>
        </w:rPr>
        <w:t>4.0 DATA ANALYSIS</w:t>
      </w:r>
      <w:bookmarkEnd w:id="146"/>
      <w:bookmarkEnd w:id="147"/>
      <w:bookmarkEnd w:id="148"/>
    </w:p>
    <w:p w14:paraId="18614832">
      <w:pPr>
        <w:pStyle w:val="3"/>
        <w:keepNext/>
        <w:keepLines/>
        <w:pageBreakBefore w:val="0"/>
        <w:widowControl/>
        <w:kinsoku/>
        <w:wordWrap/>
        <w:overflowPunct/>
        <w:topLinePunct w:val="0"/>
        <w:autoSpaceDE/>
        <w:autoSpaceDN/>
        <w:bidi w:val="0"/>
        <w:adjustRightInd/>
        <w:snapToGrid/>
        <w:spacing w:before="0" w:after="0" w:line="480" w:lineRule="auto"/>
        <w:textAlignment w:val="auto"/>
        <w:rPr>
          <w:rFonts w:ascii="Times New Roman" w:hAnsi="Times New Roman" w:cs="Times New Roman"/>
          <w:b/>
          <w:bCs/>
          <w:color w:val="auto"/>
          <w:sz w:val="24"/>
          <w:szCs w:val="24"/>
          <w:lang w:val="en-US"/>
        </w:rPr>
      </w:pPr>
      <w:bookmarkStart w:id="149" w:name="_Toc27339"/>
      <w:bookmarkStart w:id="150" w:name="_Toc19466"/>
      <w:bookmarkStart w:id="151" w:name="_Toc1752"/>
      <w:bookmarkStart w:id="152" w:name="_Toc13608"/>
      <w:bookmarkStart w:id="153" w:name="_Toc22853"/>
      <w:bookmarkStart w:id="154" w:name="_Toc240993930"/>
      <w:r>
        <w:rPr>
          <w:rFonts w:ascii="Times New Roman" w:hAnsi="Times New Roman" w:cs="Times New Roman"/>
          <w:b/>
          <w:bCs/>
          <w:color w:val="auto"/>
          <w:sz w:val="24"/>
          <w:szCs w:val="24"/>
          <w:lang w:val="en-US"/>
        </w:rPr>
        <w:t>4.1 Introduction</w:t>
      </w:r>
      <w:bookmarkEnd w:id="149"/>
      <w:bookmarkEnd w:id="150"/>
      <w:bookmarkEnd w:id="151"/>
      <w:bookmarkEnd w:id="152"/>
      <w:bookmarkEnd w:id="153"/>
      <w:bookmarkEnd w:id="154"/>
    </w:p>
    <w:p w14:paraId="671B5FB5">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This chapter presents the findings generated from the secondary analysis of the 18 peer-reviewed studies constituting the academic evidence base. In accordance with the analytical procedure established in the methodology, the evidence was subjected to deductive thematic analysis and comparative content analysis. The findings are organised around six analytical themes: credibility, trust and expertise; authenticity and product-influencer congruence; parasocial relationships and related psychological mechanisms; sponsorship disclosure; engagement and campaign performance; and purchase intention, conversion and return-on-investment-related outcomes. The purpose of this chapter is confined to the presentation and synthesis of the extracted evidence. Interpretation against the theoretical framework, implications for practice and wider discussion are reserved for the subsequent discussion chapter.</w:t>
      </w:r>
    </w:p>
    <w:p w14:paraId="073AA80D">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20338FC7">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corpus contained considerable methodological and contextual diversity. Individual studies examined different platforms, influencer categories, consumer populations and outcome variables, while several studies contributed findings to more than one thematic category. Purchase intention constituted the most frequently reported lower-funnel consumer outcome, whereas actual purchase, attributable sales and profit-based return on investment were considerably less prevalent. Accordingly, the results are presented according to the outcome actually demonstrated by each study rather than assuming equivalence between exposure, engagement, psychological response, purchase intention, behaviour and financial performance.</w:t>
      </w:r>
    </w:p>
    <w:tbl>
      <w:tblPr>
        <w:tblStyle w:val="23"/>
        <w:tblpPr w:leftFromText="180" w:rightFromText="180" w:vertAnchor="text" w:horzAnchor="page" w:tblpX="1444" w:tblpY="1310"/>
        <w:tblOverlap w:val="never"/>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15" w:type="dxa"/>
          <w:left w:w="15" w:type="dxa"/>
          <w:bottom w:w="15" w:type="dxa"/>
          <w:right w:w="15" w:type="dxa"/>
        </w:tblCellMar>
      </w:tblPr>
      <w:tblGrid>
        <w:gridCol w:w="2812"/>
        <w:gridCol w:w="6578"/>
      </w:tblGrid>
      <w:tr w14:paraId="1B4E2E62">
        <w:trPr>
          <w:tblHeader/>
        </w:trPr>
        <w:tc>
          <w:tcPr>
            <w:tcW w:w="0" w:type="auto"/>
            <w:vAlign w:val="center"/>
          </w:tcPr>
          <w:p w14:paraId="523B21FB">
            <w:pPr>
              <w:spacing w:line="360" w:lineRule="auto"/>
              <w:jc w:val="both"/>
              <w:rPr>
                <w:rFonts w:ascii="Times New Roman" w:hAnsi="Times New Roman" w:cs="Times New Roman"/>
                <w:b/>
                <w:bCs/>
                <w:lang w:val="en-US"/>
              </w:rPr>
            </w:pPr>
            <w:r>
              <w:rPr>
                <w:rFonts w:ascii="Times New Roman" w:hAnsi="Times New Roman" w:cs="Times New Roman"/>
                <w:b/>
                <w:bCs/>
                <w:lang w:val="en-US"/>
              </w:rPr>
              <w:t>Theme</w:t>
            </w:r>
          </w:p>
        </w:tc>
        <w:tc>
          <w:tcPr>
            <w:tcW w:w="0" w:type="auto"/>
            <w:vAlign w:val="center"/>
          </w:tcPr>
          <w:p w14:paraId="4AC62EFF">
            <w:pPr>
              <w:spacing w:line="360" w:lineRule="auto"/>
              <w:jc w:val="both"/>
              <w:rPr>
                <w:rFonts w:ascii="Times New Roman" w:hAnsi="Times New Roman" w:cs="Times New Roman"/>
                <w:b/>
                <w:bCs/>
                <w:lang w:val="en-US"/>
              </w:rPr>
            </w:pPr>
            <w:r>
              <w:rPr>
                <w:rFonts w:ascii="Times New Roman" w:hAnsi="Times New Roman" w:cs="Times New Roman"/>
                <w:b/>
                <w:bCs/>
                <w:lang w:val="en-US"/>
              </w:rPr>
              <w:t>Principal finding</w:t>
            </w:r>
          </w:p>
        </w:tc>
      </w:tr>
      <w:tr w14:paraId="6747A4C1">
        <w:tc>
          <w:tcPr>
            <w:tcW w:w="0" w:type="auto"/>
            <w:vAlign w:val="center"/>
          </w:tcPr>
          <w:p w14:paraId="1FA0C9CF">
            <w:pPr>
              <w:spacing w:line="360" w:lineRule="auto"/>
              <w:jc w:val="both"/>
              <w:rPr>
                <w:rFonts w:ascii="Times New Roman" w:hAnsi="Times New Roman" w:cs="Times New Roman"/>
                <w:lang w:val="en-US"/>
              </w:rPr>
            </w:pPr>
            <w:r>
              <w:rPr>
                <w:rFonts w:ascii="Times New Roman" w:hAnsi="Times New Roman" w:cs="Times New Roman"/>
                <w:lang w:val="en-US"/>
              </w:rPr>
              <w:t>Credibility, trust and expertise</w:t>
            </w:r>
          </w:p>
        </w:tc>
        <w:tc>
          <w:tcPr>
            <w:tcW w:w="0" w:type="auto"/>
            <w:vAlign w:val="center"/>
          </w:tcPr>
          <w:p w14:paraId="69152CA3">
            <w:pPr>
              <w:spacing w:line="360" w:lineRule="auto"/>
              <w:jc w:val="both"/>
              <w:rPr>
                <w:rFonts w:ascii="Times New Roman" w:hAnsi="Times New Roman" w:cs="Times New Roman"/>
                <w:lang w:val="en-US"/>
              </w:rPr>
            </w:pPr>
            <w:r>
              <w:rPr>
                <w:rFonts w:ascii="Times New Roman" w:hAnsi="Times New Roman" w:cs="Times New Roman"/>
                <w:lang w:val="en-US"/>
              </w:rPr>
              <w:t>Credibility and trust were repeatedly associated with favourable consumer responses and purchase intention, although direct expertise effects were less consistent</w:t>
            </w:r>
          </w:p>
        </w:tc>
      </w:tr>
      <w:tr w14:paraId="1CAFCFCC">
        <w:tc>
          <w:tcPr>
            <w:tcW w:w="0" w:type="auto"/>
            <w:vAlign w:val="center"/>
          </w:tcPr>
          <w:p w14:paraId="5AB3BA26">
            <w:pPr>
              <w:spacing w:line="360" w:lineRule="auto"/>
              <w:jc w:val="both"/>
              <w:rPr>
                <w:rFonts w:ascii="Times New Roman" w:hAnsi="Times New Roman" w:cs="Times New Roman"/>
                <w:lang w:val="en-US"/>
              </w:rPr>
            </w:pPr>
            <w:r>
              <w:rPr>
                <w:rFonts w:ascii="Times New Roman" w:hAnsi="Times New Roman" w:cs="Times New Roman"/>
                <w:lang w:val="en-US"/>
              </w:rPr>
              <w:t>Authenticity and product-influencer congruence</w:t>
            </w:r>
          </w:p>
        </w:tc>
        <w:tc>
          <w:tcPr>
            <w:tcW w:w="0" w:type="auto"/>
            <w:vAlign w:val="center"/>
          </w:tcPr>
          <w:p w14:paraId="677800F8">
            <w:pPr>
              <w:spacing w:line="360" w:lineRule="auto"/>
              <w:jc w:val="both"/>
              <w:rPr>
                <w:rFonts w:ascii="Times New Roman" w:hAnsi="Times New Roman" w:cs="Times New Roman"/>
                <w:lang w:val="en-US"/>
              </w:rPr>
            </w:pPr>
            <w:r>
              <w:rPr>
                <w:rFonts w:ascii="Times New Roman" w:hAnsi="Times New Roman" w:cs="Times New Roman"/>
                <w:lang w:val="en-US"/>
              </w:rPr>
              <w:t>Authenticity and congruence were associated with favourable relational and attitudinal outcomes, but direct purchase-intention effects were inconsistent</w:t>
            </w:r>
          </w:p>
        </w:tc>
      </w:tr>
      <w:tr w14:paraId="743B86ED">
        <w:tc>
          <w:tcPr>
            <w:tcW w:w="0" w:type="auto"/>
            <w:vAlign w:val="center"/>
          </w:tcPr>
          <w:p w14:paraId="266F7F86">
            <w:pPr>
              <w:spacing w:line="360" w:lineRule="auto"/>
              <w:jc w:val="both"/>
              <w:rPr>
                <w:rFonts w:ascii="Times New Roman" w:hAnsi="Times New Roman" w:cs="Times New Roman"/>
                <w:lang w:val="en-US"/>
              </w:rPr>
            </w:pPr>
            <w:r>
              <w:rPr>
                <w:rFonts w:ascii="Times New Roman" w:hAnsi="Times New Roman" w:cs="Times New Roman"/>
                <w:lang w:val="en-US"/>
              </w:rPr>
              <w:t>Parasocial relationships and psychological mechanisms</w:t>
            </w:r>
          </w:p>
        </w:tc>
        <w:tc>
          <w:tcPr>
            <w:tcW w:w="0" w:type="auto"/>
            <w:vAlign w:val="center"/>
          </w:tcPr>
          <w:p w14:paraId="144B159F">
            <w:pPr>
              <w:spacing w:line="360" w:lineRule="auto"/>
              <w:jc w:val="both"/>
              <w:rPr>
                <w:rFonts w:ascii="Times New Roman" w:hAnsi="Times New Roman" w:cs="Times New Roman"/>
                <w:lang w:val="en-US"/>
              </w:rPr>
            </w:pPr>
            <w:r>
              <w:rPr>
                <w:rFonts w:ascii="Times New Roman" w:hAnsi="Times New Roman" w:cs="Times New Roman"/>
                <w:lang w:val="en-US"/>
              </w:rPr>
              <w:t>Parasocial relationships, attachment, flow and related psychological responses were repeatedly associated with purchase intention</w:t>
            </w:r>
          </w:p>
        </w:tc>
      </w:tr>
      <w:tr w14:paraId="3AE3C30D">
        <w:tc>
          <w:tcPr>
            <w:tcW w:w="0" w:type="auto"/>
            <w:vAlign w:val="center"/>
          </w:tcPr>
          <w:p w14:paraId="217B2C0A">
            <w:pPr>
              <w:spacing w:line="360" w:lineRule="auto"/>
              <w:jc w:val="both"/>
              <w:rPr>
                <w:rFonts w:ascii="Times New Roman" w:hAnsi="Times New Roman" w:cs="Times New Roman"/>
                <w:lang w:val="en-US"/>
              </w:rPr>
            </w:pPr>
            <w:r>
              <w:rPr>
                <w:rFonts w:ascii="Times New Roman" w:hAnsi="Times New Roman" w:cs="Times New Roman"/>
                <w:lang w:val="en-US"/>
              </w:rPr>
              <w:t>Sponsorship disclosure</w:t>
            </w:r>
          </w:p>
        </w:tc>
        <w:tc>
          <w:tcPr>
            <w:tcW w:w="0" w:type="auto"/>
            <w:vAlign w:val="center"/>
          </w:tcPr>
          <w:p w14:paraId="5D2A6C77">
            <w:pPr>
              <w:spacing w:line="360" w:lineRule="auto"/>
              <w:jc w:val="both"/>
              <w:rPr>
                <w:rFonts w:ascii="Times New Roman" w:hAnsi="Times New Roman" w:cs="Times New Roman"/>
                <w:lang w:val="en-US"/>
              </w:rPr>
            </w:pPr>
            <w:r>
              <w:rPr>
                <w:rFonts w:ascii="Times New Roman" w:hAnsi="Times New Roman" w:cs="Times New Roman"/>
                <w:lang w:val="en-US"/>
              </w:rPr>
              <w:t>Disclosure consistently increased advertising recognition, but subsequent effects on attitudes, engagement and purchase intention varied</w:t>
            </w:r>
          </w:p>
        </w:tc>
      </w:tr>
      <w:tr w14:paraId="34E58C64">
        <w:tc>
          <w:tcPr>
            <w:tcW w:w="0" w:type="auto"/>
            <w:vAlign w:val="center"/>
          </w:tcPr>
          <w:p w14:paraId="0800E2B0">
            <w:pPr>
              <w:spacing w:line="360" w:lineRule="auto"/>
              <w:jc w:val="both"/>
              <w:rPr>
                <w:rFonts w:ascii="Times New Roman" w:hAnsi="Times New Roman" w:cs="Times New Roman"/>
                <w:lang w:val="en-US"/>
              </w:rPr>
            </w:pPr>
            <w:r>
              <w:rPr>
                <w:rFonts w:ascii="Times New Roman" w:hAnsi="Times New Roman" w:cs="Times New Roman"/>
                <w:lang w:val="en-US"/>
              </w:rPr>
              <w:t>Engagement and campaign performance</w:t>
            </w:r>
          </w:p>
        </w:tc>
        <w:tc>
          <w:tcPr>
            <w:tcW w:w="0" w:type="auto"/>
            <w:vAlign w:val="center"/>
          </w:tcPr>
          <w:p w14:paraId="0C31D6EB">
            <w:pPr>
              <w:spacing w:line="360" w:lineRule="auto"/>
              <w:jc w:val="both"/>
              <w:rPr>
                <w:rFonts w:ascii="Times New Roman" w:hAnsi="Times New Roman" w:cs="Times New Roman"/>
                <w:lang w:val="en-US"/>
              </w:rPr>
            </w:pPr>
            <w:r>
              <w:rPr>
                <w:rFonts w:ascii="Times New Roman" w:hAnsi="Times New Roman" w:cs="Times New Roman"/>
                <w:lang w:val="en-US"/>
              </w:rPr>
              <w:t>Engagement was influenced by platform, campaign objective, content characteristics, expenditure and influencer characteristics</w:t>
            </w:r>
          </w:p>
        </w:tc>
      </w:tr>
      <w:tr w14:paraId="4CBC1179">
        <w:tc>
          <w:tcPr>
            <w:tcW w:w="0" w:type="auto"/>
            <w:vAlign w:val="center"/>
          </w:tcPr>
          <w:p w14:paraId="4BB68601">
            <w:pPr>
              <w:spacing w:line="360" w:lineRule="auto"/>
              <w:jc w:val="both"/>
              <w:rPr>
                <w:rFonts w:ascii="Times New Roman" w:hAnsi="Times New Roman" w:cs="Times New Roman"/>
                <w:lang w:val="en-US"/>
              </w:rPr>
            </w:pPr>
            <w:r>
              <w:rPr>
                <w:rFonts w:ascii="Times New Roman" w:hAnsi="Times New Roman" w:cs="Times New Roman"/>
                <w:lang w:val="en-US"/>
              </w:rPr>
              <w:t>Purchase intention, conversion and ROI</w:t>
            </w:r>
          </w:p>
        </w:tc>
        <w:tc>
          <w:tcPr>
            <w:tcW w:w="0" w:type="auto"/>
            <w:vAlign w:val="center"/>
          </w:tcPr>
          <w:p w14:paraId="3C8C668E">
            <w:pPr>
              <w:keepNext/>
              <w:spacing w:line="360" w:lineRule="auto"/>
              <w:jc w:val="both"/>
              <w:rPr>
                <w:rFonts w:ascii="Times New Roman" w:hAnsi="Times New Roman" w:cs="Times New Roman"/>
                <w:lang w:val="en-US"/>
              </w:rPr>
            </w:pPr>
            <w:r>
              <w:rPr>
                <w:rFonts w:ascii="Times New Roman" w:hAnsi="Times New Roman" w:cs="Times New Roman"/>
                <w:lang w:val="en-US"/>
              </w:rPr>
              <w:t>Purchase intention was strongly represented; verified purchase, attributable sales and profit-based ROI were weakly represented</w:t>
            </w:r>
          </w:p>
        </w:tc>
      </w:tr>
    </w:tbl>
    <w:p w14:paraId="3527CF2D">
      <w:pPr>
        <w:spacing w:line="360" w:lineRule="auto"/>
        <w:jc w:val="both"/>
        <w:rPr>
          <w:rFonts w:ascii="Times New Roman" w:hAnsi="Times New Roman" w:cs="Times New Roman"/>
          <w:b/>
          <w:bCs/>
          <w:lang w:val="en-US"/>
        </w:rPr>
      </w:pPr>
    </w:p>
    <w:p w14:paraId="0C452584">
      <w:pPr>
        <w:pStyle w:val="11"/>
        <w:rPr>
          <w:rFonts w:ascii="Times New Roman" w:hAnsi="Times New Roman" w:cs="Times New Roman"/>
          <w:sz w:val="24"/>
          <w:szCs w:val="24"/>
        </w:rPr>
      </w:pPr>
      <w:bookmarkStart w:id="155" w:name="_Toc23498"/>
      <w:bookmarkStart w:id="156" w:name="_Toc31430"/>
      <w:bookmarkStart w:id="157" w:name="_Toc240641723"/>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t>: Overall pattern of findings across the six themes</w:t>
      </w:r>
      <w:bookmarkEnd w:id="155"/>
      <w:bookmarkEnd w:id="156"/>
      <w:bookmarkEnd w:id="157"/>
    </w:p>
    <w:p w14:paraId="2EFC2422"/>
    <w:p w14:paraId="48521AEF">
      <w:pPr>
        <w:pStyle w:val="3"/>
        <w:keepNext/>
        <w:keepLines/>
        <w:pageBreakBefore w:val="0"/>
        <w:widowControl/>
        <w:kinsoku/>
        <w:wordWrap/>
        <w:overflowPunct/>
        <w:topLinePunct w:val="0"/>
        <w:autoSpaceDE/>
        <w:autoSpaceDN/>
        <w:bidi w:val="0"/>
        <w:adjustRightInd/>
        <w:snapToGrid/>
        <w:spacing w:before="0" w:after="0" w:line="480" w:lineRule="auto"/>
        <w:textAlignment w:val="auto"/>
        <w:rPr>
          <w:rFonts w:ascii="Times New Roman" w:hAnsi="Times New Roman" w:cs="Times New Roman"/>
          <w:b/>
          <w:bCs/>
          <w:color w:val="auto"/>
          <w:sz w:val="24"/>
          <w:szCs w:val="24"/>
          <w:lang w:val="en-US"/>
        </w:rPr>
      </w:pPr>
      <w:bookmarkStart w:id="158" w:name="_Toc14225"/>
      <w:bookmarkStart w:id="159" w:name="_Toc29135"/>
      <w:bookmarkStart w:id="160" w:name="_Toc24593"/>
      <w:bookmarkStart w:id="161" w:name="_Toc18647"/>
      <w:bookmarkStart w:id="162" w:name="_Toc5017"/>
      <w:bookmarkStart w:id="163" w:name="_Toc240993931"/>
      <w:r>
        <w:rPr>
          <w:rFonts w:ascii="Times New Roman" w:hAnsi="Times New Roman" w:cs="Times New Roman"/>
          <w:b/>
          <w:bCs/>
          <w:color w:val="auto"/>
          <w:sz w:val="24"/>
          <w:szCs w:val="24"/>
          <w:lang w:val="en-US"/>
        </w:rPr>
        <w:t>4.2 Credibility, Trust and Expertise</w:t>
      </w:r>
      <w:bookmarkEnd w:id="158"/>
      <w:bookmarkEnd w:id="159"/>
      <w:bookmarkEnd w:id="160"/>
      <w:bookmarkEnd w:id="161"/>
      <w:bookmarkEnd w:id="162"/>
      <w:bookmarkEnd w:id="163"/>
    </w:p>
    <w:p w14:paraId="19CF71D5">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impact of credibility, trust and expertise on consumer purchase intention is indirect, but they do play a role in how consumers assess the recommendations of the influencers. According to Source Credibility Theory, consumers are more likely to accept persuasive messages when the communicator is credible in terms of expertise and trustworthiness (Hovland &amp; Weiss, 1951). Ohanian (1990) expanded this model to include expertise, trustworthiness and attractiveness as important dimensions of source credibility. This theory in influencer marketing indicates that the consumer not only considers the product recommendation but also whether the influencer is knowledgeable and reliable.</w:t>
      </w:r>
    </w:p>
    <w:p w14:paraId="0AB0D3BB">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57681116">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results of the fashion influencer study indicated that credibility influences purchase intention primarily via consumer attitudes towards the fashion influencer and the brand. Chetioui et al. (2020) revealed that perceived credibility had a significant impact on attitudes towards fashion influencers (β = .265), with trust (β = .183), expertise (β = .248) and congruence (β = .145) also having positive impacts. The study also revealed that attitude towards the influencer was a significant predictor of purchase intention (β = .288) and brand attitude was a significant predictor of purchase intention (β = .412). The model accounted for 40.6% of the variance in purchase intention (Chetioui et al., 2020). These results corroborate Source Credibility Theory as credibility influences persuasion, but also indicate that credibility works through attitudes, not directly leading to purchase behaviour.</w:t>
      </w:r>
    </w:p>
    <w:p w14:paraId="4E645946">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Trust seems to be more powerful than expertise as consumers take into account the trust in the recommendation when assessing content from influencers. Lou and Yuan (2019) discovered that informative value and trustworthiness positively influenced the trust of branded influencer content. They also discovered that trust in branded content had a positive impact on purchase intention (Lou &amp; Yuan, 2019). This discovery indicates that consumers might be more receptive to communication that is reliable and valuable than to expertise alone. Thus, the effectiveness of the influencer is not only on the consumer's perception of the influencer's knowledge, but also on the consumer's interpretation of the message.</w:t>
      </w:r>
    </w:p>
    <w:p w14:paraId="48B1137B">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1C0B3347">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However, expertise is not always a good predictor of purchase intention, suggesting that there are other relational and content factors that influence the credibility of influencers. Gomes et al. (2022) revealed that content quality and parasocial interaction had a positive impact on purchase intention among fashion consumers, whereas the direct impacts of trustworthiness and expertise were inconsistent. This finding indicates that expertise can lead to credibility but consumers need to see some content and some connection to this credibility to impact purchase intention. These findings are more aligned with Parasocial Interaction Theory as they show that the persuasion of influencers is a relationship as well as an information processing (Horton &amp; Wohl, 1956).</w:t>
      </w:r>
    </w:p>
    <w:p w14:paraId="60A877CE">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3F7AD3E9">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Parasocial relationships enhance the relationship between influencer credibility and consumer purchase intention because they make audiences feel closer to the influencers. Reinikainen et al. (2020) discovered that parasocial relationships led to the perception of influencer credibility, which in turn led to brand trust and purchase intention. Sokolova and Kefi (2020) also revealed that both influencer credibility and parasocial interaction had positive effects on purchase intention, with .164 and .118 respectively. This is in line with Parasocial Interaction Theory, as consumers consider recommendations based on the perceived relationships with influencers as well as on the characteristics of the message.</w:t>
      </w:r>
    </w:p>
    <w:p w14:paraId="5308F732">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0671B295">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There is recent evidence that relational credibility may account for the effectiveness of influencers more than the traditional expertise-based explanations. The results of Liu and Zheng (2024) revealed that parasocial relationship had a significant effect on brand credibility (β = .550, p &lt; .001) and purchase intention (β = .490, p &lt; .001). The results show that the relationship between influencers and consumers can enhance the consumer's perception of the brand being promoted. This aligns with Human Brand Theory as influencers can be considered as humanised brands and their relationship with their followers can impact their reaction to the products they endorse (Ki et al., 2020).</w:t>
      </w:r>
    </w:p>
    <w:p w14:paraId="49AE945B">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0C2EE580">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In general, credibility, trust and expertise play a role in the success of influencer marketing by setting the stage for persuasion, but not for consumer buying. The evidence reveals that credibility impacts purchase intention via attitudes, trust and parasocial relationships. However, most studies focus on purchase intention and not actual purchasing behaviour, so credibility should be understood as a motivator for persuasive response, and not as a direct measure of financial return (Pan et al., 2025).</w:t>
      </w:r>
    </w:p>
    <w:p w14:paraId="113A865F">
      <w:pPr>
        <w:pStyle w:val="11"/>
        <w:rPr>
          <w:rFonts w:ascii="Times New Roman" w:hAnsi="Times New Roman" w:cs="Times New Roman"/>
          <w:b/>
          <w:bCs/>
          <w:lang w:val="en-US"/>
        </w:rPr>
      </w:pPr>
      <w:bookmarkStart w:id="164" w:name="_Toc14382"/>
      <w:bookmarkStart w:id="165" w:name="_Toc23033"/>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t>: Findings on credibility, trust and expertise</w:t>
      </w:r>
      <w:bookmarkEnd w:id="164"/>
      <w:bookmarkEnd w:id="165"/>
    </w:p>
    <w:tbl>
      <w:tblPr>
        <w:tblStyle w:val="2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15" w:type="dxa"/>
          <w:left w:w="15" w:type="dxa"/>
          <w:bottom w:w="15" w:type="dxa"/>
          <w:right w:w="15" w:type="dxa"/>
        </w:tblCellMar>
      </w:tblPr>
      <w:tblGrid>
        <w:gridCol w:w="2465"/>
        <w:gridCol w:w="3148"/>
        <w:gridCol w:w="3777"/>
      </w:tblGrid>
      <w:tr w14:paraId="240D1D2A">
        <w:trPr>
          <w:tblHeader/>
        </w:trPr>
        <w:tc>
          <w:tcPr>
            <w:tcW w:w="0" w:type="auto"/>
            <w:vAlign w:val="center"/>
          </w:tcPr>
          <w:p w14:paraId="55AA2CFC">
            <w:pPr>
              <w:spacing w:line="360" w:lineRule="auto"/>
              <w:jc w:val="both"/>
              <w:rPr>
                <w:rFonts w:ascii="Times New Roman" w:hAnsi="Times New Roman" w:cs="Times New Roman"/>
                <w:b/>
                <w:bCs/>
                <w:lang w:val="en-US"/>
              </w:rPr>
            </w:pPr>
            <w:r>
              <w:rPr>
                <w:rFonts w:ascii="Times New Roman" w:hAnsi="Times New Roman" w:cs="Times New Roman"/>
                <w:b/>
                <w:bCs/>
                <w:lang w:val="en-US"/>
              </w:rPr>
              <w:t>Study</w:t>
            </w:r>
          </w:p>
        </w:tc>
        <w:tc>
          <w:tcPr>
            <w:tcW w:w="0" w:type="auto"/>
            <w:vAlign w:val="center"/>
          </w:tcPr>
          <w:p w14:paraId="7C8C964F">
            <w:pPr>
              <w:spacing w:line="360" w:lineRule="auto"/>
              <w:jc w:val="both"/>
              <w:rPr>
                <w:rFonts w:ascii="Times New Roman" w:hAnsi="Times New Roman" w:cs="Times New Roman"/>
                <w:b/>
                <w:bCs/>
                <w:lang w:val="en-US"/>
              </w:rPr>
            </w:pPr>
            <w:r>
              <w:rPr>
                <w:rFonts w:ascii="Times New Roman" w:hAnsi="Times New Roman" w:cs="Times New Roman"/>
                <w:b/>
                <w:bCs/>
                <w:lang w:val="en-US"/>
              </w:rPr>
              <w:t>Reported relationship</w:t>
            </w:r>
          </w:p>
        </w:tc>
        <w:tc>
          <w:tcPr>
            <w:tcW w:w="0" w:type="auto"/>
            <w:vAlign w:val="center"/>
          </w:tcPr>
          <w:p w14:paraId="386F61F1">
            <w:pPr>
              <w:spacing w:line="360" w:lineRule="auto"/>
              <w:jc w:val="both"/>
              <w:rPr>
                <w:rFonts w:ascii="Times New Roman" w:hAnsi="Times New Roman" w:cs="Times New Roman"/>
                <w:b/>
                <w:bCs/>
                <w:lang w:val="en-US"/>
              </w:rPr>
            </w:pPr>
            <w:r>
              <w:rPr>
                <w:rFonts w:ascii="Times New Roman" w:hAnsi="Times New Roman" w:cs="Times New Roman"/>
                <w:b/>
                <w:bCs/>
                <w:lang w:val="en-US"/>
              </w:rPr>
              <w:t>Finding</w:t>
            </w:r>
          </w:p>
        </w:tc>
      </w:tr>
      <w:tr w14:paraId="76EB83F2">
        <w:tc>
          <w:tcPr>
            <w:tcW w:w="0" w:type="auto"/>
            <w:vAlign w:val="center"/>
          </w:tcPr>
          <w:p w14:paraId="26249A18">
            <w:pPr>
              <w:spacing w:line="360" w:lineRule="auto"/>
              <w:jc w:val="both"/>
              <w:rPr>
                <w:rFonts w:ascii="Times New Roman" w:hAnsi="Times New Roman" w:cs="Times New Roman"/>
                <w:lang w:val="en-US"/>
              </w:rPr>
            </w:pPr>
            <w:r>
              <w:rPr>
                <w:rFonts w:ascii="Times New Roman" w:hAnsi="Times New Roman" w:cs="Times New Roman"/>
                <w:lang w:val="en-US"/>
              </w:rPr>
              <w:t>Chetioui et al. (2020)</w:t>
            </w:r>
          </w:p>
        </w:tc>
        <w:tc>
          <w:tcPr>
            <w:tcW w:w="0" w:type="auto"/>
            <w:vAlign w:val="center"/>
          </w:tcPr>
          <w:p w14:paraId="65384948">
            <w:pPr>
              <w:spacing w:line="360" w:lineRule="auto"/>
              <w:jc w:val="both"/>
              <w:rPr>
                <w:rFonts w:ascii="Times New Roman" w:hAnsi="Times New Roman" w:cs="Times New Roman"/>
                <w:lang w:val="en-US"/>
              </w:rPr>
            </w:pPr>
            <w:r>
              <w:rPr>
                <w:rFonts w:ascii="Times New Roman" w:hAnsi="Times New Roman" w:cs="Times New Roman"/>
                <w:lang w:val="en-US"/>
              </w:rPr>
              <w:t>Credibility → influencer attitude</w:t>
            </w:r>
          </w:p>
        </w:tc>
        <w:tc>
          <w:tcPr>
            <w:tcW w:w="0" w:type="auto"/>
            <w:vAlign w:val="center"/>
          </w:tcPr>
          <w:p w14:paraId="3B6042B2">
            <w:pPr>
              <w:spacing w:line="360" w:lineRule="auto"/>
              <w:jc w:val="both"/>
              <w:rPr>
                <w:rFonts w:ascii="Times New Roman" w:hAnsi="Times New Roman" w:cs="Times New Roman"/>
                <w:lang w:val="en-US"/>
              </w:rPr>
            </w:pPr>
            <w:r>
              <w:rPr>
                <w:rFonts w:ascii="Times New Roman" w:hAnsi="Times New Roman" w:cs="Times New Roman"/>
                <w:lang w:val="en-US"/>
              </w:rPr>
              <w:t>β = .265, p &lt; .001</w:t>
            </w:r>
          </w:p>
        </w:tc>
      </w:tr>
      <w:tr w14:paraId="10D2D1FE">
        <w:tc>
          <w:tcPr>
            <w:tcW w:w="0" w:type="auto"/>
            <w:vAlign w:val="center"/>
          </w:tcPr>
          <w:p w14:paraId="4431E096">
            <w:pPr>
              <w:spacing w:line="360" w:lineRule="auto"/>
              <w:jc w:val="both"/>
              <w:rPr>
                <w:rFonts w:ascii="Times New Roman" w:hAnsi="Times New Roman" w:cs="Times New Roman"/>
                <w:lang w:val="en-US"/>
              </w:rPr>
            </w:pPr>
            <w:r>
              <w:rPr>
                <w:rFonts w:ascii="Times New Roman" w:hAnsi="Times New Roman" w:cs="Times New Roman"/>
                <w:lang w:val="en-US"/>
              </w:rPr>
              <w:t>Chetioui et al. (2020)</w:t>
            </w:r>
          </w:p>
        </w:tc>
        <w:tc>
          <w:tcPr>
            <w:tcW w:w="0" w:type="auto"/>
            <w:vAlign w:val="center"/>
          </w:tcPr>
          <w:p w14:paraId="4881B621">
            <w:pPr>
              <w:spacing w:line="360" w:lineRule="auto"/>
              <w:jc w:val="both"/>
              <w:rPr>
                <w:rFonts w:ascii="Times New Roman" w:hAnsi="Times New Roman" w:cs="Times New Roman"/>
                <w:lang w:val="en-US"/>
              </w:rPr>
            </w:pPr>
            <w:r>
              <w:rPr>
                <w:rFonts w:ascii="Times New Roman" w:hAnsi="Times New Roman" w:cs="Times New Roman"/>
                <w:lang w:val="en-US"/>
              </w:rPr>
              <w:t>Trust → influencer attitude</w:t>
            </w:r>
          </w:p>
        </w:tc>
        <w:tc>
          <w:tcPr>
            <w:tcW w:w="0" w:type="auto"/>
            <w:vAlign w:val="center"/>
          </w:tcPr>
          <w:p w14:paraId="3334EF73">
            <w:pPr>
              <w:spacing w:line="360" w:lineRule="auto"/>
              <w:jc w:val="both"/>
              <w:rPr>
                <w:rFonts w:ascii="Times New Roman" w:hAnsi="Times New Roman" w:cs="Times New Roman"/>
                <w:lang w:val="en-US"/>
              </w:rPr>
            </w:pPr>
            <w:r>
              <w:rPr>
                <w:rFonts w:ascii="Times New Roman" w:hAnsi="Times New Roman" w:cs="Times New Roman"/>
                <w:lang w:val="en-US"/>
              </w:rPr>
              <w:t>β = .183, p &lt; .001</w:t>
            </w:r>
          </w:p>
        </w:tc>
      </w:tr>
      <w:tr w14:paraId="191DCF42">
        <w:tc>
          <w:tcPr>
            <w:tcW w:w="0" w:type="auto"/>
            <w:vAlign w:val="center"/>
          </w:tcPr>
          <w:p w14:paraId="02CEAE21">
            <w:pPr>
              <w:spacing w:line="360" w:lineRule="auto"/>
              <w:jc w:val="both"/>
              <w:rPr>
                <w:rFonts w:ascii="Times New Roman" w:hAnsi="Times New Roman" w:cs="Times New Roman"/>
                <w:lang w:val="en-US"/>
              </w:rPr>
            </w:pPr>
            <w:r>
              <w:rPr>
                <w:rFonts w:ascii="Times New Roman" w:hAnsi="Times New Roman" w:cs="Times New Roman"/>
                <w:lang w:val="en-US"/>
              </w:rPr>
              <w:t>Chetioui et al. (2020)</w:t>
            </w:r>
          </w:p>
        </w:tc>
        <w:tc>
          <w:tcPr>
            <w:tcW w:w="0" w:type="auto"/>
            <w:vAlign w:val="center"/>
          </w:tcPr>
          <w:p w14:paraId="4DFAEBF3">
            <w:pPr>
              <w:spacing w:line="360" w:lineRule="auto"/>
              <w:jc w:val="both"/>
              <w:rPr>
                <w:rFonts w:ascii="Times New Roman" w:hAnsi="Times New Roman" w:cs="Times New Roman"/>
                <w:lang w:val="en-US"/>
              </w:rPr>
            </w:pPr>
            <w:r>
              <w:rPr>
                <w:rFonts w:ascii="Times New Roman" w:hAnsi="Times New Roman" w:cs="Times New Roman"/>
                <w:lang w:val="en-US"/>
              </w:rPr>
              <w:t>Expertise → influencer attitude</w:t>
            </w:r>
          </w:p>
        </w:tc>
        <w:tc>
          <w:tcPr>
            <w:tcW w:w="0" w:type="auto"/>
            <w:vAlign w:val="center"/>
          </w:tcPr>
          <w:p w14:paraId="2E3A9974">
            <w:pPr>
              <w:spacing w:line="360" w:lineRule="auto"/>
              <w:jc w:val="both"/>
              <w:rPr>
                <w:rFonts w:ascii="Times New Roman" w:hAnsi="Times New Roman" w:cs="Times New Roman"/>
                <w:lang w:val="en-US"/>
              </w:rPr>
            </w:pPr>
            <w:r>
              <w:rPr>
                <w:rFonts w:ascii="Times New Roman" w:hAnsi="Times New Roman" w:cs="Times New Roman"/>
                <w:lang w:val="en-US"/>
              </w:rPr>
              <w:t>β = .248, p &lt; .001</w:t>
            </w:r>
          </w:p>
        </w:tc>
      </w:tr>
      <w:tr w14:paraId="2D2D8F35">
        <w:tc>
          <w:tcPr>
            <w:tcW w:w="0" w:type="auto"/>
            <w:vAlign w:val="center"/>
          </w:tcPr>
          <w:p w14:paraId="27A4E1D5">
            <w:pPr>
              <w:spacing w:line="360" w:lineRule="auto"/>
              <w:jc w:val="both"/>
              <w:rPr>
                <w:rFonts w:ascii="Times New Roman" w:hAnsi="Times New Roman" w:cs="Times New Roman"/>
                <w:lang w:val="en-US"/>
              </w:rPr>
            </w:pPr>
            <w:r>
              <w:rPr>
                <w:rFonts w:ascii="Times New Roman" w:hAnsi="Times New Roman" w:cs="Times New Roman"/>
                <w:lang w:val="en-US"/>
              </w:rPr>
              <w:t>Lou and Yuan (2019)</w:t>
            </w:r>
          </w:p>
        </w:tc>
        <w:tc>
          <w:tcPr>
            <w:tcW w:w="0" w:type="auto"/>
            <w:vAlign w:val="center"/>
          </w:tcPr>
          <w:p w14:paraId="7B786D76">
            <w:pPr>
              <w:spacing w:line="360" w:lineRule="auto"/>
              <w:jc w:val="both"/>
              <w:rPr>
                <w:rFonts w:ascii="Times New Roman" w:hAnsi="Times New Roman" w:cs="Times New Roman"/>
                <w:lang w:val="en-US"/>
              </w:rPr>
            </w:pPr>
            <w:r>
              <w:rPr>
                <w:rFonts w:ascii="Times New Roman" w:hAnsi="Times New Roman" w:cs="Times New Roman"/>
                <w:lang w:val="en-US"/>
              </w:rPr>
              <w:t>Trust in branded posts → PI</w:t>
            </w:r>
          </w:p>
        </w:tc>
        <w:tc>
          <w:tcPr>
            <w:tcW w:w="0" w:type="auto"/>
            <w:vAlign w:val="center"/>
          </w:tcPr>
          <w:p w14:paraId="560C33D6">
            <w:pPr>
              <w:spacing w:line="360" w:lineRule="auto"/>
              <w:jc w:val="both"/>
              <w:rPr>
                <w:rFonts w:ascii="Times New Roman" w:hAnsi="Times New Roman" w:cs="Times New Roman"/>
                <w:lang w:val="en-US"/>
              </w:rPr>
            </w:pPr>
            <w:r>
              <w:rPr>
                <w:rFonts w:ascii="Times New Roman" w:hAnsi="Times New Roman" w:cs="Times New Roman"/>
                <w:lang w:val="en-US"/>
              </w:rPr>
              <w:t>Positive</w:t>
            </w:r>
          </w:p>
        </w:tc>
      </w:tr>
      <w:tr w14:paraId="44AA2C4C">
        <w:tc>
          <w:tcPr>
            <w:tcW w:w="0" w:type="auto"/>
            <w:vAlign w:val="center"/>
          </w:tcPr>
          <w:p w14:paraId="47DB9E66">
            <w:pPr>
              <w:spacing w:line="360" w:lineRule="auto"/>
              <w:jc w:val="both"/>
              <w:rPr>
                <w:rFonts w:ascii="Times New Roman" w:hAnsi="Times New Roman" w:cs="Times New Roman"/>
                <w:lang w:val="en-US"/>
              </w:rPr>
            </w:pPr>
            <w:r>
              <w:rPr>
                <w:rFonts w:ascii="Times New Roman" w:hAnsi="Times New Roman" w:cs="Times New Roman"/>
                <w:lang w:val="en-US"/>
              </w:rPr>
              <w:t>Gomes et al. (2022)</w:t>
            </w:r>
          </w:p>
        </w:tc>
        <w:tc>
          <w:tcPr>
            <w:tcW w:w="0" w:type="auto"/>
            <w:vAlign w:val="center"/>
          </w:tcPr>
          <w:p w14:paraId="4F588718">
            <w:pPr>
              <w:spacing w:line="360" w:lineRule="auto"/>
              <w:jc w:val="both"/>
              <w:rPr>
                <w:rFonts w:ascii="Times New Roman" w:hAnsi="Times New Roman" w:cs="Times New Roman"/>
                <w:lang w:val="en-US"/>
              </w:rPr>
            </w:pPr>
            <w:r>
              <w:rPr>
                <w:rFonts w:ascii="Times New Roman" w:hAnsi="Times New Roman" w:cs="Times New Roman"/>
                <w:lang w:val="en-US"/>
              </w:rPr>
              <w:t>Expertise/trustworthiness → PI</w:t>
            </w:r>
          </w:p>
        </w:tc>
        <w:tc>
          <w:tcPr>
            <w:tcW w:w="0" w:type="auto"/>
            <w:vAlign w:val="center"/>
          </w:tcPr>
          <w:p w14:paraId="12438DF8">
            <w:pPr>
              <w:spacing w:line="360" w:lineRule="auto"/>
              <w:jc w:val="both"/>
              <w:rPr>
                <w:rFonts w:ascii="Times New Roman" w:hAnsi="Times New Roman" w:cs="Times New Roman"/>
                <w:lang w:val="en-US"/>
              </w:rPr>
            </w:pPr>
            <w:r>
              <w:rPr>
                <w:rFonts w:ascii="Times New Roman" w:hAnsi="Times New Roman" w:cs="Times New Roman"/>
                <w:lang w:val="en-US"/>
              </w:rPr>
              <w:t>Direct effects not consistently supported</w:t>
            </w:r>
          </w:p>
        </w:tc>
      </w:tr>
      <w:tr w14:paraId="6BB9730D">
        <w:tc>
          <w:tcPr>
            <w:tcW w:w="0" w:type="auto"/>
            <w:vAlign w:val="center"/>
          </w:tcPr>
          <w:p w14:paraId="4F724B35">
            <w:pPr>
              <w:spacing w:line="360" w:lineRule="auto"/>
              <w:jc w:val="both"/>
              <w:rPr>
                <w:rFonts w:ascii="Times New Roman" w:hAnsi="Times New Roman" w:cs="Times New Roman"/>
                <w:lang w:val="en-US"/>
              </w:rPr>
            </w:pPr>
            <w:r>
              <w:rPr>
                <w:rFonts w:ascii="Times New Roman" w:hAnsi="Times New Roman" w:cs="Times New Roman"/>
                <w:lang w:val="en-US"/>
              </w:rPr>
              <w:t>Reinikainen et al. (2020)</w:t>
            </w:r>
          </w:p>
        </w:tc>
        <w:tc>
          <w:tcPr>
            <w:tcW w:w="0" w:type="auto"/>
            <w:vAlign w:val="center"/>
          </w:tcPr>
          <w:p w14:paraId="6EBC03CC">
            <w:pPr>
              <w:spacing w:line="360" w:lineRule="auto"/>
              <w:jc w:val="both"/>
              <w:rPr>
                <w:rFonts w:ascii="Times New Roman" w:hAnsi="Times New Roman" w:cs="Times New Roman"/>
                <w:lang w:val="en-US"/>
              </w:rPr>
            </w:pPr>
            <w:r>
              <w:rPr>
                <w:rFonts w:ascii="Times New Roman" w:hAnsi="Times New Roman" w:cs="Times New Roman"/>
                <w:lang w:val="en-US"/>
              </w:rPr>
              <w:t>Credibility → brand trust → PI</w:t>
            </w:r>
          </w:p>
        </w:tc>
        <w:tc>
          <w:tcPr>
            <w:tcW w:w="0" w:type="auto"/>
            <w:vAlign w:val="center"/>
          </w:tcPr>
          <w:p w14:paraId="3DEA9741">
            <w:pPr>
              <w:spacing w:line="360" w:lineRule="auto"/>
              <w:jc w:val="both"/>
              <w:rPr>
                <w:rFonts w:ascii="Times New Roman" w:hAnsi="Times New Roman" w:cs="Times New Roman"/>
                <w:lang w:val="en-US"/>
              </w:rPr>
            </w:pPr>
            <w:r>
              <w:rPr>
                <w:rFonts w:ascii="Times New Roman" w:hAnsi="Times New Roman" w:cs="Times New Roman"/>
                <w:lang w:val="en-US"/>
              </w:rPr>
              <w:t>Positive</w:t>
            </w:r>
          </w:p>
        </w:tc>
      </w:tr>
      <w:tr w14:paraId="29DAFA49">
        <w:tc>
          <w:tcPr>
            <w:tcW w:w="0" w:type="auto"/>
            <w:vAlign w:val="center"/>
          </w:tcPr>
          <w:p w14:paraId="447F9CC7">
            <w:pPr>
              <w:spacing w:line="360" w:lineRule="auto"/>
              <w:jc w:val="both"/>
              <w:rPr>
                <w:rFonts w:ascii="Times New Roman" w:hAnsi="Times New Roman" w:cs="Times New Roman"/>
                <w:lang w:val="en-US"/>
              </w:rPr>
            </w:pPr>
            <w:r>
              <w:rPr>
                <w:rFonts w:ascii="Times New Roman" w:hAnsi="Times New Roman" w:cs="Times New Roman"/>
                <w:lang w:val="en-US"/>
              </w:rPr>
              <w:t>Sokolova and Kefi (2020)</w:t>
            </w:r>
          </w:p>
        </w:tc>
        <w:tc>
          <w:tcPr>
            <w:tcW w:w="0" w:type="auto"/>
            <w:vAlign w:val="center"/>
          </w:tcPr>
          <w:p w14:paraId="6EAE5D39">
            <w:pPr>
              <w:spacing w:line="360" w:lineRule="auto"/>
              <w:jc w:val="both"/>
              <w:rPr>
                <w:rFonts w:ascii="Times New Roman" w:hAnsi="Times New Roman" w:cs="Times New Roman"/>
                <w:lang w:val="en-US"/>
              </w:rPr>
            </w:pPr>
            <w:r>
              <w:rPr>
                <w:rFonts w:ascii="Times New Roman" w:hAnsi="Times New Roman" w:cs="Times New Roman"/>
                <w:lang w:val="en-US"/>
              </w:rPr>
              <w:t>Credibility → PI</w:t>
            </w:r>
          </w:p>
        </w:tc>
        <w:tc>
          <w:tcPr>
            <w:tcW w:w="0" w:type="auto"/>
            <w:vAlign w:val="center"/>
          </w:tcPr>
          <w:p w14:paraId="323B593B">
            <w:pPr>
              <w:spacing w:line="360" w:lineRule="auto"/>
              <w:jc w:val="both"/>
              <w:rPr>
                <w:rFonts w:ascii="Times New Roman" w:hAnsi="Times New Roman" w:cs="Times New Roman"/>
                <w:lang w:val="en-US"/>
              </w:rPr>
            </w:pPr>
            <w:r>
              <w:rPr>
                <w:rFonts w:ascii="Times New Roman" w:hAnsi="Times New Roman" w:cs="Times New Roman"/>
                <w:lang w:val="en-US"/>
              </w:rPr>
              <w:t>.164</w:t>
            </w:r>
          </w:p>
        </w:tc>
      </w:tr>
      <w:tr w14:paraId="42E3FCCF">
        <w:tc>
          <w:tcPr>
            <w:tcW w:w="0" w:type="auto"/>
            <w:vAlign w:val="center"/>
          </w:tcPr>
          <w:p w14:paraId="50C091CB">
            <w:pPr>
              <w:spacing w:line="360" w:lineRule="auto"/>
              <w:jc w:val="both"/>
              <w:rPr>
                <w:rFonts w:ascii="Times New Roman" w:hAnsi="Times New Roman" w:cs="Times New Roman"/>
                <w:lang w:val="en-US"/>
              </w:rPr>
            </w:pPr>
            <w:r>
              <w:rPr>
                <w:rFonts w:ascii="Times New Roman" w:hAnsi="Times New Roman" w:cs="Times New Roman"/>
                <w:lang w:val="en-US"/>
              </w:rPr>
              <w:t>Liu and Zheng (2024)</w:t>
            </w:r>
          </w:p>
        </w:tc>
        <w:tc>
          <w:tcPr>
            <w:tcW w:w="0" w:type="auto"/>
            <w:vAlign w:val="center"/>
          </w:tcPr>
          <w:p w14:paraId="06A5F955">
            <w:pPr>
              <w:spacing w:line="360" w:lineRule="auto"/>
              <w:jc w:val="both"/>
              <w:rPr>
                <w:rFonts w:ascii="Times New Roman" w:hAnsi="Times New Roman" w:cs="Times New Roman"/>
                <w:lang w:val="en-US"/>
              </w:rPr>
            </w:pPr>
            <w:r>
              <w:rPr>
                <w:rFonts w:ascii="Times New Roman" w:hAnsi="Times New Roman" w:cs="Times New Roman"/>
                <w:lang w:val="en-US"/>
              </w:rPr>
              <w:t>PSR → brand credibility</w:t>
            </w:r>
          </w:p>
        </w:tc>
        <w:tc>
          <w:tcPr>
            <w:tcW w:w="0" w:type="auto"/>
            <w:vAlign w:val="center"/>
          </w:tcPr>
          <w:p w14:paraId="285AEA87">
            <w:pPr>
              <w:keepNext/>
              <w:spacing w:line="360" w:lineRule="auto"/>
              <w:jc w:val="both"/>
              <w:rPr>
                <w:rFonts w:ascii="Times New Roman" w:hAnsi="Times New Roman" w:cs="Times New Roman"/>
                <w:lang w:val="en-US"/>
              </w:rPr>
            </w:pPr>
            <w:r>
              <w:rPr>
                <w:rFonts w:ascii="Times New Roman" w:hAnsi="Times New Roman" w:cs="Times New Roman"/>
                <w:lang w:val="en-US"/>
              </w:rPr>
              <w:t>β = .550, p &lt; .001</w:t>
            </w:r>
          </w:p>
        </w:tc>
      </w:tr>
    </w:tbl>
    <w:p w14:paraId="3F665AC7">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Across the corpus, credibility and trust were repeatedly associated with favourable consumer outcomes. Expertise was statistically significant in some models, particularly Chetioui et al. (2020), but did not display equivalent consistency across all studies in which it was measured.</w:t>
      </w:r>
    </w:p>
    <w:p w14:paraId="1F10D7E1">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4F0B3773">
      <w:pPr>
        <w:pStyle w:val="3"/>
        <w:pageBreakBefore w:val="0"/>
        <w:widowControl/>
        <w:kinsoku/>
        <w:wordWrap/>
        <w:overflowPunct/>
        <w:topLinePunct w:val="0"/>
        <w:autoSpaceDE/>
        <w:autoSpaceDN/>
        <w:bidi w:val="0"/>
        <w:adjustRightInd/>
        <w:snapToGrid/>
        <w:spacing w:before="0" w:line="480" w:lineRule="auto"/>
        <w:textAlignment w:val="auto"/>
        <w:rPr>
          <w:rFonts w:ascii="Times New Roman" w:hAnsi="Times New Roman" w:cs="Times New Roman"/>
          <w:b/>
          <w:bCs/>
          <w:color w:val="auto"/>
          <w:sz w:val="24"/>
          <w:szCs w:val="24"/>
          <w:lang w:val="en-US"/>
        </w:rPr>
      </w:pPr>
      <w:bookmarkStart w:id="166" w:name="_Toc31029"/>
      <w:bookmarkStart w:id="167" w:name="_Toc5607"/>
      <w:bookmarkStart w:id="168" w:name="_Toc240993932"/>
      <w:bookmarkStart w:id="169" w:name="_Toc12086"/>
      <w:bookmarkStart w:id="170" w:name="_Toc19241"/>
      <w:bookmarkStart w:id="171" w:name="_Toc830"/>
      <w:r>
        <w:rPr>
          <w:rFonts w:ascii="Times New Roman" w:hAnsi="Times New Roman" w:cs="Times New Roman"/>
          <w:b/>
          <w:bCs/>
          <w:color w:val="auto"/>
          <w:sz w:val="24"/>
          <w:szCs w:val="24"/>
          <w:lang w:val="en-US"/>
        </w:rPr>
        <w:t>4.3 Authenticity and Product-Influencer Congruence</w:t>
      </w:r>
      <w:bookmarkEnd w:id="166"/>
      <w:bookmarkEnd w:id="167"/>
      <w:bookmarkEnd w:id="168"/>
      <w:bookmarkEnd w:id="169"/>
      <w:bookmarkEnd w:id="170"/>
      <w:bookmarkEnd w:id="171"/>
    </w:p>
    <w:p w14:paraId="348A5781">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relationship between influencer marketing and consumer purchase intention is affected by authenticity and product–influencer congruence, which determine whether audiences consider the recommendations as suitable, credible and aligned with the influencer's image. The results show that authenticity is not a straightforward influencer attribute that directly results in purchase intention, but rather a relational process that is formed by the influencer's behaviour, the interpretation by the audience and the alignment with the brand. This aligns with the general influencer-marketing framework suggested by Vrontis et al. (2021), who state that the effectiveness of an influencer marketing campaign is not a single performance indicator, but rather a combination of influencer characteristics, message features, audience relationships and contextual factors.</w:t>
      </w:r>
    </w:p>
    <w:p w14:paraId="47824B91">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043321DB">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Authenticity adds to influencer effectiveness by keeping influencers credible when commercial partnerships are added. Audrezet, de Kerviler and Moulard (2020) found two strategies for managing authenticity: passionate authenticity and transparent authenticity. Passionate authenticity is when the collaboration is in line with the influencer's personal interests and identity, while transparent authenticity is when the commercial relationship is openly disclosed. Their qualitative evidence included analysing influencer-brand collaborations and conducting interviews with influencers, revealing that authenticity was largely a relational process that was managed, and not a direct predictor of purchase outcomes (Audrezet et al., 2020). This finding is in line with Human Brand Theory, as it shows that there is a need to have a consistent identity and relationship with followers for their influence to be effective, not just for the promotion of products (Ki et al., 2020). However, since purchase behaviour was not measured directly, authenticity should be viewed as a condition that facilitates persuasion and not as proof of sales effects.</w:t>
      </w:r>
    </w:p>
    <w:p w14:paraId="7BA24C5A">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68D42E0C">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Authenticity is also a function of several characteristics of the audience that are perceived by the audience and not a single attribute of the influencer. Duffek et al. (2025) identified consistency, connectedness, originality, integrity and transparency as the criteria for assessing authenticity. Their study also revealed that brand managers take into account factors such as engagement, past partnerships, communication quality, and consumer feedback when evaluating influencer relationships (Duffek et al., 2025). These results confirm that authenticity is not just a personal attribute, but rather is socially co-created by influencers, brands and audiences. This is significant to the research question as it indicates that UK fashion brands should not just look at popularity when assessing the effectiveness of an influencer, but also whether the partnership is seen as credible and suitable within the influencer's community.</w:t>
      </w:r>
    </w:p>
    <w:p w14:paraId="2616317E">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683341AA">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Product–influencer congruence helps to increase purchase intention by enhancing consumers' attitude towards the influencer and the product. Chetioui et al. (2020) added perceived congruence to their fashion influencer model and discovered that congruence had a positive impact on attitudes towards influencers and that the coefficient of β = .145 was significant. This discovery suggests that consumers react more positively when the influencer's name seems to be compatible with the product being promoted (Chetioui et al., 2020). The results are consistent with Source Credibility Theory, which posits that credibility is not only a function of expertise and trustworthiness, but also of the source's appropriateness for the message (Hovland &amp; Weiss, 1951; Ohanian, 1990). Thus, the effectiveness of the influencer is not only related to the communicator of the message but also to the naturalness and relevance of the endorsement.</w:t>
      </w:r>
    </w:p>
    <w:p w14:paraId="3C851851">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50D335C7">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correlation between popularity of an influencer and purchase intention is dependent on product context, which shows that size of the audience is not the sole factor in determining the effectiveness of marketing. De Veirman, Cauberghe and Hudders (2017) concluded that the more followers a brand has, the more popular it is perceived to be, and that this relationship between number of followers and brand outcomes is dependent on product divergence. In certain circumstances, higher follower numbers decreased the sense of uniqueness and diminished brand assessments (De Veirman et al., 2017). These findings contradict the notion that bigger audiences equate to better commercial results. This is more aligned with Product–Influencer Fit Theory, which suggests that effectiveness is not just about the number of exposures but also the fit between the influencer's attributes and the product positioning and consumer expectations (Belanche et al., 2021).</w:t>
      </w:r>
    </w:p>
    <w:p w14:paraId="41844549">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3D102E89">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Sometimes, content value can be more important than influencer authenticity or personal characteristics when it comes to purchase intention. In the case of sponsored fashion-haul content, Mahn et al. (2026) investigated the role of influencers' characteristics such as expertise, trustworthiness, and authenticity in purchase intention, and found that their role was limited. Rather, the impulse-oriented purchases were more likely to be motivated by inspiration and the informational value was more important for consumers with greater product needs. They also discovered that the role of influencer attachment was limited in the quantitative model (Mahn et al., 2026). The results are more in line with the Elaboration Likelihood Model (ELM) which posits that consumers may react to the quality and usefulness of information when evaluating products, not just the source characteristics (Petty &amp; Cacioppo, 1986).</w:t>
      </w:r>
    </w:p>
    <w:p w14:paraId="44440F56">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03A24AB3">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In general, the findings suggest that authenticity and fit between the product and the influencer boosts the persuasive power of influencer marketing, but does not necessarily lead to purchase intention. Authenticity seems to be the most critical factor in sustaining trust and the quality of the relationship, and congruence is important in determining whether an endorsement is suitable. But content usefulness, inspiration and consumer needs (Mahn et al., 2026) also play a role in purchase intention. Thus, the results indicate that the campaigns of fashion influencers in the UK are not necessarily a direct result of authenticity but a mixture of relational credibility, product alignment and content value.</w:t>
      </w:r>
    </w:p>
    <w:p w14:paraId="677046DB">
      <w:pPr>
        <w:pStyle w:val="11"/>
        <w:rPr>
          <w:rFonts w:ascii="Times New Roman" w:hAnsi="Times New Roman" w:cs="Times New Roman"/>
          <w:lang w:val="en-US"/>
        </w:rPr>
      </w:pPr>
      <w:bookmarkStart w:id="172" w:name="_Toc17960"/>
      <w:bookmarkStart w:id="173" w:name="_Toc5615"/>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t>: authenticity/congruence</w:t>
      </w:r>
      <w:bookmarkEnd w:id="172"/>
      <w:bookmarkEnd w:id="173"/>
    </w:p>
    <w:tbl>
      <w:tblPr>
        <w:tblStyle w:val="2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15" w:type="dxa"/>
          <w:left w:w="15" w:type="dxa"/>
          <w:bottom w:w="15" w:type="dxa"/>
          <w:right w:w="15" w:type="dxa"/>
        </w:tblCellMar>
      </w:tblPr>
      <w:tblGrid>
        <w:gridCol w:w="1576"/>
        <w:gridCol w:w="3737"/>
        <w:gridCol w:w="4077"/>
      </w:tblGrid>
      <w:tr w14:paraId="60010864">
        <w:trPr>
          <w:tblHeader/>
        </w:trPr>
        <w:tc>
          <w:tcPr>
            <w:tcW w:w="0" w:type="auto"/>
            <w:vAlign w:val="center"/>
          </w:tcPr>
          <w:p w14:paraId="358DE422">
            <w:pPr>
              <w:spacing w:line="360" w:lineRule="auto"/>
              <w:jc w:val="both"/>
              <w:rPr>
                <w:rFonts w:ascii="Times New Roman" w:hAnsi="Times New Roman" w:cs="Times New Roman"/>
                <w:b/>
                <w:bCs/>
                <w:lang w:val="en-US"/>
              </w:rPr>
            </w:pPr>
            <w:r>
              <w:rPr>
                <w:rFonts w:ascii="Times New Roman" w:hAnsi="Times New Roman" w:cs="Times New Roman"/>
                <w:b/>
                <w:bCs/>
                <w:lang w:val="en-US"/>
              </w:rPr>
              <w:t>Study</w:t>
            </w:r>
          </w:p>
        </w:tc>
        <w:tc>
          <w:tcPr>
            <w:tcW w:w="0" w:type="auto"/>
            <w:vAlign w:val="center"/>
          </w:tcPr>
          <w:p w14:paraId="1F75C36C">
            <w:pPr>
              <w:spacing w:line="360" w:lineRule="auto"/>
              <w:jc w:val="both"/>
              <w:rPr>
                <w:rFonts w:ascii="Times New Roman" w:hAnsi="Times New Roman" w:cs="Times New Roman"/>
                <w:b/>
                <w:bCs/>
                <w:lang w:val="en-US"/>
              </w:rPr>
            </w:pPr>
            <w:r>
              <w:rPr>
                <w:rFonts w:ascii="Times New Roman" w:hAnsi="Times New Roman" w:cs="Times New Roman"/>
                <w:b/>
                <w:bCs/>
                <w:lang w:val="en-US"/>
              </w:rPr>
              <w:t>Variable</w:t>
            </w:r>
          </w:p>
        </w:tc>
        <w:tc>
          <w:tcPr>
            <w:tcW w:w="0" w:type="auto"/>
            <w:vAlign w:val="center"/>
          </w:tcPr>
          <w:p w14:paraId="03D6BC43">
            <w:pPr>
              <w:spacing w:line="360" w:lineRule="auto"/>
              <w:jc w:val="both"/>
              <w:rPr>
                <w:rFonts w:ascii="Times New Roman" w:hAnsi="Times New Roman" w:cs="Times New Roman"/>
                <w:b/>
                <w:bCs/>
                <w:lang w:val="en-US"/>
              </w:rPr>
            </w:pPr>
            <w:r>
              <w:rPr>
                <w:rFonts w:ascii="Times New Roman" w:hAnsi="Times New Roman" w:cs="Times New Roman"/>
                <w:b/>
                <w:bCs/>
                <w:lang w:val="en-US"/>
              </w:rPr>
              <w:t>Finding</w:t>
            </w:r>
          </w:p>
        </w:tc>
      </w:tr>
      <w:tr w14:paraId="28D06D51">
        <w:tc>
          <w:tcPr>
            <w:tcW w:w="0" w:type="auto"/>
            <w:vAlign w:val="center"/>
          </w:tcPr>
          <w:p w14:paraId="22ABCB0F">
            <w:pPr>
              <w:spacing w:line="360" w:lineRule="auto"/>
              <w:jc w:val="both"/>
              <w:rPr>
                <w:rFonts w:ascii="Times New Roman" w:hAnsi="Times New Roman" w:cs="Times New Roman"/>
                <w:lang w:val="en-US"/>
              </w:rPr>
            </w:pPr>
            <w:r>
              <w:rPr>
                <w:rFonts w:ascii="Times New Roman" w:hAnsi="Times New Roman" w:cs="Times New Roman"/>
                <w:lang w:val="en-US"/>
              </w:rPr>
              <w:t>Audrezet et al. (2020)</w:t>
            </w:r>
          </w:p>
        </w:tc>
        <w:tc>
          <w:tcPr>
            <w:tcW w:w="0" w:type="auto"/>
            <w:vAlign w:val="center"/>
          </w:tcPr>
          <w:p w14:paraId="3399B30D">
            <w:pPr>
              <w:spacing w:line="360" w:lineRule="auto"/>
              <w:jc w:val="both"/>
              <w:rPr>
                <w:rFonts w:ascii="Times New Roman" w:hAnsi="Times New Roman" w:cs="Times New Roman"/>
                <w:lang w:val="en-US"/>
              </w:rPr>
            </w:pPr>
            <w:r>
              <w:rPr>
                <w:rFonts w:ascii="Times New Roman" w:hAnsi="Times New Roman" w:cs="Times New Roman"/>
                <w:lang w:val="en-US"/>
              </w:rPr>
              <w:t>Authenticity</w:t>
            </w:r>
          </w:p>
        </w:tc>
        <w:tc>
          <w:tcPr>
            <w:tcW w:w="0" w:type="auto"/>
            <w:vAlign w:val="center"/>
          </w:tcPr>
          <w:p w14:paraId="2A76C0D5">
            <w:pPr>
              <w:spacing w:line="360" w:lineRule="auto"/>
              <w:jc w:val="both"/>
              <w:rPr>
                <w:rFonts w:ascii="Times New Roman" w:hAnsi="Times New Roman" w:cs="Times New Roman"/>
                <w:lang w:val="en-US"/>
              </w:rPr>
            </w:pPr>
            <w:r>
              <w:rPr>
                <w:rFonts w:ascii="Times New Roman" w:hAnsi="Times New Roman" w:cs="Times New Roman"/>
                <w:lang w:val="en-US"/>
              </w:rPr>
              <w:t>Passionate and transparent authenticity identified</w:t>
            </w:r>
          </w:p>
        </w:tc>
      </w:tr>
      <w:tr w14:paraId="18BE3AB6">
        <w:tc>
          <w:tcPr>
            <w:tcW w:w="0" w:type="auto"/>
            <w:vAlign w:val="center"/>
          </w:tcPr>
          <w:p w14:paraId="5EFE9045">
            <w:pPr>
              <w:spacing w:line="360" w:lineRule="auto"/>
              <w:jc w:val="both"/>
              <w:rPr>
                <w:rFonts w:ascii="Times New Roman" w:hAnsi="Times New Roman" w:cs="Times New Roman"/>
                <w:lang w:val="en-US"/>
              </w:rPr>
            </w:pPr>
            <w:r>
              <w:rPr>
                <w:rFonts w:ascii="Times New Roman" w:hAnsi="Times New Roman" w:cs="Times New Roman"/>
                <w:lang w:val="en-US"/>
              </w:rPr>
              <w:t>Duffek et al. (2025)</w:t>
            </w:r>
          </w:p>
        </w:tc>
        <w:tc>
          <w:tcPr>
            <w:tcW w:w="0" w:type="auto"/>
            <w:vAlign w:val="center"/>
          </w:tcPr>
          <w:p w14:paraId="66F18AB8">
            <w:pPr>
              <w:spacing w:line="360" w:lineRule="auto"/>
              <w:jc w:val="both"/>
              <w:rPr>
                <w:rFonts w:ascii="Times New Roman" w:hAnsi="Times New Roman" w:cs="Times New Roman"/>
                <w:lang w:val="en-US"/>
              </w:rPr>
            </w:pPr>
            <w:r>
              <w:rPr>
                <w:rFonts w:ascii="Times New Roman" w:hAnsi="Times New Roman" w:cs="Times New Roman"/>
                <w:lang w:val="en-US"/>
              </w:rPr>
              <w:t>Authenticity</w:t>
            </w:r>
          </w:p>
        </w:tc>
        <w:tc>
          <w:tcPr>
            <w:tcW w:w="0" w:type="auto"/>
            <w:vAlign w:val="center"/>
          </w:tcPr>
          <w:p w14:paraId="5B63A503">
            <w:pPr>
              <w:spacing w:line="360" w:lineRule="auto"/>
              <w:jc w:val="both"/>
              <w:rPr>
                <w:rFonts w:ascii="Times New Roman" w:hAnsi="Times New Roman" w:cs="Times New Roman"/>
                <w:lang w:val="en-US"/>
              </w:rPr>
            </w:pPr>
            <w:r>
              <w:rPr>
                <w:rFonts w:ascii="Times New Roman" w:hAnsi="Times New Roman" w:cs="Times New Roman"/>
                <w:lang w:val="en-US"/>
              </w:rPr>
              <w:t>Consistency, connectedness, originality, integrity and transparency identified</w:t>
            </w:r>
          </w:p>
        </w:tc>
      </w:tr>
      <w:tr w14:paraId="464B7323">
        <w:tc>
          <w:tcPr>
            <w:tcW w:w="0" w:type="auto"/>
            <w:vAlign w:val="center"/>
          </w:tcPr>
          <w:p w14:paraId="54DF0AB1">
            <w:pPr>
              <w:spacing w:line="360" w:lineRule="auto"/>
              <w:jc w:val="both"/>
              <w:rPr>
                <w:rFonts w:ascii="Times New Roman" w:hAnsi="Times New Roman" w:cs="Times New Roman"/>
                <w:lang w:val="en-US"/>
              </w:rPr>
            </w:pPr>
            <w:r>
              <w:rPr>
                <w:rFonts w:ascii="Times New Roman" w:hAnsi="Times New Roman" w:cs="Times New Roman"/>
                <w:lang w:val="en-US"/>
              </w:rPr>
              <w:t>Chetioui et al. (2020)</w:t>
            </w:r>
          </w:p>
        </w:tc>
        <w:tc>
          <w:tcPr>
            <w:tcW w:w="0" w:type="auto"/>
            <w:vAlign w:val="center"/>
          </w:tcPr>
          <w:p w14:paraId="0BAA1972">
            <w:pPr>
              <w:spacing w:line="360" w:lineRule="auto"/>
              <w:jc w:val="both"/>
              <w:rPr>
                <w:rFonts w:ascii="Times New Roman" w:hAnsi="Times New Roman" w:cs="Times New Roman"/>
                <w:lang w:val="en-US"/>
              </w:rPr>
            </w:pPr>
            <w:r>
              <w:rPr>
                <w:rFonts w:ascii="Times New Roman" w:hAnsi="Times New Roman" w:cs="Times New Roman"/>
                <w:lang w:val="en-US"/>
              </w:rPr>
              <w:t>Congruence</w:t>
            </w:r>
          </w:p>
        </w:tc>
        <w:tc>
          <w:tcPr>
            <w:tcW w:w="0" w:type="auto"/>
            <w:vAlign w:val="center"/>
          </w:tcPr>
          <w:p w14:paraId="179EE888">
            <w:pPr>
              <w:spacing w:line="360" w:lineRule="auto"/>
              <w:jc w:val="both"/>
              <w:rPr>
                <w:rFonts w:ascii="Times New Roman" w:hAnsi="Times New Roman" w:cs="Times New Roman"/>
                <w:lang w:val="en-US"/>
              </w:rPr>
            </w:pPr>
            <w:r>
              <w:rPr>
                <w:rFonts w:ascii="Times New Roman" w:hAnsi="Times New Roman" w:cs="Times New Roman"/>
                <w:lang w:val="en-US"/>
              </w:rPr>
              <w:t>Positive relationship with influencer attitude, β = .145</w:t>
            </w:r>
          </w:p>
        </w:tc>
      </w:tr>
      <w:tr w14:paraId="4413EDCC">
        <w:tc>
          <w:tcPr>
            <w:tcW w:w="0" w:type="auto"/>
            <w:vAlign w:val="center"/>
          </w:tcPr>
          <w:p w14:paraId="578CD55D">
            <w:pPr>
              <w:spacing w:line="360" w:lineRule="auto"/>
              <w:jc w:val="both"/>
              <w:rPr>
                <w:rFonts w:ascii="Times New Roman" w:hAnsi="Times New Roman" w:cs="Times New Roman"/>
                <w:lang w:val="en-US"/>
              </w:rPr>
            </w:pPr>
            <w:r>
              <w:rPr>
                <w:rFonts w:ascii="Times New Roman" w:hAnsi="Times New Roman" w:cs="Times New Roman"/>
                <w:lang w:val="en-US"/>
              </w:rPr>
              <w:t>De Veirman et al. (2017)</w:t>
            </w:r>
          </w:p>
        </w:tc>
        <w:tc>
          <w:tcPr>
            <w:tcW w:w="0" w:type="auto"/>
            <w:vAlign w:val="center"/>
          </w:tcPr>
          <w:p w14:paraId="50E22DD8">
            <w:pPr>
              <w:spacing w:line="360" w:lineRule="auto"/>
              <w:jc w:val="both"/>
              <w:rPr>
                <w:rFonts w:ascii="Times New Roman" w:hAnsi="Times New Roman" w:cs="Times New Roman"/>
                <w:lang w:val="en-US"/>
              </w:rPr>
            </w:pPr>
            <w:r>
              <w:rPr>
                <w:rFonts w:ascii="Times New Roman" w:hAnsi="Times New Roman" w:cs="Times New Roman"/>
                <w:lang w:val="en-US"/>
              </w:rPr>
              <w:t>Follower number × product divergence</w:t>
            </w:r>
          </w:p>
        </w:tc>
        <w:tc>
          <w:tcPr>
            <w:tcW w:w="0" w:type="auto"/>
            <w:vAlign w:val="center"/>
          </w:tcPr>
          <w:p w14:paraId="1005A83D">
            <w:pPr>
              <w:spacing w:line="360" w:lineRule="auto"/>
              <w:jc w:val="both"/>
              <w:rPr>
                <w:rFonts w:ascii="Times New Roman" w:hAnsi="Times New Roman" w:cs="Times New Roman"/>
                <w:lang w:val="en-US"/>
              </w:rPr>
            </w:pPr>
            <w:r>
              <w:rPr>
                <w:rFonts w:ascii="Times New Roman" w:hAnsi="Times New Roman" w:cs="Times New Roman"/>
                <w:lang w:val="en-US"/>
              </w:rPr>
              <w:t>Effects on brand outcomes were conditional</w:t>
            </w:r>
          </w:p>
        </w:tc>
      </w:tr>
      <w:tr w14:paraId="26277884">
        <w:tc>
          <w:tcPr>
            <w:tcW w:w="0" w:type="auto"/>
            <w:vAlign w:val="center"/>
          </w:tcPr>
          <w:p w14:paraId="4B968972">
            <w:pPr>
              <w:spacing w:line="360" w:lineRule="auto"/>
              <w:jc w:val="both"/>
              <w:rPr>
                <w:rFonts w:ascii="Times New Roman" w:hAnsi="Times New Roman" w:cs="Times New Roman"/>
                <w:lang w:val="en-US"/>
              </w:rPr>
            </w:pPr>
            <w:r>
              <w:rPr>
                <w:rFonts w:ascii="Times New Roman" w:hAnsi="Times New Roman" w:cs="Times New Roman"/>
                <w:lang w:val="en-US"/>
              </w:rPr>
              <w:t>Mahn et al. (2026)</w:t>
            </w:r>
          </w:p>
        </w:tc>
        <w:tc>
          <w:tcPr>
            <w:tcW w:w="0" w:type="auto"/>
            <w:vAlign w:val="center"/>
          </w:tcPr>
          <w:p w14:paraId="6923A830">
            <w:pPr>
              <w:spacing w:line="360" w:lineRule="auto"/>
              <w:jc w:val="both"/>
              <w:rPr>
                <w:rFonts w:ascii="Times New Roman" w:hAnsi="Times New Roman" w:cs="Times New Roman"/>
                <w:lang w:val="en-US"/>
              </w:rPr>
            </w:pPr>
            <w:r>
              <w:rPr>
                <w:rFonts w:ascii="Times New Roman" w:hAnsi="Times New Roman" w:cs="Times New Roman"/>
                <w:lang w:val="en-US"/>
              </w:rPr>
              <w:t>Authenticity/expertise/trustworthiness</w:t>
            </w:r>
          </w:p>
        </w:tc>
        <w:tc>
          <w:tcPr>
            <w:tcW w:w="0" w:type="auto"/>
            <w:vAlign w:val="center"/>
          </w:tcPr>
          <w:p w14:paraId="17F8281C">
            <w:pPr>
              <w:keepNext/>
              <w:spacing w:line="360" w:lineRule="auto"/>
              <w:jc w:val="both"/>
              <w:rPr>
                <w:rFonts w:ascii="Times New Roman" w:hAnsi="Times New Roman" w:cs="Times New Roman"/>
                <w:lang w:val="en-US"/>
              </w:rPr>
            </w:pPr>
            <w:r>
              <w:rPr>
                <w:rFonts w:ascii="Times New Roman" w:hAnsi="Times New Roman" w:cs="Times New Roman"/>
                <w:lang w:val="en-US"/>
              </w:rPr>
              <w:t>Minor direct role in PI relative to post characteristics</w:t>
            </w:r>
          </w:p>
        </w:tc>
      </w:tr>
    </w:tbl>
    <w:p w14:paraId="53471839">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authenticity evidence was therefore substantial at the relational level, but the quantitative association between authenticity and purchase intention was not uniform across the included studies.</w:t>
      </w:r>
    </w:p>
    <w:p w14:paraId="0516D7D0">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68A77D3E">
      <w:pPr>
        <w:pStyle w:val="3"/>
        <w:pageBreakBefore w:val="0"/>
        <w:widowControl/>
        <w:kinsoku/>
        <w:wordWrap/>
        <w:overflowPunct/>
        <w:topLinePunct w:val="0"/>
        <w:autoSpaceDE/>
        <w:autoSpaceDN/>
        <w:bidi w:val="0"/>
        <w:adjustRightInd/>
        <w:snapToGrid/>
        <w:spacing w:before="0" w:line="480" w:lineRule="auto"/>
        <w:textAlignment w:val="auto"/>
        <w:rPr>
          <w:rFonts w:ascii="Times New Roman" w:hAnsi="Times New Roman" w:cs="Times New Roman"/>
          <w:b/>
          <w:bCs/>
          <w:color w:val="auto"/>
          <w:sz w:val="24"/>
          <w:szCs w:val="24"/>
          <w:lang w:val="en-US"/>
        </w:rPr>
      </w:pPr>
      <w:bookmarkStart w:id="174" w:name="_Toc240993933"/>
      <w:bookmarkStart w:id="175" w:name="_Toc18864"/>
      <w:bookmarkStart w:id="176" w:name="_Toc25111"/>
      <w:bookmarkStart w:id="177" w:name="_Toc9675"/>
      <w:bookmarkStart w:id="178" w:name="_Toc18271"/>
      <w:bookmarkStart w:id="179" w:name="_Toc11929"/>
      <w:r>
        <w:rPr>
          <w:rFonts w:ascii="Times New Roman" w:hAnsi="Times New Roman" w:cs="Times New Roman"/>
          <w:b/>
          <w:bCs/>
          <w:color w:val="auto"/>
          <w:sz w:val="24"/>
          <w:szCs w:val="24"/>
          <w:lang w:val="en-US"/>
        </w:rPr>
        <w:t>4.4 Parasocial Relationships, Attachment and Other Psychological Mechanisms</w:t>
      </w:r>
      <w:bookmarkEnd w:id="174"/>
      <w:bookmarkEnd w:id="175"/>
      <w:bookmarkEnd w:id="176"/>
      <w:bookmarkEnd w:id="177"/>
      <w:bookmarkEnd w:id="178"/>
      <w:bookmarkEnd w:id="179"/>
    </w:p>
    <w:p w14:paraId="1739FE7D">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concept of parasocial relationships is important in understanding the impact of influencer marketing on consumer purchase intention as it turns the communication of influencers into a social relationship. Parasocial Interaction Theory suggests that an audience may feel familiar and connected with media personalities even though the interaction is one-sided (Horton &amp; Wohl, 1956). This theory is especially pertinent in the realm of influencer marketing, where followers often come across influencers through their personal lifestyle content, where recommendations can be seen as a form of trust and familiarity as well as advertising assessment. This is in line with Parasocial Interaction Theory as the effectiveness of influencers is partially based on the perceived relationship between the influencer and consumer.</w:t>
      </w:r>
    </w:p>
    <w:p w14:paraId="26E4C66C">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69ABF484">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In the context of fashion and beauty influencers, the link between parasocial interaction and purchase intention is robust, indicating that relational closeness plays a significant role in consumer decision-making. Sokolova and Kefi (2020) discovered that there was a positive correlation between parasocial interaction and purchase intention for users who follow beauty and fashion influencers on Instagram and YouTube. Their results also revealed that attitude homophily had a positive effect on parasocial interaction, and that both influencer credibility and parasocial interaction had a positive effect on purchase intention (Sokolova &amp; Kefi, 2020). This indicates that when consumers feel similarity and connection with the influencer, they are more likely to take their advice. This is more in line with Parasocial Interaction Theory than traditional advertising models as the persuasive effect seems to stem from the influence of the relationship and not just exposure.</w:t>
      </w:r>
    </w:p>
    <w:p w14:paraId="6E89F6FF">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04D06B7C">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Parasocial relationships play a role in the purchase intention through the increase of the credibility of the influencer and the trust in the brand, which forms a sequential process from the formation of the relationship to the consumer's response. According to Reinikainen et al. (2020), parasocial relationships positively affected the credibility of the influencers, which in turn led to brand trust and purchase intention. The results show that relational familiarity can impact consumers' assessments of the influencer as a credible source of brand information (Reinikainen et al., 2020). The results of this study support the Source Credibility Theory as credibility is still a significant mechanism in persuasion; however, the results extend the theory by demonstrating that credibility can be built not only on expertise and trustworthiness as fixed source characteristics (Hovland &amp; Weiss, 1951; Ohanian, 1990), but also through an existing consumer–influencer relationship.</w:t>
      </w:r>
    </w:p>
    <w:p w14:paraId="1329D413">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2A07C68F">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Evidence also indicates that authenticity, similarity and informative content are factors that contribute to the development of a parasocial relationship before it affects purchase intention, further evidence of the strength of parasocial relationships. Liu and Zheng (2024) discovered that informative value had a positive impact on parasocial relationships (β = .174, p = .036), and authenticity (β = .309, p = .005) and homophily (β = .230, p = .014) also positively influenced parasocial relationships. Their model revealed that parasocial relationships later on predicted brand credibility (β = .550, p &lt; .001) and purchase intention (β = .490, p &lt; .001) (Liu &amp; Zheng, 2024). These results align with the Human Brand Theory, which posits that consumers can form bonds with humanised personalities and extend those bonds to related products and brands (Thomson, 2006; Ki et al., 2020). The results also suggest that relational influence is not a single factor, however, and that popularity does not necessarily lead to parasocial relationships.</w:t>
      </w:r>
    </w:p>
    <w:p w14:paraId="6EDC5653">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01551BE2">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Consumer awareness of commercial persuasion does not necessarily remove the influence of parasocial relationships, but may change the way credibility is judged. Liu and Zheng (2024) discovered that persuasion knowledge negatively moderated the link between parasocial relationship and brand credibility (β = -.077, p = .018), but did not significantly moderate the relationship between parasocial relationship and purchase intention (β = .033, p = .334). This is in line with the Persuasion Knowledge Model as the consumer might be aware that the content created by the influencer has a commercial purpose, but still feel connected to the influencer (Friestad &amp; Wright, 1994). It means that sponsorship awareness does not necessarily preclude persuasion; consumers might still respond when the relational attachment is strong.</w:t>
      </w:r>
    </w:p>
    <w:p w14:paraId="10EE29D7">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68DC5061">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Parasocial interaction has been found to affect purchase intention in addition to the quality of the content, indicating that relationships alone are not enough without valuable influencer communication. Gomes et al. (2022) revealed that parasocial interaction and content quality had a positive impact on purchase intention in the context of fashion influencers. Their results show that the responses of consumers are influenced by the relationship they have formed with the influencer and the usefulness of the content promoted (Gomes et al., 2022). These findings are in line with the Elaboration Likelihood Model which posits that consumers can process persuasive messages on the basis of source cues and information quality (Petty &amp; Cacioppo, 1986). Influencer relationships, thus, provide persuasive potential, while content characteristics provide the means of turning that potential into purchase intention.</w:t>
      </w:r>
    </w:p>
    <w:p w14:paraId="7B84B6CB">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32D08025">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Beyond individual sponsored posts, attachment and psychological fulfilment offer further explanations of how influencers can affect consumers' responses. Ki et al. (2020) discovered that inspiration, enjoyment, similarity, informativeness, and visual aesthetics and expertise led to need fulfilment, which in turn led to positive reactions to the products and brands endorsed by the influencers and increased attachment to the influencers. This finding aligns with Human Brand Theory as it suggests that influencers can be viewed as human brands that can establish emotional connections and transfer positive associations to products (Ki et al., 2020; Thomson, 2006). But, it is important to note that attachment does not necessarily translate to purchase as the link between emotional connection and actual buying behaviour is less concrete.</w:t>
      </w:r>
    </w:p>
    <w:p w14:paraId="4BAA33C1">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03D0C777">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New evidence suggests that psychological mechanisms that influence purchase intention are not limited to parasocial relationships, but also to flow and self-presentation processes. Goo and An (2026) discovered that flow experience had a positive impact on purchase intention in the context of fashion Instagram use, and self-presentation played a moderating role in the relationships within the model. This indicates that consumers might interact with an influencer's content not just due to their attachment to the influencer but also because it allows them to express their identity and experience immersion (Goo &amp; An, 2026). These findings align with Desire-to-Mimic Theory, which suggests that consumers might mimic parts of their desired influencers' identities by making consumption decisions (Ki &amp; Kim, 2019).</w:t>
      </w:r>
    </w:p>
    <w:p w14:paraId="155E19ED">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But parasocial attachment is not always the most important determinant of purchase intention, suggesting that sometimes content attributes are more important than relationship attributes. While qualitative evidence suggested that friend-like and aspirational relationships between viewers and influencers existed, attachment was only marginally important in the quantitative model, as compared to inspiration and informational value, according to Mahn et al. (2026). The results indicate that parasocial relationships serve as a basis for influence, while immediate purchase intention might be more strongly related to content that offers inspiration or product information (Mahn et al., 2026). Thus, the effectiveness of influencer marketing can be considered as a multi-stage process in which relationships, psychological responses and content value do not necessarily lead to purchase.</w:t>
      </w:r>
    </w:p>
    <w:p w14:paraId="4101DE4F">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29A7D79B">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Generally, parasocial relationships are one of the most robust mechanisms that connects influencer marketing with purchase intention, however, content quality, consumer characteristics and commercial context play a role in the influence of parasocial relationships. The evidence suggests that influencers can be convincing not just on the basis of credibility, but also because of proximity, sense of identity and emotional bonding. But, since most studies measure purchase intention instead of actual purchasing behaviour, parasocial influence should be seen as evidence of persuasive effectiveness rather than direct financial ROI (Pan et al., 2025).</w:t>
      </w:r>
    </w:p>
    <w:p w14:paraId="73AD5B2A">
      <w:pPr>
        <w:pStyle w:val="11"/>
        <w:rPr>
          <w:rFonts w:ascii="Times New Roman" w:hAnsi="Times New Roman" w:cs="Times New Roman"/>
          <w:lang w:val="en-US"/>
        </w:rPr>
      </w:pPr>
      <w:bookmarkStart w:id="180" w:name="_Toc28878"/>
      <w:bookmarkStart w:id="181" w:name="_Toc5055"/>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t>: Parasocial and psychological findings</w:t>
      </w:r>
      <w:bookmarkEnd w:id="180"/>
      <w:bookmarkEnd w:id="181"/>
    </w:p>
    <w:tbl>
      <w:tblPr>
        <w:tblStyle w:val="2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15" w:type="dxa"/>
          <w:left w:w="15" w:type="dxa"/>
          <w:bottom w:w="15" w:type="dxa"/>
          <w:right w:w="15" w:type="dxa"/>
        </w:tblCellMar>
      </w:tblPr>
      <w:tblGrid>
        <w:gridCol w:w="2372"/>
        <w:gridCol w:w="3471"/>
        <w:gridCol w:w="3547"/>
      </w:tblGrid>
      <w:tr w14:paraId="40457378">
        <w:trPr>
          <w:tblHeader/>
        </w:trPr>
        <w:tc>
          <w:tcPr>
            <w:tcW w:w="0" w:type="auto"/>
            <w:vAlign w:val="center"/>
          </w:tcPr>
          <w:p w14:paraId="0EA15437">
            <w:pPr>
              <w:spacing w:line="360" w:lineRule="auto"/>
              <w:jc w:val="both"/>
              <w:rPr>
                <w:rFonts w:ascii="Times New Roman" w:hAnsi="Times New Roman" w:cs="Times New Roman"/>
                <w:b/>
                <w:bCs/>
                <w:lang w:val="en-US"/>
              </w:rPr>
            </w:pPr>
            <w:r>
              <w:rPr>
                <w:rFonts w:ascii="Times New Roman" w:hAnsi="Times New Roman" w:cs="Times New Roman"/>
                <w:b/>
                <w:bCs/>
                <w:lang w:val="en-US"/>
              </w:rPr>
              <w:t>Study</w:t>
            </w:r>
          </w:p>
        </w:tc>
        <w:tc>
          <w:tcPr>
            <w:tcW w:w="0" w:type="auto"/>
            <w:vAlign w:val="center"/>
          </w:tcPr>
          <w:p w14:paraId="5E288AE2">
            <w:pPr>
              <w:spacing w:line="360" w:lineRule="auto"/>
              <w:jc w:val="both"/>
              <w:rPr>
                <w:rFonts w:ascii="Times New Roman" w:hAnsi="Times New Roman" w:cs="Times New Roman"/>
                <w:b/>
                <w:bCs/>
                <w:lang w:val="en-US"/>
              </w:rPr>
            </w:pPr>
            <w:r>
              <w:rPr>
                <w:rFonts w:ascii="Times New Roman" w:hAnsi="Times New Roman" w:cs="Times New Roman"/>
                <w:b/>
                <w:bCs/>
                <w:lang w:val="en-US"/>
              </w:rPr>
              <w:t>Mechanism</w:t>
            </w:r>
          </w:p>
        </w:tc>
        <w:tc>
          <w:tcPr>
            <w:tcW w:w="0" w:type="auto"/>
            <w:vAlign w:val="center"/>
          </w:tcPr>
          <w:p w14:paraId="5464F630">
            <w:pPr>
              <w:spacing w:line="360" w:lineRule="auto"/>
              <w:jc w:val="both"/>
              <w:rPr>
                <w:rFonts w:ascii="Times New Roman" w:hAnsi="Times New Roman" w:cs="Times New Roman"/>
                <w:b/>
                <w:bCs/>
                <w:lang w:val="en-US"/>
              </w:rPr>
            </w:pPr>
            <w:r>
              <w:rPr>
                <w:rFonts w:ascii="Times New Roman" w:hAnsi="Times New Roman" w:cs="Times New Roman"/>
                <w:b/>
                <w:bCs/>
                <w:lang w:val="en-US"/>
              </w:rPr>
              <w:t>Reported result</w:t>
            </w:r>
          </w:p>
        </w:tc>
      </w:tr>
      <w:tr w14:paraId="002D3CDA">
        <w:tc>
          <w:tcPr>
            <w:tcW w:w="0" w:type="auto"/>
            <w:vAlign w:val="center"/>
          </w:tcPr>
          <w:p w14:paraId="436B88E0">
            <w:pPr>
              <w:spacing w:line="360" w:lineRule="auto"/>
              <w:jc w:val="both"/>
              <w:rPr>
                <w:rFonts w:ascii="Times New Roman" w:hAnsi="Times New Roman" w:cs="Times New Roman"/>
                <w:lang w:val="en-US"/>
              </w:rPr>
            </w:pPr>
            <w:r>
              <w:rPr>
                <w:rFonts w:ascii="Times New Roman" w:hAnsi="Times New Roman" w:cs="Times New Roman"/>
                <w:lang w:val="en-US"/>
              </w:rPr>
              <w:t>Sokolova and Kefi (2020)</w:t>
            </w:r>
          </w:p>
        </w:tc>
        <w:tc>
          <w:tcPr>
            <w:tcW w:w="0" w:type="auto"/>
            <w:vAlign w:val="center"/>
          </w:tcPr>
          <w:p w14:paraId="0F6EE1C1">
            <w:pPr>
              <w:spacing w:line="360" w:lineRule="auto"/>
              <w:jc w:val="both"/>
              <w:rPr>
                <w:rFonts w:ascii="Times New Roman" w:hAnsi="Times New Roman" w:cs="Times New Roman"/>
                <w:lang w:val="en-US"/>
              </w:rPr>
            </w:pPr>
            <w:r>
              <w:rPr>
                <w:rFonts w:ascii="Times New Roman" w:hAnsi="Times New Roman" w:cs="Times New Roman"/>
                <w:lang w:val="en-US"/>
              </w:rPr>
              <w:t>PSI → PI</w:t>
            </w:r>
          </w:p>
        </w:tc>
        <w:tc>
          <w:tcPr>
            <w:tcW w:w="0" w:type="auto"/>
            <w:vAlign w:val="center"/>
          </w:tcPr>
          <w:p w14:paraId="2BD75D91">
            <w:pPr>
              <w:spacing w:line="360" w:lineRule="auto"/>
              <w:jc w:val="both"/>
              <w:rPr>
                <w:rFonts w:ascii="Times New Roman" w:hAnsi="Times New Roman" w:cs="Times New Roman"/>
                <w:lang w:val="en-US"/>
              </w:rPr>
            </w:pPr>
            <w:r>
              <w:rPr>
                <w:rFonts w:ascii="Times New Roman" w:hAnsi="Times New Roman" w:cs="Times New Roman"/>
                <w:lang w:val="en-US"/>
              </w:rPr>
              <w:t>Positive, coefficient .118</w:t>
            </w:r>
          </w:p>
        </w:tc>
      </w:tr>
      <w:tr w14:paraId="10B6DDC1">
        <w:tc>
          <w:tcPr>
            <w:tcW w:w="0" w:type="auto"/>
            <w:vAlign w:val="center"/>
          </w:tcPr>
          <w:p w14:paraId="62841B02">
            <w:pPr>
              <w:spacing w:line="360" w:lineRule="auto"/>
              <w:jc w:val="both"/>
              <w:rPr>
                <w:rFonts w:ascii="Times New Roman" w:hAnsi="Times New Roman" w:cs="Times New Roman"/>
                <w:lang w:val="en-US"/>
              </w:rPr>
            </w:pPr>
            <w:r>
              <w:rPr>
                <w:rFonts w:ascii="Times New Roman" w:hAnsi="Times New Roman" w:cs="Times New Roman"/>
                <w:lang w:val="en-US"/>
              </w:rPr>
              <w:t>Reinikainen et al. (2020)</w:t>
            </w:r>
          </w:p>
        </w:tc>
        <w:tc>
          <w:tcPr>
            <w:tcW w:w="0" w:type="auto"/>
            <w:vAlign w:val="center"/>
          </w:tcPr>
          <w:p w14:paraId="010D1531">
            <w:pPr>
              <w:spacing w:line="360" w:lineRule="auto"/>
              <w:jc w:val="both"/>
              <w:rPr>
                <w:rFonts w:ascii="Times New Roman" w:hAnsi="Times New Roman" w:cs="Times New Roman"/>
                <w:lang w:val="en-US"/>
              </w:rPr>
            </w:pPr>
            <w:r>
              <w:rPr>
                <w:rFonts w:ascii="Times New Roman" w:hAnsi="Times New Roman" w:cs="Times New Roman"/>
                <w:lang w:val="en-US"/>
              </w:rPr>
              <w:t>PSR → credibility → brand trust → PI</w:t>
            </w:r>
          </w:p>
        </w:tc>
        <w:tc>
          <w:tcPr>
            <w:tcW w:w="0" w:type="auto"/>
            <w:vAlign w:val="center"/>
          </w:tcPr>
          <w:p w14:paraId="6DF2A528">
            <w:pPr>
              <w:spacing w:line="360" w:lineRule="auto"/>
              <w:jc w:val="both"/>
              <w:rPr>
                <w:rFonts w:ascii="Times New Roman" w:hAnsi="Times New Roman" w:cs="Times New Roman"/>
                <w:lang w:val="en-US"/>
              </w:rPr>
            </w:pPr>
            <w:r>
              <w:rPr>
                <w:rFonts w:ascii="Times New Roman" w:hAnsi="Times New Roman" w:cs="Times New Roman"/>
                <w:lang w:val="en-US"/>
              </w:rPr>
              <w:t>Positive sequence</w:t>
            </w:r>
          </w:p>
        </w:tc>
      </w:tr>
      <w:tr w14:paraId="1E0D520E">
        <w:tc>
          <w:tcPr>
            <w:tcW w:w="0" w:type="auto"/>
            <w:vAlign w:val="center"/>
          </w:tcPr>
          <w:p w14:paraId="5265FB9F">
            <w:pPr>
              <w:spacing w:line="360" w:lineRule="auto"/>
              <w:jc w:val="both"/>
              <w:rPr>
                <w:rFonts w:ascii="Times New Roman" w:hAnsi="Times New Roman" w:cs="Times New Roman"/>
                <w:lang w:val="en-US"/>
              </w:rPr>
            </w:pPr>
            <w:r>
              <w:rPr>
                <w:rFonts w:ascii="Times New Roman" w:hAnsi="Times New Roman" w:cs="Times New Roman"/>
                <w:lang w:val="en-US"/>
              </w:rPr>
              <w:t>Liu and Zheng (2024)</w:t>
            </w:r>
          </w:p>
        </w:tc>
        <w:tc>
          <w:tcPr>
            <w:tcW w:w="0" w:type="auto"/>
            <w:vAlign w:val="center"/>
          </w:tcPr>
          <w:p w14:paraId="2D72D9AE">
            <w:pPr>
              <w:spacing w:line="360" w:lineRule="auto"/>
              <w:jc w:val="both"/>
              <w:rPr>
                <w:rFonts w:ascii="Times New Roman" w:hAnsi="Times New Roman" w:cs="Times New Roman"/>
                <w:lang w:val="en-US"/>
              </w:rPr>
            </w:pPr>
            <w:r>
              <w:rPr>
                <w:rFonts w:ascii="Times New Roman" w:hAnsi="Times New Roman" w:cs="Times New Roman"/>
                <w:lang w:val="en-US"/>
              </w:rPr>
              <w:t>Authenticity → PSR</w:t>
            </w:r>
          </w:p>
        </w:tc>
        <w:tc>
          <w:tcPr>
            <w:tcW w:w="0" w:type="auto"/>
            <w:vAlign w:val="center"/>
          </w:tcPr>
          <w:p w14:paraId="2A15B6AA">
            <w:pPr>
              <w:spacing w:line="360" w:lineRule="auto"/>
              <w:jc w:val="both"/>
              <w:rPr>
                <w:rFonts w:ascii="Times New Roman" w:hAnsi="Times New Roman" w:cs="Times New Roman"/>
                <w:lang w:val="en-US"/>
              </w:rPr>
            </w:pPr>
            <w:r>
              <w:rPr>
                <w:rFonts w:ascii="Times New Roman" w:hAnsi="Times New Roman" w:cs="Times New Roman"/>
                <w:lang w:val="en-US"/>
              </w:rPr>
              <w:t>β = .309, p = .005</w:t>
            </w:r>
          </w:p>
        </w:tc>
      </w:tr>
      <w:tr w14:paraId="03207AE7">
        <w:tc>
          <w:tcPr>
            <w:tcW w:w="0" w:type="auto"/>
            <w:vAlign w:val="center"/>
          </w:tcPr>
          <w:p w14:paraId="0011A2B4">
            <w:pPr>
              <w:spacing w:line="360" w:lineRule="auto"/>
              <w:jc w:val="both"/>
              <w:rPr>
                <w:rFonts w:ascii="Times New Roman" w:hAnsi="Times New Roman" w:cs="Times New Roman"/>
                <w:lang w:val="en-US"/>
              </w:rPr>
            </w:pPr>
            <w:r>
              <w:rPr>
                <w:rFonts w:ascii="Times New Roman" w:hAnsi="Times New Roman" w:cs="Times New Roman"/>
                <w:lang w:val="en-US"/>
              </w:rPr>
              <w:t>Liu and Zheng (2024)</w:t>
            </w:r>
          </w:p>
        </w:tc>
        <w:tc>
          <w:tcPr>
            <w:tcW w:w="0" w:type="auto"/>
            <w:vAlign w:val="center"/>
          </w:tcPr>
          <w:p w14:paraId="3F9B8F09">
            <w:pPr>
              <w:spacing w:line="360" w:lineRule="auto"/>
              <w:jc w:val="both"/>
              <w:rPr>
                <w:rFonts w:ascii="Times New Roman" w:hAnsi="Times New Roman" w:cs="Times New Roman"/>
                <w:lang w:val="en-US"/>
              </w:rPr>
            </w:pPr>
            <w:r>
              <w:rPr>
                <w:rFonts w:ascii="Times New Roman" w:hAnsi="Times New Roman" w:cs="Times New Roman"/>
                <w:lang w:val="en-US"/>
              </w:rPr>
              <w:t>Homophily → PSR</w:t>
            </w:r>
          </w:p>
        </w:tc>
        <w:tc>
          <w:tcPr>
            <w:tcW w:w="0" w:type="auto"/>
            <w:vAlign w:val="center"/>
          </w:tcPr>
          <w:p w14:paraId="4DCB163A">
            <w:pPr>
              <w:spacing w:line="360" w:lineRule="auto"/>
              <w:jc w:val="both"/>
              <w:rPr>
                <w:rFonts w:ascii="Times New Roman" w:hAnsi="Times New Roman" w:cs="Times New Roman"/>
                <w:lang w:val="en-US"/>
              </w:rPr>
            </w:pPr>
            <w:r>
              <w:rPr>
                <w:rFonts w:ascii="Times New Roman" w:hAnsi="Times New Roman" w:cs="Times New Roman"/>
                <w:lang w:val="en-US"/>
              </w:rPr>
              <w:t>β = .230, p = .014</w:t>
            </w:r>
          </w:p>
        </w:tc>
      </w:tr>
      <w:tr w14:paraId="5A8EFA37">
        <w:tc>
          <w:tcPr>
            <w:tcW w:w="0" w:type="auto"/>
            <w:vAlign w:val="center"/>
          </w:tcPr>
          <w:p w14:paraId="10179C81">
            <w:pPr>
              <w:spacing w:line="360" w:lineRule="auto"/>
              <w:jc w:val="both"/>
              <w:rPr>
                <w:rFonts w:ascii="Times New Roman" w:hAnsi="Times New Roman" w:cs="Times New Roman"/>
                <w:lang w:val="en-US"/>
              </w:rPr>
            </w:pPr>
            <w:r>
              <w:rPr>
                <w:rFonts w:ascii="Times New Roman" w:hAnsi="Times New Roman" w:cs="Times New Roman"/>
                <w:lang w:val="en-US"/>
              </w:rPr>
              <w:t>Liu and Zheng (2024)</w:t>
            </w:r>
          </w:p>
        </w:tc>
        <w:tc>
          <w:tcPr>
            <w:tcW w:w="0" w:type="auto"/>
            <w:vAlign w:val="center"/>
          </w:tcPr>
          <w:p w14:paraId="74DBB743">
            <w:pPr>
              <w:spacing w:line="360" w:lineRule="auto"/>
              <w:jc w:val="both"/>
              <w:rPr>
                <w:rFonts w:ascii="Times New Roman" w:hAnsi="Times New Roman" w:cs="Times New Roman"/>
                <w:lang w:val="en-US"/>
              </w:rPr>
            </w:pPr>
            <w:r>
              <w:rPr>
                <w:rFonts w:ascii="Times New Roman" w:hAnsi="Times New Roman" w:cs="Times New Roman"/>
                <w:lang w:val="en-US"/>
              </w:rPr>
              <w:t>PSR → PI</w:t>
            </w:r>
          </w:p>
        </w:tc>
        <w:tc>
          <w:tcPr>
            <w:tcW w:w="0" w:type="auto"/>
            <w:vAlign w:val="center"/>
          </w:tcPr>
          <w:p w14:paraId="2C12713D">
            <w:pPr>
              <w:spacing w:line="360" w:lineRule="auto"/>
              <w:jc w:val="both"/>
              <w:rPr>
                <w:rFonts w:ascii="Times New Roman" w:hAnsi="Times New Roman" w:cs="Times New Roman"/>
                <w:lang w:val="en-US"/>
              </w:rPr>
            </w:pPr>
            <w:r>
              <w:rPr>
                <w:rFonts w:ascii="Times New Roman" w:hAnsi="Times New Roman" w:cs="Times New Roman"/>
                <w:lang w:val="en-US"/>
              </w:rPr>
              <w:t>β = .490, p &lt; .001</w:t>
            </w:r>
          </w:p>
        </w:tc>
      </w:tr>
      <w:tr w14:paraId="2FCCD70B">
        <w:tc>
          <w:tcPr>
            <w:tcW w:w="0" w:type="auto"/>
            <w:vAlign w:val="center"/>
          </w:tcPr>
          <w:p w14:paraId="3A21EDA4">
            <w:pPr>
              <w:spacing w:line="360" w:lineRule="auto"/>
              <w:jc w:val="both"/>
              <w:rPr>
                <w:rFonts w:ascii="Times New Roman" w:hAnsi="Times New Roman" w:cs="Times New Roman"/>
                <w:lang w:val="en-US"/>
              </w:rPr>
            </w:pPr>
            <w:r>
              <w:rPr>
                <w:rFonts w:ascii="Times New Roman" w:hAnsi="Times New Roman" w:cs="Times New Roman"/>
                <w:lang w:val="en-US"/>
              </w:rPr>
              <w:t>Gomes et al. (2022)</w:t>
            </w:r>
          </w:p>
        </w:tc>
        <w:tc>
          <w:tcPr>
            <w:tcW w:w="0" w:type="auto"/>
            <w:vAlign w:val="center"/>
          </w:tcPr>
          <w:p w14:paraId="42A6885E">
            <w:pPr>
              <w:spacing w:line="360" w:lineRule="auto"/>
              <w:jc w:val="both"/>
              <w:rPr>
                <w:rFonts w:ascii="Times New Roman" w:hAnsi="Times New Roman" w:cs="Times New Roman"/>
                <w:lang w:val="en-US"/>
              </w:rPr>
            </w:pPr>
            <w:r>
              <w:rPr>
                <w:rFonts w:ascii="Times New Roman" w:hAnsi="Times New Roman" w:cs="Times New Roman"/>
                <w:lang w:val="en-US"/>
              </w:rPr>
              <w:t>PSI → PI</w:t>
            </w:r>
          </w:p>
        </w:tc>
        <w:tc>
          <w:tcPr>
            <w:tcW w:w="0" w:type="auto"/>
            <w:vAlign w:val="center"/>
          </w:tcPr>
          <w:p w14:paraId="09CA452F">
            <w:pPr>
              <w:spacing w:line="360" w:lineRule="auto"/>
              <w:jc w:val="both"/>
              <w:rPr>
                <w:rFonts w:ascii="Times New Roman" w:hAnsi="Times New Roman" w:cs="Times New Roman"/>
                <w:lang w:val="en-US"/>
              </w:rPr>
            </w:pPr>
            <w:r>
              <w:rPr>
                <w:rFonts w:ascii="Times New Roman" w:hAnsi="Times New Roman" w:cs="Times New Roman"/>
                <w:lang w:val="en-US"/>
              </w:rPr>
              <w:t>Positive</w:t>
            </w:r>
          </w:p>
        </w:tc>
      </w:tr>
      <w:tr w14:paraId="14FF9CB7">
        <w:tc>
          <w:tcPr>
            <w:tcW w:w="0" w:type="auto"/>
            <w:vAlign w:val="center"/>
          </w:tcPr>
          <w:p w14:paraId="606298F6">
            <w:pPr>
              <w:spacing w:line="360" w:lineRule="auto"/>
              <w:jc w:val="both"/>
              <w:rPr>
                <w:rFonts w:ascii="Times New Roman" w:hAnsi="Times New Roman" w:cs="Times New Roman"/>
                <w:lang w:val="en-US"/>
              </w:rPr>
            </w:pPr>
            <w:r>
              <w:rPr>
                <w:rFonts w:ascii="Times New Roman" w:hAnsi="Times New Roman" w:cs="Times New Roman"/>
                <w:lang w:val="en-US"/>
              </w:rPr>
              <w:t>Ki et al. (2020)</w:t>
            </w:r>
          </w:p>
        </w:tc>
        <w:tc>
          <w:tcPr>
            <w:tcW w:w="0" w:type="auto"/>
            <w:vAlign w:val="center"/>
          </w:tcPr>
          <w:p w14:paraId="4192F8A6">
            <w:pPr>
              <w:spacing w:line="360" w:lineRule="auto"/>
              <w:jc w:val="both"/>
              <w:rPr>
                <w:rFonts w:ascii="Times New Roman" w:hAnsi="Times New Roman" w:cs="Times New Roman"/>
                <w:lang w:val="en-US"/>
              </w:rPr>
            </w:pPr>
            <w:r>
              <w:rPr>
                <w:rFonts w:ascii="Times New Roman" w:hAnsi="Times New Roman" w:cs="Times New Roman"/>
                <w:lang w:val="en-US"/>
              </w:rPr>
              <w:t>Attachment</w:t>
            </w:r>
          </w:p>
        </w:tc>
        <w:tc>
          <w:tcPr>
            <w:tcW w:w="0" w:type="auto"/>
            <w:vAlign w:val="center"/>
          </w:tcPr>
          <w:p w14:paraId="3E59C5A2">
            <w:pPr>
              <w:spacing w:line="360" w:lineRule="auto"/>
              <w:jc w:val="both"/>
              <w:rPr>
                <w:rFonts w:ascii="Times New Roman" w:hAnsi="Times New Roman" w:cs="Times New Roman"/>
                <w:lang w:val="en-US"/>
              </w:rPr>
            </w:pPr>
            <w:r>
              <w:rPr>
                <w:rFonts w:ascii="Times New Roman" w:hAnsi="Times New Roman" w:cs="Times New Roman"/>
                <w:lang w:val="en-US"/>
              </w:rPr>
              <w:t>Positive endorsement-related responses</w:t>
            </w:r>
          </w:p>
        </w:tc>
      </w:tr>
      <w:tr w14:paraId="0C4707E3">
        <w:tc>
          <w:tcPr>
            <w:tcW w:w="0" w:type="auto"/>
            <w:vAlign w:val="center"/>
          </w:tcPr>
          <w:p w14:paraId="2D2BC92F">
            <w:pPr>
              <w:spacing w:line="360" w:lineRule="auto"/>
              <w:jc w:val="both"/>
              <w:rPr>
                <w:rFonts w:ascii="Times New Roman" w:hAnsi="Times New Roman" w:cs="Times New Roman"/>
                <w:lang w:val="en-US"/>
              </w:rPr>
            </w:pPr>
            <w:r>
              <w:rPr>
                <w:rFonts w:ascii="Times New Roman" w:hAnsi="Times New Roman" w:cs="Times New Roman"/>
                <w:lang w:val="en-US"/>
              </w:rPr>
              <w:t>Goo and An (2026)</w:t>
            </w:r>
          </w:p>
        </w:tc>
        <w:tc>
          <w:tcPr>
            <w:tcW w:w="0" w:type="auto"/>
            <w:vAlign w:val="center"/>
          </w:tcPr>
          <w:p w14:paraId="03D1EC77">
            <w:pPr>
              <w:spacing w:line="360" w:lineRule="auto"/>
              <w:jc w:val="both"/>
              <w:rPr>
                <w:rFonts w:ascii="Times New Roman" w:hAnsi="Times New Roman" w:cs="Times New Roman"/>
                <w:lang w:val="en-US"/>
              </w:rPr>
            </w:pPr>
            <w:r>
              <w:rPr>
                <w:rFonts w:ascii="Times New Roman" w:hAnsi="Times New Roman" w:cs="Times New Roman"/>
                <w:lang w:val="en-US"/>
              </w:rPr>
              <w:t>Flow → PI</w:t>
            </w:r>
          </w:p>
        </w:tc>
        <w:tc>
          <w:tcPr>
            <w:tcW w:w="0" w:type="auto"/>
            <w:vAlign w:val="center"/>
          </w:tcPr>
          <w:p w14:paraId="27694349">
            <w:pPr>
              <w:spacing w:line="360" w:lineRule="auto"/>
              <w:jc w:val="both"/>
              <w:rPr>
                <w:rFonts w:ascii="Times New Roman" w:hAnsi="Times New Roman" w:cs="Times New Roman"/>
                <w:lang w:val="en-US"/>
              </w:rPr>
            </w:pPr>
            <w:r>
              <w:rPr>
                <w:rFonts w:ascii="Times New Roman" w:hAnsi="Times New Roman" w:cs="Times New Roman"/>
                <w:lang w:val="en-US"/>
              </w:rPr>
              <w:t>Positive</w:t>
            </w:r>
          </w:p>
        </w:tc>
      </w:tr>
      <w:tr w14:paraId="70B48559">
        <w:tc>
          <w:tcPr>
            <w:tcW w:w="0" w:type="auto"/>
            <w:vAlign w:val="center"/>
          </w:tcPr>
          <w:p w14:paraId="1C064411">
            <w:pPr>
              <w:spacing w:line="360" w:lineRule="auto"/>
              <w:jc w:val="both"/>
              <w:rPr>
                <w:rFonts w:ascii="Times New Roman" w:hAnsi="Times New Roman" w:cs="Times New Roman"/>
                <w:lang w:val="en-US"/>
              </w:rPr>
            </w:pPr>
            <w:r>
              <w:rPr>
                <w:rFonts w:ascii="Times New Roman" w:hAnsi="Times New Roman" w:cs="Times New Roman"/>
                <w:lang w:val="en-US"/>
              </w:rPr>
              <w:t>Mahn et al. (2026)</w:t>
            </w:r>
          </w:p>
        </w:tc>
        <w:tc>
          <w:tcPr>
            <w:tcW w:w="0" w:type="auto"/>
            <w:vAlign w:val="center"/>
          </w:tcPr>
          <w:p w14:paraId="376E0749">
            <w:pPr>
              <w:spacing w:line="360" w:lineRule="auto"/>
              <w:jc w:val="both"/>
              <w:rPr>
                <w:rFonts w:ascii="Times New Roman" w:hAnsi="Times New Roman" w:cs="Times New Roman"/>
                <w:lang w:val="en-US"/>
              </w:rPr>
            </w:pPr>
            <w:r>
              <w:rPr>
                <w:rFonts w:ascii="Times New Roman" w:hAnsi="Times New Roman" w:cs="Times New Roman"/>
                <w:lang w:val="en-US"/>
              </w:rPr>
              <w:t>Attachment → PI</w:t>
            </w:r>
          </w:p>
        </w:tc>
        <w:tc>
          <w:tcPr>
            <w:tcW w:w="0" w:type="auto"/>
            <w:vAlign w:val="center"/>
          </w:tcPr>
          <w:p w14:paraId="131A3D76">
            <w:pPr>
              <w:keepNext/>
              <w:spacing w:line="360" w:lineRule="auto"/>
              <w:jc w:val="both"/>
              <w:rPr>
                <w:rFonts w:ascii="Times New Roman" w:hAnsi="Times New Roman" w:cs="Times New Roman"/>
                <w:lang w:val="en-US"/>
              </w:rPr>
            </w:pPr>
            <w:r>
              <w:rPr>
                <w:rFonts w:ascii="Times New Roman" w:hAnsi="Times New Roman" w:cs="Times New Roman"/>
                <w:lang w:val="en-US"/>
              </w:rPr>
              <w:t>Limited relative contribution</w:t>
            </w:r>
          </w:p>
        </w:tc>
      </w:tr>
    </w:tbl>
    <w:p w14:paraId="04E199F9">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586C8AFC">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Across these studies, parasocial relationship was repeatedly and positively associated with credibility, brand trust or purchase intention, although the magnitude and structural position of the relationship differed across models.</w:t>
      </w:r>
    </w:p>
    <w:p w14:paraId="4E0676AD">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084563D8">
      <w:pPr>
        <w:pStyle w:val="3"/>
        <w:keepNext/>
        <w:keepLines/>
        <w:pageBreakBefore w:val="0"/>
        <w:widowControl/>
        <w:kinsoku/>
        <w:wordWrap/>
        <w:overflowPunct/>
        <w:topLinePunct w:val="0"/>
        <w:autoSpaceDE/>
        <w:autoSpaceDN/>
        <w:bidi w:val="0"/>
        <w:adjustRightInd/>
        <w:snapToGrid/>
        <w:spacing w:before="0" w:after="0" w:line="480" w:lineRule="auto"/>
        <w:textAlignment w:val="auto"/>
        <w:rPr>
          <w:rFonts w:ascii="Times New Roman" w:hAnsi="Times New Roman" w:cs="Times New Roman"/>
          <w:b/>
          <w:bCs/>
          <w:color w:val="auto"/>
          <w:sz w:val="24"/>
          <w:szCs w:val="24"/>
          <w:lang w:val="en-US"/>
        </w:rPr>
      </w:pPr>
      <w:bookmarkStart w:id="182" w:name="_Toc10720"/>
      <w:bookmarkStart w:id="183" w:name="_Toc29091"/>
      <w:bookmarkStart w:id="184" w:name="_Toc18833"/>
      <w:bookmarkStart w:id="185" w:name="_Toc6784"/>
      <w:bookmarkStart w:id="186" w:name="_Toc9644"/>
      <w:bookmarkStart w:id="187" w:name="_Toc240993934"/>
      <w:r>
        <w:rPr>
          <w:rFonts w:ascii="Times New Roman" w:hAnsi="Times New Roman" w:cs="Times New Roman"/>
          <w:b/>
          <w:bCs/>
          <w:color w:val="auto"/>
          <w:sz w:val="24"/>
          <w:szCs w:val="24"/>
          <w:lang w:val="en-US"/>
        </w:rPr>
        <w:t>4.5 Sponsorship Disclosure</w:t>
      </w:r>
      <w:bookmarkEnd w:id="182"/>
      <w:bookmarkEnd w:id="183"/>
      <w:bookmarkEnd w:id="184"/>
      <w:bookmarkEnd w:id="185"/>
      <w:bookmarkEnd w:id="186"/>
      <w:bookmarkEnd w:id="187"/>
    </w:p>
    <w:p w14:paraId="12421E42">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Sponsorship disclosure influences influencer marketing effectiveness by changing how consumers recognise commercial intent, although its effect on purchase intention depends on disclosure format and audience interpretation. The results show that disclosure does not necessarily diminish the effectiveness of influencers, but rather how consumers process sponsored content. This is consistent with the Persuasion Knowledge Model, which posits that consumers are sensitive to persuasion cues and adapt their understanding of the message when they see that the message is commercial in nature (Friestad &amp; Wright, 1994).</w:t>
      </w:r>
    </w:p>
    <w:p w14:paraId="0B2E421B">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5708A313">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Disclosure leads to higher ad recognition and brand-related responses, indicating that transparency and consumer engagement can go hand-in-hand. According to Boerman (2020), the standardised Instagram disclosure “Paid partnership with [brand]” was found to have a significant impact on the recognition of the ads compared to content without disclosure. There was also a correlation between higher ad recognition and greater brand recall and engagement with the post, including liking, sharing, and commenting (Boerman, 2020). These findings are consistent with Persuasion Knowledge Theory, as the knowledge of the ad does not always lead to resistance, consumers can be aware of the ad and still respond positively.</w:t>
      </w:r>
    </w:p>
    <w:p w14:paraId="5BF4DE0B">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1AEBA738">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disclosure recognition effect seems to be similar for all influencer types, but it does not necessarily indicate a direct purchase effect. Boerman (2020) discovered that the main disclosure effects on advertising recognition and related outcomes were not significantly different across the various influencer types (micro-influencer and meso-influencer conditions). This indicates that transparency works more to increase the awareness of the sponsorship, and not to alter the impact of the various types of influencers (Boerman, 2020). The study was, however, limited in its ability to provide evidence of actual purchasing behaviour because it focused on advertising recognition and intentions to engage in purchasing.</w:t>
      </w:r>
    </w:p>
    <w:p w14:paraId="4093C744">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4BAA5747">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When consumers are aware of the commercial nature of the content, the connection between disclosure and consumer reaction is more complicated. Evans et al. (2017) found that disclosure wording had an impact on advertising recognition, with the clearer disclosure wording “Paid Ad” resulting in higher recognition than no disclosure and less explicit disclosure wording. But, there was no direct significant relationship between advertising recognition and purchase intention (b = .04, p = .558), which means that being aware of the sponsorship does not necessarily diminish consumer purchase intention (Evans et al., 2017). These findings are in line with the Persuasion Knowledge Model as the awareness of the persuasion does not always prevent persuasive effects but rather alters the interpretation of the message.</w:t>
      </w:r>
    </w:p>
    <w:p w14:paraId="091EC95E">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04D59DC6">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Disclosure effects are not simply positive or negative, but are a function of consumer awareness and remembered sponsorship information. Evans et al. (2017) discovered that the interaction of disclosure memory and advertising recognition had a more negative impact on brand attitude and electronic word-of-mouth intentions, and a marginally negative impact on purchase intention. This indicates that the persuasiveness and reach of persuasion knowledge can impact the consumer's evaluation of sponsored recommendations (Evans et al., 2017). Thus, disclosure can serve as a means of maintaining transparency, and can also lead to increased consumer scrutiny when the commercial intent is very salient.</w:t>
      </w:r>
    </w:p>
    <w:p w14:paraId="75BE5A1B">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699AB42A">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Purchase-related responses are not a universal disclosure effect but are dependent on both the characteristics of the influencer and the disclosure conditions. Under certain experimental conditions, Kay, Mulcahy and Parkinson (2020) discovered that disclosure and influencer category had an impact on product knowledge and purchase intention. They did not find evidence that disclosure negatively impacts the effectiveness of influencers across all types of influencers, as was assumed (Kay et al., 2020). These findings are more in line with a contextual perspective on the persuasion of influencers, in which disclosure outcomes are a function of the interaction between influencer credibility, audience expectations and message conditions.</w:t>
      </w:r>
    </w:p>
    <w:p w14:paraId="0C7C954A">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613FD233">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Overall, the results indicate that disclosure of sponsorship influences the consumer's perception of the influencer marketing but that transparency alone does not necessarily lead to purchase intention. Disclosure is most effective in terms of advertising recognition and cognitive processing, with other factors such as influencer credibility, content quality and audience relationships influencing later outcomes like purchase intention (Boerman, 2020; Evans et al., 2017; Kay et al., 2020). So, in the UK fashion context, disclosure should be viewed as a determinant of persuasion processes and not as a direct measure of campaign success or failure.</w:t>
      </w:r>
    </w:p>
    <w:p w14:paraId="5730614C">
      <w:pPr>
        <w:pStyle w:val="11"/>
        <w:rPr>
          <w:rFonts w:ascii="Times New Roman" w:hAnsi="Times New Roman" w:cs="Times New Roman"/>
          <w:lang w:val="en-US"/>
        </w:rPr>
      </w:pPr>
      <w:bookmarkStart w:id="188" w:name="_Toc240641728"/>
      <w:bookmarkStart w:id="189" w:name="_Toc24985"/>
      <w:bookmarkStart w:id="190" w:name="_Toc8609"/>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t>: Sponsorship-disclosure findings</w:t>
      </w:r>
      <w:bookmarkEnd w:id="188"/>
      <w:bookmarkEnd w:id="189"/>
      <w:bookmarkEnd w:id="190"/>
    </w:p>
    <w:tbl>
      <w:tblPr>
        <w:tblStyle w:val="2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15" w:type="dxa"/>
          <w:left w:w="15" w:type="dxa"/>
          <w:bottom w:w="15" w:type="dxa"/>
          <w:right w:w="15" w:type="dxa"/>
        </w:tblCellMar>
      </w:tblPr>
      <w:tblGrid>
        <w:gridCol w:w="1668"/>
        <w:gridCol w:w="2576"/>
        <w:gridCol w:w="5146"/>
      </w:tblGrid>
      <w:tr w14:paraId="562976A7">
        <w:trPr>
          <w:tblHeader/>
        </w:trPr>
        <w:tc>
          <w:tcPr>
            <w:tcW w:w="0" w:type="auto"/>
            <w:vAlign w:val="center"/>
          </w:tcPr>
          <w:p w14:paraId="686FC8D0">
            <w:pPr>
              <w:spacing w:line="360" w:lineRule="auto"/>
              <w:jc w:val="both"/>
              <w:rPr>
                <w:rFonts w:ascii="Times New Roman" w:hAnsi="Times New Roman" w:cs="Times New Roman"/>
                <w:b/>
                <w:bCs/>
                <w:lang w:val="en-US"/>
              </w:rPr>
            </w:pPr>
            <w:r>
              <w:rPr>
                <w:rFonts w:ascii="Times New Roman" w:hAnsi="Times New Roman" w:cs="Times New Roman"/>
                <w:b/>
                <w:bCs/>
                <w:lang w:val="en-US"/>
              </w:rPr>
              <w:t>Study</w:t>
            </w:r>
          </w:p>
        </w:tc>
        <w:tc>
          <w:tcPr>
            <w:tcW w:w="0" w:type="auto"/>
            <w:vAlign w:val="center"/>
          </w:tcPr>
          <w:p w14:paraId="2377CF0C">
            <w:pPr>
              <w:spacing w:line="360" w:lineRule="auto"/>
              <w:jc w:val="both"/>
              <w:rPr>
                <w:rFonts w:ascii="Times New Roman" w:hAnsi="Times New Roman" w:cs="Times New Roman"/>
                <w:b/>
                <w:bCs/>
                <w:lang w:val="en-US"/>
              </w:rPr>
            </w:pPr>
            <w:r>
              <w:rPr>
                <w:rFonts w:ascii="Times New Roman" w:hAnsi="Times New Roman" w:cs="Times New Roman"/>
                <w:b/>
                <w:bCs/>
                <w:lang w:val="en-US"/>
              </w:rPr>
              <w:t>Outcome</w:t>
            </w:r>
          </w:p>
        </w:tc>
        <w:tc>
          <w:tcPr>
            <w:tcW w:w="0" w:type="auto"/>
            <w:vAlign w:val="center"/>
          </w:tcPr>
          <w:p w14:paraId="464EC006">
            <w:pPr>
              <w:spacing w:line="360" w:lineRule="auto"/>
              <w:jc w:val="both"/>
              <w:rPr>
                <w:rFonts w:ascii="Times New Roman" w:hAnsi="Times New Roman" w:cs="Times New Roman"/>
                <w:b/>
                <w:bCs/>
                <w:lang w:val="en-US"/>
              </w:rPr>
            </w:pPr>
            <w:r>
              <w:rPr>
                <w:rFonts w:ascii="Times New Roman" w:hAnsi="Times New Roman" w:cs="Times New Roman"/>
                <w:b/>
                <w:bCs/>
                <w:lang w:val="en-US"/>
              </w:rPr>
              <w:t>Finding</w:t>
            </w:r>
          </w:p>
        </w:tc>
      </w:tr>
      <w:tr w14:paraId="694EACA7">
        <w:tc>
          <w:tcPr>
            <w:tcW w:w="0" w:type="auto"/>
            <w:vAlign w:val="center"/>
          </w:tcPr>
          <w:p w14:paraId="0FB9C1A8">
            <w:pPr>
              <w:spacing w:line="360" w:lineRule="auto"/>
              <w:jc w:val="both"/>
              <w:rPr>
                <w:rFonts w:ascii="Times New Roman" w:hAnsi="Times New Roman" w:cs="Times New Roman"/>
                <w:lang w:val="en-US"/>
              </w:rPr>
            </w:pPr>
            <w:r>
              <w:rPr>
                <w:rFonts w:ascii="Times New Roman" w:hAnsi="Times New Roman" w:cs="Times New Roman"/>
                <w:lang w:val="en-US"/>
              </w:rPr>
              <w:t>Boerman (2020)</w:t>
            </w:r>
          </w:p>
        </w:tc>
        <w:tc>
          <w:tcPr>
            <w:tcW w:w="0" w:type="auto"/>
            <w:vAlign w:val="center"/>
          </w:tcPr>
          <w:p w14:paraId="64470D77">
            <w:pPr>
              <w:spacing w:line="360" w:lineRule="auto"/>
              <w:jc w:val="both"/>
              <w:rPr>
                <w:rFonts w:ascii="Times New Roman" w:hAnsi="Times New Roman" w:cs="Times New Roman"/>
                <w:lang w:val="en-US"/>
              </w:rPr>
            </w:pPr>
            <w:r>
              <w:rPr>
                <w:rFonts w:ascii="Times New Roman" w:hAnsi="Times New Roman" w:cs="Times New Roman"/>
                <w:lang w:val="en-US"/>
              </w:rPr>
              <w:t>Advertising recognition</w:t>
            </w:r>
          </w:p>
        </w:tc>
        <w:tc>
          <w:tcPr>
            <w:tcW w:w="0" w:type="auto"/>
            <w:vAlign w:val="center"/>
          </w:tcPr>
          <w:p w14:paraId="14DC7A5B">
            <w:pPr>
              <w:spacing w:line="360" w:lineRule="auto"/>
              <w:jc w:val="both"/>
              <w:rPr>
                <w:rFonts w:ascii="Times New Roman" w:hAnsi="Times New Roman" w:cs="Times New Roman"/>
                <w:lang w:val="en-US"/>
              </w:rPr>
            </w:pPr>
            <w:r>
              <w:rPr>
                <w:rFonts w:ascii="Times New Roman" w:hAnsi="Times New Roman" w:cs="Times New Roman"/>
                <w:lang w:val="en-US"/>
              </w:rPr>
              <w:t>Standardised disclosure increased recognition</w:t>
            </w:r>
          </w:p>
        </w:tc>
      </w:tr>
      <w:tr w14:paraId="59894AD7">
        <w:tc>
          <w:tcPr>
            <w:tcW w:w="0" w:type="auto"/>
            <w:vAlign w:val="center"/>
          </w:tcPr>
          <w:p w14:paraId="0A427A55">
            <w:pPr>
              <w:spacing w:line="360" w:lineRule="auto"/>
              <w:jc w:val="both"/>
              <w:rPr>
                <w:rFonts w:ascii="Times New Roman" w:hAnsi="Times New Roman" w:cs="Times New Roman"/>
                <w:lang w:val="en-US"/>
              </w:rPr>
            </w:pPr>
            <w:r>
              <w:rPr>
                <w:rFonts w:ascii="Times New Roman" w:hAnsi="Times New Roman" w:cs="Times New Roman"/>
                <w:lang w:val="en-US"/>
              </w:rPr>
              <w:t>Boerman (2020)</w:t>
            </w:r>
          </w:p>
        </w:tc>
        <w:tc>
          <w:tcPr>
            <w:tcW w:w="0" w:type="auto"/>
            <w:vAlign w:val="center"/>
          </w:tcPr>
          <w:p w14:paraId="335BC56E">
            <w:pPr>
              <w:spacing w:line="360" w:lineRule="auto"/>
              <w:jc w:val="both"/>
              <w:rPr>
                <w:rFonts w:ascii="Times New Roman" w:hAnsi="Times New Roman" w:cs="Times New Roman"/>
                <w:lang w:val="en-US"/>
              </w:rPr>
            </w:pPr>
            <w:r>
              <w:rPr>
                <w:rFonts w:ascii="Times New Roman" w:hAnsi="Times New Roman" w:cs="Times New Roman"/>
                <w:lang w:val="en-US"/>
              </w:rPr>
              <w:t>Brand recall</w:t>
            </w:r>
          </w:p>
        </w:tc>
        <w:tc>
          <w:tcPr>
            <w:tcW w:w="0" w:type="auto"/>
            <w:vAlign w:val="center"/>
          </w:tcPr>
          <w:p w14:paraId="62B1C96D">
            <w:pPr>
              <w:spacing w:line="360" w:lineRule="auto"/>
              <w:jc w:val="both"/>
              <w:rPr>
                <w:rFonts w:ascii="Times New Roman" w:hAnsi="Times New Roman" w:cs="Times New Roman"/>
                <w:lang w:val="en-US"/>
              </w:rPr>
            </w:pPr>
            <w:r>
              <w:rPr>
                <w:rFonts w:ascii="Times New Roman" w:hAnsi="Times New Roman" w:cs="Times New Roman"/>
                <w:lang w:val="en-US"/>
              </w:rPr>
              <w:t>Improved indirectly through ad recognition</w:t>
            </w:r>
          </w:p>
        </w:tc>
      </w:tr>
      <w:tr w14:paraId="714CD075">
        <w:tc>
          <w:tcPr>
            <w:tcW w:w="0" w:type="auto"/>
            <w:vAlign w:val="center"/>
          </w:tcPr>
          <w:p w14:paraId="0308F7B2">
            <w:pPr>
              <w:spacing w:line="360" w:lineRule="auto"/>
              <w:jc w:val="both"/>
              <w:rPr>
                <w:rFonts w:ascii="Times New Roman" w:hAnsi="Times New Roman" w:cs="Times New Roman"/>
                <w:lang w:val="en-US"/>
              </w:rPr>
            </w:pPr>
            <w:r>
              <w:rPr>
                <w:rFonts w:ascii="Times New Roman" w:hAnsi="Times New Roman" w:cs="Times New Roman"/>
                <w:lang w:val="en-US"/>
              </w:rPr>
              <w:t>Boerman (2020)</w:t>
            </w:r>
          </w:p>
        </w:tc>
        <w:tc>
          <w:tcPr>
            <w:tcW w:w="0" w:type="auto"/>
            <w:vAlign w:val="center"/>
          </w:tcPr>
          <w:p w14:paraId="0A131620">
            <w:pPr>
              <w:spacing w:line="360" w:lineRule="auto"/>
              <w:jc w:val="both"/>
              <w:rPr>
                <w:rFonts w:ascii="Times New Roman" w:hAnsi="Times New Roman" w:cs="Times New Roman"/>
                <w:lang w:val="en-US"/>
              </w:rPr>
            </w:pPr>
            <w:r>
              <w:rPr>
                <w:rFonts w:ascii="Times New Roman" w:hAnsi="Times New Roman" w:cs="Times New Roman"/>
                <w:lang w:val="en-US"/>
              </w:rPr>
              <w:t>Online engagement intention</w:t>
            </w:r>
          </w:p>
        </w:tc>
        <w:tc>
          <w:tcPr>
            <w:tcW w:w="0" w:type="auto"/>
            <w:vAlign w:val="center"/>
          </w:tcPr>
          <w:p w14:paraId="19446E6B">
            <w:pPr>
              <w:spacing w:line="360" w:lineRule="auto"/>
              <w:jc w:val="both"/>
              <w:rPr>
                <w:rFonts w:ascii="Times New Roman" w:hAnsi="Times New Roman" w:cs="Times New Roman"/>
                <w:lang w:val="en-US"/>
              </w:rPr>
            </w:pPr>
            <w:r>
              <w:rPr>
                <w:rFonts w:ascii="Times New Roman" w:hAnsi="Times New Roman" w:cs="Times New Roman"/>
                <w:lang w:val="en-US"/>
              </w:rPr>
              <w:t>Positive association with ad recognition</w:t>
            </w:r>
          </w:p>
        </w:tc>
      </w:tr>
      <w:tr w14:paraId="48E4F8A2">
        <w:tc>
          <w:tcPr>
            <w:tcW w:w="0" w:type="auto"/>
            <w:vAlign w:val="center"/>
          </w:tcPr>
          <w:p w14:paraId="2AE6020B">
            <w:pPr>
              <w:spacing w:line="360" w:lineRule="auto"/>
              <w:jc w:val="both"/>
              <w:rPr>
                <w:rFonts w:ascii="Times New Roman" w:hAnsi="Times New Roman" w:cs="Times New Roman"/>
                <w:lang w:val="en-US"/>
              </w:rPr>
            </w:pPr>
            <w:r>
              <w:rPr>
                <w:rFonts w:ascii="Times New Roman" w:hAnsi="Times New Roman" w:cs="Times New Roman"/>
                <w:lang w:val="en-US"/>
              </w:rPr>
              <w:t>Evans et al. (2017)</w:t>
            </w:r>
          </w:p>
        </w:tc>
        <w:tc>
          <w:tcPr>
            <w:tcW w:w="0" w:type="auto"/>
            <w:vAlign w:val="center"/>
          </w:tcPr>
          <w:p w14:paraId="54E920A9">
            <w:pPr>
              <w:spacing w:line="360" w:lineRule="auto"/>
              <w:jc w:val="both"/>
              <w:rPr>
                <w:rFonts w:ascii="Times New Roman" w:hAnsi="Times New Roman" w:cs="Times New Roman"/>
                <w:lang w:val="en-US"/>
              </w:rPr>
            </w:pPr>
            <w:r>
              <w:rPr>
                <w:rFonts w:ascii="Times New Roman" w:hAnsi="Times New Roman" w:cs="Times New Roman"/>
                <w:lang w:val="en-US"/>
              </w:rPr>
              <w:t>Advertising recognition</w:t>
            </w:r>
          </w:p>
        </w:tc>
        <w:tc>
          <w:tcPr>
            <w:tcW w:w="0" w:type="auto"/>
            <w:vAlign w:val="center"/>
          </w:tcPr>
          <w:p w14:paraId="0E96C3DF">
            <w:pPr>
              <w:spacing w:line="360" w:lineRule="auto"/>
              <w:jc w:val="both"/>
              <w:rPr>
                <w:rFonts w:ascii="Times New Roman" w:hAnsi="Times New Roman" w:cs="Times New Roman"/>
                <w:lang w:val="en-US"/>
              </w:rPr>
            </w:pPr>
            <w:r>
              <w:rPr>
                <w:rFonts w:ascii="Times New Roman" w:hAnsi="Times New Roman" w:cs="Times New Roman"/>
                <w:lang w:val="en-US"/>
              </w:rPr>
              <w:t>Disclosure language significantly affected recognition</w:t>
            </w:r>
          </w:p>
        </w:tc>
      </w:tr>
      <w:tr w14:paraId="7E895A3E">
        <w:tc>
          <w:tcPr>
            <w:tcW w:w="0" w:type="auto"/>
            <w:vAlign w:val="center"/>
          </w:tcPr>
          <w:p w14:paraId="132348A7">
            <w:pPr>
              <w:spacing w:line="360" w:lineRule="auto"/>
              <w:jc w:val="both"/>
              <w:rPr>
                <w:rFonts w:ascii="Times New Roman" w:hAnsi="Times New Roman" w:cs="Times New Roman"/>
                <w:lang w:val="en-US"/>
              </w:rPr>
            </w:pPr>
            <w:r>
              <w:rPr>
                <w:rFonts w:ascii="Times New Roman" w:hAnsi="Times New Roman" w:cs="Times New Roman"/>
                <w:lang w:val="en-US"/>
              </w:rPr>
              <w:t>Evans et al. (2017)</w:t>
            </w:r>
          </w:p>
        </w:tc>
        <w:tc>
          <w:tcPr>
            <w:tcW w:w="0" w:type="auto"/>
            <w:vAlign w:val="center"/>
          </w:tcPr>
          <w:p w14:paraId="4BA6F46D">
            <w:pPr>
              <w:spacing w:line="360" w:lineRule="auto"/>
              <w:jc w:val="both"/>
              <w:rPr>
                <w:rFonts w:ascii="Times New Roman" w:hAnsi="Times New Roman" w:cs="Times New Roman"/>
                <w:lang w:val="en-US"/>
              </w:rPr>
            </w:pPr>
            <w:r>
              <w:rPr>
                <w:rFonts w:ascii="Times New Roman" w:hAnsi="Times New Roman" w:cs="Times New Roman"/>
                <w:lang w:val="en-US"/>
              </w:rPr>
              <w:t>PI</w:t>
            </w:r>
          </w:p>
        </w:tc>
        <w:tc>
          <w:tcPr>
            <w:tcW w:w="0" w:type="auto"/>
            <w:vAlign w:val="center"/>
          </w:tcPr>
          <w:p w14:paraId="5EFBD78E">
            <w:pPr>
              <w:spacing w:line="360" w:lineRule="auto"/>
              <w:jc w:val="both"/>
              <w:rPr>
                <w:rFonts w:ascii="Times New Roman" w:hAnsi="Times New Roman" w:cs="Times New Roman"/>
                <w:lang w:val="en-US"/>
              </w:rPr>
            </w:pPr>
            <w:r>
              <w:rPr>
                <w:rFonts w:ascii="Times New Roman" w:hAnsi="Times New Roman" w:cs="Times New Roman"/>
                <w:lang w:val="en-US"/>
              </w:rPr>
              <w:t>No significant direct negative effect from ad recognition</w:t>
            </w:r>
          </w:p>
        </w:tc>
      </w:tr>
      <w:tr w14:paraId="6FE0336A">
        <w:tc>
          <w:tcPr>
            <w:tcW w:w="0" w:type="auto"/>
            <w:vAlign w:val="center"/>
          </w:tcPr>
          <w:p w14:paraId="7657FFCB">
            <w:pPr>
              <w:spacing w:line="360" w:lineRule="auto"/>
              <w:jc w:val="both"/>
              <w:rPr>
                <w:rFonts w:ascii="Times New Roman" w:hAnsi="Times New Roman" w:cs="Times New Roman"/>
                <w:lang w:val="en-US"/>
              </w:rPr>
            </w:pPr>
            <w:r>
              <w:rPr>
                <w:rFonts w:ascii="Times New Roman" w:hAnsi="Times New Roman" w:cs="Times New Roman"/>
                <w:lang w:val="en-US"/>
              </w:rPr>
              <w:t>Evans et al. (2017)</w:t>
            </w:r>
          </w:p>
        </w:tc>
        <w:tc>
          <w:tcPr>
            <w:tcW w:w="0" w:type="auto"/>
            <w:vAlign w:val="center"/>
          </w:tcPr>
          <w:p w14:paraId="28FD17F1">
            <w:pPr>
              <w:spacing w:line="360" w:lineRule="auto"/>
              <w:jc w:val="both"/>
              <w:rPr>
                <w:rFonts w:ascii="Times New Roman" w:hAnsi="Times New Roman" w:cs="Times New Roman"/>
                <w:lang w:val="en-US"/>
              </w:rPr>
            </w:pPr>
            <w:r>
              <w:rPr>
                <w:rFonts w:ascii="Times New Roman" w:hAnsi="Times New Roman" w:cs="Times New Roman"/>
                <w:lang w:val="en-US"/>
              </w:rPr>
              <w:t>Brand attitude/eWOM</w:t>
            </w:r>
          </w:p>
        </w:tc>
        <w:tc>
          <w:tcPr>
            <w:tcW w:w="0" w:type="auto"/>
            <w:vAlign w:val="center"/>
          </w:tcPr>
          <w:p w14:paraId="108C4282">
            <w:pPr>
              <w:spacing w:line="360" w:lineRule="auto"/>
              <w:jc w:val="both"/>
              <w:rPr>
                <w:rFonts w:ascii="Times New Roman" w:hAnsi="Times New Roman" w:cs="Times New Roman"/>
                <w:lang w:val="en-US"/>
              </w:rPr>
            </w:pPr>
            <w:r>
              <w:rPr>
                <w:rFonts w:ascii="Times New Roman" w:hAnsi="Times New Roman" w:cs="Times New Roman"/>
                <w:lang w:val="en-US"/>
              </w:rPr>
              <w:t>Conditional negative effects when disclosure was remembered</w:t>
            </w:r>
          </w:p>
        </w:tc>
      </w:tr>
      <w:tr w14:paraId="1954AD50">
        <w:tc>
          <w:tcPr>
            <w:tcW w:w="0" w:type="auto"/>
            <w:vAlign w:val="center"/>
          </w:tcPr>
          <w:p w14:paraId="07216093">
            <w:pPr>
              <w:spacing w:line="360" w:lineRule="auto"/>
              <w:jc w:val="both"/>
              <w:rPr>
                <w:rFonts w:ascii="Times New Roman" w:hAnsi="Times New Roman" w:cs="Times New Roman"/>
                <w:lang w:val="en-US"/>
              </w:rPr>
            </w:pPr>
            <w:r>
              <w:rPr>
                <w:rFonts w:ascii="Times New Roman" w:hAnsi="Times New Roman" w:cs="Times New Roman"/>
                <w:lang w:val="en-US"/>
              </w:rPr>
              <w:t>Kay et al. (2020)</w:t>
            </w:r>
          </w:p>
        </w:tc>
        <w:tc>
          <w:tcPr>
            <w:tcW w:w="0" w:type="auto"/>
            <w:vAlign w:val="center"/>
          </w:tcPr>
          <w:p w14:paraId="26828CA5">
            <w:pPr>
              <w:spacing w:line="360" w:lineRule="auto"/>
              <w:jc w:val="both"/>
              <w:rPr>
                <w:rFonts w:ascii="Times New Roman" w:hAnsi="Times New Roman" w:cs="Times New Roman"/>
                <w:lang w:val="en-US"/>
              </w:rPr>
            </w:pPr>
            <w:r>
              <w:rPr>
                <w:rFonts w:ascii="Times New Roman" w:hAnsi="Times New Roman" w:cs="Times New Roman"/>
                <w:lang w:val="en-US"/>
              </w:rPr>
              <w:t>Product knowledge / PI</w:t>
            </w:r>
          </w:p>
        </w:tc>
        <w:tc>
          <w:tcPr>
            <w:tcW w:w="0" w:type="auto"/>
            <w:vAlign w:val="center"/>
          </w:tcPr>
          <w:p w14:paraId="795A53FB">
            <w:pPr>
              <w:keepNext/>
              <w:spacing w:line="360" w:lineRule="auto"/>
              <w:jc w:val="both"/>
              <w:rPr>
                <w:rFonts w:ascii="Times New Roman" w:hAnsi="Times New Roman" w:cs="Times New Roman"/>
                <w:lang w:val="en-US"/>
              </w:rPr>
            </w:pPr>
            <w:r>
              <w:rPr>
                <w:rFonts w:ascii="Times New Roman" w:hAnsi="Times New Roman" w:cs="Times New Roman"/>
                <w:lang w:val="en-US"/>
              </w:rPr>
              <w:t>Effects varied across influencer-size and disclosure conditions</w:t>
            </w:r>
          </w:p>
        </w:tc>
      </w:tr>
    </w:tbl>
    <w:p w14:paraId="7ACA6347">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6089838B">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disclosure results thus displayed consistency at the level of advertising recognition but greater variation at later attitudinal and behavioural-intention stages.</w:t>
      </w:r>
    </w:p>
    <w:p w14:paraId="427E5E56">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065154FA">
      <w:pPr>
        <w:pStyle w:val="3"/>
        <w:keepNext/>
        <w:keepLines/>
        <w:pageBreakBefore w:val="0"/>
        <w:widowControl/>
        <w:kinsoku/>
        <w:wordWrap/>
        <w:overflowPunct/>
        <w:topLinePunct w:val="0"/>
        <w:autoSpaceDE/>
        <w:autoSpaceDN/>
        <w:bidi w:val="0"/>
        <w:adjustRightInd/>
        <w:snapToGrid/>
        <w:spacing w:before="0" w:after="0" w:line="480" w:lineRule="auto"/>
        <w:textAlignment w:val="auto"/>
        <w:rPr>
          <w:rFonts w:ascii="Times New Roman" w:hAnsi="Times New Roman" w:cs="Times New Roman"/>
          <w:b/>
          <w:bCs/>
          <w:color w:val="auto"/>
          <w:sz w:val="24"/>
          <w:szCs w:val="24"/>
          <w:lang w:val="en-US"/>
        </w:rPr>
      </w:pPr>
      <w:bookmarkStart w:id="191" w:name="_Toc26671"/>
      <w:bookmarkStart w:id="192" w:name="_Toc20102"/>
      <w:bookmarkStart w:id="193" w:name="_Toc26558"/>
      <w:bookmarkStart w:id="194" w:name="_Toc240993935"/>
      <w:bookmarkStart w:id="195" w:name="_Toc7109"/>
      <w:bookmarkStart w:id="196" w:name="_Toc4843"/>
      <w:r>
        <w:rPr>
          <w:rFonts w:ascii="Times New Roman" w:hAnsi="Times New Roman" w:cs="Times New Roman"/>
          <w:b/>
          <w:bCs/>
          <w:color w:val="auto"/>
          <w:sz w:val="24"/>
          <w:szCs w:val="24"/>
          <w:lang w:val="en-US"/>
        </w:rPr>
        <w:t>4.6 Engagement, Brand Awareness and Campaign Performance</w:t>
      </w:r>
      <w:bookmarkEnd w:id="191"/>
      <w:bookmarkEnd w:id="192"/>
      <w:bookmarkEnd w:id="193"/>
      <w:bookmarkEnd w:id="194"/>
      <w:bookmarkEnd w:id="195"/>
      <w:bookmarkEnd w:id="196"/>
    </w:p>
    <w:p w14:paraId="4BB1D2EF">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Engagement measures provide evidence of consumer response to influencer marketing, but the findings indicate that engagement should be interpreted as an intermediate outcome rather than direct evidence of purchase or financial return. Engagement has been quantified using various metrics in the literature, such as likes, comments, shares, reposts, interaction intentions, and other brand responses, which makes it challenging to compare engagement across different studies (Leung et al., 2022). This separation is crucial to the main research question as engagement is not the only measure of influencer marketing effectiveness. These findings align with the staged effectiveness perspective proposed by Pan et al. (2025), which differentiates between non-transactional outcomes (e.g., engagement and purchase intention) and transactional outcomes (e.g., actual purchasing behaviour and sales).</w:t>
      </w:r>
    </w:p>
    <w:p w14:paraId="220D5885">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1A282164">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It is not about engagement being created through the presence of influencers, but about the match between influencer attributes, content attributes and campaign goals. Hughes, Swaminathan and Brooks (2019) discovered that the results of influencer campaigns were dependent on platform and the purpose/content of the campaign. What they found was that expertise had more relevance in some awareness-focused campaigns, and hedonic content had more relevance in some trial-oriented contexts (Hughes et al., 2019). These findings are in line with Source Credibility Theory as expertise may impact consumer responses when the campaign goal is information and credibility. The results also show that credibility is not enough to make it effective – the value of influencer characteristics is context dependent.</w:t>
      </w:r>
    </w:p>
    <w:p w14:paraId="2AA0356D">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5C4F0743">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When influencers are seen as a source of brand information and recommendation, engagement can lead to purchase intention. Jiménez-Castillo and Sánchez-Fernández (2019) discovered that perceived influencer influence had a positive impact on brand engagement, expected brand value and purchase intention. This indicates that engagement could be an earlier phase of the consumer decision journey, with interaction with influencer content leading to better brand and product assessments. This is in line with Theory of Planned Behaviour which suggests that positive attitudes and perceived value can help to develop behavioural intention prior to purchase (Ajzen, 1991). But the evidence is still limited as purchase intention does not guarantee actual purchases.</w:t>
      </w:r>
    </w:p>
    <w:p w14:paraId="63BEC605">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However, consumers' recognition and interpretation of sponsored content from influencers also play a role in engagement responses. Boerman (2020) discovered that when people were aware that an influencer post was an ad, they were more likely to like, share and comment on it. The findings indicate that the presence of commercial content does not always deter engagement with influencer content. The results confirm the Persuasion Knowledge Model as consumers can detect persuasive intent without stopping their processing of branded messages (Friestad &amp; Wright, 1994). But, after ad recognition, engagement should be seen as a reaction from the audience and not as a measure of sales success.</w:t>
      </w:r>
    </w:p>
    <w:p w14:paraId="27576C7A">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57E37CC5">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However, the size of the follower base is not the only factor to consider when assessing the effectiveness of a campaign, as having a large audience can lead to greater visibility but not necessarily better brand results. De Veirman, Cauberghe and Hudders (2017) discovered that the more followers, the more popular, but product divergence was a determinant of brand outcomes. In certain cases, a high number of followers decreased the sense of uniqueness and diminished brand assessments (De Veirman et al., 2017). These results are more aligned with Product–Influencer Congruence Theory, where effectiveness is not just about the number of followers but also the congruence between the influencer's identity, product attributes, and consumer expectations (Belanche et al., 2021).</w:t>
      </w:r>
    </w:p>
    <w:p w14:paraId="6A5CE972">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3D2D7629">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While investment in influencer marketing can boost engagement, cost-based engagement shouldn't be taken as a measure of financial return on investment. Leung et al. (2022) conducted a study on the data of the campaigns and concluded that for every 1% rise in the amount of money spent on influencer marketing, there was an increase of about 0.457% in engagement. But, engagement elasticity depended on the influencer activity, the fit between the follower and the brand, the positivity of the post, and the salience of the sponsor (Leung et al., 2022). These findings demonstrate that expenditure can generate measurable audience responses, but they do not establish whether campaigns create profit. So engagement is a valuable indicator of campaign performance and is distinct from conversion, attributable sales and financial ROI.</w:t>
      </w:r>
    </w:p>
    <w:p w14:paraId="2D4080C7">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5AE524DA">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In general, the data suggests that engagement is a good proxy for audience response but not enough for commercial success. When there is a match between influencer characteristics, content and campaign goals, influencer marketing can create awareness and interaction and positive brand responses (Hughes et al., 2019; Leung et al., 2022). But, the evidence suggests that conclusions about the effectiveness of communication are stronger than financial outcomes as engagement does not mean that consumers bought products or that incremental profit was generated (Pan et al., 2025).</w:t>
      </w:r>
    </w:p>
    <w:p w14:paraId="180BB0C8">
      <w:pPr>
        <w:pStyle w:val="11"/>
        <w:rPr>
          <w:rFonts w:ascii="Times New Roman" w:hAnsi="Times New Roman" w:cs="Times New Roman"/>
          <w:lang w:val="en-US"/>
        </w:rPr>
      </w:pPr>
      <w:bookmarkStart w:id="197" w:name="_Toc15516"/>
      <w:bookmarkStart w:id="198" w:name="_Toc16837"/>
      <w:bookmarkStart w:id="199" w:name="_Toc240641729"/>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t>: Engagement and campaign-performance findings</w:t>
      </w:r>
      <w:bookmarkEnd w:id="197"/>
      <w:bookmarkEnd w:id="198"/>
      <w:bookmarkEnd w:id="199"/>
    </w:p>
    <w:tbl>
      <w:tblPr>
        <w:tblStyle w:val="2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15" w:type="dxa"/>
          <w:left w:w="15" w:type="dxa"/>
          <w:bottom w:w="15" w:type="dxa"/>
          <w:right w:w="15" w:type="dxa"/>
        </w:tblCellMar>
      </w:tblPr>
      <w:tblGrid>
        <w:gridCol w:w="3015"/>
        <w:gridCol w:w="2498"/>
        <w:gridCol w:w="3877"/>
      </w:tblGrid>
      <w:tr w14:paraId="28C44C2B">
        <w:trPr>
          <w:tblHeader/>
        </w:trPr>
        <w:tc>
          <w:tcPr>
            <w:tcW w:w="0" w:type="auto"/>
            <w:vAlign w:val="center"/>
          </w:tcPr>
          <w:p w14:paraId="23C3A912">
            <w:pPr>
              <w:spacing w:line="360" w:lineRule="auto"/>
              <w:jc w:val="both"/>
              <w:rPr>
                <w:rFonts w:ascii="Times New Roman" w:hAnsi="Times New Roman" w:cs="Times New Roman"/>
                <w:b/>
                <w:bCs/>
                <w:lang w:val="en-US"/>
              </w:rPr>
            </w:pPr>
            <w:r>
              <w:rPr>
                <w:rFonts w:ascii="Times New Roman" w:hAnsi="Times New Roman" w:cs="Times New Roman"/>
                <w:b/>
                <w:bCs/>
                <w:lang w:val="en-US"/>
              </w:rPr>
              <w:t>Study</w:t>
            </w:r>
          </w:p>
        </w:tc>
        <w:tc>
          <w:tcPr>
            <w:tcW w:w="0" w:type="auto"/>
            <w:vAlign w:val="center"/>
          </w:tcPr>
          <w:p w14:paraId="2439E445">
            <w:pPr>
              <w:spacing w:line="360" w:lineRule="auto"/>
              <w:jc w:val="both"/>
              <w:rPr>
                <w:rFonts w:ascii="Times New Roman" w:hAnsi="Times New Roman" w:cs="Times New Roman"/>
                <w:b/>
                <w:bCs/>
                <w:lang w:val="en-US"/>
              </w:rPr>
            </w:pPr>
            <w:r>
              <w:rPr>
                <w:rFonts w:ascii="Times New Roman" w:hAnsi="Times New Roman" w:cs="Times New Roman"/>
                <w:b/>
                <w:bCs/>
                <w:lang w:val="en-US"/>
              </w:rPr>
              <w:t>Metric</w:t>
            </w:r>
          </w:p>
        </w:tc>
        <w:tc>
          <w:tcPr>
            <w:tcW w:w="0" w:type="auto"/>
            <w:vAlign w:val="center"/>
          </w:tcPr>
          <w:p w14:paraId="5BF6DE8A">
            <w:pPr>
              <w:spacing w:line="360" w:lineRule="auto"/>
              <w:jc w:val="both"/>
              <w:rPr>
                <w:rFonts w:ascii="Times New Roman" w:hAnsi="Times New Roman" w:cs="Times New Roman"/>
                <w:b/>
                <w:bCs/>
                <w:lang w:val="en-US"/>
              </w:rPr>
            </w:pPr>
            <w:r>
              <w:rPr>
                <w:rFonts w:ascii="Times New Roman" w:hAnsi="Times New Roman" w:cs="Times New Roman"/>
                <w:b/>
                <w:bCs/>
                <w:lang w:val="en-US"/>
              </w:rPr>
              <w:t>Finding</w:t>
            </w:r>
          </w:p>
        </w:tc>
      </w:tr>
      <w:tr w14:paraId="59D00FC3">
        <w:tc>
          <w:tcPr>
            <w:tcW w:w="0" w:type="auto"/>
            <w:vAlign w:val="center"/>
          </w:tcPr>
          <w:p w14:paraId="0DAAE704">
            <w:pPr>
              <w:spacing w:line="360" w:lineRule="auto"/>
              <w:jc w:val="both"/>
              <w:rPr>
                <w:rFonts w:ascii="Times New Roman" w:hAnsi="Times New Roman" w:cs="Times New Roman"/>
                <w:lang w:val="en-US"/>
              </w:rPr>
            </w:pPr>
            <w:r>
              <w:rPr>
                <w:rFonts w:ascii="Times New Roman" w:hAnsi="Times New Roman" w:cs="Times New Roman"/>
                <w:lang w:val="en-US"/>
              </w:rPr>
              <w:t>Hughes et al. (2019)</w:t>
            </w:r>
          </w:p>
        </w:tc>
        <w:tc>
          <w:tcPr>
            <w:tcW w:w="0" w:type="auto"/>
            <w:vAlign w:val="center"/>
          </w:tcPr>
          <w:p w14:paraId="706D2C50">
            <w:pPr>
              <w:spacing w:line="360" w:lineRule="auto"/>
              <w:jc w:val="both"/>
              <w:rPr>
                <w:rFonts w:ascii="Times New Roman" w:hAnsi="Times New Roman" w:cs="Times New Roman"/>
                <w:lang w:val="en-US"/>
              </w:rPr>
            </w:pPr>
            <w:r>
              <w:rPr>
                <w:rFonts w:ascii="Times New Roman" w:hAnsi="Times New Roman" w:cs="Times New Roman"/>
                <w:lang w:val="en-US"/>
              </w:rPr>
              <w:t>Campaign engagement</w:t>
            </w:r>
          </w:p>
        </w:tc>
        <w:tc>
          <w:tcPr>
            <w:tcW w:w="0" w:type="auto"/>
            <w:vAlign w:val="center"/>
          </w:tcPr>
          <w:p w14:paraId="2749EB2E">
            <w:pPr>
              <w:spacing w:line="360" w:lineRule="auto"/>
              <w:jc w:val="both"/>
              <w:rPr>
                <w:rFonts w:ascii="Times New Roman" w:hAnsi="Times New Roman" w:cs="Times New Roman"/>
                <w:lang w:val="en-US"/>
              </w:rPr>
            </w:pPr>
            <w:r>
              <w:rPr>
                <w:rFonts w:ascii="Times New Roman" w:hAnsi="Times New Roman" w:cs="Times New Roman"/>
                <w:lang w:val="en-US"/>
              </w:rPr>
              <w:t>Varied by platform, objective and content</w:t>
            </w:r>
          </w:p>
        </w:tc>
      </w:tr>
      <w:tr w14:paraId="1BA55DEB">
        <w:tc>
          <w:tcPr>
            <w:tcW w:w="0" w:type="auto"/>
            <w:vAlign w:val="center"/>
          </w:tcPr>
          <w:p w14:paraId="1DF993B1">
            <w:pPr>
              <w:spacing w:line="360" w:lineRule="auto"/>
              <w:jc w:val="both"/>
              <w:rPr>
                <w:rFonts w:ascii="Times New Roman" w:hAnsi="Times New Roman" w:cs="Times New Roman"/>
                <w:lang w:val="en-US"/>
              </w:rPr>
            </w:pPr>
            <w:r>
              <w:rPr>
                <w:rFonts w:ascii="Times New Roman" w:hAnsi="Times New Roman" w:cs="Times New Roman"/>
                <w:lang w:val="en-US"/>
              </w:rPr>
              <w:t>Jiménez-Castillo and Sánchez-Fernández (2019)</w:t>
            </w:r>
          </w:p>
        </w:tc>
        <w:tc>
          <w:tcPr>
            <w:tcW w:w="0" w:type="auto"/>
            <w:vAlign w:val="center"/>
          </w:tcPr>
          <w:p w14:paraId="0AA3BDB4">
            <w:pPr>
              <w:spacing w:line="360" w:lineRule="auto"/>
              <w:jc w:val="both"/>
              <w:rPr>
                <w:rFonts w:ascii="Times New Roman" w:hAnsi="Times New Roman" w:cs="Times New Roman"/>
                <w:lang w:val="en-US"/>
              </w:rPr>
            </w:pPr>
            <w:r>
              <w:rPr>
                <w:rFonts w:ascii="Times New Roman" w:hAnsi="Times New Roman" w:cs="Times New Roman"/>
                <w:lang w:val="en-US"/>
              </w:rPr>
              <w:t>Brand engagement</w:t>
            </w:r>
          </w:p>
        </w:tc>
        <w:tc>
          <w:tcPr>
            <w:tcW w:w="0" w:type="auto"/>
            <w:vAlign w:val="center"/>
          </w:tcPr>
          <w:p w14:paraId="46B1520C">
            <w:pPr>
              <w:spacing w:line="360" w:lineRule="auto"/>
              <w:jc w:val="both"/>
              <w:rPr>
                <w:rFonts w:ascii="Times New Roman" w:hAnsi="Times New Roman" w:cs="Times New Roman"/>
                <w:lang w:val="en-US"/>
              </w:rPr>
            </w:pPr>
            <w:r>
              <w:rPr>
                <w:rFonts w:ascii="Times New Roman" w:hAnsi="Times New Roman" w:cs="Times New Roman"/>
                <w:lang w:val="en-US"/>
              </w:rPr>
              <w:t>Positively associated with perceived influencer influence</w:t>
            </w:r>
          </w:p>
        </w:tc>
      </w:tr>
      <w:tr w14:paraId="591C274C">
        <w:tc>
          <w:tcPr>
            <w:tcW w:w="0" w:type="auto"/>
            <w:vAlign w:val="center"/>
          </w:tcPr>
          <w:p w14:paraId="3210C5C2">
            <w:pPr>
              <w:spacing w:line="360" w:lineRule="auto"/>
              <w:jc w:val="both"/>
              <w:rPr>
                <w:rFonts w:ascii="Times New Roman" w:hAnsi="Times New Roman" w:cs="Times New Roman"/>
                <w:lang w:val="en-US"/>
              </w:rPr>
            </w:pPr>
            <w:r>
              <w:rPr>
                <w:rFonts w:ascii="Times New Roman" w:hAnsi="Times New Roman" w:cs="Times New Roman"/>
                <w:lang w:val="en-US"/>
              </w:rPr>
              <w:t>Boerman (2020)</w:t>
            </w:r>
          </w:p>
        </w:tc>
        <w:tc>
          <w:tcPr>
            <w:tcW w:w="0" w:type="auto"/>
            <w:vAlign w:val="center"/>
          </w:tcPr>
          <w:p w14:paraId="487F5E98">
            <w:pPr>
              <w:spacing w:line="360" w:lineRule="auto"/>
              <w:jc w:val="both"/>
              <w:rPr>
                <w:rFonts w:ascii="Times New Roman" w:hAnsi="Times New Roman" w:cs="Times New Roman"/>
                <w:lang w:val="en-US"/>
              </w:rPr>
            </w:pPr>
            <w:r>
              <w:rPr>
                <w:rFonts w:ascii="Times New Roman" w:hAnsi="Times New Roman" w:cs="Times New Roman"/>
                <w:lang w:val="en-US"/>
              </w:rPr>
              <w:t>Like/share/comment intention</w:t>
            </w:r>
          </w:p>
        </w:tc>
        <w:tc>
          <w:tcPr>
            <w:tcW w:w="0" w:type="auto"/>
            <w:vAlign w:val="center"/>
          </w:tcPr>
          <w:p w14:paraId="595CD31F">
            <w:pPr>
              <w:spacing w:line="360" w:lineRule="auto"/>
              <w:jc w:val="both"/>
              <w:rPr>
                <w:rFonts w:ascii="Times New Roman" w:hAnsi="Times New Roman" w:cs="Times New Roman"/>
                <w:lang w:val="en-US"/>
              </w:rPr>
            </w:pPr>
            <w:r>
              <w:rPr>
                <w:rFonts w:ascii="Times New Roman" w:hAnsi="Times New Roman" w:cs="Times New Roman"/>
                <w:lang w:val="en-US"/>
              </w:rPr>
              <w:t>Positive association with advertising recognition</w:t>
            </w:r>
          </w:p>
        </w:tc>
      </w:tr>
      <w:tr w14:paraId="5DF155D4">
        <w:tc>
          <w:tcPr>
            <w:tcW w:w="0" w:type="auto"/>
            <w:vAlign w:val="center"/>
          </w:tcPr>
          <w:p w14:paraId="281C830D">
            <w:pPr>
              <w:spacing w:line="360" w:lineRule="auto"/>
              <w:jc w:val="both"/>
              <w:rPr>
                <w:rFonts w:ascii="Times New Roman" w:hAnsi="Times New Roman" w:cs="Times New Roman"/>
                <w:lang w:val="en-US"/>
              </w:rPr>
            </w:pPr>
            <w:r>
              <w:rPr>
                <w:rFonts w:ascii="Times New Roman" w:hAnsi="Times New Roman" w:cs="Times New Roman"/>
                <w:lang w:val="en-US"/>
              </w:rPr>
              <w:t>De Veirman et al. (2017)</w:t>
            </w:r>
          </w:p>
        </w:tc>
        <w:tc>
          <w:tcPr>
            <w:tcW w:w="0" w:type="auto"/>
            <w:vAlign w:val="center"/>
          </w:tcPr>
          <w:p w14:paraId="68DC4789">
            <w:pPr>
              <w:spacing w:line="360" w:lineRule="auto"/>
              <w:jc w:val="both"/>
              <w:rPr>
                <w:rFonts w:ascii="Times New Roman" w:hAnsi="Times New Roman" w:cs="Times New Roman"/>
                <w:lang w:val="en-US"/>
              </w:rPr>
            </w:pPr>
            <w:r>
              <w:rPr>
                <w:rFonts w:ascii="Times New Roman" w:hAnsi="Times New Roman" w:cs="Times New Roman"/>
                <w:lang w:val="en-US"/>
              </w:rPr>
              <w:t>Popularity/brand attitude</w:t>
            </w:r>
          </w:p>
        </w:tc>
        <w:tc>
          <w:tcPr>
            <w:tcW w:w="0" w:type="auto"/>
            <w:vAlign w:val="center"/>
          </w:tcPr>
          <w:p w14:paraId="65B14D5A">
            <w:pPr>
              <w:spacing w:line="360" w:lineRule="auto"/>
              <w:jc w:val="both"/>
              <w:rPr>
                <w:rFonts w:ascii="Times New Roman" w:hAnsi="Times New Roman" w:cs="Times New Roman"/>
                <w:lang w:val="en-US"/>
              </w:rPr>
            </w:pPr>
            <w:r>
              <w:rPr>
                <w:rFonts w:ascii="Times New Roman" w:hAnsi="Times New Roman" w:cs="Times New Roman"/>
                <w:lang w:val="en-US"/>
              </w:rPr>
              <w:t>Follower effects conditional on product context</w:t>
            </w:r>
          </w:p>
        </w:tc>
      </w:tr>
      <w:tr w14:paraId="23BD078B">
        <w:tc>
          <w:tcPr>
            <w:tcW w:w="0" w:type="auto"/>
            <w:vAlign w:val="center"/>
          </w:tcPr>
          <w:p w14:paraId="0E768195">
            <w:pPr>
              <w:spacing w:line="360" w:lineRule="auto"/>
              <w:jc w:val="both"/>
              <w:rPr>
                <w:rFonts w:ascii="Times New Roman" w:hAnsi="Times New Roman" w:cs="Times New Roman"/>
                <w:lang w:val="en-US"/>
              </w:rPr>
            </w:pPr>
            <w:r>
              <w:rPr>
                <w:rFonts w:ascii="Times New Roman" w:hAnsi="Times New Roman" w:cs="Times New Roman"/>
                <w:lang w:val="en-US"/>
              </w:rPr>
              <w:t>Leung et al. (2022)</w:t>
            </w:r>
          </w:p>
        </w:tc>
        <w:tc>
          <w:tcPr>
            <w:tcW w:w="0" w:type="auto"/>
            <w:vAlign w:val="center"/>
          </w:tcPr>
          <w:p w14:paraId="7355E341">
            <w:pPr>
              <w:spacing w:line="360" w:lineRule="auto"/>
              <w:jc w:val="both"/>
              <w:rPr>
                <w:rFonts w:ascii="Times New Roman" w:hAnsi="Times New Roman" w:cs="Times New Roman"/>
                <w:lang w:val="en-US"/>
              </w:rPr>
            </w:pPr>
            <w:r>
              <w:rPr>
                <w:rFonts w:ascii="Times New Roman" w:hAnsi="Times New Roman" w:cs="Times New Roman"/>
                <w:lang w:val="en-US"/>
              </w:rPr>
              <w:t>Engagement elasticity</w:t>
            </w:r>
          </w:p>
        </w:tc>
        <w:tc>
          <w:tcPr>
            <w:tcW w:w="0" w:type="auto"/>
            <w:vAlign w:val="center"/>
          </w:tcPr>
          <w:p w14:paraId="40FC224F">
            <w:pPr>
              <w:keepNext/>
              <w:spacing w:line="360" w:lineRule="auto"/>
              <w:jc w:val="both"/>
              <w:rPr>
                <w:rFonts w:ascii="Times New Roman" w:hAnsi="Times New Roman" w:cs="Times New Roman"/>
                <w:lang w:val="en-US"/>
              </w:rPr>
            </w:pPr>
            <w:r>
              <w:rPr>
                <w:rFonts w:ascii="Times New Roman" w:hAnsi="Times New Roman" w:cs="Times New Roman"/>
                <w:lang w:val="en-US"/>
              </w:rPr>
              <w:t>1% greater spend associated with c.0.457% greater engagement</w:t>
            </w:r>
          </w:p>
        </w:tc>
      </w:tr>
    </w:tbl>
    <w:p w14:paraId="6C6B13C3">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25D726FB">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engagement findings demonstrated that campaign response was measurable at several levels, but the metrics used were not uniform across the studies.</w:t>
      </w:r>
    </w:p>
    <w:p w14:paraId="1564538E">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5CEBB82F">
      <w:pPr>
        <w:pStyle w:val="3"/>
        <w:keepNext/>
        <w:keepLines/>
        <w:pageBreakBefore w:val="0"/>
        <w:widowControl/>
        <w:kinsoku/>
        <w:wordWrap/>
        <w:overflowPunct/>
        <w:topLinePunct w:val="0"/>
        <w:autoSpaceDE/>
        <w:autoSpaceDN/>
        <w:bidi w:val="0"/>
        <w:adjustRightInd/>
        <w:snapToGrid/>
        <w:spacing w:before="0" w:after="0" w:line="480" w:lineRule="auto"/>
        <w:textAlignment w:val="auto"/>
        <w:rPr>
          <w:rFonts w:ascii="Times New Roman" w:hAnsi="Times New Roman" w:cs="Times New Roman"/>
          <w:b/>
          <w:bCs/>
          <w:color w:val="auto"/>
          <w:sz w:val="24"/>
          <w:szCs w:val="24"/>
          <w:lang w:val="en-US"/>
        </w:rPr>
      </w:pPr>
      <w:bookmarkStart w:id="200" w:name="_Toc27164"/>
      <w:bookmarkStart w:id="201" w:name="_Toc30529"/>
      <w:bookmarkStart w:id="202" w:name="_Toc240993936"/>
      <w:bookmarkStart w:id="203" w:name="_Toc13268"/>
      <w:bookmarkStart w:id="204" w:name="_Toc32164"/>
      <w:bookmarkStart w:id="205" w:name="_Toc32072"/>
      <w:r>
        <w:rPr>
          <w:rFonts w:ascii="Times New Roman" w:hAnsi="Times New Roman" w:cs="Times New Roman"/>
          <w:b/>
          <w:bCs/>
          <w:color w:val="auto"/>
          <w:sz w:val="24"/>
          <w:szCs w:val="24"/>
          <w:lang w:val="en-US"/>
        </w:rPr>
        <w:t>4.7 Purchase Intention, Conversion and ROI-Related Evidence</w:t>
      </w:r>
      <w:bookmarkEnd w:id="200"/>
      <w:bookmarkEnd w:id="201"/>
      <w:bookmarkEnd w:id="202"/>
      <w:bookmarkEnd w:id="203"/>
      <w:bookmarkEnd w:id="204"/>
      <w:bookmarkEnd w:id="205"/>
    </w:p>
    <w:p w14:paraId="1B8D1B20">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Purchase intention is the strongest commercial outcome demonstrated in influencer marketing research, but the evidence indicates that it represents consumer willingness to buy rather than confirmed purchasing behaviour. The academic evidence base shows that influencer marketing can influence purchase intention through attitudes, trust, parasocial relationships and content value; however, the transition from intention to actual sales remains insufficiently demonstrated. Industry evidence similarly highlights this limitation, suggesting that influencer endorsements do not always translate into completed consumer purchases (Clapp, 2020). This distinction is important for the central research question because purchase intention provides evidence of persuasive effectiveness but does not establish financial ROI (Pan et al., 2025).</w:t>
      </w:r>
    </w:p>
    <w:p w14:paraId="6C8F1F8E">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5B761BF8">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Influencer and brand attitudes are significant mediators of the relationship between influencer marketing and purchase intention in the context of fashion. Chetioui et al. (2020) reported that their model accounted for 40.6% of the variance in purchase intention. The attitude towards the influencer was found to be a significant predictor of purchase intention (β = .288), whereas brand attitude was more strongly related to purchase intention (β = .412) (Chetioui et al., 2020). These findings are in line with Theory of Planned Behaviour which suggests that attitudes can affect behavioural intentions (Ajzen, 1991). The results also show that exposure is not enough to make influencers effective, as consumers need to have positive evaluations of the influencer and the brand.</w:t>
      </w:r>
    </w:p>
    <w:p w14:paraId="57312EF5">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1420D6D4">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mechanisms of relationality, like credibility and parasocial interaction, offer solid explanations for the impact of influencer marketing on purchase intention. Sokolova and Kefi (2020) discovered that credibility and parasocial interaction of influencers had a positive impact on purchase intention of the followers of fashion and beauty influencers. Liu and Zheng (2024) also discovered that the parasocial relationship had a medium effect on purchase intention (β = .490, p &lt; .001). This finding is in line with Parasocial Interaction Theory, which suggests that consumers react to influencers not only based on informational evaluation (Horton &amp; Wohl, 1956), but also due to perceived social interaction. Results show that relational closeness can enhance persuasive effects, but it does not prove that consumers make purchases.</w:t>
      </w:r>
    </w:p>
    <w:p w14:paraId="653AF399">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4C36166A">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There are other mechanisms that explain the impact of influencer marketing on purchase intention: content quality and consumer trust. Gomes et al. (2022) revealed that content quality and parasocial interaction had a positive impact on purchase intention in fashion influencer marketing. Reinikainen et al. (2020) demonstrated that credibility led to brand trust, which in turn positively affected purchase intention, while Lou and Yuan (2019) revealed that trust in branded influencer posts and brand awareness had a positive impact on purchase intention. These findings are more consistent with Elaboration Likelihood Model, as consumers can consider both the source of the message and the quality of information provided when forming purchase-related attitudes (Petty &amp; Cacioppo, 1986).</w:t>
      </w:r>
    </w:p>
    <w:p w14:paraId="6DC139D6">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6A3E3670">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Some recent evidence suggests that sometimes it is the content characteristics that have a stronger impact on purchase intention than the characteristics of the influencers. Mahn et al. (2026) discovered that inspiration emerged as the most significant factor influencing purchase intentions in sponsored fashion hauls, with informational value playing a pivotal role among consumers with higher product needs. The study revealed that expertise, trustworthiness, authenticity and influencer attachment only had a limited direct explanatory power compared to post-level characteristics (Mahn et al., 2026). This is more in line with the Elaboration Likelihood Model as it indicates that consumers might react to the usefulness and relevance of the message, not just the attributes of the influencer.</w:t>
      </w:r>
    </w:p>
    <w:p w14:paraId="510D1F53">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00398F1A">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Purchase intention is also affected by contextual factors such as influencer category, disclosure conditions and consumer psychological experiences. Kay et al. (2020) revealed that influencer category and disclosure conditions had an impact on purchase intention, and product knowledge was found to be a mediating variable. Goo and An (2026) also discovered that flow experience had a positive impact on purchase intention in the use of fashion Instagram, and that self-presentation played a moderating role in the relationships within the model. These results suggest that purchase intention is a result of several consumer processes and not just one influencer characteristic.</w:t>
      </w:r>
    </w:p>
    <w:p w14:paraId="596478B7">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45CA948B">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While there is ample proof of purchase intent, the literature offers little evidence of conversion or financial ROI from influencer marketing. Hughes et al. (2019) looked at campaign engagement outcomes, but explicitly said that ROI was not directly tested. Leung et al. (2022) included influencer spend in their analysis but used engagement elasticity instead of ROI based on profit. Their research thus shows a correlation between spending and engagement, but not financial return. Duffek et al. (2025) found managerial interest in ROI and mentions of engagement and sales, but no standardised calculation of the relationship between influencer spend, sales and profit.</w:t>
      </w:r>
    </w:p>
    <w:p w14:paraId="5C621F17">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1CCBD083">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primary constraint of the evidence base is the disconnect between consumer intent and actual commercial results. Promotional codes were also found to be a possible way to connect influencers' actions to transactions, although the primary dependent variable in Mahn et al. (2026) was purchase intention. Most studies thus use self-reported intention, attitudes, trust, engagement or brand responses instead of actual purchase records. The evidence therefore suggests that while influencer marketing can be a persuasive tool, it is not yet sufficient to determine full financial ROI. This finding aligns with the outcome hierarchy suggested by Pan et al. (2025), which posits that psychological responses and intentions are initial stages of the process, preceding actual purchase and financial outcomes.</w:t>
      </w:r>
    </w:p>
    <w:p w14:paraId="5396D974">
      <w:pPr>
        <w:pStyle w:val="11"/>
        <w:rPr>
          <w:rFonts w:ascii="Times New Roman" w:hAnsi="Times New Roman" w:cs="Times New Roman"/>
          <w:lang w:val="en-US"/>
        </w:rPr>
      </w:pPr>
      <w:bookmarkStart w:id="206" w:name="_Toc240641730"/>
      <w:bookmarkStart w:id="207" w:name="_Toc9394"/>
      <w:bookmarkStart w:id="208" w:name="_Toc25741"/>
      <w:r>
        <w:rPr>
          <w:rFonts w:ascii="Times New Roman" w:hAnsi="Times New Roman" w:cs="Times New Roman"/>
          <w:sz w:val="24"/>
          <w:szCs w:val="24"/>
        </w:rPr>
        <w:t xml:space="preserve">Table </w:t>
      </w:r>
      <w:r>
        <w:rPr>
          <w:rFonts w:hint="eastAsia" w:ascii="Times New Roman" w:hAnsi="Times New Roman" w:cs="Times New Roman"/>
          <w:sz w:val="24"/>
          <w:szCs w:val="24"/>
          <w:lang w:val="en-US" w:eastAsia="zh-CN"/>
        </w:rPr>
        <w:t>9</w:t>
      </w:r>
      <w:r>
        <w:rPr>
          <w:rFonts w:ascii="Times New Roman" w:hAnsi="Times New Roman" w:cs="Times New Roman"/>
          <w:sz w:val="24"/>
          <w:szCs w:val="24"/>
        </w:rPr>
        <w:t>: Strength of evidence across the outcome hierarchy</w:t>
      </w:r>
      <w:bookmarkEnd w:id="206"/>
      <w:bookmarkEnd w:id="207"/>
      <w:bookmarkEnd w:id="208"/>
    </w:p>
    <w:tbl>
      <w:tblPr>
        <w:tblStyle w:val="2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15" w:type="dxa"/>
          <w:left w:w="15" w:type="dxa"/>
          <w:bottom w:w="15" w:type="dxa"/>
          <w:right w:w="15" w:type="dxa"/>
        </w:tblCellMar>
      </w:tblPr>
      <w:tblGrid>
        <w:gridCol w:w="2596"/>
        <w:gridCol w:w="3270"/>
      </w:tblGrid>
      <w:tr w14:paraId="236AFEA7">
        <w:trPr>
          <w:tblHeader/>
        </w:trPr>
        <w:tc>
          <w:tcPr>
            <w:tcW w:w="0" w:type="auto"/>
            <w:vAlign w:val="center"/>
          </w:tcPr>
          <w:p w14:paraId="520AF27A">
            <w:pPr>
              <w:spacing w:line="360" w:lineRule="auto"/>
              <w:jc w:val="both"/>
              <w:rPr>
                <w:rFonts w:ascii="Times New Roman" w:hAnsi="Times New Roman" w:cs="Times New Roman"/>
                <w:b/>
                <w:bCs/>
                <w:lang w:val="en-US"/>
              </w:rPr>
            </w:pPr>
            <w:r>
              <w:rPr>
                <w:rFonts w:ascii="Times New Roman" w:hAnsi="Times New Roman" w:cs="Times New Roman"/>
                <w:b/>
                <w:bCs/>
                <w:lang w:val="en-US"/>
              </w:rPr>
              <w:t>Outcome level</w:t>
            </w:r>
          </w:p>
        </w:tc>
        <w:tc>
          <w:tcPr>
            <w:tcW w:w="0" w:type="auto"/>
            <w:vAlign w:val="center"/>
          </w:tcPr>
          <w:p w14:paraId="090517B4">
            <w:pPr>
              <w:spacing w:line="360" w:lineRule="auto"/>
              <w:jc w:val="both"/>
              <w:rPr>
                <w:rFonts w:ascii="Times New Roman" w:hAnsi="Times New Roman" w:cs="Times New Roman"/>
                <w:b/>
                <w:bCs/>
                <w:lang w:val="en-US"/>
              </w:rPr>
            </w:pPr>
            <w:r>
              <w:rPr>
                <w:rFonts w:ascii="Times New Roman" w:hAnsi="Times New Roman" w:cs="Times New Roman"/>
                <w:b/>
                <w:bCs/>
                <w:lang w:val="en-US"/>
              </w:rPr>
              <w:t>Presence in the 18-study corpus</w:t>
            </w:r>
          </w:p>
        </w:tc>
      </w:tr>
      <w:tr w14:paraId="73B949FE">
        <w:tc>
          <w:tcPr>
            <w:tcW w:w="0" w:type="auto"/>
            <w:vAlign w:val="center"/>
          </w:tcPr>
          <w:p w14:paraId="5AB8113A">
            <w:pPr>
              <w:spacing w:line="360" w:lineRule="auto"/>
              <w:jc w:val="both"/>
              <w:rPr>
                <w:rFonts w:ascii="Times New Roman" w:hAnsi="Times New Roman" w:cs="Times New Roman"/>
                <w:lang w:val="en-US"/>
              </w:rPr>
            </w:pPr>
            <w:r>
              <w:rPr>
                <w:rFonts w:ascii="Times New Roman" w:hAnsi="Times New Roman" w:cs="Times New Roman"/>
                <w:lang w:val="en-US"/>
              </w:rPr>
              <w:t>Influencer characteristics</w:t>
            </w:r>
          </w:p>
        </w:tc>
        <w:tc>
          <w:tcPr>
            <w:tcW w:w="0" w:type="auto"/>
            <w:vAlign w:val="center"/>
          </w:tcPr>
          <w:p w14:paraId="6279BFA0">
            <w:pPr>
              <w:spacing w:line="360" w:lineRule="auto"/>
              <w:jc w:val="both"/>
              <w:rPr>
                <w:rFonts w:ascii="Times New Roman" w:hAnsi="Times New Roman" w:cs="Times New Roman"/>
                <w:lang w:val="en-US"/>
              </w:rPr>
            </w:pPr>
            <w:r>
              <w:rPr>
                <w:rFonts w:ascii="Times New Roman" w:hAnsi="Times New Roman" w:cs="Times New Roman"/>
                <w:lang w:val="en-US"/>
              </w:rPr>
              <w:t>Extensive</w:t>
            </w:r>
          </w:p>
        </w:tc>
      </w:tr>
      <w:tr w14:paraId="7308D9ED">
        <w:tc>
          <w:tcPr>
            <w:tcW w:w="0" w:type="auto"/>
            <w:vAlign w:val="center"/>
          </w:tcPr>
          <w:p w14:paraId="2658928E">
            <w:pPr>
              <w:spacing w:line="360" w:lineRule="auto"/>
              <w:jc w:val="both"/>
              <w:rPr>
                <w:rFonts w:ascii="Times New Roman" w:hAnsi="Times New Roman" w:cs="Times New Roman"/>
                <w:lang w:val="en-US"/>
              </w:rPr>
            </w:pPr>
            <w:r>
              <w:rPr>
                <w:rFonts w:ascii="Times New Roman" w:hAnsi="Times New Roman" w:cs="Times New Roman"/>
                <w:lang w:val="en-US"/>
              </w:rPr>
              <w:t>Credibility / authenticity</w:t>
            </w:r>
          </w:p>
        </w:tc>
        <w:tc>
          <w:tcPr>
            <w:tcW w:w="0" w:type="auto"/>
            <w:vAlign w:val="center"/>
          </w:tcPr>
          <w:p w14:paraId="2EFB200A">
            <w:pPr>
              <w:spacing w:line="360" w:lineRule="auto"/>
              <w:jc w:val="both"/>
              <w:rPr>
                <w:rFonts w:ascii="Times New Roman" w:hAnsi="Times New Roman" w:cs="Times New Roman"/>
                <w:lang w:val="en-US"/>
              </w:rPr>
            </w:pPr>
            <w:r>
              <w:rPr>
                <w:rFonts w:ascii="Times New Roman" w:hAnsi="Times New Roman" w:cs="Times New Roman"/>
                <w:lang w:val="en-US"/>
              </w:rPr>
              <w:t>Extensive</w:t>
            </w:r>
          </w:p>
        </w:tc>
      </w:tr>
      <w:tr w14:paraId="767E9D77">
        <w:tc>
          <w:tcPr>
            <w:tcW w:w="0" w:type="auto"/>
            <w:vAlign w:val="center"/>
          </w:tcPr>
          <w:p w14:paraId="359D3F13">
            <w:pPr>
              <w:spacing w:line="360" w:lineRule="auto"/>
              <w:jc w:val="both"/>
              <w:rPr>
                <w:rFonts w:ascii="Times New Roman" w:hAnsi="Times New Roman" w:cs="Times New Roman"/>
                <w:lang w:val="en-US"/>
              </w:rPr>
            </w:pPr>
            <w:r>
              <w:rPr>
                <w:rFonts w:ascii="Times New Roman" w:hAnsi="Times New Roman" w:cs="Times New Roman"/>
                <w:lang w:val="en-US"/>
              </w:rPr>
              <w:t>Trust / parasocial response</w:t>
            </w:r>
          </w:p>
        </w:tc>
        <w:tc>
          <w:tcPr>
            <w:tcW w:w="0" w:type="auto"/>
            <w:vAlign w:val="center"/>
          </w:tcPr>
          <w:p w14:paraId="6C899DFB">
            <w:pPr>
              <w:spacing w:line="360" w:lineRule="auto"/>
              <w:jc w:val="both"/>
              <w:rPr>
                <w:rFonts w:ascii="Times New Roman" w:hAnsi="Times New Roman" w:cs="Times New Roman"/>
                <w:lang w:val="en-US"/>
              </w:rPr>
            </w:pPr>
            <w:r>
              <w:rPr>
                <w:rFonts w:ascii="Times New Roman" w:hAnsi="Times New Roman" w:cs="Times New Roman"/>
                <w:lang w:val="en-US"/>
              </w:rPr>
              <w:t>Extensive</w:t>
            </w:r>
          </w:p>
        </w:tc>
      </w:tr>
      <w:tr w14:paraId="57C66B59">
        <w:tc>
          <w:tcPr>
            <w:tcW w:w="0" w:type="auto"/>
            <w:vAlign w:val="center"/>
          </w:tcPr>
          <w:p w14:paraId="726BE506">
            <w:pPr>
              <w:spacing w:line="360" w:lineRule="auto"/>
              <w:jc w:val="both"/>
              <w:rPr>
                <w:rFonts w:ascii="Times New Roman" w:hAnsi="Times New Roman" w:cs="Times New Roman"/>
                <w:lang w:val="en-US"/>
              </w:rPr>
            </w:pPr>
            <w:r>
              <w:rPr>
                <w:rFonts w:ascii="Times New Roman" w:hAnsi="Times New Roman" w:cs="Times New Roman"/>
                <w:lang w:val="en-US"/>
              </w:rPr>
              <w:t>Brand attitude / awareness</w:t>
            </w:r>
          </w:p>
        </w:tc>
        <w:tc>
          <w:tcPr>
            <w:tcW w:w="0" w:type="auto"/>
            <w:vAlign w:val="center"/>
          </w:tcPr>
          <w:p w14:paraId="303E0EB1">
            <w:pPr>
              <w:spacing w:line="360" w:lineRule="auto"/>
              <w:jc w:val="both"/>
              <w:rPr>
                <w:rFonts w:ascii="Times New Roman" w:hAnsi="Times New Roman" w:cs="Times New Roman"/>
                <w:lang w:val="en-US"/>
              </w:rPr>
            </w:pPr>
            <w:r>
              <w:rPr>
                <w:rFonts w:ascii="Times New Roman" w:hAnsi="Times New Roman" w:cs="Times New Roman"/>
                <w:lang w:val="en-US"/>
              </w:rPr>
              <w:t>Moderate to extensive</w:t>
            </w:r>
          </w:p>
        </w:tc>
      </w:tr>
      <w:tr w14:paraId="4E188D2E">
        <w:tc>
          <w:tcPr>
            <w:tcW w:w="0" w:type="auto"/>
            <w:vAlign w:val="center"/>
          </w:tcPr>
          <w:p w14:paraId="7211275F">
            <w:pPr>
              <w:spacing w:line="360" w:lineRule="auto"/>
              <w:jc w:val="both"/>
              <w:rPr>
                <w:rFonts w:ascii="Times New Roman" w:hAnsi="Times New Roman" w:cs="Times New Roman"/>
                <w:lang w:val="en-US"/>
              </w:rPr>
            </w:pPr>
            <w:r>
              <w:rPr>
                <w:rFonts w:ascii="Times New Roman" w:hAnsi="Times New Roman" w:cs="Times New Roman"/>
                <w:lang w:val="en-US"/>
              </w:rPr>
              <w:t>Engagement</w:t>
            </w:r>
          </w:p>
        </w:tc>
        <w:tc>
          <w:tcPr>
            <w:tcW w:w="0" w:type="auto"/>
            <w:vAlign w:val="center"/>
          </w:tcPr>
          <w:p w14:paraId="172052E3">
            <w:pPr>
              <w:spacing w:line="360" w:lineRule="auto"/>
              <w:jc w:val="both"/>
              <w:rPr>
                <w:rFonts w:ascii="Times New Roman" w:hAnsi="Times New Roman" w:cs="Times New Roman"/>
                <w:lang w:val="en-US"/>
              </w:rPr>
            </w:pPr>
            <w:r>
              <w:rPr>
                <w:rFonts w:ascii="Times New Roman" w:hAnsi="Times New Roman" w:cs="Times New Roman"/>
                <w:lang w:val="en-US"/>
              </w:rPr>
              <w:t>Extensive</w:t>
            </w:r>
          </w:p>
        </w:tc>
      </w:tr>
      <w:tr w14:paraId="56860BB9">
        <w:tc>
          <w:tcPr>
            <w:tcW w:w="0" w:type="auto"/>
            <w:vAlign w:val="center"/>
          </w:tcPr>
          <w:p w14:paraId="1EECF8D3">
            <w:pPr>
              <w:spacing w:line="360" w:lineRule="auto"/>
              <w:jc w:val="both"/>
              <w:rPr>
                <w:rFonts w:ascii="Times New Roman" w:hAnsi="Times New Roman" w:cs="Times New Roman"/>
                <w:lang w:val="en-US"/>
              </w:rPr>
            </w:pPr>
            <w:r>
              <w:rPr>
                <w:rFonts w:ascii="Times New Roman" w:hAnsi="Times New Roman" w:cs="Times New Roman"/>
                <w:lang w:val="en-US"/>
              </w:rPr>
              <w:t>Purchase intention</w:t>
            </w:r>
          </w:p>
        </w:tc>
        <w:tc>
          <w:tcPr>
            <w:tcW w:w="0" w:type="auto"/>
            <w:vAlign w:val="center"/>
          </w:tcPr>
          <w:p w14:paraId="04128BB3">
            <w:pPr>
              <w:spacing w:line="360" w:lineRule="auto"/>
              <w:jc w:val="both"/>
              <w:rPr>
                <w:rFonts w:ascii="Times New Roman" w:hAnsi="Times New Roman" w:cs="Times New Roman"/>
                <w:lang w:val="en-US"/>
              </w:rPr>
            </w:pPr>
            <w:r>
              <w:rPr>
                <w:rFonts w:ascii="Times New Roman" w:hAnsi="Times New Roman" w:cs="Times New Roman"/>
                <w:lang w:val="en-US"/>
              </w:rPr>
              <w:t>Extensive</w:t>
            </w:r>
          </w:p>
        </w:tc>
      </w:tr>
      <w:tr w14:paraId="62291FF3">
        <w:tc>
          <w:tcPr>
            <w:tcW w:w="0" w:type="auto"/>
            <w:vAlign w:val="center"/>
          </w:tcPr>
          <w:p w14:paraId="6F7C8CCC">
            <w:pPr>
              <w:spacing w:line="360" w:lineRule="auto"/>
              <w:jc w:val="both"/>
              <w:rPr>
                <w:rFonts w:ascii="Times New Roman" w:hAnsi="Times New Roman" w:cs="Times New Roman"/>
                <w:lang w:val="en-US"/>
              </w:rPr>
            </w:pPr>
            <w:r>
              <w:rPr>
                <w:rFonts w:ascii="Times New Roman" w:hAnsi="Times New Roman" w:cs="Times New Roman"/>
                <w:lang w:val="en-US"/>
              </w:rPr>
              <w:t>Conversion</w:t>
            </w:r>
          </w:p>
        </w:tc>
        <w:tc>
          <w:tcPr>
            <w:tcW w:w="0" w:type="auto"/>
            <w:vAlign w:val="center"/>
          </w:tcPr>
          <w:p w14:paraId="18327116">
            <w:pPr>
              <w:spacing w:line="360" w:lineRule="auto"/>
              <w:jc w:val="both"/>
              <w:rPr>
                <w:rFonts w:ascii="Times New Roman" w:hAnsi="Times New Roman" w:cs="Times New Roman"/>
                <w:lang w:val="en-US"/>
              </w:rPr>
            </w:pPr>
            <w:r>
              <w:rPr>
                <w:rFonts w:ascii="Times New Roman" w:hAnsi="Times New Roman" w:cs="Times New Roman"/>
                <w:lang w:val="en-US"/>
              </w:rPr>
              <w:t>Limited</w:t>
            </w:r>
          </w:p>
        </w:tc>
      </w:tr>
      <w:tr w14:paraId="1321AEAB">
        <w:tc>
          <w:tcPr>
            <w:tcW w:w="0" w:type="auto"/>
            <w:vAlign w:val="center"/>
          </w:tcPr>
          <w:p w14:paraId="5EBB87A4">
            <w:pPr>
              <w:spacing w:line="360" w:lineRule="auto"/>
              <w:jc w:val="both"/>
              <w:rPr>
                <w:rFonts w:ascii="Times New Roman" w:hAnsi="Times New Roman" w:cs="Times New Roman"/>
                <w:lang w:val="en-US"/>
              </w:rPr>
            </w:pPr>
            <w:r>
              <w:rPr>
                <w:rFonts w:ascii="Times New Roman" w:hAnsi="Times New Roman" w:cs="Times New Roman"/>
                <w:lang w:val="en-US"/>
              </w:rPr>
              <w:t>Verified purchase</w:t>
            </w:r>
          </w:p>
        </w:tc>
        <w:tc>
          <w:tcPr>
            <w:tcW w:w="0" w:type="auto"/>
            <w:vAlign w:val="center"/>
          </w:tcPr>
          <w:p w14:paraId="5B4F7AAA">
            <w:pPr>
              <w:spacing w:line="360" w:lineRule="auto"/>
              <w:jc w:val="both"/>
              <w:rPr>
                <w:rFonts w:ascii="Times New Roman" w:hAnsi="Times New Roman" w:cs="Times New Roman"/>
                <w:lang w:val="en-US"/>
              </w:rPr>
            </w:pPr>
            <w:r>
              <w:rPr>
                <w:rFonts w:ascii="Times New Roman" w:hAnsi="Times New Roman" w:cs="Times New Roman"/>
                <w:lang w:val="en-US"/>
              </w:rPr>
              <w:t>Very limited</w:t>
            </w:r>
          </w:p>
        </w:tc>
      </w:tr>
      <w:tr w14:paraId="3761E820">
        <w:tc>
          <w:tcPr>
            <w:tcW w:w="0" w:type="auto"/>
            <w:vAlign w:val="center"/>
          </w:tcPr>
          <w:p w14:paraId="0E36809C">
            <w:pPr>
              <w:spacing w:line="360" w:lineRule="auto"/>
              <w:jc w:val="both"/>
              <w:rPr>
                <w:rFonts w:ascii="Times New Roman" w:hAnsi="Times New Roman" w:cs="Times New Roman"/>
                <w:lang w:val="en-US"/>
              </w:rPr>
            </w:pPr>
            <w:r>
              <w:rPr>
                <w:rFonts w:ascii="Times New Roman" w:hAnsi="Times New Roman" w:cs="Times New Roman"/>
                <w:lang w:val="en-US"/>
              </w:rPr>
              <w:t>Attributable sales</w:t>
            </w:r>
          </w:p>
        </w:tc>
        <w:tc>
          <w:tcPr>
            <w:tcW w:w="0" w:type="auto"/>
            <w:vAlign w:val="center"/>
          </w:tcPr>
          <w:p w14:paraId="5BF093C6">
            <w:pPr>
              <w:spacing w:line="360" w:lineRule="auto"/>
              <w:jc w:val="both"/>
              <w:rPr>
                <w:rFonts w:ascii="Times New Roman" w:hAnsi="Times New Roman" w:cs="Times New Roman"/>
                <w:lang w:val="en-US"/>
              </w:rPr>
            </w:pPr>
            <w:r>
              <w:rPr>
                <w:rFonts w:ascii="Times New Roman" w:hAnsi="Times New Roman" w:cs="Times New Roman"/>
                <w:lang w:val="en-US"/>
              </w:rPr>
              <w:t>Very limited</w:t>
            </w:r>
          </w:p>
        </w:tc>
      </w:tr>
      <w:tr w14:paraId="01F456E1">
        <w:tc>
          <w:tcPr>
            <w:tcW w:w="0" w:type="auto"/>
            <w:vAlign w:val="center"/>
          </w:tcPr>
          <w:p w14:paraId="4212DB42">
            <w:pPr>
              <w:spacing w:line="360" w:lineRule="auto"/>
              <w:jc w:val="both"/>
              <w:rPr>
                <w:rFonts w:ascii="Times New Roman" w:hAnsi="Times New Roman" w:cs="Times New Roman"/>
                <w:lang w:val="en-US"/>
              </w:rPr>
            </w:pPr>
            <w:r>
              <w:rPr>
                <w:rFonts w:ascii="Times New Roman" w:hAnsi="Times New Roman" w:cs="Times New Roman"/>
                <w:lang w:val="en-US"/>
              </w:rPr>
              <w:t>Incremental profit</w:t>
            </w:r>
          </w:p>
        </w:tc>
        <w:tc>
          <w:tcPr>
            <w:tcW w:w="0" w:type="auto"/>
            <w:vAlign w:val="center"/>
          </w:tcPr>
          <w:p w14:paraId="68723F54">
            <w:pPr>
              <w:spacing w:line="360" w:lineRule="auto"/>
              <w:jc w:val="both"/>
              <w:rPr>
                <w:rFonts w:ascii="Times New Roman" w:hAnsi="Times New Roman" w:cs="Times New Roman"/>
                <w:lang w:val="en-US"/>
              </w:rPr>
            </w:pPr>
            <w:r>
              <w:rPr>
                <w:rFonts w:ascii="Times New Roman" w:hAnsi="Times New Roman" w:cs="Times New Roman"/>
                <w:lang w:val="en-US"/>
              </w:rPr>
              <w:t>Not established</w:t>
            </w:r>
          </w:p>
        </w:tc>
      </w:tr>
      <w:tr w14:paraId="5415C4E9">
        <w:tc>
          <w:tcPr>
            <w:tcW w:w="0" w:type="auto"/>
            <w:vAlign w:val="center"/>
          </w:tcPr>
          <w:p w14:paraId="15B5B5A8">
            <w:pPr>
              <w:spacing w:line="360" w:lineRule="auto"/>
              <w:jc w:val="both"/>
              <w:rPr>
                <w:rFonts w:ascii="Times New Roman" w:hAnsi="Times New Roman" w:cs="Times New Roman"/>
                <w:lang w:val="en-US"/>
              </w:rPr>
            </w:pPr>
            <w:r>
              <w:rPr>
                <w:rFonts w:ascii="Times New Roman" w:hAnsi="Times New Roman" w:cs="Times New Roman"/>
                <w:lang w:val="en-US"/>
              </w:rPr>
              <w:t>Complete financial ROI</w:t>
            </w:r>
          </w:p>
        </w:tc>
        <w:tc>
          <w:tcPr>
            <w:tcW w:w="0" w:type="auto"/>
            <w:vAlign w:val="center"/>
          </w:tcPr>
          <w:p w14:paraId="77069F2F">
            <w:pPr>
              <w:keepNext/>
              <w:spacing w:line="360" w:lineRule="auto"/>
              <w:jc w:val="both"/>
              <w:rPr>
                <w:rFonts w:ascii="Times New Roman" w:hAnsi="Times New Roman" w:cs="Times New Roman"/>
                <w:lang w:val="en-US"/>
              </w:rPr>
            </w:pPr>
            <w:r>
              <w:rPr>
                <w:rFonts w:ascii="Times New Roman" w:hAnsi="Times New Roman" w:cs="Times New Roman"/>
                <w:lang w:val="en-US"/>
              </w:rPr>
              <w:t>Not established</w:t>
            </w:r>
          </w:p>
        </w:tc>
      </w:tr>
    </w:tbl>
    <w:p w14:paraId="0556476D">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622FFBC7">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distribution of evidence was therefore heavily concentrated before the verified transaction and financial-return stages.</w:t>
      </w:r>
    </w:p>
    <w:p w14:paraId="6C9CB331">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lang w:val="en-US"/>
        </w:rPr>
      </w:pPr>
    </w:p>
    <w:p w14:paraId="5D0D3066">
      <w:pPr>
        <w:pStyle w:val="3"/>
        <w:keepNext/>
        <w:keepLines/>
        <w:pageBreakBefore w:val="0"/>
        <w:widowControl/>
        <w:kinsoku/>
        <w:wordWrap/>
        <w:overflowPunct/>
        <w:topLinePunct w:val="0"/>
        <w:autoSpaceDE/>
        <w:autoSpaceDN/>
        <w:bidi w:val="0"/>
        <w:adjustRightInd/>
        <w:snapToGrid/>
        <w:spacing w:before="0" w:after="0" w:line="480" w:lineRule="auto"/>
        <w:textAlignment w:val="auto"/>
        <w:rPr>
          <w:rFonts w:ascii="Times New Roman" w:hAnsi="Times New Roman" w:cs="Times New Roman"/>
          <w:b/>
          <w:bCs/>
          <w:color w:val="auto"/>
          <w:sz w:val="24"/>
          <w:szCs w:val="24"/>
          <w:lang w:val="en-US"/>
        </w:rPr>
      </w:pPr>
      <w:bookmarkStart w:id="209" w:name="_Toc240993937"/>
      <w:bookmarkStart w:id="210" w:name="_Toc8922"/>
      <w:bookmarkStart w:id="211" w:name="_Toc10744"/>
      <w:bookmarkStart w:id="212" w:name="_Toc27312"/>
      <w:bookmarkStart w:id="213" w:name="_Toc18129"/>
      <w:bookmarkStart w:id="214" w:name="_Toc24542"/>
      <w:r>
        <w:rPr>
          <w:rFonts w:ascii="Times New Roman" w:hAnsi="Times New Roman" w:cs="Times New Roman"/>
          <w:b/>
          <w:bCs/>
          <w:color w:val="auto"/>
          <w:sz w:val="24"/>
          <w:szCs w:val="24"/>
          <w:lang w:val="en-US"/>
        </w:rPr>
        <w:t>4.8 Summary of Findings</w:t>
      </w:r>
      <w:bookmarkEnd w:id="209"/>
      <w:bookmarkEnd w:id="210"/>
      <w:bookmarkEnd w:id="211"/>
      <w:bookmarkEnd w:id="212"/>
      <w:bookmarkEnd w:id="213"/>
      <w:bookmarkEnd w:id="214"/>
    </w:p>
    <w:p w14:paraId="5E0694C4">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findings demonstrated six recurrent empirical patterns. First, credibility and trust were consistently represented in models of influencer effectiveness, although expertise was not uniformly significant. Second, authenticity and congruence were positively associated with relational or attitudinal outcomes, while direct effects on purchase intention were mixed. Third, parasocial relationships constituted one of the most consistently supported psychological variables, with several studies reporting significant associations with credibility, brand trust or purchase intention. Fourth, sponsorship disclosure reliably increased advertising recognition, but later-stage consumer responses varied across experimental conditions. Fifth, engagement depended on campaign, platform, content and influencer characteristics and was operationalised through several non-equivalent measures. Sixth, purchase intention was the dominant lower-funnel outcome, while verified conversion, attributable sales and financial ROI were only minimally represented in the corpus.</w:t>
      </w:r>
    </w:p>
    <w:p w14:paraId="3E89D546">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3D8609A1">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consolidated evidence can be represented as an empirical outcome sequence:</w:t>
      </w:r>
    </w:p>
    <w:p w14:paraId="5A2C4AF1">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i/>
          <w:iCs/>
          <w:lang w:val="en-US"/>
        </w:rPr>
      </w:pPr>
      <w:r>
        <w:rPr>
          <w:rFonts w:ascii="Times New Roman" w:hAnsi="Times New Roman" w:cs="Times New Roman"/>
          <w:i/>
          <w:iCs/>
          <w:lang w:val="en-US"/>
        </w:rPr>
        <w:t>Influencer and content characteristics → credibility/authenticity evaluations → trust and parasocial response → brand awareness and engagement → purchase intention → conversion → actual purchase → attributable sales → financial ROI.</w:t>
      </w:r>
    </w:p>
    <w:p w14:paraId="56466CC2">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7043D724">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Within the 18-study academic corpus, evidence was concentrated most strongly in the stages extending from influencer characteristics through purchase intention. Evidence became progressively less frequent at the conversion, actual-purchase and financial-return stages.</w:t>
      </w:r>
    </w:p>
    <w:p w14:paraId="01BF139E">
      <w:pPr>
        <w:spacing w:line="360" w:lineRule="auto"/>
        <w:jc w:val="both"/>
        <w:rPr>
          <w:rFonts w:ascii="Times New Roman" w:hAnsi="Times New Roman" w:cs="Times New Roman"/>
          <w:lang w:val="en-US"/>
        </w:rPr>
      </w:pPr>
    </w:p>
    <w:p w14:paraId="5CFF2109">
      <w:pPr>
        <w:spacing w:line="360" w:lineRule="auto"/>
        <w:jc w:val="both"/>
        <w:rPr>
          <w:rFonts w:ascii="Times New Roman" w:hAnsi="Times New Roman" w:cs="Times New Roman"/>
          <w:lang w:val="en-US"/>
        </w:rPr>
      </w:pPr>
    </w:p>
    <w:p w14:paraId="724AD566">
      <w:pPr>
        <w:rPr>
          <w:rFonts w:ascii="Times New Roman" w:hAnsi="Times New Roman" w:cs="Times New Roman"/>
          <w:b/>
          <w:bCs/>
          <w:color w:val="auto"/>
          <w:sz w:val="24"/>
          <w:szCs w:val="24"/>
          <w:lang w:val="en-US"/>
        </w:rPr>
      </w:pPr>
      <w:bookmarkStart w:id="215" w:name="_Toc240993938"/>
    </w:p>
    <w:p w14:paraId="78E8D561">
      <w:pPr>
        <w:rPr>
          <w:rFonts w:ascii="Times New Roman" w:hAnsi="Times New Roman" w:cs="Times New Roman"/>
          <w:b/>
          <w:bCs/>
          <w:color w:val="auto"/>
          <w:sz w:val="24"/>
          <w:szCs w:val="24"/>
          <w:lang w:val="en-US"/>
        </w:rPr>
      </w:pPr>
    </w:p>
    <w:p w14:paraId="4C820E34">
      <w:pPr>
        <w:rPr>
          <w:rFonts w:ascii="Times New Roman" w:hAnsi="Times New Roman" w:cs="Times New Roman"/>
          <w:b/>
          <w:bCs/>
          <w:color w:val="auto"/>
          <w:sz w:val="24"/>
          <w:szCs w:val="24"/>
          <w:lang w:val="en-US"/>
        </w:rPr>
      </w:pPr>
    </w:p>
    <w:p w14:paraId="06B1AC8D">
      <w:pPr>
        <w:pStyle w:val="2"/>
        <w:keepNext/>
        <w:keepLines/>
        <w:pageBreakBefore w:val="0"/>
        <w:widowControl/>
        <w:kinsoku/>
        <w:wordWrap/>
        <w:overflowPunct/>
        <w:topLinePunct w:val="0"/>
        <w:autoSpaceDE/>
        <w:autoSpaceDN/>
        <w:bidi w:val="0"/>
        <w:adjustRightInd/>
        <w:snapToGrid/>
        <w:spacing w:before="0" w:after="0" w:line="480" w:lineRule="auto"/>
        <w:textAlignment w:val="auto"/>
        <w:rPr>
          <w:rFonts w:hint="default" w:ascii="Times New Roman" w:hAnsi="Times New Roman" w:cs="Times New Roman"/>
          <w:b/>
          <w:bCs/>
          <w:color w:val="000000" w:themeColor="text1"/>
          <w:sz w:val="24"/>
          <w:szCs w:val="24"/>
          <w:lang w:val="en-US" w:eastAsia="zh-CN"/>
          <w14:textFill>
            <w14:solidFill>
              <w14:schemeClr w14:val="tx1"/>
            </w14:solidFill>
          </w14:textFill>
        </w:rPr>
      </w:pPr>
      <w:bookmarkStart w:id="216" w:name="_Toc22047"/>
      <w:bookmarkStart w:id="217" w:name="_Toc32448"/>
      <w:r>
        <w:rPr>
          <w:rFonts w:hint="eastAsia" w:ascii="Times New Roman" w:hAnsi="Times New Roman" w:cs="Times New Roman"/>
          <w:b/>
          <w:bCs/>
          <w:color w:val="000000" w:themeColor="text1"/>
          <w:sz w:val="24"/>
          <w:szCs w:val="24"/>
          <w:lang w:val="en-US" w:eastAsia="zh-CN"/>
          <w14:textFill>
            <w14:solidFill>
              <w14:schemeClr w14:val="tx1"/>
            </w14:solidFill>
          </w14:textFill>
        </w:rPr>
        <w:t xml:space="preserve">5.0 </w:t>
      </w:r>
      <w:r>
        <w:rPr>
          <w:rFonts w:hint="default" w:ascii="Times New Roman" w:hAnsi="Times New Roman" w:cs="Times New Roman"/>
          <w:b/>
          <w:bCs/>
          <w:color w:val="000000" w:themeColor="text1"/>
          <w:sz w:val="24"/>
          <w:szCs w:val="24"/>
          <w:lang w:val="en-US" w:eastAsia="zh-CN"/>
          <w14:textFill>
            <w14:solidFill>
              <w14:schemeClr w14:val="tx1"/>
            </w14:solidFill>
          </w14:textFill>
        </w:rPr>
        <w:t>CONCLUSION AND RECOMMENDATIONS</w:t>
      </w:r>
      <w:bookmarkEnd w:id="215"/>
      <w:bookmarkEnd w:id="216"/>
      <w:bookmarkEnd w:id="217"/>
    </w:p>
    <w:p w14:paraId="69354023">
      <w:pPr>
        <w:pStyle w:val="3"/>
        <w:keepNext/>
        <w:keepLines/>
        <w:pageBreakBefore w:val="0"/>
        <w:widowControl/>
        <w:kinsoku/>
        <w:wordWrap/>
        <w:overflowPunct/>
        <w:topLinePunct w:val="0"/>
        <w:autoSpaceDE/>
        <w:autoSpaceDN/>
        <w:bidi w:val="0"/>
        <w:adjustRightInd/>
        <w:snapToGrid/>
        <w:spacing w:before="0" w:after="0" w:line="480" w:lineRule="auto"/>
        <w:textAlignment w:val="auto"/>
        <w:rPr>
          <w:rFonts w:ascii="Times New Roman" w:hAnsi="Times New Roman" w:cs="Times New Roman"/>
          <w:b/>
          <w:bCs/>
          <w:color w:val="auto"/>
          <w:sz w:val="24"/>
          <w:szCs w:val="24"/>
          <w:lang w:val="en-US"/>
        </w:rPr>
      </w:pPr>
      <w:bookmarkStart w:id="218" w:name="_Toc21401"/>
      <w:bookmarkStart w:id="219" w:name="_Toc18308"/>
      <w:bookmarkStart w:id="220" w:name="_Toc18992"/>
      <w:bookmarkStart w:id="221" w:name="_Toc13193"/>
      <w:bookmarkStart w:id="222" w:name="_Toc17019"/>
      <w:bookmarkStart w:id="223" w:name="_Toc240993939"/>
      <w:r>
        <w:rPr>
          <w:rFonts w:ascii="Times New Roman" w:hAnsi="Times New Roman" w:cs="Times New Roman"/>
          <w:b/>
          <w:bCs/>
          <w:color w:val="auto"/>
          <w:sz w:val="24"/>
          <w:szCs w:val="24"/>
          <w:lang w:val="en-US"/>
        </w:rPr>
        <w:t>5.1 Overview</w:t>
      </w:r>
      <w:bookmarkEnd w:id="218"/>
      <w:bookmarkEnd w:id="219"/>
      <w:bookmarkEnd w:id="220"/>
      <w:bookmarkEnd w:id="221"/>
      <w:bookmarkEnd w:id="222"/>
      <w:bookmarkEnd w:id="223"/>
    </w:p>
    <w:p w14:paraId="3AEA7148">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This dissertation examined the effectiveness of influencer marketing in shaping consumer purchase intention within the fashion sector, with particular attention to credibility, authenticity, parasocial interaction, product-influencer fit, engagement, purchase intention and return-on-investment-related outcomes. The evidence reviewed across the 18 peer-reviewed studies demonstrates that influencer marketing can exert a meaningful persuasive effect on consumers, but that this effect is neither linear nor uniform. Instead, effectiveness emerges through a layered sequence in which influencer and content characteristics shape credibility and authenticity perceptions, which subsequently influence trust, parasocial relationships, brand attitudes, engagement and purchase intention. The evidence is strongest at the psychological and attitudinal stages of this sequence and becomes progressively weaker as the outcome moves towards actual purchase, attributable sales and financial ROI.</w:t>
      </w:r>
    </w:p>
    <w:p w14:paraId="44EB38A9">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6F4ADFEB">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A central conclusion is that credibility and trust remain fundamental but are insufficient on their own to explain purchase intention. The evidence consistently indicates that consumers evaluate influencers not only according to expertise or trustworthiness, but also through the relational context in which the recommendation is delivered. Parasocial relationships were among the most consistently supported mechanisms across the reviewed studies, suggesting that perceived closeness, familiarity and similarity can strengthen the persuasive impact of influencer communication. This means that influencer effectiveness should not be understood purely through conventional endorsement logic. In social-media environments, influence is partly constructed through repeated interaction and the perception of an ongoing social relationship.</w:t>
      </w:r>
    </w:p>
    <w:p w14:paraId="19EB6A4A">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findings further demonstrate that authenticity is important, but its role requires careful interpretation. Authenticity appears particularly valuable in sustaining trust, relational legitimacy and audience retention, yet the reviewed evidence does not support the proposition that authenticity invariably produces stronger purchase intention directly. In some studies, content characteristics such as inspiration and informational value were more influential than influencer traits. This suggests that authenticity may function primarily as a foundational condition that preserves credibility, while message quality becomes the more immediate mechanism through which consumer response is activated.</w:t>
      </w:r>
    </w:p>
    <w:p w14:paraId="6B9A2F6C">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77594949">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Product-influencer fit also emerged as an important condition of effectiveness. Congruence between the influencer, the endorsed product and the consumer's identity can strengthen attitudes and purchase-related responses, while poor alignment may weaken the value of popularity or follower size. This finding has particular relevance for fashion, where consumption is frequently connected to identity, lifestyle and symbolic meaning. Accordingly, brands should not assume that influencers with the largest audiences necessarily provide the strongest persuasive or commercial value.</w:t>
      </w:r>
    </w:p>
    <w:p w14:paraId="55325502">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375D5C66">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dissertation also concludes that engagement metrics must be interpreted cautiously. Likes, comments, shares and brand interactions are useful indicators of audience response, but they do not constitute evidence of purchase or financial return. Similarly, purchase intention is a valuable lower-funnel measure, yet it remains a stated psychological outcome rather than a verified transaction. The distinction between these measures is particularly important when evaluating ROI. While several studies demonstrated meaningful associations between influencer activity and engagement or purchase intention, very few provided the complete financial data required to establish profit-based ROI. Therefore, the current academic evidence supports stronger claims about persuasive effectiveness than about financial profitability.</w:t>
      </w:r>
    </w:p>
    <w:p w14:paraId="4798457F">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13AE77AB">
      <w:pPr>
        <w:pStyle w:val="3"/>
        <w:pageBreakBefore w:val="0"/>
        <w:widowControl/>
        <w:kinsoku/>
        <w:wordWrap/>
        <w:overflowPunct/>
        <w:topLinePunct w:val="0"/>
        <w:autoSpaceDE/>
        <w:autoSpaceDN/>
        <w:bidi w:val="0"/>
        <w:adjustRightInd/>
        <w:snapToGrid/>
        <w:spacing w:before="0" w:line="480" w:lineRule="auto"/>
        <w:textAlignment w:val="auto"/>
        <w:rPr>
          <w:rFonts w:ascii="Times New Roman" w:hAnsi="Times New Roman" w:cs="Times New Roman"/>
          <w:b/>
          <w:bCs/>
          <w:color w:val="auto"/>
          <w:sz w:val="24"/>
          <w:szCs w:val="24"/>
          <w:lang w:val="en-US"/>
        </w:rPr>
      </w:pPr>
      <w:bookmarkStart w:id="224" w:name="_Toc24126"/>
      <w:bookmarkStart w:id="225" w:name="_Toc27296"/>
      <w:bookmarkStart w:id="226" w:name="_Toc32291"/>
      <w:bookmarkStart w:id="227" w:name="_Toc13881"/>
      <w:bookmarkStart w:id="228" w:name="_Toc240993940"/>
      <w:bookmarkStart w:id="229" w:name="_Toc10202"/>
      <w:r>
        <w:rPr>
          <w:rFonts w:ascii="Times New Roman" w:hAnsi="Times New Roman" w:cs="Times New Roman"/>
          <w:b/>
          <w:bCs/>
          <w:color w:val="auto"/>
          <w:sz w:val="24"/>
          <w:szCs w:val="24"/>
          <w:lang w:val="en-US"/>
        </w:rPr>
        <w:t>5.2 Recommendations</w:t>
      </w:r>
      <w:bookmarkEnd w:id="224"/>
      <w:bookmarkEnd w:id="225"/>
      <w:bookmarkEnd w:id="226"/>
      <w:bookmarkEnd w:id="227"/>
      <w:bookmarkEnd w:id="228"/>
      <w:bookmarkEnd w:id="229"/>
    </w:p>
    <w:p w14:paraId="2731A0F5">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The findings support several recommendations for fashion brands and marketers. First, influencer selection should prioritise credibility, audience congruence, content quality and relational fit rather than follower count alone. Brands should assess whether the influencer's identity, values, communication style and audience are aligned with the positioning of the product. This is especially important in fashion categories where identity expression and symbolic consistency strongly influence consumer evaluation.</w:t>
      </w:r>
    </w:p>
    <w:p w14:paraId="27FCA6CF">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35F89592">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Second, brands should treat content strategy as a central determinant of campaign performance. The evidence indicates that inspirational and informative content can sometimes exert greater influence on purchase intention than source characteristics themselves. Fashion campaigns should therefore provide content that helps consumers visualise product use, styling possibilities, fit, quality and lifestyle relevance rather than relying excessively on generic endorsement.</w:t>
      </w:r>
    </w:p>
    <w:p w14:paraId="22AC0F42">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1C8ECF38">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Third, campaign measurement should be matched explicitly to campaign objectives. Awareness campaigns should be assessed through reach, recall and brand recognition; engagement campaigns should focus on meaningful interactions; conversion campaigns should use tracked clicks, affiliate links, promotional codes and verified purchasing data; and ROI assessments should include campaign expenditure, attributable sales, product margins and incremental profit. Engagement should not be treated as a substitute for sales, and purchase intention should not be presented as equivalent to realised revenue.</w:t>
      </w:r>
    </w:p>
    <w:p w14:paraId="244BA70E">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2DB04E45">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Finally, brands should use disclosure transparently while avoiding overly commercial presentation. The reviewed evidence suggests that sponsorship disclosure increases advertising recognition but does not automatically destroy purchase intention or engagement. Transparency is therefore compatible with influencer effectiveness where the partnership remains credible and the content continues to offer value.</w:t>
      </w:r>
    </w:p>
    <w:p w14:paraId="198A5BB8">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5FB76603">
      <w:pPr>
        <w:pStyle w:val="3"/>
        <w:pageBreakBefore w:val="0"/>
        <w:widowControl/>
        <w:kinsoku/>
        <w:wordWrap/>
        <w:overflowPunct/>
        <w:topLinePunct w:val="0"/>
        <w:autoSpaceDE/>
        <w:autoSpaceDN/>
        <w:bidi w:val="0"/>
        <w:adjustRightInd/>
        <w:snapToGrid/>
        <w:spacing w:before="0" w:line="480" w:lineRule="auto"/>
        <w:textAlignment w:val="auto"/>
        <w:rPr>
          <w:rFonts w:ascii="Times New Roman" w:hAnsi="Times New Roman" w:cs="Times New Roman"/>
          <w:b/>
          <w:bCs/>
          <w:color w:val="auto"/>
          <w:sz w:val="24"/>
          <w:szCs w:val="24"/>
          <w:lang w:val="en-US"/>
        </w:rPr>
      </w:pPr>
      <w:bookmarkStart w:id="230" w:name="_Toc16114"/>
      <w:bookmarkStart w:id="231" w:name="_Toc14151"/>
      <w:bookmarkStart w:id="232" w:name="_Toc27315"/>
      <w:bookmarkStart w:id="233" w:name="_Toc15840"/>
      <w:bookmarkStart w:id="234" w:name="_Toc240993941"/>
      <w:bookmarkStart w:id="235" w:name="_Toc6192"/>
      <w:r>
        <w:rPr>
          <w:rFonts w:ascii="Times New Roman" w:hAnsi="Times New Roman" w:cs="Times New Roman"/>
          <w:b/>
          <w:bCs/>
          <w:color w:val="auto"/>
          <w:sz w:val="24"/>
          <w:szCs w:val="24"/>
          <w:lang w:val="en-US"/>
        </w:rPr>
        <w:t>5.3 Limitations of the Study</w:t>
      </w:r>
      <w:bookmarkEnd w:id="230"/>
      <w:bookmarkEnd w:id="231"/>
      <w:bookmarkEnd w:id="232"/>
      <w:bookmarkEnd w:id="233"/>
      <w:bookmarkEnd w:id="234"/>
      <w:bookmarkEnd w:id="235"/>
    </w:p>
    <w:p w14:paraId="19D15CBB">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Several limitations should be acknowledged. First, the dissertation relied on secondary evidence rather than original primary data. Consequently, the analysis is dependent on the methodological quality, measures and reporting practices of the included studies. Differences in research design, sample characteristics, platforms and operational definitions limit direct comparability.</w:t>
      </w:r>
    </w:p>
    <w:p w14:paraId="2485769E">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0FDF2B08">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Second, much of the evidence was drawn from non-UK contexts. Although the mechanisms identified, such as credibility, parasocial interaction and content quality, are conceptually transferable, their strength may differ among UK fashion consumers due to cultural, economic and market-specific factors.</w:t>
      </w:r>
    </w:p>
    <w:p w14:paraId="73EF96C8">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7F82951D">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Third, purchase intention was substantially more common than verified purchase behaviour in the evidence base. This restricts the extent to which conclusions can be extended from intention to actual consumer transactions. The lack of consistent campaign cost, attributable revenue and profitability data similarly limits definitive conclusions about financial ROI.</w:t>
      </w:r>
    </w:p>
    <w:p w14:paraId="518FA9B5">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4F9F771D">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Fourth, engagement was measured inconsistently across studies. Likes, comments, shares, reposts and stated engagement intentions were sometimes treated as related indicators, although they do not necessarily represent equivalent levels of consumer involvement. This heterogeneity weakens direct cross-study comparison.</w:t>
      </w:r>
    </w:p>
    <w:p w14:paraId="7D78ADBE">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33A97DDC">
      <w:pPr>
        <w:pStyle w:val="3"/>
        <w:pageBreakBefore w:val="0"/>
        <w:widowControl/>
        <w:kinsoku/>
        <w:wordWrap/>
        <w:overflowPunct/>
        <w:topLinePunct w:val="0"/>
        <w:autoSpaceDE/>
        <w:autoSpaceDN/>
        <w:bidi w:val="0"/>
        <w:adjustRightInd/>
        <w:snapToGrid/>
        <w:spacing w:before="0" w:line="480" w:lineRule="auto"/>
        <w:textAlignment w:val="auto"/>
        <w:rPr>
          <w:rFonts w:ascii="Times New Roman" w:hAnsi="Times New Roman" w:cs="Times New Roman"/>
          <w:b/>
          <w:bCs/>
          <w:color w:val="auto"/>
          <w:sz w:val="24"/>
          <w:szCs w:val="24"/>
          <w:lang w:val="en-US"/>
        </w:rPr>
      </w:pPr>
      <w:bookmarkStart w:id="236" w:name="_Toc25810"/>
      <w:bookmarkStart w:id="237" w:name="_Toc23280"/>
      <w:bookmarkStart w:id="238" w:name="_Toc22325"/>
      <w:bookmarkStart w:id="239" w:name="_Toc240993942"/>
      <w:bookmarkStart w:id="240" w:name="_Toc17895"/>
      <w:bookmarkStart w:id="241" w:name="_Toc10558"/>
      <w:r>
        <w:rPr>
          <w:rFonts w:ascii="Times New Roman" w:hAnsi="Times New Roman" w:cs="Times New Roman"/>
          <w:b/>
          <w:bCs/>
          <w:color w:val="auto"/>
          <w:sz w:val="24"/>
          <w:szCs w:val="24"/>
          <w:lang w:val="en-US"/>
        </w:rPr>
        <w:t>5.4 Future Research</w:t>
      </w:r>
      <w:bookmarkEnd w:id="236"/>
      <w:bookmarkEnd w:id="237"/>
      <w:bookmarkEnd w:id="238"/>
      <w:bookmarkEnd w:id="239"/>
      <w:bookmarkEnd w:id="240"/>
      <w:bookmarkEnd w:id="241"/>
    </w:p>
    <w:p w14:paraId="084E3119">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Future research should place greater emphasis on actual purchasing behaviour and financial outcomes. Longitudinal studies linking influencer exposure to verified transactions would help establish whether purchase intention reliably translates into behaviour. Access to brand-level campaign data would also enable researchers to calculate incremental revenue, contribution margin and profit-based ROI more rigorously.</w:t>
      </w:r>
    </w:p>
    <w:p w14:paraId="69D5AF9E">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3ABE4D32">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Further research should also focus specifically on the UK fashion market. Comparative studies across fast fashion, luxury, sustainable fashion and independent retail would help determine whether credibility, authenticity, parasocial relationships and product fit operate differently across fashion categories.</w:t>
      </w:r>
    </w:p>
    <w:p w14:paraId="0CD44D1F">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31A44B16">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Experimental research should investigate the causal ordering of credibility, authenticity and parasocial relationships. Existing evidence shows strong associations, but it remains unclear whether credibility strengthens parasocial attachment, whether attachment increases perceived credibility, or whether the relationship is reciprocal.</w:t>
      </w:r>
    </w:p>
    <w:p w14:paraId="2CB8B111">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06E14F41">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Finally, future studies should examine the interaction between influencer characteristics and content characteristics more closely. The present findings suggest that strong content can sometimes outweigh traditional influencer traits. Understanding when message quality becomes more important than influencer credibility would provide a more complete theoretical and managerial account of influencer-marketing effectiveness.</w:t>
      </w:r>
    </w:p>
    <w:p w14:paraId="332642C2">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p>
    <w:p w14:paraId="0CAA364D">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ascii="Times New Roman" w:hAnsi="Times New Roman" w:cs="Times New Roman"/>
          <w:lang w:val="en-US"/>
        </w:rPr>
      </w:pPr>
      <w:r>
        <w:rPr>
          <w:rFonts w:ascii="Times New Roman" w:hAnsi="Times New Roman" w:cs="Times New Roman"/>
          <w:lang w:val="en-US"/>
        </w:rPr>
        <w:t>Overall, this dissertation concludes that influencer marketing can meaningfully shape consumer purchase intention in fashion, but its effectiveness is conditional, multi-stage and context-dependent. The evidence supports confidence in its persuasive potential, while more rigorous behavioural and financial research is required before equally strong claims can be made about attributable profitability and ROI.</w:t>
      </w:r>
    </w:p>
    <w:p w14:paraId="6DE73E13">
      <w:pPr>
        <w:spacing w:line="360" w:lineRule="auto"/>
        <w:jc w:val="both"/>
        <w:rPr>
          <w:rFonts w:ascii="Times New Roman" w:hAnsi="Times New Roman" w:cs="Times New Roman"/>
          <w:lang w:val="en-US"/>
        </w:rPr>
      </w:pPr>
    </w:p>
    <w:p w14:paraId="67F91530">
      <w:pPr>
        <w:rPr>
          <w:rFonts w:ascii="Times New Roman" w:hAnsi="Times New Roman" w:cs="Times New Roman"/>
          <w:lang w:val="en-US"/>
        </w:rPr>
      </w:pPr>
      <w:r>
        <w:rPr>
          <w:rFonts w:ascii="Times New Roman" w:hAnsi="Times New Roman" w:cs="Times New Roman"/>
          <w:lang w:val="en-US"/>
        </w:rPr>
        <w:br w:type="page"/>
      </w:r>
    </w:p>
    <w:p w14:paraId="60573A21">
      <w:pPr>
        <w:pStyle w:val="2"/>
        <w:keepNext/>
        <w:keepLines/>
        <w:pageBreakBefore w:val="0"/>
        <w:widowControl/>
        <w:kinsoku/>
        <w:wordWrap/>
        <w:overflowPunct/>
        <w:topLinePunct w:val="0"/>
        <w:autoSpaceDE/>
        <w:autoSpaceDN/>
        <w:bidi w:val="0"/>
        <w:adjustRightInd/>
        <w:snapToGrid/>
        <w:spacing w:before="0" w:after="0" w:line="480" w:lineRule="auto"/>
        <w:textAlignment w:val="auto"/>
        <w:rPr>
          <w:rFonts w:ascii="Times New Roman" w:hAnsi="Times New Roman" w:cs="Times New Roman"/>
          <w:b/>
          <w:bCs/>
          <w:color w:val="auto"/>
          <w:sz w:val="24"/>
          <w:szCs w:val="24"/>
          <w:lang w:val="en-US"/>
        </w:rPr>
      </w:pPr>
      <w:bookmarkStart w:id="242" w:name="_Toc9289"/>
      <w:bookmarkStart w:id="243" w:name="_Toc12812"/>
      <w:bookmarkStart w:id="244" w:name="_Toc240993943"/>
      <w:bookmarkStart w:id="245" w:name="_Toc1949"/>
      <w:bookmarkStart w:id="246" w:name="_Toc15083"/>
      <w:bookmarkStart w:id="247" w:name="_Toc14847"/>
      <w:r>
        <w:rPr>
          <w:rFonts w:ascii="Times New Roman" w:hAnsi="Times New Roman" w:cs="Times New Roman"/>
          <w:b/>
          <w:bCs/>
          <w:color w:val="auto"/>
          <w:sz w:val="24"/>
          <w:szCs w:val="24"/>
          <w:lang w:val="en-US"/>
        </w:rPr>
        <w:t>References</w:t>
      </w:r>
      <w:bookmarkEnd w:id="242"/>
      <w:bookmarkEnd w:id="243"/>
      <w:bookmarkEnd w:id="244"/>
      <w:bookmarkEnd w:id="245"/>
      <w:bookmarkEnd w:id="246"/>
      <w:bookmarkEnd w:id="247"/>
      <w:r>
        <w:rPr>
          <w:rFonts w:ascii="Times New Roman" w:hAnsi="Times New Roman" w:cs="Times New Roman"/>
          <w:b/>
          <w:bCs/>
          <w:color w:val="auto"/>
          <w:sz w:val="24"/>
          <w:szCs w:val="24"/>
          <w:lang w:val="en-US"/>
        </w:rPr>
        <w:t xml:space="preserve"> </w:t>
      </w:r>
    </w:p>
    <w:p w14:paraId="0D5DE03B">
      <w:pPr>
        <w:spacing w:line="360" w:lineRule="auto"/>
        <w:ind w:left="720" w:hanging="720"/>
        <w:jc w:val="both"/>
        <w:rPr>
          <w:rFonts w:ascii="Times New Roman" w:hAnsi="Times New Roman" w:cs="Times New Roman"/>
        </w:rPr>
      </w:pPr>
      <w:r>
        <w:rPr>
          <w:rFonts w:ascii="Times New Roman" w:hAnsi="Times New Roman" w:cs="Times New Roman"/>
        </w:rPr>
        <w:t xml:space="preserve">Ajzen, I. (1991). The theory of planned behavior. </w:t>
      </w:r>
      <w:r>
        <w:rPr>
          <w:rFonts w:ascii="Times New Roman" w:hAnsi="Times New Roman" w:cs="Times New Roman"/>
          <w:i/>
          <w:iCs/>
        </w:rPr>
        <w:t>Organizational Behavior and Human Decision Processes, 50</w:t>
      </w:r>
      <w:r>
        <w:rPr>
          <w:rFonts w:ascii="Times New Roman" w:hAnsi="Times New Roman" w:cs="Times New Roman"/>
        </w:rPr>
        <w:t xml:space="preserve">(2), 179–211. </w:t>
      </w:r>
      <w:r>
        <w:fldChar w:fldCharType="begin"/>
      </w:r>
      <w:r>
        <w:instrText xml:space="preserve"> HYPERLINK "https://doi.org/10.1016/0749-5978(91)90020-T" </w:instrText>
      </w:r>
      <w:r>
        <w:fldChar w:fldCharType="separate"/>
      </w:r>
      <w:r>
        <w:rPr>
          <w:rStyle w:val="27"/>
          <w:rFonts w:ascii="Times New Roman" w:hAnsi="Times New Roman" w:cs="Times New Roman"/>
        </w:rPr>
        <w:t>https://doi.org/10.1016/0749-5978(91)90020-T</w:t>
      </w:r>
      <w:r>
        <w:rPr>
          <w:rStyle w:val="27"/>
          <w:rFonts w:ascii="Times New Roman" w:hAnsi="Times New Roman" w:cs="Times New Roman"/>
        </w:rPr>
        <w:fldChar w:fldCharType="end"/>
      </w:r>
    </w:p>
    <w:p w14:paraId="656FF28D">
      <w:pPr>
        <w:spacing w:line="360" w:lineRule="auto"/>
        <w:ind w:left="720" w:hanging="720"/>
        <w:jc w:val="both"/>
        <w:rPr>
          <w:rFonts w:ascii="Times New Roman" w:hAnsi="Times New Roman" w:cs="Times New Roman"/>
          <w:lang w:val="en-US"/>
        </w:rPr>
      </w:pPr>
      <w:r>
        <w:rPr>
          <w:rFonts w:ascii="Times New Roman" w:hAnsi="Times New Roman" w:cs="Times New Roman"/>
          <w:lang w:val="en-US"/>
        </w:rPr>
        <w:t xml:space="preserve">Audrezet, A., de Kerviler, G., &amp; Moulard, J. G. (2020). Authenticity under threat: When social media influencers need to go beyond self-presentation. Journal of Business Research, 117, 557–569. </w:t>
      </w:r>
      <w:r>
        <w:fldChar w:fldCharType="begin"/>
      </w:r>
      <w:r>
        <w:instrText xml:space="preserve"> HYPERLINK "https://doi.org/10.1016/j.jbusres.2018.07.008" </w:instrText>
      </w:r>
      <w:r>
        <w:fldChar w:fldCharType="separate"/>
      </w:r>
      <w:r>
        <w:rPr>
          <w:rStyle w:val="27"/>
          <w:rFonts w:ascii="Times New Roman" w:hAnsi="Times New Roman" w:cs="Times New Roman"/>
          <w:lang w:val="en-US"/>
        </w:rPr>
        <w:t>https://doi.org/10.1016/j.jbusres.2018.07.008</w:t>
      </w:r>
      <w:r>
        <w:rPr>
          <w:rStyle w:val="27"/>
          <w:rFonts w:ascii="Times New Roman" w:hAnsi="Times New Roman" w:cs="Times New Roman"/>
          <w:lang w:val="en-US"/>
        </w:rPr>
        <w:fldChar w:fldCharType="end"/>
      </w:r>
      <w:r>
        <w:rPr>
          <w:rFonts w:ascii="Times New Roman" w:hAnsi="Times New Roman" w:cs="Times New Roman"/>
          <w:lang w:val="en-US"/>
        </w:rPr>
        <w:t xml:space="preserve"> </w:t>
      </w:r>
    </w:p>
    <w:p w14:paraId="12B8F121">
      <w:pPr>
        <w:spacing w:line="360" w:lineRule="auto"/>
        <w:ind w:left="720" w:hanging="720"/>
        <w:jc w:val="both"/>
        <w:rPr>
          <w:rFonts w:ascii="Times New Roman" w:hAnsi="Times New Roman" w:cs="Times New Roman"/>
          <w:lang w:val="en-US"/>
        </w:rPr>
      </w:pPr>
      <w:r>
        <w:rPr>
          <w:rFonts w:ascii="Times New Roman" w:hAnsi="Times New Roman" w:cs="Times New Roman"/>
        </w:rPr>
        <w:t xml:space="preserve">Belanche, D., Casaló, L. V., Flavián, M., &amp; Ibáñez-Sánchez, S. (2021). Understanding influencer marketing: The role of congruence between influencers, products and consumers. </w:t>
      </w:r>
      <w:r>
        <w:rPr>
          <w:rFonts w:ascii="Times New Roman" w:hAnsi="Times New Roman" w:cs="Times New Roman"/>
          <w:i/>
          <w:iCs/>
        </w:rPr>
        <w:t>Journal of Business Research, 132</w:t>
      </w:r>
      <w:r>
        <w:rPr>
          <w:rFonts w:ascii="Times New Roman" w:hAnsi="Times New Roman" w:cs="Times New Roman"/>
        </w:rPr>
        <w:t xml:space="preserve">, 186–195. </w:t>
      </w:r>
      <w:r>
        <w:fldChar w:fldCharType="begin"/>
      </w:r>
      <w:r>
        <w:instrText xml:space="preserve"> HYPERLINK "https://doi.org/10.1016/j.jbusres.2021.03.067?utm_source=chatgpt.com" \t "_new" </w:instrText>
      </w:r>
      <w:r>
        <w:fldChar w:fldCharType="separate"/>
      </w:r>
      <w:r>
        <w:rPr>
          <w:rStyle w:val="27"/>
          <w:rFonts w:ascii="Times New Roman" w:hAnsi="Times New Roman" w:cs="Times New Roman"/>
        </w:rPr>
        <w:t>https://doi.org/10.1016/j.jbusres.2021.03.067</w:t>
      </w:r>
      <w:r>
        <w:rPr>
          <w:rStyle w:val="27"/>
          <w:rFonts w:ascii="Times New Roman" w:hAnsi="Times New Roman" w:cs="Times New Roman"/>
        </w:rPr>
        <w:fldChar w:fldCharType="end"/>
      </w:r>
    </w:p>
    <w:p w14:paraId="5C0733A9">
      <w:pPr>
        <w:spacing w:line="360" w:lineRule="auto"/>
        <w:ind w:left="720" w:hanging="720"/>
        <w:jc w:val="both"/>
        <w:rPr>
          <w:rFonts w:ascii="Times New Roman" w:hAnsi="Times New Roman" w:cs="Times New Roman"/>
          <w:lang w:val="en-US"/>
        </w:rPr>
      </w:pPr>
      <w:r>
        <w:rPr>
          <w:rFonts w:ascii="Times New Roman" w:hAnsi="Times New Roman" w:cs="Times New Roman"/>
          <w:lang w:val="en-US"/>
        </w:rPr>
        <w:t xml:space="preserve">Boerman, S. C. (2020). The effects of the standardized Instagram disclosure for micro- and meso-influencers. Computers in Human Behavior, 103, 199–207. </w:t>
      </w:r>
      <w:r>
        <w:fldChar w:fldCharType="begin"/>
      </w:r>
      <w:r>
        <w:instrText xml:space="preserve"> HYPERLINK "https://doi.org/10.1016/j.chb.2019.09.015" </w:instrText>
      </w:r>
      <w:r>
        <w:fldChar w:fldCharType="separate"/>
      </w:r>
      <w:r>
        <w:rPr>
          <w:rStyle w:val="27"/>
          <w:rFonts w:ascii="Times New Roman" w:hAnsi="Times New Roman" w:cs="Times New Roman"/>
          <w:lang w:val="en-US"/>
        </w:rPr>
        <w:t>https://doi.org/10.1016/j.chb.2019.09.015</w:t>
      </w:r>
      <w:r>
        <w:rPr>
          <w:rStyle w:val="27"/>
          <w:rFonts w:ascii="Times New Roman" w:hAnsi="Times New Roman" w:cs="Times New Roman"/>
          <w:lang w:val="en-US"/>
        </w:rPr>
        <w:fldChar w:fldCharType="end"/>
      </w:r>
      <w:r>
        <w:rPr>
          <w:rFonts w:ascii="Times New Roman" w:hAnsi="Times New Roman" w:cs="Times New Roman"/>
          <w:lang w:val="en-US"/>
        </w:rPr>
        <w:t xml:space="preserve"> </w:t>
      </w:r>
    </w:p>
    <w:p w14:paraId="1B55CED6">
      <w:pPr>
        <w:spacing w:line="360" w:lineRule="auto"/>
        <w:ind w:left="720" w:hanging="720"/>
        <w:jc w:val="both"/>
        <w:rPr>
          <w:rFonts w:ascii="Times New Roman" w:hAnsi="Times New Roman" w:cs="Times New Roman"/>
          <w:lang w:val="en-US"/>
        </w:rPr>
      </w:pPr>
      <w:r>
        <w:rPr>
          <w:rFonts w:ascii="Times New Roman" w:hAnsi="Times New Roman" w:cs="Times New Roman"/>
          <w:lang w:val="en-US"/>
        </w:rPr>
        <w:t xml:space="preserve">Casaló, L. V., Flavián, C., &amp; Ibáñez-Sánchez, S. (2020). Influencers on Instagram: Antecedents and consequences of opinion leadership. Journal of Business Research, 117, 510–519. </w:t>
      </w:r>
      <w:r>
        <w:fldChar w:fldCharType="begin"/>
      </w:r>
      <w:r>
        <w:instrText xml:space="preserve"> HYPERLINK "https://doi.org/10.1016/j.jbusres.2018.07.005" </w:instrText>
      </w:r>
      <w:r>
        <w:fldChar w:fldCharType="separate"/>
      </w:r>
      <w:r>
        <w:rPr>
          <w:rStyle w:val="27"/>
          <w:rFonts w:ascii="Times New Roman" w:hAnsi="Times New Roman" w:cs="Times New Roman"/>
          <w:lang w:val="en-US"/>
        </w:rPr>
        <w:t>https://doi.org/10.1016/j.jbusres.2018.07.005</w:t>
      </w:r>
      <w:r>
        <w:rPr>
          <w:rStyle w:val="27"/>
          <w:rFonts w:ascii="Times New Roman" w:hAnsi="Times New Roman" w:cs="Times New Roman"/>
          <w:lang w:val="en-US"/>
        </w:rPr>
        <w:fldChar w:fldCharType="end"/>
      </w:r>
      <w:r>
        <w:rPr>
          <w:rFonts w:ascii="Times New Roman" w:hAnsi="Times New Roman" w:cs="Times New Roman"/>
          <w:lang w:val="en-US"/>
        </w:rPr>
        <w:t xml:space="preserve"> </w:t>
      </w:r>
    </w:p>
    <w:p w14:paraId="45ECA58F">
      <w:pPr>
        <w:spacing w:line="360" w:lineRule="auto"/>
        <w:ind w:left="720" w:hanging="720"/>
        <w:jc w:val="both"/>
        <w:rPr>
          <w:rFonts w:ascii="Times New Roman" w:hAnsi="Times New Roman" w:cs="Times New Roman"/>
          <w:lang w:val="en-US"/>
        </w:rPr>
      </w:pPr>
      <w:r>
        <w:rPr>
          <w:rFonts w:ascii="Times New Roman" w:hAnsi="Times New Roman" w:cs="Times New Roman"/>
          <w:lang w:val="en-US"/>
        </w:rPr>
        <w:t xml:space="preserve">Chetioui, Y., Benlafqih, H., &amp; Lebdaoui, H. (2020). How fashion influencers contribute to consumers’ purchase intention. Journal of Fashion Marketing and Management, 24(3), 361–380. </w:t>
      </w:r>
      <w:r>
        <w:fldChar w:fldCharType="begin"/>
      </w:r>
      <w:r>
        <w:instrText xml:space="preserve"> HYPERLINK "https://doi.org/10.1108/JFMM-08-2019-0157" </w:instrText>
      </w:r>
      <w:r>
        <w:fldChar w:fldCharType="separate"/>
      </w:r>
      <w:r>
        <w:rPr>
          <w:rStyle w:val="27"/>
          <w:rFonts w:ascii="Times New Roman" w:hAnsi="Times New Roman" w:cs="Times New Roman"/>
          <w:lang w:val="en-US"/>
        </w:rPr>
        <w:t>https://doi.org/10.1108/JFMM-08-2019-0157</w:t>
      </w:r>
      <w:r>
        <w:rPr>
          <w:rStyle w:val="27"/>
          <w:rFonts w:ascii="Times New Roman" w:hAnsi="Times New Roman" w:cs="Times New Roman"/>
          <w:lang w:val="en-US"/>
        </w:rPr>
        <w:fldChar w:fldCharType="end"/>
      </w:r>
      <w:r>
        <w:rPr>
          <w:rFonts w:ascii="Times New Roman" w:hAnsi="Times New Roman" w:cs="Times New Roman"/>
          <w:lang w:val="en-US"/>
        </w:rPr>
        <w:t xml:space="preserve"> </w:t>
      </w:r>
    </w:p>
    <w:p w14:paraId="2298332C">
      <w:pPr>
        <w:spacing w:line="360" w:lineRule="auto"/>
        <w:ind w:left="720" w:hanging="720"/>
        <w:jc w:val="both"/>
        <w:rPr>
          <w:rFonts w:ascii="Times New Roman" w:hAnsi="Times New Roman" w:cs="Times New Roman"/>
          <w:lang w:val="de-CH"/>
        </w:rPr>
      </w:pPr>
      <w:r>
        <w:rPr>
          <w:rFonts w:ascii="Times New Roman" w:hAnsi="Times New Roman" w:cs="Times New Roman"/>
          <w:lang w:val="en-US"/>
        </w:rPr>
        <w:t xml:space="preserve">Clapp, R. (2020, August 18). Influencer endorsements fail to influence purchase decisions. </w:t>
      </w:r>
      <w:r>
        <w:rPr>
          <w:rFonts w:ascii="Times New Roman" w:hAnsi="Times New Roman" w:cs="Times New Roman"/>
          <w:lang w:val="de-CH"/>
        </w:rPr>
        <w:t xml:space="preserve">WARC. </w:t>
      </w:r>
      <w:r>
        <w:fldChar w:fldCharType="begin"/>
      </w:r>
      <w:r>
        <w:instrText xml:space="preserve"> HYPERLINK "https://www.warc.com/en/article/influencer-endorsements-fail-to-influence-purchase-decisions-6266665f34b5460d99d71e990448812d" </w:instrText>
      </w:r>
      <w:r>
        <w:fldChar w:fldCharType="separate"/>
      </w:r>
      <w:r>
        <w:rPr>
          <w:rStyle w:val="27"/>
          <w:rFonts w:ascii="Times New Roman" w:hAnsi="Times New Roman" w:cs="Times New Roman"/>
          <w:lang w:val="de-CH"/>
        </w:rPr>
        <w:t>https://www.warc.com/en/article/influencer-endorsements-fail-to-influence-purchase-decisions-6266665f34b5460d99d71e990448812d</w:t>
      </w:r>
      <w:r>
        <w:rPr>
          <w:rStyle w:val="27"/>
          <w:rFonts w:ascii="Times New Roman" w:hAnsi="Times New Roman" w:cs="Times New Roman"/>
          <w:lang w:val="de-CH"/>
        </w:rPr>
        <w:fldChar w:fldCharType="end"/>
      </w:r>
      <w:r>
        <w:rPr>
          <w:rFonts w:ascii="Times New Roman" w:hAnsi="Times New Roman" w:cs="Times New Roman"/>
          <w:lang w:val="de-CH"/>
        </w:rPr>
        <w:t xml:space="preserve"> </w:t>
      </w:r>
    </w:p>
    <w:p w14:paraId="43EFD8C1">
      <w:pPr>
        <w:spacing w:line="360" w:lineRule="auto"/>
        <w:ind w:left="720" w:hanging="720"/>
        <w:jc w:val="both"/>
        <w:rPr>
          <w:rFonts w:ascii="Times New Roman" w:hAnsi="Times New Roman" w:cs="Times New Roman"/>
          <w:lang w:val="en-US"/>
        </w:rPr>
      </w:pPr>
      <w:r>
        <w:rPr>
          <w:rFonts w:ascii="Times New Roman" w:hAnsi="Times New Roman" w:cs="Times New Roman"/>
          <w:lang w:val="en-US"/>
        </w:rPr>
        <w:t xml:space="preserve">De Veirman, M., Cauberghe, V., &amp; Hudders, L. (2017). Marketing through Instagram influencers: The impact of number of followers and product divergence on brand attitude. International Journal of Advertising, 36(5), 798–828. </w:t>
      </w:r>
      <w:r>
        <w:fldChar w:fldCharType="begin"/>
      </w:r>
      <w:r>
        <w:instrText xml:space="preserve"> HYPERLINK "https://doi.org/10.1080/02650487.2017.1348035" </w:instrText>
      </w:r>
      <w:r>
        <w:fldChar w:fldCharType="separate"/>
      </w:r>
      <w:r>
        <w:rPr>
          <w:rStyle w:val="27"/>
          <w:rFonts w:ascii="Times New Roman" w:hAnsi="Times New Roman" w:cs="Times New Roman"/>
          <w:lang w:val="en-US"/>
        </w:rPr>
        <w:t>https://doi.org/10.1080/02650487.2017.1348035</w:t>
      </w:r>
      <w:r>
        <w:rPr>
          <w:rStyle w:val="27"/>
          <w:rFonts w:ascii="Times New Roman" w:hAnsi="Times New Roman" w:cs="Times New Roman"/>
          <w:lang w:val="en-US"/>
        </w:rPr>
        <w:fldChar w:fldCharType="end"/>
      </w:r>
      <w:r>
        <w:rPr>
          <w:rFonts w:ascii="Times New Roman" w:hAnsi="Times New Roman" w:cs="Times New Roman"/>
          <w:lang w:val="en-US"/>
        </w:rPr>
        <w:t xml:space="preserve">  </w:t>
      </w:r>
    </w:p>
    <w:p w14:paraId="635B3FAC">
      <w:pPr>
        <w:spacing w:line="360" w:lineRule="auto"/>
        <w:ind w:left="720" w:hanging="720"/>
        <w:jc w:val="both"/>
        <w:rPr>
          <w:rFonts w:ascii="Times New Roman" w:hAnsi="Times New Roman" w:cs="Times New Roman"/>
          <w:lang w:val="en-US"/>
        </w:rPr>
      </w:pPr>
      <w:r>
        <w:rPr>
          <w:rFonts w:ascii="Times New Roman" w:hAnsi="Times New Roman" w:cs="Times New Roman"/>
          <w:lang w:val="en-US"/>
        </w:rPr>
        <w:t xml:space="preserve">Djafarova, E., &amp; Rushworth, C. (2017). Exploring the credibility of online celebrities’ Instagram profiles in influencing the purchase decisions of young female users. Computers in Human Behavior, 68, 1–7. </w:t>
      </w:r>
      <w:r>
        <w:fldChar w:fldCharType="begin"/>
      </w:r>
      <w:r>
        <w:instrText xml:space="preserve"> HYPERLINK "https://doi.org/10.1016/j.chb.2016.11.009" </w:instrText>
      </w:r>
      <w:r>
        <w:fldChar w:fldCharType="separate"/>
      </w:r>
      <w:r>
        <w:rPr>
          <w:rStyle w:val="27"/>
          <w:rFonts w:ascii="Times New Roman" w:hAnsi="Times New Roman" w:cs="Times New Roman"/>
          <w:lang w:val="en-US"/>
        </w:rPr>
        <w:t>https://doi.org/10.1016/j.chb.2016.11.009</w:t>
      </w:r>
      <w:r>
        <w:rPr>
          <w:rStyle w:val="27"/>
          <w:rFonts w:ascii="Times New Roman" w:hAnsi="Times New Roman" w:cs="Times New Roman"/>
          <w:lang w:val="en-US"/>
        </w:rPr>
        <w:fldChar w:fldCharType="end"/>
      </w:r>
      <w:r>
        <w:rPr>
          <w:rFonts w:ascii="Times New Roman" w:hAnsi="Times New Roman" w:cs="Times New Roman"/>
          <w:lang w:val="en-US"/>
        </w:rPr>
        <w:t xml:space="preserve"> </w:t>
      </w:r>
    </w:p>
    <w:p w14:paraId="3EA6A857">
      <w:pPr>
        <w:spacing w:line="360" w:lineRule="auto"/>
        <w:ind w:left="720" w:hanging="720"/>
        <w:jc w:val="both"/>
        <w:rPr>
          <w:rFonts w:ascii="Times New Roman" w:hAnsi="Times New Roman" w:cs="Times New Roman"/>
          <w:lang w:val="en-US"/>
        </w:rPr>
      </w:pPr>
      <w:r>
        <w:rPr>
          <w:rFonts w:ascii="Times New Roman" w:hAnsi="Times New Roman" w:cs="Times New Roman"/>
          <w:lang w:val="en-US"/>
        </w:rPr>
        <w:t xml:space="preserve">Duffek, B., Eisingerich, A. B., Merlo, O., &amp; Lee, G. (2025). Authenticity in influencer marketing: How can influencers and brands work together to build and maintain influencer authenticity? Journal of Marketing, 89(5), 21–46. </w:t>
      </w:r>
      <w:r>
        <w:fldChar w:fldCharType="begin"/>
      </w:r>
      <w:r>
        <w:instrText xml:space="preserve"> HYPERLINK "https://doi.org/10.1177/00222429251319786" </w:instrText>
      </w:r>
      <w:r>
        <w:fldChar w:fldCharType="separate"/>
      </w:r>
      <w:r>
        <w:rPr>
          <w:rStyle w:val="27"/>
          <w:rFonts w:ascii="Times New Roman" w:hAnsi="Times New Roman" w:cs="Times New Roman"/>
          <w:lang w:val="en-US"/>
        </w:rPr>
        <w:t>https://doi.org/10.1177/00222429251319786</w:t>
      </w:r>
      <w:r>
        <w:rPr>
          <w:rStyle w:val="27"/>
          <w:rFonts w:ascii="Times New Roman" w:hAnsi="Times New Roman" w:cs="Times New Roman"/>
          <w:lang w:val="en-US"/>
        </w:rPr>
        <w:fldChar w:fldCharType="end"/>
      </w:r>
      <w:r>
        <w:rPr>
          <w:rFonts w:ascii="Times New Roman" w:hAnsi="Times New Roman" w:cs="Times New Roman"/>
          <w:lang w:val="en-US"/>
        </w:rPr>
        <w:t xml:space="preserve"> </w:t>
      </w:r>
    </w:p>
    <w:p w14:paraId="1A94D8F1">
      <w:pPr>
        <w:spacing w:line="360" w:lineRule="auto"/>
        <w:ind w:left="720" w:hanging="720"/>
        <w:jc w:val="both"/>
        <w:rPr>
          <w:rFonts w:ascii="Times New Roman" w:hAnsi="Times New Roman" w:cs="Times New Roman"/>
          <w:lang w:val="en-US"/>
        </w:rPr>
      </w:pPr>
      <w:r>
        <w:rPr>
          <w:rFonts w:ascii="Times New Roman" w:hAnsi="Times New Roman" w:cs="Times New Roman"/>
          <w:lang w:val="en-US"/>
        </w:rPr>
        <w:t xml:space="preserve">Evans, N. J., Phua, J., Lim, J., &amp; Jun, H. (2017). Disclosing Instagram influencer advertising: The effects of disclosure language on advertising recognition, attitudes, and behavioral intent. Journal of Interactive Advertising, 17(2), 138–149. </w:t>
      </w:r>
      <w:r>
        <w:fldChar w:fldCharType="begin"/>
      </w:r>
      <w:r>
        <w:instrText xml:space="preserve"> HYPERLINK "https://doi.org/10.1080/15252019.2017.1366885" </w:instrText>
      </w:r>
      <w:r>
        <w:fldChar w:fldCharType="separate"/>
      </w:r>
      <w:r>
        <w:rPr>
          <w:rStyle w:val="27"/>
          <w:rFonts w:ascii="Times New Roman" w:hAnsi="Times New Roman" w:cs="Times New Roman"/>
          <w:lang w:val="en-US"/>
        </w:rPr>
        <w:t>https://doi.org/10.1080/15252019.2017.1366885</w:t>
      </w:r>
      <w:r>
        <w:rPr>
          <w:rStyle w:val="27"/>
          <w:rFonts w:ascii="Times New Roman" w:hAnsi="Times New Roman" w:cs="Times New Roman"/>
          <w:lang w:val="en-US"/>
        </w:rPr>
        <w:fldChar w:fldCharType="end"/>
      </w:r>
      <w:r>
        <w:rPr>
          <w:rFonts w:ascii="Times New Roman" w:hAnsi="Times New Roman" w:cs="Times New Roman"/>
          <w:lang w:val="en-US"/>
        </w:rPr>
        <w:t xml:space="preserve">  </w:t>
      </w:r>
    </w:p>
    <w:p w14:paraId="5B534607">
      <w:pPr>
        <w:spacing w:line="360" w:lineRule="auto"/>
        <w:ind w:left="720" w:hanging="720"/>
        <w:jc w:val="both"/>
        <w:rPr>
          <w:rFonts w:ascii="Times New Roman" w:hAnsi="Times New Roman" w:cs="Times New Roman"/>
          <w:lang w:val="en-US"/>
        </w:rPr>
      </w:pPr>
      <w:r>
        <w:rPr>
          <w:rFonts w:ascii="Times New Roman" w:hAnsi="Times New Roman" w:cs="Times New Roman"/>
        </w:rPr>
        <w:t xml:space="preserve">Friestad, M., &amp; Wright, P. (1994). The persuasion knowledge model: How people cope with persuasion attempts. </w:t>
      </w:r>
      <w:r>
        <w:rPr>
          <w:rFonts w:ascii="Times New Roman" w:hAnsi="Times New Roman" w:cs="Times New Roman"/>
          <w:i/>
          <w:iCs/>
        </w:rPr>
        <w:t>Journal of Consumer Research, 21</w:t>
      </w:r>
      <w:r>
        <w:rPr>
          <w:rFonts w:ascii="Times New Roman" w:hAnsi="Times New Roman" w:cs="Times New Roman"/>
        </w:rPr>
        <w:t xml:space="preserve">(1), 1–31. </w:t>
      </w:r>
      <w:r>
        <w:fldChar w:fldCharType="begin"/>
      </w:r>
      <w:r>
        <w:instrText xml:space="preserve"> HYPERLINK "https://doi.org/10.1086/209380" \t "_new" </w:instrText>
      </w:r>
      <w:r>
        <w:fldChar w:fldCharType="separate"/>
      </w:r>
      <w:r>
        <w:rPr>
          <w:rStyle w:val="27"/>
          <w:rFonts w:ascii="Times New Roman" w:hAnsi="Times New Roman" w:cs="Times New Roman"/>
        </w:rPr>
        <w:t>https://doi.org/10.1086/209380</w:t>
      </w:r>
      <w:r>
        <w:rPr>
          <w:rStyle w:val="27"/>
          <w:rFonts w:ascii="Times New Roman" w:hAnsi="Times New Roman" w:cs="Times New Roman"/>
        </w:rPr>
        <w:fldChar w:fldCharType="end"/>
      </w:r>
    </w:p>
    <w:p w14:paraId="24B26864">
      <w:pPr>
        <w:spacing w:line="360" w:lineRule="auto"/>
        <w:ind w:left="720" w:hanging="720"/>
        <w:jc w:val="both"/>
        <w:rPr>
          <w:rFonts w:ascii="Times New Roman" w:hAnsi="Times New Roman" w:cs="Times New Roman"/>
          <w:lang w:val="en-US"/>
        </w:rPr>
      </w:pPr>
      <w:r>
        <w:rPr>
          <w:rFonts w:ascii="Times New Roman" w:hAnsi="Times New Roman" w:cs="Times New Roman"/>
          <w:lang w:val="en-US"/>
        </w:rPr>
        <w:t xml:space="preserve">Gomes, M. A., Marques, S., &amp; Dias, Á. (2022). The impact of digital influencers’ characteristics on purchase intention of fashion products. Journal of Global Fashion Marketing, 13(3), 187–204. </w:t>
      </w:r>
      <w:r>
        <w:fldChar w:fldCharType="begin"/>
      </w:r>
      <w:r>
        <w:instrText xml:space="preserve"> HYPERLINK "https://doi.org/10.1080/20932685.2022.2039263" </w:instrText>
      </w:r>
      <w:r>
        <w:fldChar w:fldCharType="separate"/>
      </w:r>
      <w:r>
        <w:rPr>
          <w:rStyle w:val="27"/>
          <w:rFonts w:ascii="Times New Roman" w:hAnsi="Times New Roman" w:cs="Times New Roman"/>
          <w:lang w:val="en-US"/>
        </w:rPr>
        <w:t>https://doi.org/10.1080/20932685.2022.2039263</w:t>
      </w:r>
      <w:r>
        <w:rPr>
          <w:rStyle w:val="27"/>
          <w:rFonts w:ascii="Times New Roman" w:hAnsi="Times New Roman" w:cs="Times New Roman"/>
          <w:lang w:val="en-US"/>
        </w:rPr>
        <w:fldChar w:fldCharType="end"/>
      </w:r>
      <w:r>
        <w:rPr>
          <w:rFonts w:ascii="Times New Roman" w:hAnsi="Times New Roman" w:cs="Times New Roman"/>
          <w:lang w:val="en-US"/>
        </w:rPr>
        <w:t xml:space="preserve"> </w:t>
      </w:r>
    </w:p>
    <w:p w14:paraId="6B5B82BE">
      <w:pPr>
        <w:spacing w:line="360" w:lineRule="auto"/>
        <w:ind w:left="720" w:hanging="720"/>
        <w:jc w:val="both"/>
        <w:rPr>
          <w:rFonts w:ascii="Times New Roman" w:hAnsi="Times New Roman" w:cs="Times New Roman"/>
          <w:lang w:val="en-US"/>
        </w:rPr>
      </w:pPr>
      <w:r>
        <w:rPr>
          <w:rFonts w:ascii="Times New Roman" w:hAnsi="Times New Roman" w:cs="Times New Roman"/>
          <w:lang w:val="en-US"/>
        </w:rPr>
        <w:t xml:space="preserve">Goo, J., &amp; An, S. (2026). Influence of internal psychological factors on flow experience and purchase intention on fashion Instagram. Fashion and Textiles, 13, Article 6. </w:t>
      </w:r>
      <w:r>
        <w:fldChar w:fldCharType="begin"/>
      </w:r>
      <w:r>
        <w:instrText xml:space="preserve"> HYPERLINK "https://doi.org/10.1186/s40691-026-00453-2" </w:instrText>
      </w:r>
      <w:r>
        <w:fldChar w:fldCharType="separate"/>
      </w:r>
      <w:r>
        <w:rPr>
          <w:rStyle w:val="27"/>
          <w:rFonts w:ascii="Times New Roman" w:hAnsi="Times New Roman" w:cs="Times New Roman"/>
          <w:lang w:val="en-US"/>
        </w:rPr>
        <w:t>https://doi.org/10.1186/s40691-026-00453-2</w:t>
      </w:r>
      <w:r>
        <w:rPr>
          <w:rStyle w:val="27"/>
          <w:rFonts w:ascii="Times New Roman" w:hAnsi="Times New Roman" w:cs="Times New Roman"/>
          <w:lang w:val="en-US"/>
        </w:rPr>
        <w:fldChar w:fldCharType="end"/>
      </w:r>
      <w:r>
        <w:rPr>
          <w:rFonts w:ascii="Times New Roman" w:hAnsi="Times New Roman" w:cs="Times New Roman"/>
          <w:lang w:val="en-US"/>
        </w:rPr>
        <w:t xml:space="preserve"> </w:t>
      </w:r>
    </w:p>
    <w:p w14:paraId="30B398A1">
      <w:pPr>
        <w:spacing w:line="360" w:lineRule="auto"/>
        <w:ind w:left="720" w:hanging="720"/>
        <w:jc w:val="both"/>
        <w:rPr>
          <w:rFonts w:ascii="Times New Roman" w:hAnsi="Times New Roman" w:cs="Times New Roman"/>
        </w:rPr>
      </w:pPr>
      <w:r>
        <w:rPr>
          <w:rFonts w:ascii="Times New Roman" w:hAnsi="Times New Roman" w:cs="Times New Roman"/>
        </w:rPr>
        <w:t xml:space="preserve">Horton, D., &amp; Wohl, R. R. (1956). Mass communication and para-social interaction: Observations on intimacy at a distance. </w:t>
      </w:r>
      <w:r>
        <w:rPr>
          <w:rFonts w:ascii="Times New Roman" w:hAnsi="Times New Roman" w:cs="Times New Roman"/>
          <w:i/>
          <w:iCs/>
        </w:rPr>
        <w:t>Psychiatry, 19</w:t>
      </w:r>
      <w:r>
        <w:rPr>
          <w:rFonts w:ascii="Times New Roman" w:hAnsi="Times New Roman" w:cs="Times New Roman"/>
        </w:rPr>
        <w:t xml:space="preserve">(3), 215–229. </w:t>
      </w:r>
      <w:r>
        <w:fldChar w:fldCharType="begin"/>
      </w:r>
      <w:r>
        <w:instrText xml:space="preserve"> HYPERLINK "https://doi.org/10.1080/00332747.1956.11023049" </w:instrText>
      </w:r>
      <w:r>
        <w:fldChar w:fldCharType="separate"/>
      </w:r>
      <w:r>
        <w:rPr>
          <w:rStyle w:val="27"/>
          <w:rFonts w:ascii="Times New Roman" w:hAnsi="Times New Roman" w:cs="Times New Roman"/>
        </w:rPr>
        <w:t>https://doi.org/10.1080/00332747.1956.11023049</w:t>
      </w:r>
      <w:r>
        <w:rPr>
          <w:rStyle w:val="27"/>
          <w:rFonts w:ascii="Times New Roman" w:hAnsi="Times New Roman" w:cs="Times New Roman"/>
        </w:rPr>
        <w:fldChar w:fldCharType="end"/>
      </w:r>
    </w:p>
    <w:p w14:paraId="74F317A6">
      <w:pPr>
        <w:spacing w:line="360" w:lineRule="auto"/>
        <w:ind w:left="720" w:hanging="720"/>
        <w:jc w:val="both"/>
        <w:rPr>
          <w:rFonts w:ascii="Times New Roman" w:hAnsi="Times New Roman" w:cs="Times New Roman"/>
          <w:lang w:val="en-US"/>
        </w:rPr>
      </w:pPr>
      <w:r>
        <w:rPr>
          <w:rFonts w:ascii="Times New Roman" w:hAnsi="Times New Roman" w:cs="Times New Roman"/>
          <w:lang w:val="en-US"/>
        </w:rPr>
        <w:t xml:space="preserve">Hovland, C. I., &amp; Weiss, W. (1951). </w:t>
      </w:r>
      <w:r>
        <w:rPr>
          <w:rFonts w:ascii="Times New Roman" w:hAnsi="Times New Roman" w:cs="Times New Roman"/>
        </w:rPr>
        <w:t xml:space="preserve">The influence of source credibility on communication effectiveness. </w:t>
      </w:r>
      <w:r>
        <w:rPr>
          <w:rFonts w:ascii="Times New Roman" w:hAnsi="Times New Roman" w:cs="Times New Roman"/>
          <w:i/>
          <w:iCs/>
        </w:rPr>
        <w:t>Public Opinion Quarterly, 15</w:t>
      </w:r>
      <w:r>
        <w:rPr>
          <w:rFonts w:ascii="Times New Roman" w:hAnsi="Times New Roman" w:cs="Times New Roman"/>
        </w:rPr>
        <w:t xml:space="preserve">(4), 635–650. </w:t>
      </w:r>
      <w:r>
        <w:fldChar w:fldCharType="begin"/>
      </w:r>
      <w:r>
        <w:instrText xml:space="preserve"> HYPERLINK "https://doi.org/10.1086/266350" \t "_new" </w:instrText>
      </w:r>
      <w:r>
        <w:fldChar w:fldCharType="separate"/>
      </w:r>
      <w:r>
        <w:rPr>
          <w:rStyle w:val="27"/>
          <w:rFonts w:ascii="Times New Roman" w:hAnsi="Times New Roman" w:cs="Times New Roman"/>
        </w:rPr>
        <w:t>https://doi.org/10.1086/266350</w:t>
      </w:r>
      <w:r>
        <w:rPr>
          <w:rStyle w:val="27"/>
          <w:rFonts w:ascii="Times New Roman" w:hAnsi="Times New Roman" w:cs="Times New Roman"/>
        </w:rPr>
        <w:fldChar w:fldCharType="end"/>
      </w:r>
    </w:p>
    <w:p w14:paraId="2CDF403B">
      <w:pPr>
        <w:spacing w:line="360" w:lineRule="auto"/>
        <w:ind w:left="720" w:hanging="720"/>
        <w:jc w:val="both"/>
        <w:rPr>
          <w:rFonts w:ascii="Times New Roman" w:hAnsi="Times New Roman" w:cs="Times New Roman"/>
          <w:lang w:val="en-US"/>
        </w:rPr>
      </w:pPr>
      <w:r>
        <w:rPr>
          <w:rFonts w:ascii="Times New Roman" w:hAnsi="Times New Roman" w:cs="Times New Roman"/>
          <w:lang w:val="en-US"/>
        </w:rPr>
        <w:t xml:space="preserve">Hughes, C., Swaminathan, V., &amp; Brooks, G. (2019). Driving brand engagement through online social influencers: An empirical investigation of sponsored blogging campaigns. Journal of Marketing, 83(5), 78–96. </w:t>
      </w:r>
      <w:r>
        <w:fldChar w:fldCharType="begin"/>
      </w:r>
      <w:r>
        <w:instrText xml:space="preserve"> HYPERLINK "https://doi.org/10.1177/0022242919854374" </w:instrText>
      </w:r>
      <w:r>
        <w:fldChar w:fldCharType="separate"/>
      </w:r>
      <w:r>
        <w:rPr>
          <w:rStyle w:val="27"/>
          <w:rFonts w:ascii="Times New Roman" w:hAnsi="Times New Roman" w:cs="Times New Roman"/>
          <w:lang w:val="en-US"/>
        </w:rPr>
        <w:t>https://doi.org/10.1177/0022242919854374</w:t>
      </w:r>
      <w:r>
        <w:rPr>
          <w:rStyle w:val="27"/>
          <w:rFonts w:ascii="Times New Roman" w:hAnsi="Times New Roman" w:cs="Times New Roman"/>
          <w:lang w:val="en-US"/>
        </w:rPr>
        <w:fldChar w:fldCharType="end"/>
      </w:r>
      <w:r>
        <w:rPr>
          <w:rFonts w:ascii="Times New Roman" w:hAnsi="Times New Roman" w:cs="Times New Roman"/>
          <w:lang w:val="en-US"/>
        </w:rPr>
        <w:t xml:space="preserve"> </w:t>
      </w:r>
    </w:p>
    <w:p w14:paraId="0BAFD3E7">
      <w:pPr>
        <w:spacing w:line="360" w:lineRule="auto"/>
        <w:ind w:left="720" w:hanging="720"/>
        <w:jc w:val="both"/>
        <w:rPr>
          <w:rFonts w:ascii="Times New Roman" w:hAnsi="Times New Roman" w:cs="Times New Roman"/>
          <w:lang w:val="en-US"/>
        </w:rPr>
      </w:pPr>
      <w:r>
        <w:rPr>
          <w:rFonts w:ascii="Times New Roman" w:hAnsi="Times New Roman" w:cs="Times New Roman"/>
          <w:lang w:val="en-US"/>
        </w:rPr>
        <w:t xml:space="preserve">Jiménez-Castillo, D., &amp; Sánchez-Fernández, R. (2019). The role of digital influencers in brand recommendation: Examining their impact on engagement, expected value and purchase intention. International Journal of Information Management, 49, 366–376. </w:t>
      </w:r>
      <w:r>
        <w:fldChar w:fldCharType="begin"/>
      </w:r>
      <w:r>
        <w:instrText xml:space="preserve"> HYPERLINK "https://doi.org/10.1016/j.ijinfomgt.2019.07.009" </w:instrText>
      </w:r>
      <w:r>
        <w:fldChar w:fldCharType="separate"/>
      </w:r>
      <w:r>
        <w:rPr>
          <w:rStyle w:val="27"/>
          <w:rFonts w:ascii="Times New Roman" w:hAnsi="Times New Roman" w:cs="Times New Roman"/>
          <w:lang w:val="en-US"/>
        </w:rPr>
        <w:t>https://doi.org/10.1016/j.ijinfomgt.2019.07.009</w:t>
      </w:r>
      <w:r>
        <w:rPr>
          <w:rStyle w:val="27"/>
          <w:rFonts w:ascii="Times New Roman" w:hAnsi="Times New Roman" w:cs="Times New Roman"/>
          <w:lang w:val="en-US"/>
        </w:rPr>
        <w:fldChar w:fldCharType="end"/>
      </w:r>
      <w:r>
        <w:rPr>
          <w:rFonts w:ascii="Times New Roman" w:hAnsi="Times New Roman" w:cs="Times New Roman"/>
          <w:lang w:val="en-US"/>
        </w:rPr>
        <w:t xml:space="preserve"> </w:t>
      </w:r>
    </w:p>
    <w:p w14:paraId="73610ECB">
      <w:pPr>
        <w:spacing w:line="360" w:lineRule="auto"/>
        <w:ind w:left="720" w:hanging="720"/>
        <w:jc w:val="both"/>
        <w:rPr>
          <w:rFonts w:ascii="Times New Roman" w:hAnsi="Times New Roman" w:cs="Times New Roman"/>
          <w:lang w:val="en-US"/>
        </w:rPr>
      </w:pPr>
      <w:r>
        <w:rPr>
          <w:rFonts w:ascii="Times New Roman" w:hAnsi="Times New Roman" w:cs="Times New Roman"/>
          <w:lang w:val="en-US"/>
        </w:rPr>
        <w:t xml:space="preserve">Kay, S., Mulcahy, R., &amp; Parkinson, J. (2020). When less is more: The impact of macro and micro social media influencers’ disclosure. Journal of Marketing Management, 36(3–4), 248–278. </w:t>
      </w:r>
      <w:r>
        <w:fldChar w:fldCharType="begin"/>
      </w:r>
      <w:r>
        <w:instrText xml:space="preserve"> HYPERLINK "https://doi.org/10.1080/0267257X.2020.1718740" </w:instrText>
      </w:r>
      <w:r>
        <w:fldChar w:fldCharType="separate"/>
      </w:r>
      <w:r>
        <w:rPr>
          <w:rStyle w:val="27"/>
          <w:rFonts w:ascii="Times New Roman" w:hAnsi="Times New Roman" w:cs="Times New Roman"/>
          <w:lang w:val="en-US"/>
        </w:rPr>
        <w:t>https://doi.org/10.1080/0267257X.2020.1718740</w:t>
      </w:r>
      <w:r>
        <w:rPr>
          <w:rStyle w:val="27"/>
          <w:rFonts w:ascii="Times New Roman" w:hAnsi="Times New Roman" w:cs="Times New Roman"/>
          <w:lang w:val="en-US"/>
        </w:rPr>
        <w:fldChar w:fldCharType="end"/>
      </w:r>
      <w:r>
        <w:rPr>
          <w:rFonts w:ascii="Times New Roman" w:hAnsi="Times New Roman" w:cs="Times New Roman"/>
          <w:lang w:val="en-US"/>
        </w:rPr>
        <w:t xml:space="preserve"> </w:t>
      </w:r>
    </w:p>
    <w:p w14:paraId="6D8185B1">
      <w:pPr>
        <w:spacing w:line="360" w:lineRule="auto"/>
        <w:ind w:left="720" w:hanging="720"/>
        <w:jc w:val="both"/>
        <w:rPr>
          <w:rFonts w:ascii="Times New Roman" w:hAnsi="Times New Roman" w:cs="Times New Roman"/>
          <w:lang w:val="en-US"/>
        </w:rPr>
      </w:pPr>
      <w:r>
        <w:rPr>
          <w:rFonts w:ascii="Times New Roman" w:hAnsi="Times New Roman" w:cs="Times New Roman"/>
          <w:lang w:val="en-US"/>
        </w:rPr>
        <w:t xml:space="preserve">Ki, C.-W. C., Cuevas, L. M., Chong, S. M., &amp; Lim, H. (2020). Influencer marketing: Social media influencers as human brands attaching to followers and yielding positive marketing results by fulfilling needs. Journal of Retailing and Consumer Services, 55, 102133. </w:t>
      </w:r>
      <w:r>
        <w:fldChar w:fldCharType="begin"/>
      </w:r>
      <w:r>
        <w:instrText xml:space="preserve"> HYPERLINK "https://doi.org/10.1016/j.jretconser.2020.102133" </w:instrText>
      </w:r>
      <w:r>
        <w:fldChar w:fldCharType="separate"/>
      </w:r>
      <w:r>
        <w:rPr>
          <w:rStyle w:val="27"/>
          <w:rFonts w:ascii="Times New Roman" w:hAnsi="Times New Roman" w:cs="Times New Roman"/>
          <w:lang w:val="en-US"/>
        </w:rPr>
        <w:t>https://doi.org/10.1016/j.jretconser.2020.102133</w:t>
      </w:r>
      <w:r>
        <w:rPr>
          <w:rStyle w:val="27"/>
          <w:rFonts w:ascii="Times New Roman" w:hAnsi="Times New Roman" w:cs="Times New Roman"/>
          <w:lang w:val="en-US"/>
        </w:rPr>
        <w:fldChar w:fldCharType="end"/>
      </w:r>
      <w:r>
        <w:rPr>
          <w:rFonts w:ascii="Times New Roman" w:hAnsi="Times New Roman" w:cs="Times New Roman"/>
          <w:lang w:val="en-US"/>
        </w:rPr>
        <w:t xml:space="preserve"> </w:t>
      </w:r>
    </w:p>
    <w:p w14:paraId="1CF2D28F">
      <w:pPr>
        <w:spacing w:line="360" w:lineRule="auto"/>
        <w:ind w:left="720" w:hanging="720"/>
        <w:jc w:val="both"/>
        <w:rPr>
          <w:rFonts w:ascii="Times New Roman" w:hAnsi="Times New Roman" w:cs="Times New Roman"/>
          <w:lang w:val="de-CH"/>
        </w:rPr>
      </w:pPr>
      <w:r>
        <w:rPr>
          <w:rFonts w:ascii="Times New Roman" w:hAnsi="Times New Roman" w:cs="Times New Roman"/>
          <w:lang w:val="de-CH"/>
        </w:rPr>
        <w:t xml:space="preserve">Ki, C.-W. C., &amp; Kim, Y.-K. (2019). </w:t>
      </w:r>
      <w:r>
        <w:rPr>
          <w:rFonts w:ascii="Times New Roman" w:hAnsi="Times New Roman" w:cs="Times New Roman"/>
          <w:lang w:val="en-US"/>
        </w:rPr>
        <w:t xml:space="preserve">The mechanism by which social media influencers persuade consumers: The role of consumers’ desire to mimic. </w:t>
      </w:r>
      <w:r>
        <w:rPr>
          <w:rFonts w:ascii="Times New Roman" w:hAnsi="Times New Roman" w:cs="Times New Roman"/>
          <w:lang w:val="de-CH"/>
        </w:rPr>
        <w:t xml:space="preserve">Psychology &amp; Marketing, 36(10), 905–922. </w:t>
      </w:r>
      <w:r>
        <w:fldChar w:fldCharType="begin"/>
      </w:r>
      <w:r>
        <w:instrText xml:space="preserve"> HYPERLINK "https://doi.org/10.1002/mar.21244" </w:instrText>
      </w:r>
      <w:r>
        <w:fldChar w:fldCharType="separate"/>
      </w:r>
      <w:r>
        <w:rPr>
          <w:rStyle w:val="27"/>
          <w:rFonts w:ascii="Times New Roman" w:hAnsi="Times New Roman" w:cs="Times New Roman"/>
          <w:lang w:val="de-CH"/>
        </w:rPr>
        <w:t>https://doi.org/10.1002/mar.21244</w:t>
      </w:r>
      <w:r>
        <w:rPr>
          <w:rStyle w:val="27"/>
          <w:rFonts w:ascii="Times New Roman" w:hAnsi="Times New Roman" w:cs="Times New Roman"/>
          <w:lang w:val="de-CH"/>
        </w:rPr>
        <w:fldChar w:fldCharType="end"/>
      </w:r>
      <w:r>
        <w:rPr>
          <w:rFonts w:ascii="Times New Roman" w:hAnsi="Times New Roman" w:cs="Times New Roman"/>
          <w:lang w:val="de-CH"/>
        </w:rPr>
        <w:t xml:space="preserve"> </w:t>
      </w:r>
    </w:p>
    <w:p w14:paraId="2A848A26">
      <w:pPr>
        <w:spacing w:line="360" w:lineRule="auto"/>
        <w:ind w:left="720" w:hanging="720"/>
        <w:jc w:val="both"/>
        <w:rPr>
          <w:rFonts w:ascii="Times New Roman" w:hAnsi="Times New Roman" w:cs="Times New Roman"/>
          <w:lang w:val="en-US"/>
        </w:rPr>
      </w:pPr>
      <w:r>
        <w:rPr>
          <w:rFonts w:ascii="Times New Roman" w:hAnsi="Times New Roman" w:cs="Times New Roman"/>
          <w:lang w:val="de-CH"/>
        </w:rPr>
        <w:t xml:space="preserve">Leung, F. F., Gu, F. F., Li, Y., Zhang, J. Z., &amp; Palmatier, R. W. (2022). </w:t>
      </w:r>
      <w:r>
        <w:rPr>
          <w:rFonts w:ascii="Times New Roman" w:hAnsi="Times New Roman" w:cs="Times New Roman"/>
          <w:lang w:val="en-US"/>
        </w:rPr>
        <w:t xml:space="preserve">Influencer marketing effectiveness. Journal of Marketing, 86(6), 93–115. </w:t>
      </w:r>
      <w:r>
        <w:fldChar w:fldCharType="begin"/>
      </w:r>
      <w:r>
        <w:instrText xml:space="preserve"> HYPERLINK "https://doi.org/10.1177/00222429221102889" </w:instrText>
      </w:r>
      <w:r>
        <w:fldChar w:fldCharType="separate"/>
      </w:r>
      <w:r>
        <w:rPr>
          <w:rStyle w:val="27"/>
          <w:rFonts w:ascii="Times New Roman" w:hAnsi="Times New Roman" w:cs="Times New Roman"/>
          <w:lang w:val="en-US"/>
        </w:rPr>
        <w:t>https://doi.org/10.1177/00222429221102889</w:t>
      </w:r>
      <w:r>
        <w:rPr>
          <w:rStyle w:val="27"/>
          <w:rFonts w:ascii="Times New Roman" w:hAnsi="Times New Roman" w:cs="Times New Roman"/>
          <w:lang w:val="en-US"/>
        </w:rPr>
        <w:fldChar w:fldCharType="end"/>
      </w:r>
      <w:r>
        <w:rPr>
          <w:rFonts w:ascii="Times New Roman" w:hAnsi="Times New Roman" w:cs="Times New Roman"/>
          <w:lang w:val="en-US"/>
        </w:rPr>
        <w:t xml:space="preserve"> </w:t>
      </w:r>
    </w:p>
    <w:p w14:paraId="39B4913F">
      <w:pPr>
        <w:spacing w:line="360" w:lineRule="auto"/>
        <w:ind w:left="720" w:hanging="720"/>
        <w:jc w:val="both"/>
        <w:rPr>
          <w:rFonts w:ascii="Times New Roman" w:hAnsi="Times New Roman" w:cs="Times New Roman"/>
          <w:lang w:val="en-US"/>
        </w:rPr>
      </w:pPr>
      <w:r>
        <w:rPr>
          <w:rFonts w:ascii="Times New Roman" w:hAnsi="Times New Roman" w:cs="Times New Roman"/>
          <w:lang w:val="en-US"/>
        </w:rPr>
        <w:t xml:space="preserve">Liu, X., &amp; Zheng, X. (2024). The persuasive power of social media influencers in brand credibility and purchase intention. Humanities and Social Sciences Communications, 11, Article 15. </w:t>
      </w:r>
      <w:r>
        <w:fldChar w:fldCharType="begin"/>
      </w:r>
      <w:r>
        <w:instrText xml:space="preserve"> HYPERLINK "https://doi.org/10.1057/s41599-023-02512-1" </w:instrText>
      </w:r>
      <w:r>
        <w:fldChar w:fldCharType="separate"/>
      </w:r>
      <w:r>
        <w:rPr>
          <w:rStyle w:val="27"/>
          <w:rFonts w:ascii="Times New Roman" w:hAnsi="Times New Roman" w:cs="Times New Roman"/>
          <w:lang w:val="en-US"/>
        </w:rPr>
        <w:t>https://doi.org/10.1057/s41599-023-02512-1</w:t>
      </w:r>
      <w:r>
        <w:rPr>
          <w:rStyle w:val="27"/>
          <w:rFonts w:ascii="Times New Roman" w:hAnsi="Times New Roman" w:cs="Times New Roman"/>
          <w:lang w:val="en-US"/>
        </w:rPr>
        <w:fldChar w:fldCharType="end"/>
      </w:r>
      <w:r>
        <w:rPr>
          <w:rFonts w:ascii="Times New Roman" w:hAnsi="Times New Roman" w:cs="Times New Roman"/>
          <w:lang w:val="en-US"/>
        </w:rPr>
        <w:t xml:space="preserve"> </w:t>
      </w:r>
    </w:p>
    <w:p w14:paraId="5F34F5A0">
      <w:pPr>
        <w:spacing w:line="360" w:lineRule="auto"/>
        <w:ind w:left="720" w:hanging="720"/>
        <w:jc w:val="both"/>
        <w:rPr>
          <w:rFonts w:ascii="Times New Roman" w:hAnsi="Times New Roman" w:cs="Times New Roman"/>
          <w:lang w:val="en-US"/>
        </w:rPr>
      </w:pPr>
      <w:r>
        <w:rPr>
          <w:rFonts w:ascii="Times New Roman" w:hAnsi="Times New Roman" w:cs="Times New Roman"/>
          <w:lang w:val="en-US"/>
        </w:rPr>
        <w:t xml:space="preserve">Lou, C., &amp; Yuan, S. (2019). Influencer marketing: How message value and credibility affect consumer trust of branded content on social media. Journal of Interactive Advertising, 19(1), 58–73. </w:t>
      </w:r>
      <w:r>
        <w:fldChar w:fldCharType="begin"/>
      </w:r>
      <w:r>
        <w:instrText xml:space="preserve"> HYPERLINK "https://doi.org/10.1080/15252019.2018.1533501" </w:instrText>
      </w:r>
      <w:r>
        <w:fldChar w:fldCharType="separate"/>
      </w:r>
      <w:r>
        <w:rPr>
          <w:rStyle w:val="27"/>
          <w:rFonts w:ascii="Times New Roman" w:hAnsi="Times New Roman" w:cs="Times New Roman"/>
          <w:lang w:val="en-US"/>
        </w:rPr>
        <w:t>https://doi.org/10.1080/15252019.2018.1533501</w:t>
      </w:r>
      <w:r>
        <w:rPr>
          <w:rStyle w:val="27"/>
          <w:rFonts w:ascii="Times New Roman" w:hAnsi="Times New Roman" w:cs="Times New Roman"/>
          <w:lang w:val="en-US"/>
        </w:rPr>
        <w:fldChar w:fldCharType="end"/>
      </w:r>
      <w:r>
        <w:rPr>
          <w:rFonts w:ascii="Times New Roman" w:hAnsi="Times New Roman" w:cs="Times New Roman"/>
          <w:lang w:val="en-US"/>
        </w:rPr>
        <w:t xml:space="preserve"> </w:t>
      </w:r>
    </w:p>
    <w:p w14:paraId="0DBFEFDE">
      <w:pPr>
        <w:spacing w:line="360" w:lineRule="auto"/>
        <w:ind w:left="720" w:hanging="720"/>
        <w:jc w:val="both"/>
        <w:rPr>
          <w:rFonts w:ascii="Times New Roman" w:hAnsi="Times New Roman" w:cs="Times New Roman"/>
          <w:lang w:val="en-US"/>
        </w:rPr>
      </w:pPr>
      <w:r>
        <w:rPr>
          <w:rFonts w:ascii="Times New Roman" w:hAnsi="Times New Roman" w:cs="Times New Roman"/>
          <w:lang w:val="en-US"/>
        </w:rPr>
        <w:t xml:space="preserve">Mahn, L., Hegner, S., Piehler, R., Schade, M., &amp; Burmann, C. (2026). Drivers of sponsored fashion haul viewers’ purchase intentions: A mixed-methods study of post characteristics, social media influencer characteristics, and haul viewers’ attributes. International Journal of Advertising, 45(4), 898–931. </w:t>
      </w:r>
      <w:r>
        <w:fldChar w:fldCharType="begin"/>
      </w:r>
      <w:r>
        <w:instrText xml:space="preserve"> HYPERLINK "https://doi.org/10.1080/02650487.2026.2616979" </w:instrText>
      </w:r>
      <w:r>
        <w:fldChar w:fldCharType="separate"/>
      </w:r>
      <w:r>
        <w:rPr>
          <w:rStyle w:val="27"/>
          <w:rFonts w:ascii="Times New Roman" w:hAnsi="Times New Roman" w:cs="Times New Roman"/>
          <w:lang w:val="en-US"/>
        </w:rPr>
        <w:t>https://doi.org/10.1080/02650487.2026.2616979</w:t>
      </w:r>
      <w:r>
        <w:rPr>
          <w:rStyle w:val="27"/>
          <w:rFonts w:ascii="Times New Roman" w:hAnsi="Times New Roman" w:cs="Times New Roman"/>
          <w:lang w:val="en-US"/>
        </w:rPr>
        <w:fldChar w:fldCharType="end"/>
      </w:r>
      <w:r>
        <w:rPr>
          <w:rFonts w:ascii="Times New Roman" w:hAnsi="Times New Roman" w:cs="Times New Roman"/>
          <w:lang w:val="en-US"/>
        </w:rPr>
        <w:t xml:space="preserve"> </w:t>
      </w:r>
    </w:p>
    <w:p w14:paraId="1761CAFA">
      <w:pPr>
        <w:spacing w:line="360" w:lineRule="auto"/>
        <w:ind w:left="720" w:hanging="720"/>
        <w:jc w:val="both"/>
        <w:rPr>
          <w:rFonts w:ascii="Times New Roman" w:hAnsi="Times New Roman" w:cs="Times New Roman"/>
          <w:lang w:val="en-US"/>
        </w:rPr>
      </w:pPr>
      <w:r>
        <w:rPr>
          <w:rFonts w:ascii="Times New Roman" w:hAnsi="Times New Roman" w:cs="Times New Roman"/>
          <w:lang w:val="en-US"/>
        </w:rPr>
        <w:t xml:space="preserve">McKinsey &amp; Company, &amp; The Business of Fashion. (2024). The state of fashion 2024: Finding pockets of growth as uncertainty reigns. </w:t>
      </w:r>
      <w:r>
        <w:fldChar w:fldCharType="begin"/>
      </w:r>
      <w:r>
        <w:instrText xml:space="preserve"> HYPERLINK "https://www.mckinsey.com/industries/retail/our-insights/state-of-fashion-archive" </w:instrText>
      </w:r>
      <w:r>
        <w:fldChar w:fldCharType="separate"/>
      </w:r>
      <w:r>
        <w:rPr>
          <w:rStyle w:val="27"/>
          <w:rFonts w:ascii="Times New Roman" w:hAnsi="Times New Roman" w:cs="Times New Roman"/>
          <w:lang w:val="en-US"/>
        </w:rPr>
        <w:t>https://www.mckinsey.com/industries/retail/our-insights/state-of-fashion-archive</w:t>
      </w:r>
      <w:r>
        <w:rPr>
          <w:rStyle w:val="27"/>
          <w:rFonts w:ascii="Times New Roman" w:hAnsi="Times New Roman" w:cs="Times New Roman"/>
          <w:lang w:val="en-US"/>
        </w:rPr>
        <w:fldChar w:fldCharType="end"/>
      </w:r>
      <w:r>
        <w:rPr>
          <w:rFonts w:ascii="Times New Roman" w:hAnsi="Times New Roman" w:cs="Times New Roman"/>
          <w:lang w:val="en-US"/>
        </w:rPr>
        <w:t xml:space="preserve"> </w:t>
      </w:r>
    </w:p>
    <w:p w14:paraId="1DB49C8F">
      <w:pPr>
        <w:spacing w:line="360" w:lineRule="auto"/>
        <w:ind w:left="720" w:hanging="720"/>
        <w:jc w:val="both"/>
        <w:rPr>
          <w:rFonts w:ascii="Times New Roman" w:hAnsi="Times New Roman" w:cs="Times New Roman"/>
          <w:lang w:val="en-US"/>
        </w:rPr>
      </w:pPr>
      <w:r>
        <w:rPr>
          <w:rFonts w:ascii="Times New Roman" w:hAnsi="Times New Roman" w:cs="Times New Roman"/>
          <w:lang w:val="en-US"/>
        </w:rPr>
        <w:t xml:space="preserve">McKinsey &amp; Company, &amp; The Business of Fashion. (2025). The state of fashion 2025: Challenges at every turn. </w:t>
      </w:r>
      <w:r>
        <w:fldChar w:fldCharType="begin"/>
      </w:r>
      <w:r>
        <w:instrText xml:space="preserve"> HYPERLINK "https://www.mckinsey.com/industries/retail/our-insights/state-of-fashion-2025" </w:instrText>
      </w:r>
      <w:r>
        <w:fldChar w:fldCharType="separate"/>
      </w:r>
      <w:r>
        <w:rPr>
          <w:rStyle w:val="27"/>
          <w:rFonts w:ascii="Times New Roman" w:hAnsi="Times New Roman" w:cs="Times New Roman"/>
          <w:lang w:val="en-US"/>
        </w:rPr>
        <w:t>https://www.mckinsey.com/industries/retail/our-insights/state-of-fashion-2025</w:t>
      </w:r>
      <w:r>
        <w:rPr>
          <w:rStyle w:val="27"/>
          <w:rFonts w:ascii="Times New Roman" w:hAnsi="Times New Roman" w:cs="Times New Roman"/>
          <w:lang w:val="en-US"/>
        </w:rPr>
        <w:fldChar w:fldCharType="end"/>
      </w:r>
      <w:r>
        <w:rPr>
          <w:rFonts w:ascii="Times New Roman" w:hAnsi="Times New Roman" w:cs="Times New Roman"/>
          <w:lang w:val="en-US"/>
        </w:rPr>
        <w:t xml:space="preserve"> </w:t>
      </w:r>
    </w:p>
    <w:p w14:paraId="34E6D538">
      <w:pPr>
        <w:spacing w:line="360" w:lineRule="auto"/>
        <w:ind w:left="720" w:hanging="720"/>
        <w:jc w:val="both"/>
        <w:rPr>
          <w:rFonts w:ascii="Times New Roman" w:hAnsi="Times New Roman" w:cs="Times New Roman"/>
          <w:lang w:val="en-US"/>
        </w:rPr>
      </w:pPr>
      <w:r>
        <w:rPr>
          <w:rFonts w:ascii="Times New Roman" w:hAnsi="Times New Roman" w:cs="Times New Roman"/>
        </w:rPr>
        <w:t xml:space="preserve">Ohanian, R. (1990). Construction and validation of a scale to measure celebrity endorsers' perceived expertise, trustworthiness, and attractiveness. </w:t>
      </w:r>
      <w:r>
        <w:rPr>
          <w:rFonts w:ascii="Times New Roman" w:hAnsi="Times New Roman" w:cs="Times New Roman"/>
          <w:i/>
          <w:iCs/>
        </w:rPr>
        <w:t>Journal of Advertising, 19</w:t>
      </w:r>
      <w:r>
        <w:rPr>
          <w:rFonts w:ascii="Times New Roman" w:hAnsi="Times New Roman" w:cs="Times New Roman"/>
        </w:rPr>
        <w:t xml:space="preserve">(3), 39–52. </w:t>
      </w:r>
      <w:r>
        <w:fldChar w:fldCharType="begin"/>
      </w:r>
      <w:r>
        <w:instrText xml:space="preserve"> HYPERLINK "https://doi.org/10.1080/00913367.1990.10673191" \t "_new" </w:instrText>
      </w:r>
      <w:r>
        <w:fldChar w:fldCharType="separate"/>
      </w:r>
      <w:r>
        <w:rPr>
          <w:rStyle w:val="27"/>
          <w:rFonts w:ascii="Times New Roman" w:hAnsi="Times New Roman" w:cs="Times New Roman"/>
        </w:rPr>
        <w:t>https://doi.org/10.1080/00913367.1990.10673191</w:t>
      </w:r>
      <w:r>
        <w:rPr>
          <w:rStyle w:val="27"/>
          <w:rFonts w:ascii="Times New Roman" w:hAnsi="Times New Roman" w:cs="Times New Roman"/>
        </w:rPr>
        <w:fldChar w:fldCharType="end"/>
      </w:r>
    </w:p>
    <w:p w14:paraId="168E92D3">
      <w:pPr>
        <w:spacing w:line="360" w:lineRule="auto"/>
        <w:ind w:left="720" w:hanging="720"/>
        <w:jc w:val="both"/>
        <w:rPr>
          <w:rFonts w:ascii="Times New Roman" w:hAnsi="Times New Roman" w:cs="Times New Roman"/>
        </w:rPr>
      </w:pPr>
      <w:r>
        <w:rPr>
          <w:rFonts w:ascii="Times New Roman" w:hAnsi="Times New Roman" w:cs="Times New Roman"/>
        </w:rPr>
        <w:t xml:space="preserve">Pan, M., Blut, M., Ghiassaleh, A., &amp; Lee, Z. W. Y. (2025). Influencer marketing effectiveness: A meta-analytic review. </w:t>
      </w:r>
      <w:r>
        <w:rPr>
          <w:rFonts w:ascii="Times New Roman" w:hAnsi="Times New Roman" w:cs="Times New Roman"/>
          <w:i/>
          <w:iCs/>
        </w:rPr>
        <w:t>Journal of the Academy of Marketing Science, 53</w:t>
      </w:r>
      <w:r>
        <w:rPr>
          <w:rFonts w:ascii="Times New Roman" w:hAnsi="Times New Roman" w:cs="Times New Roman"/>
        </w:rPr>
        <w:t xml:space="preserve">, 52–78. </w:t>
      </w:r>
      <w:r>
        <w:fldChar w:fldCharType="begin"/>
      </w:r>
      <w:r>
        <w:instrText xml:space="preserve"> HYPERLINK "https://doi.org/10.1007/s11747-024-01052-7?utm_source=chatgpt.com" \t "_new" </w:instrText>
      </w:r>
      <w:r>
        <w:fldChar w:fldCharType="separate"/>
      </w:r>
      <w:r>
        <w:rPr>
          <w:rStyle w:val="27"/>
          <w:rFonts w:ascii="Times New Roman" w:hAnsi="Times New Roman" w:cs="Times New Roman"/>
        </w:rPr>
        <w:t>https://doi.org/10.1007/s11747-024-01052-7</w:t>
      </w:r>
      <w:r>
        <w:rPr>
          <w:rStyle w:val="27"/>
          <w:rFonts w:ascii="Times New Roman" w:hAnsi="Times New Roman" w:cs="Times New Roman"/>
        </w:rPr>
        <w:fldChar w:fldCharType="end"/>
      </w:r>
    </w:p>
    <w:p w14:paraId="76A35515">
      <w:pPr>
        <w:spacing w:line="360" w:lineRule="auto"/>
        <w:ind w:left="720" w:hanging="720"/>
        <w:jc w:val="both"/>
        <w:rPr>
          <w:rFonts w:ascii="Times New Roman" w:hAnsi="Times New Roman" w:cs="Times New Roman"/>
          <w:lang w:val="en-US"/>
        </w:rPr>
      </w:pPr>
      <w:r>
        <w:rPr>
          <w:rFonts w:ascii="Times New Roman" w:hAnsi="Times New Roman" w:cs="Times New Roman"/>
        </w:rPr>
        <w:t xml:space="preserve">Petty, R. E., &amp; Cacioppo, J. T. (1986). </w:t>
      </w:r>
      <w:r>
        <w:rPr>
          <w:rFonts w:ascii="Times New Roman" w:hAnsi="Times New Roman" w:cs="Times New Roman"/>
          <w:i/>
          <w:iCs/>
        </w:rPr>
        <w:t>Communication and persuasion: Central and peripheral routes to attitude change</w:t>
      </w:r>
      <w:r>
        <w:rPr>
          <w:rFonts w:ascii="Times New Roman" w:hAnsi="Times New Roman" w:cs="Times New Roman"/>
        </w:rPr>
        <w:t xml:space="preserve">. Springer. </w:t>
      </w:r>
      <w:r>
        <w:fldChar w:fldCharType="begin"/>
      </w:r>
      <w:r>
        <w:instrText xml:space="preserve"> HYPERLINK "https://doi.org/10.1007/978-1-4612-4964-1" \t "_new" </w:instrText>
      </w:r>
      <w:r>
        <w:fldChar w:fldCharType="separate"/>
      </w:r>
      <w:r>
        <w:rPr>
          <w:rStyle w:val="27"/>
          <w:rFonts w:ascii="Times New Roman" w:hAnsi="Times New Roman" w:cs="Times New Roman"/>
        </w:rPr>
        <w:t>https://doi.org/10.1007/978-1-4612-4964-1</w:t>
      </w:r>
      <w:r>
        <w:rPr>
          <w:rStyle w:val="27"/>
          <w:rFonts w:ascii="Times New Roman" w:hAnsi="Times New Roman" w:cs="Times New Roman"/>
        </w:rPr>
        <w:fldChar w:fldCharType="end"/>
      </w:r>
    </w:p>
    <w:p w14:paraId="7303FBD0">
      <w:pPr>
        <w:spacing w:line="360" w:lineRule="auto"/>
        <w:ind w:left="720" w:hanging="720"/>
        <w:jc w:val="both"/>
        <w:rPr>
          <w:rFonts w:ascii="Times New Roman" w:hAnsi="Times New Roman" w:cs="Times New Roman"/>
          <w:lang w:val="en-US"/>
        </w:rPr>
      </w:pPr>
      <w:r>
        <w:rPr>
          <w:rFonts w:ascii="Times New Roman" w:hAnsi="Times New Roman" w:cs="Times New Roman"/>
          <w:lang w:val="en-US"/>
        </w:rPr>
        <w:t xml:space="preserve">Reinikainen, H., Munnukka, J., Maity, D., &amp; Luoma-aho, V. (2020). “You really are a great big sister”: Parasocial relationships, credibility, and the moderating role of audience comments in influencer marketing. Journal of Marketing Management, 36(3–4), 279–298. </w:t>
      </w:r>
      <w:r>
        <w:fldChar w:fldCharType="begin"/>
      </w:r>
      <w:r>
        <w:instrText xml:space="preserve"> HYPERLINK "https://doi.org/10.1080/0267257X.2019.1708781" </w:instrText>
      </w:r>
      <w:r>
        <w:fldChar w:fldCharType="separate"/>
      </w:r>
      <w:r>
        <w:rPr>
          <w:rStyle w:val="27"/>
          <w:rFonts w:ascii="Times New Roman" w:hAnsi="Times New Roman" w:cs="Times New Roman"/>
          <w:lang w:val="en-US"/>
        </w:rPr>
        <w:t>https://doi.org/10.1080/0267257X.2019.1708781</w:t>
      </w:r>
      <w:r>
        <w:rPr>
          <w:rStyle w:val="27"/>
          <w:rFonts w:ascii="Times New Roman" w:hAnsi="Times New Roman" w:cs="Times New Roman"/>
          <w:lang w:val="en-US"/>
        </w:rPr>
        <w:fldChar w:fldCharType="end"/>
      </w:r>
      <w:r>
        <w:rPr>
          <w:rFonts w:ascii="Times New Roman" w:hAnsi="Times New Roman" w:cs="Times New Roman"/>
          <w:lang w:val="en-US"/>
        </w:rPr>
        <w:t xml:space="preserve"> </w:t>
      </w:r>
    </w:p>
    <w:p w14:paraId="7AE05E0F">
      <w:pPr>
        <w:spacing w:line="360" w:lineRule="auto"/>
        <w:ind w:left="720" w:hanging="720"/>
        <w:jc w:val="both"/>
        <w:rPr>
          <w:rFonts w:ascii="Times New Roman" w:hAnsi="Times New Roman" w:cs="Times New Roman"/>
          <w:lang w:val="en-US"/>
        </w:rPr>
      </w:pPr>
      <w:r>
        <w:rPr>
          <w:rFonts w:ascii="Times New Roman" w:hAnsi="Times New Roman" w:cs="Times New Roman"/>
          <w:lang w:val="en-US"/>
        </w:rPr>
        <w:t xml:space="preserve">Schouten, A. P., Janssen, L., &amp; Verspaget, M. (2020). Celebrity versus influencer endorsements in advertising: The role of identification, credibility, and product-endorser fit. International Journal of Advertising, 39(2), 258–281. </w:t>
      </w:r>
      <w:r>
        <w:fldChar w:fldCharType="begin"/>
      </w:r>
      <w:r>
        <w:instrText xml:space="preserve"> HYPERLINK "https://doi.org/10.1080/02650487.2019.1634898" </w:instrText>
      </w:r>
      <w:r>
        <w:fldChar w:fldCharType="separate"/>
      </w:r>
      <w:r>
        <w:rPr>
          <w:rStyle w:val="27"/>
          <w:rFonts w:ascii="Times New Roman" w:hAnsi="Times New Roman" w:cs="Times New Roman"/>
          <w:lang w:val="en-US"/>
        </w:rPr>
        <w:t>https://doi.org/10.1080/02650487.2019.1634898</w:t>
      </w:r>
      <w:r>
        <w:rPr>
          <w:rStyle w:val="27"/>
          <w:rFonts w:ascii="Times New Roman" w:hAnsi="Times New Roman" w:cs="Times New Roman"/>
          <w:lang w:val="en-US"/>
        </w:rPr>
        <w:fldChar w:fldCharType="end"/>
      </w:r>
      <w:r>
        <w:rPr>
          <w:rFonts w:ascii="Times New Roman" w:hAnsi="Times New Roman" w:cs="Times New Roman"/>
          <w:lang w:val="en-US"/>
        </w:rPr>
        <w:t xml:space="preserve"> </w:t>
      </w:r>
    </w:p>
    <w:p w14:paraId="0C855D43">
      <w:pPr>
        <w:spacing w:line="360" w:lineRule="auto"/>
        <w:ind w:left="720" w:hanging="720"/>
        <w:jc w:val="both"/>
        <w:rPr>
          <w:rFonts w:ascii="Times New Roman" w:hAnsi="Times New Roman" w:cs="Times New Roman"/>
          <w:lang w:val="en-US"/>
        </w:rPr>
      </w:pPr>
      <w:r>
        <w:rPr>
          <w:rFonts w:ascii="Times New Roman" w:hAnsi="Times New Roman" w:cs="Times New Roman"/>
          <w:lang w:val="en-US"/>
        </w:rPr>
        <w:t xml:space="preserve">Sokolova, K., &amp; Kefi, H. (2020). Instagram and YouTube bloggers promote it, why should I buy? How credibility and parasocial interaction influence purchase intentions. Journal of Retailing and Consumer Services, 53, 101742. </w:t>
      </w:r>
      <w:r>
        <w:fldChar w:fldCharType="begin"/>
      </w:r>
      <w:r>
        <w:instrText xml:space="preserve"> HYPERLINK "https://doi.org/10.1016/j.jretconser.2019.01.011" </w:instrText>
      </w:r>
      <w:r>
        <w:fldChar w:fldCharType="separate"/>
      </w:r>
      <w:r>
        <w:rPr>
          <w:rStyle w:val="27"/>
          <w:rFonts w:ascii="Times New Roman" w:hAnsi="Times New Roman" w:cs="Times New Roman"/>
          <w:lang w:val="en-US"/>
        </w:rPr>
        <w:t>https://doi.org/10.1016/j.jretconser.2019.01.011</w:t>
      </w:r>
      <w:r>
        <w:rPr>
          <w:rStyle w:val="27"/>
          <w:rFonts w:ascii="Times New Roman" w:hAnsi="Times New Roman" w:cs="Times New Roman"/>
          <w:lang w:val="en-US"/>
        </w:rPr>
        <w:fldChar w:fldCharType="end"/>
      </w:r>
      <w:r>
        <w:rPr>
          <w:rFonts w:ascii="Times New Roman" w:hAnsi="Times New Roman" w:cs="Times New Roman"/>
          <w:lang w:val="en-US"/>
        </w:rPr>
        <w:t xml:space="preserve"> </w:t>
      </w:r>
    </w:p>
    <w:p w14:paraId="735797E5">
      <w:pPr>
        <w:spacing w:line="360" w:lineRule="auto"/>
        <w:ind w:left="720" w:hanging="720"/>
        <w:jc w:val="both"/>
        <w:rPr>
          <w:rFonts w:ascii="Times New Roman" w:hAnsi="Times New Roman" w:cs="Times New Roman"/>
          <w:lang w:val="en-US"/>
        </w:rPr>
      </w:pPr>
      <w:r>
        <w:rPr>
          <w:rFonts w:ascii="Times New Roman" w:hAnsi="Times New Roman" w:cs="Times New Roman"/>
          <w:lang w:val="en-US"/>
        </w:rPr>
        <w:t xml:space="preserve">Tafesse, W., &amp; Wood, B. P. (2021). Followers’ engagement with Instagram influencers: The role of influencers’ content and engagement strategy. Journal of Retailing and Consumer Services, 58, 102303. </w:t>
      </w:r>
      <w:r>
        <w:fldChar w:fldCharType="begin"/>
      </w:r>
      <w:r>
        <w:instrText xml:space="preserve"> HYPERLINK "https://doi.org/10.1016/j.jretconser.2020.102303" </w:instrText>
      </w:r>
      <w:r>
        <w:fldChar w:fldCharType="separate"/>
      </w:r>
      <w:r>
        <w:rPr>
          <w:rStyle w:val="27"/>
          <w:rFonts w:ascii="Times New Roman" w:hAnsi="Times New Roman" w:cs="Times New Roman"/>
          <w:lang w:val="en-US"/>
        </w:rPr>
        <w:t>https://doi.org/10.1016/j.jretconser.2020.102303</w:t>
      </w:r>
      <w:r>
        <w:rPr>
          <w:rStyle w:val="27"/>
          <w:rFonts w:ascii="Times New Roman" w:hAnsi="Times New Roman" w:cs="Times New Roman"/>
          <w:lang w:val="en-US"/>
        </w:rPr>
        <w:fldChar w:fldCharType="end"/>
      </w:r>
      <w:r>
        <w:rPr>
          <w:rFonts w:ascii="Times New Roman" w:hAnsi="Times New Roman" w:cs="Times New Roman"/>
          <w:lang w:val="en-US"/>
        </w:rPr>
        <w:t xml:space="preserve"> </w:t>
      </w:r>
    </w:p>
    <w:p w14:paraId="026B341E">
      <w:pPr>
        <w:spacing w:line="360" w:lineRule="auto"/>
        <w:ind w:left="720" w:hanging="720"/>
        <w:jc w:val="both"/>
        <w:rPr>
          <w:rFonts w:ascii="Times New Roman" w:hAnsi="Times New Roman" w:cs="Times New Roman"/>
          <w:lang w:val="en-US"/>
        </w:rPr>
      </w:pPr>
      <w:r>
        <w:rPr>
          <w:rFonts w:ascii="Times New Roman" w:hAnsi="Times New Roman" w:cs="Times New Roman"/>
        </w:rPr>
        <w:t xml:space="preserve">Thomson, M. (2006). Human brands: Investigating antecedents to consumers' strong attachments to celebrities. </w:t>
      </w:r>
      <w:r>
        <w:rPr>
          <w:rFonts w:ascii="Times New Roman" w:hAnsi="Times New Roman" w:cs="Times New Roman"/>
          <w:i/>
          <w:iCs/>
        </w:rPr>
        <w:t>Journal of Marketing, 70</w:t>
      </w:r>
      <w:r>
        <w:rPr>
          <w:rFonts w:ascii="Times New Roman" w:hAnsi="Times New Roman" w:cs="Times New Roman"/>
        </w:rPr>
        <w:t xml:space="preserve">(3), 104–119. </w:t>
      </w:r>
      <w:r>
        <w:fldChar w:fldCharType="begin"/>
      </w:r>
      <w:r>
        <w:instrText xml:space="preserve"> HYPERLINK "https://doi.org/10.1509/jmkg.70.3.104" \t "_new" </w:instrText>
      </w:r>
      <w:r>
        <w:fldChar w:fldCharType="separate"/>
      </w:r>
      <w:r>
        <w:rPr>
          <w:rStyle w:val="27"/>
          <w:rFonts w:ascii="Times New Roman" w:hAnsi="Times New Roman" w:cs="Times New Roman"/>
        </w:rPr>
        <w:t>https://doi.org/10.1509/jmkg.70.3.104</w:t>
      </w:r>
      <w:r>
        <w:rPr>
          <w:rStyle w:val="27"/>
          <w:rFonts w:ascii="Times New Roman" w:hAnsi="Times New Roman" w:cs="Times New Roman"/>
        </w:rPr>
        <w:fldChar w:fldCharType="end"/>
      </w:r>
    </w:p>
    <w:p w14:paraId="65BB0331">
      <w:pPr>
        <w:spacing w:line="360" w:lineRule="auto"/>
        <w:ind w:left="720" w:hanging="720"/>
        <w:jc w:val="both"/>
        <w:rPr>
          <w:rFonts w:ascii="Times New Roman" w:hAnsi="Times New Roman" w:cs="Times New Roman"/>
          <w:lang w:val="en-US"/>
        </w:rPr>
      </w:pPr>
      <w:r>
        <w:rPr>
          <w:rFonts w:ascii="Times New Roman" w:hAnsi="Times New Roman" w:cs="Times New Roman"/>
          <w:lang w:val="en-US"/>
        </w:rPr>
        <w:t xml:space="preserve">Vrontis, D., Makrides, A., Christofi, M., &amp; Thrassou, A. (2021). Social media influencer marketing: A systematic review, integrative framework and future research agenda. International Journal of Consumer Studies, 45(4), 617–644. </w:t>
      </w:r>
      <w:r>
        <w:fldChar w:fldCharType="begin"/>
      </w:r>
      <w:r>
        <w:instrText xml:space="preserve"> HYPERLINK "https://doi.org/10.1111/ijcs.12647" </w:instrText>
      </w:r>
      <w:r>
        <w:fldChar w:fldCharType="separate"/>
      </w:r>
      <w:r>
        <w:rPr>
          <w:rStyle w:val="27"/>
          <w:rFonts w:ascii="Times New Roman" w:hAnsi="Times New Roman" w:cs="Times New Roman"/>
          <w:lang w:val="en-US"/>
        </w:rPr>
        <w:t>https://doi.org/10.1111/ijcs.12647</w:t>
      </w:r>
      <w:r>
        <w:rPr>
          <w:rStyle w:val="27"/>
          <w:rFonts w:ascii="Times New Roman" w:hAnsi="Times New Roman" w:cs="Times New Roman"/>
          <w:lang w:val="en-US"/>
        </w:rPr>
        <w:fldChar w:fldCharType="end"/>
      </w:r>
      <w:r>
        <w:rPr>
          <w:rFonts w:ascii="Times New Roman" w:hAnsi="Times New Roman" w:cs="Times New Roman"/>
          <w:lang w:val="en-US"/>
        </w:rPr>
        <w:t xml:space="preserve"> </w:t>
      </w:r>
    </w:p>
    <w:p w14:paraId="527653A8">
      <w:pPr>
        <w:rPr>
          <w:rFonts w:ascii="Times New Roman" w:hAnsi="Times New Roman" w:cs="Times New Roman"/>
        </w:rPr>
      </w:pPr>
    </w:p>
    <w:p w14:paraId="2F1AB489">
      <w:pPr>
        <w:spacing w:line="360" w:lineRule="auto"/>
        <w:jc w:val="both"/>
        <w:rPr>
          <w:rFonts w:ascii="Times New Roman" w:hAnsi="Times New Roman" w:cs="Times New Roman"/>
          <w:lang w:val="en-US"/>
        </w:rPr>
      </w:pPr>
    </w:p>
    <w:p w14:paraId="67E87970">
      <w:pPr>
        <w:rPr>
          <w:rFonts w:ascii="Times New Roman" w:hAnsi="Times New Roman" w:cs="Times New Roman"/>
          <w:lang w:val="en-US"/>
        </w:rPr>
      </w:pPr>
      <w:r>
        <w:rPr>
          <w:rFonts w:ascii="Times New Roman" w:hAnsi="Times New Roman" w:cs="Times New Roman"/>
          <w:lang w:val="en-US"/>
        </w:rPr>
        <w:br w:type="page"/>
      </w:r>
    </w:p>
    <w:p w14:paraId="0AB1D22E">
      <w:pPr>
        <w:pStyle w:val="2"/>
        <w:rPr>
          <w:rFonts w:ascii="Times New Roman" w:hAnsi="Times New Roman" w:cs="Times New Roman"/>
          <w:b/>
          <w:bCs/>
          <w:color w:val="auto"/>
          <w:sz w:val="24"/>
          <w:szCs w:val="24"/>
        </w:rPr>
      </w:pPr>
      <w:bookmarkStart w:id="248" w:name="_Toc18853"/>
      <w:bookmarkStart w:id="249" w:name="_Toc240993944"/>
      <w:bookmarkStart w:id="250" w:name="_Toc11042"/>
      <w:bookmarkStart w:id="251" w:name="_Toc15320"/>
      <w:bookmarkStart w:id="252" w:name="_Toc30303"/>
      <w:bookmarkStart w:id="253" w:name="_Toc32044"/>
      <w:r>
        <w:rPr>
          <w:rFonts w:ascii="Times New Roman" w:hAnsi="Times New Roman" w:cs="Times New Roman"/>
          <w:b/>
          <w:bCs/>
          <w:color w:val="auto"/>
          <w:sz w:val="24"/>
          <w:szCs w:val="24"/>
        </w:rPr>
        <w:t>APPENDICES</w:t>
      </w:r>
      <w:bookmarkEnd w:id="248"/>
      <w:bookmarkEnd w:id="249"/>
      <w:bookmarkEnd w:id="250"/>
      <w:bookmarkEnd w:id="251"/>
      <w:bookmarkEnd w:id="252"/>
      <w:bookmarkEnd w:id="253"/>
    </w:p>
    <w:p w14:paraId="6B4FFCE8">
      <w:pPr>
        <w:pStyle w:val="3"/>
        <w:rPr>
          <w:rFonts w:ascii="Times New Roman" w:hAnsi="Times New Roman" w:cs="Times New Roman"/>
          <w:b/>
          <w:bCs/>
          <w:color w:val="auto"/>
          <w:sz w:val="24"/>
          <w:szCs w:val="24"/>
        </w:rPr>
      </w:pPr>
      <w:bookmarkStart w:id="254" w:name="_Toc2365"/>
      <w:bookmarkStart w:id="255" w:name="_Toc32698"/>
      <w:bookmarkStart w:id="256" w:name="_Toc24288"/>
      <w:bookmarkStart w:id="257" w:name="_Toc12880"/>
      <w:bookmarkStart w:id="258" w:name="_Toc240993945"/>
      <w:bookmarkStart w:id="259" w:name="_Toc32162"/>
      <w:r>
        <w:rPr>
          <w:rFonts w:ascii="Times New Roman" w:hAnsi="Times New Roman" w:cs="Times New Roman"/>
          <w:b/>
          <w:bCs/>
          <w:color w:val="auto"/>
          <w:sz w:val="24"/>
          <w:szCs w:val="24"/>
        </w:rPr>
        <w:t>Appendix A. Thematic Results Across the 18 Studies</w:t>
      </w:r>
      <w:bookmarkEnd w:id="254"/>
      <w:bookmarkEnd w:id="255"/>
      <w:bookmarkEnd w:id="256"/>
      <w:bookmarkEnd w:id="257"/>
      <w:bookmarkEnd w:id="258"/>
      <w:bookmarkEnd w:id="259"/>
    </w:p>
    <w:tbl>
      <w:tblPr>
        <w:tblStyle w:val="24"/>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208"/>
        <w:gridCol w:w="2518"/>
        <w:gridCol w:w="2954"/>
        <w:gridCol w:w="1820"/>
      </w:tblGrid>
      <w:tr w14:paraId="2AD94B8B">
        <w:trPr>
          <w:tblHeader/>
          <w:jc w:val="center"/>
        </w:trPr>
        <w:tc>
          <w:tcPr>
            <w:tcW w:w="2592" w:type="dxa"/>
            <w:shd w:val="clear" w:color="auto" w:fill="D9D9D9"/>
            <w:tcMar>
              <w:top w:w="70" w:type="dxa"/>
              <w:left w:w="70" w:type="dxa"/>
              <w:bottom w:w="70" w:type="dxa"/>
              <w:right w:w="70" w:type="dxa"/>
            </w:tcMar>
            <w:vAlign w:val="center"/>
          </w:tcPr>
          <w:p w14:paraId="76A63A74">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b/>
                <w:kern w:val="0"/>
                <w:sz w:val="24"/>
                <w:szCs w:val="24"/>
                <w:lang w:eastAsia="en-US"/>
                <w14:ligatures w14:val="none"/>
              </w:rPr>
              <w:t>Theme</w:t>
            </w:r>
          </w:p>
        </w:tc>
        <w:tc>
          <w:tcPr>
            <w:tcW w:w="3168" w:type="dxa"/>
            <w:shd w:val="clear" w:color="auto" w:fill="D9D9D9"/>
            <w:tcMar>
              <w:top w:w="70" w:type="dxa"/>
              <w:left w:w="70" w:type="dxa"/>
              <w:bottom w:w="70" w:type="dxa"/>
              <w:right w:w="70" w:type="dxa"/>
            </w:tcMar>
            <w:vAlign w:val="center"/>
          </w:tcPr>
          <w:p w14:paraId="621D5CD0">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b/>
                <w:kern w:val="0"/>
                <w:sz w:val="24"/>
                <w:szCs w:val="24"/>
                <w:lang w:eastAsia="en-US"/>
                <w14:ligatures w14:val="none"/>
              </w:rPr>
              <w:t>Studies providing strongest evidence</w:t>
            </w:r>
          </w:p>
        </w:tc>
        <w:tc>
          <w:tcPr>
            <w:tcW w:w="3744" w:type="dxa"/>
            <w:shd w:val="clear" w:color="auto" w:fill="D9D9D9"/>
            <w:tcMar>
              <w:top w:w="70" w:type="dxa"/>
              <w:left w:w="70" w:type="dxa"/>
              <w:bottom w:w="70" w:type="dxa"/>
              <w:right w:w="70" w:type="dxa"/>
            </w:tcMar>
            <w:vAlign w:val="center"/>
          </w:tcPr>
          <w:p w14:paraId="1B7E8E54">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b/>
                <w:kern w:val="0"/>
                <w:sz w:val="24"/>
                <w:szCs w:val="24"/>
                <w:lang w:eastAsia="en-US"/>
                <w14:ligatures w14:val="none"/>
              </w:rPr>
              <w:t>Specific result</w:t>
            </w:r>
          </w:p>
        </w:tc>
        <w:tc>
          <w:tcPr>
            <w:tcW w:w="1728" w:type="dxa"/>
            <w:shd w:val="clear" w:color="auto" w:fill="D9D9D9"/>
            <w:tcMar>
              <w:top w:w="70" w:type="dxa"/>
              <w:left w:w="70" w:type="dxa"/>
              <w:bottom w:w="70" w:type="dxa"/>
              <w:right w:w="70" w:type="dxa"/>
            </w:tcMar>
            <w:vAlign w:val="center"/>
          </w:tcPr>
          <w:p w14:paraId="6126DC2B">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b/>
                <w:kern w:val="0"/>
                <w:sz w:val="24"/>
                <w:szCs w:val="24"/>
                <w:lang w:eastAsia="en-US"/>
                <w14:ligatures w14:val="none"/>
              </w:rPr>
              <w:t>Evidence strength</w:t>
            </w:r>
          </w:p>
        </w:tc>
      </w:tr>
      <w:tr w14:paraId="6EBA49EF">
        <w:trPr>
          <w:jc w:val="center"/>
        </w:trPr>
        <w:tc>
          <w:tcPr>
            <w:tcW w:w="2592" w:type="dxa"/>
            <w:tcMar>
              <w:top w:w="70" w:type="dxa"/>
              <w:left w:w="70" w:type="dxa"/>
              <w:bottom w:w="70" w:type="dxa"/>
              <w:right w:w="70" w:type="dxa"/>
            </w:tcMar>
            <w:vAlign w:val="center"/>
          </w:tcPr>
          <w:p w14:paraId="6D33D8E1">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Theme 1: Credibility, Trust and Expertise</w:t>
            </w:r>
          </w:p>
        </w:tc>
        <w:tc>
          <w:tcPr>
            <w:tcW w:w="3168" w:type="dxa"/>
            <w:tcMar>
              <w:top w:w="70" w:type="dxa"/>
              <w:left w:w="70" w:type="dxa"/>
              <w:bottom w:w="70" w:type="dxa"/>
              <w:right w:w="70" w:type="dxa"/>
            </w:tcMar>
            <w:vAlign w:val="center"/>
          </w:tcPr>
          <w:p w14:paraId="79141138">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Chetioui et al. (2020); Lou &amp; Yuan (2019); Liu &amp; Zheng (2024); Reinikainen et al. (2020); Sokolova &amp; Kefi (2020)</w:t>
            </w:r>
          </w:p>
        </w:tc>
        <w:tc>
          <w:tcPr>
            <w:tcW w:w="3744" w:type="dxa"/>
            <w:tcMar>
              <w:top w:w="70" w:type="dxa"/>
              <w:left w:w="70" w:type="dxa"/>
              <w:bottom w:w="70" w:type="dxa"/>
              <w:right w:w="70" w:type="dxa"/>
            </w:tcMar>
            <w:vAlign w:val="center"/>
          </w:tcPr>
          <w:p w14:paraId="11E57753">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Credibility and trust are generally associated with stronger purchase intention, but expertise is not consistently a direct predictor.</w:t>
            </w:r>
          </w:p>
        </w:tc>
        <w:tc>
          <w:tcPr>
            <w:tcW w:w="1728" w:type="dxa"/>
            <w:tcMar>
              <w:top w:w="70" w:type="dxa"/>
              <w:left w:w="70" w:type="dxa"/>
              <w:bottom w:w="70" w:type="dxa"/>
              <w:right w:w="70" w:type="dxa"/>
            </w:tcMar>
            <w:vAlign w:val="center"/>
          </w:tcPr>
          <w:p w14:paraId="2B1F66DF">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Strong for trust/credibility; mainly indirect/mediated</w:t>
            </w:r>
          </w:p>
        </w:tc>
      </w:tr>
      <w:tr w14:paraId="28E8610E">
        <w:trPr>
          <w:jc w:val="center"/>
        </w:trPr>
        <w:tc>
          <w:tcPr>
            <w:tcW w:w="2592" w:type="dxa"/>
            <w:tcMar>
              <w:top w:w="70" w:type="dxa"/>
              <w:left w:w="70" w:type="dxa"/>
              <w:bottom w:w="70" w:type="dxa"/>
              <w:right w:w="70" w:type="dxa"/>
            </w:tcMar>
            <w:vAlign w:val="center"/>
          </w:tcPr>
          <w:p w14:paraId="7BB33641">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Theme 2: Authenticity and Product-Influencer Fit</w:t>
            </w:r>
          </w:p>
        </w:tc>
        <w:tc>
          <w:tcPr>
            <w:tcW w:w="3168" w:type="dxa"/>
            <w:tcMar>
              <w:top w:w="70" w:type="dxa"/>
              <w:left w:w="70" w:type="dxa"/>
              <w:bottom w:w="70" w:type="dxa"/>
              <w:right w:w="70" w:type="dxa"/>
            </w:tcMar>
            <w:vAlign w:val="center"/>
          </w:tcPr>
          <w:p w14:paraId="25355320">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val="de-CH" w:eastAsia="en-US"/>
                <w14:ligatures w14:val="none"/>
              </w:rPr>
              <w:t xml:space="preserve">Audrezet et al. (2020); De Veirman et al. (2017); Duffek et al. (2025); Mahn et al. </w:t>
            </w:r>
            <w:r>
              <w:rPr>
                <w:rFonts w:ascii="Times New Roman" w:hAnsi="Times New Roman" w:cs="Times New Roman"/>
                <w:kern w:val="0"/>
                <w:sz w:val="24"/>
                <w:szCs w:val="24"/>
                <w:lang w:eastAsia="en-US"/>
                <w14:ligatures w14:val="none"/>
              </w:rPr>
              <w:t>(2026)</w:t>
            </w:r>
          </w:p>
        </w:tc>
        <w:tc>
          <w:tcPr>
            <w:tcW w:w="3744" w:type="dxa"/>
            <w:tcMar>
              <w:top w:w="70" w:type="dxa"/>
              <w:left w:w="70" w:type="dxa"/>
              <w:bottom w:w="70" w:type="dxa"/>
              <w:right w:w="70" w:type="dxa"/>
            </w:tcMar>
            <w:vAlign w:val="center"/>
          </w:tcPr>
          <w:p w14:paraId="09C2C1AE">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Authenticity supports trust and relationship quality, but direct effects on purchase intention are inconsistent. Fit and product context influence response.</w:t>
            </w:r>
          </w:p>
        </w:tc>
        <w:tc>
          <w:tcPr>
            <w:tcW w:w="1728" w:type="dxa"/>
            <w:tcMar>
              <w:top w:w="70" w:type="dxa"/>
              <w:left w:w="70" w:type="dxa"/>
              <w:bottom w:w="70" w:type="dxa"/>
              <w:right w:w="70" w:type="dxa"/>
            </w:tcMar>
            <w:vAlign w:val="center"/>
          </w:tcPr>
          <w:p w14:paraId="0F8CD587">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Moderate; context dependent</w:t>
            </w:r>
          </w:p>
        </w:tc>
      </w:tr>
      <w:tr w14:paraId="43F8D148">
        <w:trPr>
          <w:jc w:val="center"/>
        </w:trPr>
        <w:tc>
          <w:tcPr>
            <w:tcW w:w="2592" w:type="dxa"/>
            <w:tcMar>
              <w:top w:w="70" w:type="dxa"/>
              <w:left w:w="70" w:type="dxa"/>
              <w:bottom w:w="70" w:type="dxa"/>
              <w:right w:w="70" w:type="dxa"/>
            </w:tcMar>
            <w:vAlign w:val="center"/>
          </w:tcPr>
          <w:p w14:paraId="75E014B9">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Theme 3: Parasocial Interaction and Psychological Mechanisms</w:t>
            </w:r>
          </w:p>
        </w:tc>
        <w:tc>
          <w:tcPr>
            <w:tcW w:w="3168" w:type="dxa"/>
            <w:tcMar>
              <w:top w:w="70" w:type="dxa"/>
              <w:left w:w="70" w:type="dxa"/>
              <w:bottom w:w="70" w:type="dxa"/>
              <w:right w:w="70" w:type="dxa"/>
            </w:tcMar>
            <w:vAlign w:val="center"/>
          </w:tcPr>
          <w:p w14:paraId="3087F7B7">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val="de-CH" w:eastAsia="en-US"/>
                <w14:ligatures w14:val="none"/>
              </w:rPr>
              <w:t xml:space="preserve">Gomes et al. (2022); Ki et al. (2020); Liu &amp; Zheng (2024); Reinikainen et al. </w:t>
            </w:r>
            <w:r>
              <w:rPr>
                <w:rFonts w:ascii="Times New Roman" w:hAnsi="Times New Roman" w:cs="Times New Roman"/>
                <w:kern w:val="0"/>
                <w:sz w:val="24"/>
                <w:szCs w:val="24"/>
                <w:lang w:eastAsia="en-US"/>
                <w14:ligatures w14:val="none"/>
              </w:rPr>
              <w:t>(2020); Sokolova &amp; Kefi (2020)</w:t>
            </w:r>
          </w:p>
        </w:tc>
        <w:tc>
          <w:tcPr>
            <w:tcW w:w="3744" w:type="dxa"/>
            <w:tcMar>
              <w:top w:w="70" w:type="dxa"/>
              <w:left w:w="70" w:type="dxa"/>
              <w:bottom w:w="70" w:type="dxa"/>
              <w:right w:w="70" w:type="dxa"/>
            </w:tcMar>
            <w:vAlign w:val="center"/>
          </w:tcPr>
          <w:p w14:paraId="6B3700B8">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Parasocial relationships, attachment and related psychological mechanisms repeatedly predict stronger purchase intention.</w:t>
            </w:r>
          </w:p>
        </w:tc>
        <w:tc>
          <w:tcPr>
            <w:tcW w:w="1728" w:type="dxa"/>
            <w:tcMar>
              <w:top w:w="70" w:type="dxa"/>
              <w:left w:w="70" w:type="dxa"/>
              <w:bottom w:w="70" w:type="dxa"/>
              <w:right w:w="70" w:type="dxa"/>
            </w:tcMar>
            <w:vAlign w:val="center"/>
          </w:tcPr>
          <w:p w14:paraId="3823797F">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Strong and relatively consistent</w:t>
            </w:r>
          </w:p>
        </w:tc>
      </w:tr>
      <w:tr w14:paraId="222AB5A3">
        <w:trPr>
          <w:jc w:val="center"/>
        </w:trPr>
        <w:tc>
          <w:tcPr>
            <w:tcW w:w="2592" w:type="dxa"/>
            <w:tcMar>
              <w:top w:w="70" w:type="dxa"/>
              <w:left w:w="70" w:type="dxa"/>
              <w:bottom w:w="70" w:type="dxa"/>
              <w:right w:w="70" w:type="dxa"/>
            </w:tcMar>
            <w:vAlign w:val="center"/>
          </w:tcPr>
          <w:p w14:paraId="3B819052">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Theme 4: Engagement, Awareness and Campaign Response</w:t>
            </w:r>
          </w:p>
        </w:tc>
        <w:tc>
          <w:tcPr>
            <w:tcW w:w="3168" w:type="dxa"/>
            <w:tcMar>
              <w:top w:w="70" w:type="dxa"/>
              <w:left w:w="70" w:type="dxa"/>
              <w:bottom w:w="70" w:type="dxa"/>
              <w:right w:w="70" w:type="dxa"/>
            </w:tcMar>
            <w:vAlign w:val="center"/>
          </w:tcPr>
          <w:p w14:paraId="748A7978">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val="de-CH" w:eastAsia="en-US"/>
                <w14:ligatures w14:val="none"/>
              </w:rPr>
              <w:t xml:space="preserve">Boerman (2020); De Veirman et al. </w:t>
            </w:r>
            <w:r>
              <w:rPr>
                <w:rFonts w:ascii="Times New Roman" w:hAnsi="Times New Roman" w:cs="Times New Roman"/>
                <w:kern w:val="0"/>
                <w:sz w:val="24"/>
                <w:szCs w:val="24"/>
                <w:lang w:eastAsia="en-US"/>
                <w14:ligatures w14:val="none"/>
              </w:rPr>
              <w:t>(2017); Hughes et al. (2019); Jimenez-Castillo &amp; Sanchez-Fernandez (2019); Leung et al. (2022)</w:t>
            </w:r>
          </w:p>
        </w:tc>
        <w:tc>
          <w:tcPr>
            <w:tcW w:w="3744" w:type="dxa"/>
            <w:tcMar>
              <w:top w:w="70" w:type="dxa"/>
              <w:left w:w="70" w:type="dxa"/>
              <w:bottom w:w="70" w:type="dxa"/>
              <w:right w:w="70" w:type="dxa"/>
            </w:tcMar>
            <w:vAlign w:val="center"/>
          </w:tcPr>
          <w:p w14:paraId="7F62EF12">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Engagement, recall and awareness show campaign response but do not establish conversion or sales.</w:t>
            </w:r>
          </w:p>
        </w:tc>
        <w:tc>
          <w:tcPr>
            <w:tcW w:w="1728" w:type="dxa"/>
            <w:tcMar>
              <w:top w:w="70" w:type="dxa"/>
              <w:left w:w="70" w:type="dxa"/>
              <w:bottom w:w="70" w:type="dxa"/>
              <w:right w:w="70" w:type="dxa"/>
            </w:tcMar>
            <w:vAlign w:val="center"/>
          </w:tcPr>
          <w:p w14:paraId="117A76C2">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Strong for response; weak for commercial proof</w:t>
            </w:r>
          </w:p>
        </w:tc>
      </w:tr>
      <w:tr w14:paraId="715A9BE3">
        <w:trPr>
          <w:jc w:val="center"/>
        </w:trPr>
        <w:tc>
          <w:tcPr>
            <w:tcW w:w="2592" w:type="dxa"/>
            <w:tcMar>
              <w:top w:w="70" w:type="dxa"/>
              <w:left w:w="70" w:type="dxa"/>
              <w:bottom w:w="70" w:type="dxa"/>
              <w:right w:w="70" w:type="dxa"/>
            </w:tcMar>
            <w:vAlign w:val="center"/>
          </w:tcPr>
          <w:p w14:paraId="5B86FACA">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Theme 5: Purchase Intention and Performance Measurement</w:t>
            </w:r>
          </w:p>
        </w:tc>
        <w:tc>
          <w:tcPr>
            <w:tcW w:w="3168" w:type="dxa"/>
            <w:tcMar>
              <w:top w:w="70" w:type="dxa"/>
              <w:left w:w="70" w:type="dxa"/>
              <w:bottom w:w="70" w:type="dxa"/>
              <w:right w:w="70" w:type="dxa"/>
            </w:tcMar>
            <w:vAlign w:val="center"/>
          </w:tcPr>
          <w:p w14:paraId="645009A6">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 xml:space="preserve">Chetioui et al. (2020); Gomes et al. </w:t>
            </w:r>
            <w:r>
              <w:rPr>
                <w:rFonts w:ascii="Times New Roman" w:hAnsi="Times New Roman" w:cs="Times New Roman"/>
                <w:kern w:val="0"/>
                <w:sz w:val="24"/>
                <w:szCs w:val="24"/>
                <w:lang w:val="de-CH" w:eastAsia="en-US"/>
                <w14:ligatures w14:val="none"/>
              </w:rPr>
              <w:t xml:space="preserve">(2022); Goo &amp; An (2026); Kay et al. (2020); Liu &amp; Zheng (2024); Lou &amp; Yuan (2019); Mahn et al. (2026); Reinikainen et al. </w:t>
            </w:r>
            <w:r>
              <w:rPr>
                <w:rFonts w:ascii="Times New Roman" w:hAnsi="Times New Roman" w:cs="Times New Roman"/>
                <w:kern w:val="0"/>
                <w:sz w:val="24"/>
                <w:szCs w:val="24"/>
                <w:lang w:eastAsia="en-US"/>
                <w14:ligatures w14:val="none"/>
              </w:rPr>
              <w:t>(2020); Sokolova &amp; Kefi (2020)</w:t>
            </w:r>
          </w:p>
        </w:tc>
        <w:tc>
          <w:tcPr>
            <w:tcW w:w="3744" w:type="dxa"/>
            <w:tcMar>
              <w:top w:w="70" w:type="dxa"/>
              <w:left w:w="70" w:type="dxa"/>
              <w:bottom w:w="70" w:type="dxa"/>
              <w:right w:w="70" w:type="dxa"/>
            </w:tcMar>
            <w:vAlign w:val="center"/>
          </w:tcPr>
          <w:p w14:paraId="6D8EFF37">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Purchase intention is the dominant lower-funnel outcome across the corpus.</w:t>
            </w:r>
          </w:p>
        </w:tc>
        <w:tc>
          <w:tcPr>
            <w:tcW w:w="1728" w:type="dxa"/>
            <w:tcMar>
              <w:top w:w="70" w:type="dxa"/>
              <w:left w:w="70" w:type="dxa"/>
              <w:bottom w:w="70" w:type="dxa"/>
              <w:right w:w="70" w:type="dxa"/>
            </w:tcMar>
            <w:vAlign w:val="center"/>
          </w:tcPr>
          <w:p w14:paraId="21E1DFFC">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Strong for intention; limited for actual purchase</w:t>
            </w:r>
          </w:p>
        </w:tc>
      </w:tr>
      <w:tr w14:paraId="10FBD66C">
        <w:trPr>
          <w:jc w:val="center"/>
        </w:trPr>
        <w:tc>
          <w:tcPr>
            <w:tcW w:w="2592" w:type="dxa"/>
            <w:tcMar>
              <w:top w:w="70" w:type="dxa"/>
              <w:left w:w="70" w:type="dxa"/>
              <w:bottom w:w="70" w:type="dxa"/>
              <w:right w:w="70" w:type="dxa"/>
            </w:tcMar>
            <w:vAlign w:val="center"/>
          </w:tcPr>
          <w:p w14:paraId="3C1B4F66">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Theme 6: ROI, Actual Behaviour and Secondary-Data Limitations</w:t>
            </w:r>
          </w:p>
        </w:tc>
        <w:tc>
          <w:tcPr>
            <w:tcW w:w="3168" w:type="dxa"/>
            <w:tcMar>
              <w:top w:w="70" w:type="dxa"/>
              <w:left w:w="70" w:type="dxa"/>
              <w:bottom w:w="70" w:type="dxa"/>
              <w:right w:w="70" w:type="dxa"/>
            </w:tcMar>
            <w:vAlign w:val="center"/>
          </w:tcPr>
          <w:p w14:paraId="7EC1C050">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 xml:space="preserve">Hughes et al. (2019); Leung et al. </w:t>
            </w:r>
            <w:r>
              <w:rPr>
                <w:rFonts w:ascii="Times New Roman" w:hAnsi="Times New Roman" w:cs="Times New Roman"/>
                <w:kern w:val="0"/>
                <w:sz w:val="24"/>
                <w:szCs w:val="24"/>
                <w:lang w:val="de-CH" w:eastAsia="en-US"/>
                <w14:ligatures w14:val="none"/>
              </w:rPr>
              <w:t xml:space="preserve">(2022); Duffek et al. (2025); Mahn et al. </w:t>
            </w:r>
            <w:r>
              <w:rPr>
                <w:rFonts w:ascii="Times New Roman" w:hAnsi="Times New Roman" w:cs="Times New Roman"/>
                <w:kern w:val="0"/>
                <w:sz w:val="24"/>
                <w:szCs w:val="24"/>
                <w:lang w:eastAsia="en-US"/>
                <w14:ligatures w14:val="none"/>
              </w:rPr>
              <w:t>(2026)</w:t>
            </w:r>
          </w:p>
        </w:tc>
        <w:tc>
          <w:tcPr>
            <w:tcW w:w="3744" w:type="dxa"/>
            <w:tcMar>
              <w:top w:w="70" w:type="dxa"/>
              <w:left w:w="70" w:type="dxa"/>
              <w:bottom w:w="70" w:type="dxa"/>
              <w:right w:w="70" w:type="dxa"/>
            </w:tcMar>
            <w:vAlign w:val="center"/>
          </w:tcPr>
          <w:p w14:paraId="69FBA91B">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The corpus contains little verified conversion, attributable sales or profit-based ROI evidence.</w:t>
            </w:r>
          </w:p>
        </w:tc>
        <w:tc>
          <w:tcPr>
            <w:tcW w:w="1728" w:type="dxa"/>
            <w:tcMar>
              <w:top w:w="70" w:type="dxa"/>
              <w:left w:w="70" w:type="dxa"/>
              <w:bottom w:w="70" w:type="dxa"/>
              <w:right w:w="70" w:type="dxa"/>
            </w:tcMar>
            <w:vAlign w:val="center"/>
          </w:tcPr>
          <w:p w14:paraId="76936E4F">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Weak for behaviour; insufficient for full ROI</w:t>
            </w:r>
          </w:p>
        </w:tc>
      </w:tr>
    </w:tbl>
    <w:p w14:paraId="285D9B51">
      <w:pPr>
        <w:pStyle w:val="3"/>
        <w:rPr>
          <w:rFonts w:ascii="Times New Roman" w:hAnsi="Times New Roman" w:cs="Times New Roman"/>
          <w:b/>
          <w:bCs/>
          <w:color w:val="auto"/>
          <w:sz w:val="24"/>
          <w:szCs w:val="24"/>
        </w:rPr>
      </w:pPr>
      <w:bookmarkStart w:id="260" w:name="_Toc13574"/>
      <w:bookmarkStart w:id="261" w:name="_Toc18244"/>
      <w:bookmarkStart w:id="262" w:name="_Toc21880"/>
      <w:bookmarkStart w:id="263" w:name="_Toc31518"/>
      <w:bookmarkStart w:id="264" w:name="_Toc20203"/>
      <w:bookmarkStart w:id="265" w:name="_Toc240993946"/>
      <w:r>
        <w:rPr>
          <w:rFonts w:ascii="Times New Roman" w:hAnsi="Times New Roman" w:cs="Times New Roman"/>
          <w:b/>
          <w:bCs/>
          <w:color w:val="auto"/>
          <w:sz w:val="24"/>
          <w:szCs w:val="24"/>
        </w:rPr>
        <w:t>Appendix B. Findings</w:t>
      </w:r>
      <w:bookmarkEnd w:id="260"/>
      <w:bookmarkEnd w:id="261"/>
      <w:bookmarkEnd w:id="262"/>
      <w:bookmarkEnd w:id="263"/>
      <w:bookmarkEnd w:id="264"/>
      <w:bookmarkEnd w:id="265"/>
      <w:r>
        <w:rPr>
          <w:rFonts w:ascii="Times New Roman" w:hAnsi="Times New Roman" w:cs="Times New Roman"/>
          <w:b/>
          <w:bCs/>
          <w:color w:val="auto"/>
          <w:sz w:val="24"/>
          <w:szCs w:val="24"/>
        </w:rPr>
        <w:t xml:space="preserve"> </w:t>
      </w:r>
    </w:p>
    <w:tbl>
      <w:tblPr>
        <w:tblStyle w:val="24"/>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47"/>
        <w:gridCol w:w="1322"/>
        <w:gridCol w:w="3221"/>
        <w:gridCol w:w="829"/>
        <w:gridCol w:w="2481"/>
      </w:tblGrid>
      <w:tr w14:paraId="18438EE7">
        <w:trPr>
          <w:tblHeader/>
          <w:jc w:val="center"/>
        </w:trPr>
        <w:tc>
          <w:tcPr>
            <w:tcW w:w="1944" w:type="dxa"/>
            <w:shd w:val="clear" w:color="auto" w:fill="D9D9D9"/>
            <w:tcMar>
              <w:top w:w="70" w:type="dxa"/>
              <w:left w:w="70" w:type="dxa"/>
              <w:bottom w:w="70" w:type="dxa"/>
              <w:right w:w="70" w:type="dxa"/>
            </w:tcMar>
            <w:vAlign w:val="center"/>
          </w:tcPr>
          <w:p w14:paraId="2A1C411A">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b/>
                <w:kern w:val="0"/>
                <w:sz w:val="24"/>
                <w:szCs w:val="24"/>
                <w:lang w:eastAsia="en-US"/>
                <w14:ligatures w14:val="none"/>
              </w:rPr>
              <w:t>Study</w:t>
            </w:r>
          </w:p>
        </w:tc>
        <w:tc>
          <w:tcPr>
            <w:tcW w:w="1728" w:type="dxa"/>
            <w:shd w:val="clear" w:color="auto" w:fill="D9D9D9"/>
            <w:tcMar>
              <w:top w:w="70" w:type="dxa"/>
              <w:left w:w="70" w:type="dxa"/>
              <w:bottom w:w="70" w:type="dxa"/>
              <w:right w:w="70" w:type="dxa"/>
            </w:tcMar>
            <w:vAlign w:val="center"/>
          </w:tcPr>
          <w:p w14:paraId="18FA51A6">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b/>
                <w:kern w:val="0"/>
                <w:sz w:val="24"/>
                <w:szCs w:val="24"/>
                <w:lang w:eastAsia="en-US"/>
                <w14:ligatures w14:val="none"/>
              </w:rPr>
              <w:t>Theme</w:t>
            </w:r>
          </w:p>
        </w:tc>
        <w:tc>
          <w:tcPr>
            <w:tcW w:w="4680" w:type="dxa"/>
            <w:shd w:val="clear" w:color="auto" w:fill="D9D9D9"/>
            <w:tcMar>
              <w:top w:w="70" w:type="dxa"/>
              <w:left w:w="70" w:type="dxa"/>
              <w:bottom w:w="70" w:type="dxa"/>
              <w:right w:w="70" w:type="dxa"/>
            </w:tcMar>
            <w:vAlign w:val="center"/>
          </w:tcPr>
          <w:p w14:paraId="561B008E">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b/>
                <w:kern w:val="0"/>
                <w:sz w:val="24"/>
                <w:szCs w:val="24"/>
                <w:lang w:eastAsia="en-US"/>
                <w14:ligatures w14:val="none"/>
              </w:rPr>
              <w:t>Exact / reported finding</w:t>
            </w:r>
          </w:p>
        </w:tc>
        <w:tc>
          <w:tcPr>
            <w:tcW w:w="1008" w:type="dxa"/>
            <w:shd w:val="clear" w:color="auto" w:fill="D9D9D9"/>
            <w:tcMar>
              <w:top w:w="70" w:type="dxa"/>
              <w:left w:w="70" w:type="dxa"/>
              <w:bottom w:w="70" w:type="dxa"/>
              <w:right w:w="70" w:type="dxa"/>
            </w:tcMar>
            <w:vAlign w:val="center"/>
          </w:tcPr>
          <w:p w14:paraId="64F12AB7">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b/>
                <w:kern w:val="0"/>
                <w:sz w:val="24"/>
                <w:szCs w:val="24"/>
                <w:lang w:eastAsia="en-US"/>
                <w14:ligatures w14:val="none"/>
              </w:rPr>
              <w:t>PDF page</w:t>
            </w:r>
          </w:p>
        </w:tc>
        <w:tc>
          <w:tcPr>
            <w:tcW w:w="2160" w:type="dxa"/>
            <w:shd w:val="clear" w:color="auto" w:fill="D9D9D9"/>
            <w:tcMar>
              <w:top w:w="70" w:type="dxa"/>
              <w:left w:w="70" w:type="dxa"/>
              <w:bottom w:w="70" w:type="dxa"/>
              <w:right w:w="70" w:type="dxa"/>
            </w:tcMar>
            <w:vAlign w:val="center"/>
          </w:tcPr>
          <w:p w14:paraId="1300943C">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b/>
                <w:kern w:val="0"/>
                <w:sz w:val="24"/>
                <w:szCs w:val="24"/>
                <w:lang w:eastAsia="en-US"/>
                <w14:ligatures w14:val="none"/>
              </w:rPr>
              <w:t>Meaning for results</w:t>
            </w:r>
          </w:p>
        </w:tc>
      </w:tr>
      <w:tr w14:paraId="0015611D">
        <w:trPr>
          <w:jc w:val="center"/>
        </w:trPr>
        <w:tc>
          <w:tcPr>
            <w:tcW w:w="1944" w:type="dxa"/>
            <w:tcMar>
              <w:top w:w="70" w:type="dxa"/>
              <w:left w:w="70" w:type="dxa"/>
              <w:bottom w:w="70" w:type="dxa"/>
              <w:right w:w="70" w:type="dxa"/>
            </w:tcMar>
            <w:vAlign w:val="center"/>
          </w:tcPr>
          <w:p w14:paraId="72CDE3DF">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Chetioui et al. (2020)</w:t>
            </w:r>
          </w:p>
        </w:tc>
        <w:tc>
          <w:tcPr>
            <w:tcW w:w="1728" w:type="dxa"/>
            <w:tcMar>
              <w:top w:w="70" w:type="dxa"/>
              <w:left w:w="70" w:type="dxa"/>
              <w:bottom w:w="70" w:type="dxa"/>
              <w:right w:w="70" w:type="dxa"/>
            </w:tcMar>
            <w:vAlign w:val="center"/>
          </w:tcPr>
          <w:p w14:paraId="5FABC571">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Theme 1 / Theme 5</w:t>
            </w:r>
          </w:p>
        </w:tc>
        <w:tc>
          <w:tcPr>
            <w:tcW w:w="4680" w:type="dxa"/>
            <w:tcMar>
              <w:top w:w="70" w:type="dxa"/>
              <w:left w:w="70" w:type="dxa"/>
              <w:bottom w:w="70" w:type="dxa"/>
              <w:right w:w="70" w:type="dxa"/>
            </w:tcMar>
            <w:vAlign w:val="center"/>
          </w:tcPr>
          <w:p w14:paraId="5BC25B63">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“The research model explains 40.6% of variation in purchase intention.”</w:t>
            </w:r>
          </w:p>
        </w:tc>
        <w:tc>
          <w:tcPr>
            <w:tcW w:w="1008" w:type="dxa"/>
            <w:tcMar>
              <w:top w:w="70" w:type="dxa"/>
              <w:left w:w="70" w:type="dxa"/>
              <w:bottom w:w="70" w:type="dxa"/>
              <w:right w:w="70" w:type="dxa"/>
            </w:tcMar>
            <w:vAlign w:val="center"/>
          </w:tcPr>
          <w:p w14:paraId="4A38CEEA">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p. 9</w:t>
            </w:r>
          </w:p>
        </w:tc>
        <w:tc>
          <w:tcPr>
            <w:tcW w:w="2160" w:type="dxa"/>
            <w:tcMar>
              <w:top w:w="70" w:type="dxa"/>
              <w:left w:w="70" w:type="dxa"/>
              <w:bottom w:w="70" w:type="dxa"/>
              <w:right w:w="70" w:type="dxa"/>
            </w:tcMar>
            <w:vAlign w:val="center"/>
          </w:tcPr>
          <w:p w14:paraId="0066BAB5">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Direct purchase-intention evidence</w:t>
            </w:r>
          </w:p>
        </w:tc>
      </w:tr>
      <w:tr w14:paraId="50C540AD">
        <w:trPr>
          <w:jc w:val="center"/>
        </w:trPr>
        <w:tc>
          <w:tcPr>
            <w:tcW w:w="1944" w:type="dxa"/>
            <w:tcMar>
              <w:top w:w="70" w:type="dxa"/>
              <w:left w:w="70" w:type="dxa"/>
              <w:bottom w:w="70" w:type="dxa"/>
              <w:right w:w="70" w:type="dxa"/>
            </w:tcMar>
            <w:vAlign w:val="center"/>
          </w:tcPr>
          <w:p w14:paraId="4F3B4138">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Boerman (2020)</w:t>
            </w:r>
          </w:p>
        </w:tc>
        <w:tc>
          <w:tcPr>
            <w:tcW w:w="1728" w:type="dxa"/>
            <w:tcMar>
              <w:top w:w="70" w:type="dxa"/>
              <w:left w:w="70" w:type="dxa"/>
              <w:bottom w:w="70" w:type="dxa"/>
              <w:right w:w="70" w:type="dxa"/>
            </w:tcMar>
            <w:vAlign w:val="center"/>
          </w:tcPr>
          <w:p w14:paraId="2F41E596">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Theme 4</w:t>
            </w:r>
          </w:p>
        </w:tc>
        <w:tc>
          <w:tcPr>
            <w:tcW w:w="4680" w:type="dxa"/>
            <w:tcMar>
              <w:top w:w="70" w:type="dxa"/>
              <w:left w:w="70" w:type="dxa"/>
              <w:bottom w:w="70" w:type="dxa"/>
              <w:right w:w="70" w:type="dxa"/>
            </w:tcMar>
            <w:vAlign w:val="center"/>
          </w:tcPr>
          <w:p w14:paraId="0E118050">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“the disclosure positively affected brand recall and intentions to engage with the post, via ad recognition.”</w:t>
            </w:r>
          </w:p>
        </w:tc>
        <w:tc>
          <w:tcPr>
            <w:tcW w:w="1008" w:type="dxa"/>
            <w:tcMar>
              <w:top w:w="70" w:type="dxa"/>
              <w:left w:w="70" w:type="dxa"/>
              <w:bottom w:w="70" w:type="dxa"/>
              <w:right w:w="70" w:type="dxa"/>
            </w:tcMar>
            <w:vAlign w:val="center"/>
          </w:tcPr>
          <w:p w14:paraId="50744837">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p. 2</w:t>
            </w:r>
          </w:p>
        </w:tc>
        <w:tc>
          <w:tcPr>
            <w:tcW w:w="2160" w:type="dxa"/>
            <w:tcMar>
              <w:top w:w="70" w:type="dxa"/>
              <w:left w:w="70" w:type="dxa"/>
              <w:bottom w:w="70" w:type="dxa"/>
              <w:right w:w="70" w:type="dxa"/>
            </w:tcMar>
            <w:vAlign w:val="center"/>
          </w:tcPr>
          <w:p w14:paraId="180346F1">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Awareness/engagement, not purchase</w:t>
            </w:r>
          </w:p>
        </w:tc>
      </w:tr>
      <w:tr w14:paraId="38B76354">
        <w:trPr>
          <w:jc w:val="center"/>
        </w:trPr>
        <w:tc>
          <w:tcPr>
            <w:tcW w:w="1944" w:type="dxa"/>
            <w:tcMar>
              <w:top w:w="70" w:type="dxa"/>
              <w:left w:w="70" w:type="dxa"/>
              <w:bottom w:w="70" w:type="dxa"/>
              <w:right w:w="70" w:type="dxa"/>
            </w:tcMar>
            <w:vAlign w:val="center"/>
          </w:tcPr>
          <w:p w14:paraId="3A4EFE5F">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Gomes et al. (2022)</w:t>
            </w:r>
          </w:p>
        </w:tc>
        <w:tc>
          <w:tcPr>
            <w:tcW w:w="1728" w:type="dxa"/>
            <w:tcMar>
              <w:top w:w="70" w:type="dxa"/>
              <w:left w:w="70" w:type="dxa"/>
              <w:bottom w:w="70" w:type="dxa"/>
              <w:right w:w="70" w:type="dxa"/>
            </w:tcMar>
            <w:vAlign w:val="center"/>
          </w:tcPr>
          <w:p w14:paraId="03814DF8">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Theme 3 / Theme 5</w:t>
            </w:r>
          </w:p>
        </w:tc>
        <w:tc>
          <w:tcPr>
            <w:tcW w:w="4680" w:type="dxa"/>
            <w:tcMar>
              <w:top w:w="70" w:type="dxa"/>
              <w:left w:w="70" w:type="dxa"/>
              <w:bottom w:w="70" w:type="dxa"/>
              <w:right w:w="70" w:type="dxa"/>
            </w:tcMar>
            <w:vAlign w:val="center"/>
          </w:tcPr>
          <w:p w14:paraId="1298D333">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“blog content quality and para-social interaction positively influence purchase intention in fashion brands.”</w:t>
            </w:r>
          </w:p>
        </w:tc>
        <w:tc>
          <w:tcPr>
            <w:tcW w:w="1008" w:type="dxa"/>
            <w:tcMar>
              <w:top w:w="70" w:type="dxa"/>
              <w:left w:w="70" w:type="dxa"/>
              <w:bottom w:w="70" w:type="dxa"/>
              <w:right w:w="70" w:type="dxa"/>
            </w:tcMar>
            <w:vAlign w:val="center"/>
          </w:tcPr>
          <w:p w14:paraId="0BEB1689">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p. 2</w:t>
            </w:r>
          </w:p>
        </w:tc>
        <w:tc>
          <w:tcPr>
            <w:tcW w:w="2160" w:type="dxa"/>
            <w:tcMar>
              <w:top w:w="70" w:type="dxa"/>
              <w:left w:w="70" w:type="dxa"/>
              <w:bottom w:w="70" w:type="dxa"/>
              <w:right w:w="70" w:type="dxa"/>
            </w:tcMar>
            <w:vAlign w:val="center"/>
          </w:tcPr>
          <w:p w14:paraId="54CC326D">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Direct PI evidence</w:t>
            </w:r>
          </w:p>
        </w:tc>
      </w:tr>
      <w:tr w14:paraId="6307A112">
        <w:trPr>
          <w:jc w:val="center"/>
        </w:trPr>
        <w:tc>
          <w:tcPr>
            <w:tcW w:w="1944" w:type="dxa"/>
            <w:tcMar>
              <w:top w:w="70" w:type="dxa"/>
              <w:left w:w="70" w:type="dxa"/>
              <w:bottom w:w="70" w:type="dxa"/>
              <w:right w:w="70" w:type="dxa"/>
            </w:tcMar>
            <w:vAlign w:val="center"/>
          </w:tcPr>
          <w:p w14:paraId="6E6A5E49">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Liu &amp; Zheng (2024)</w:t>
            </w:r>
          </w:p>
        </w:tc>
        <w:tc>
          <w:tcPr>
            <w:tcW w:w="1728" w:type="dxa"/>
            <w:tcMar>
              <w:top w:w="70" w:type="dxa"/>
              <w:left w:w="70" w:type="dxa"/>
              <w:bottom w:w="70" w:type="dxa"/>
              <w:right w:w="70" w:type="dxa"/>
            </w:tcMar>
            <w:vAlign w:val="center"/>
          </w:tcPr>
          <w:p w14:paraId="01B00F62">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Theme 3 / Theme 5</w:t>
            </w:r>
          </w:p>
        </w:tc>
        <w:tc>
          <w:tcPr>
            <w:tcW w:w="4680" w:type="dxa"/>
            <w:tcMar>
              <w:top w:w="70" w:type="dxa"/>
              <w:left w:w="70" w:type="dxa"/>
              <w:bottom w:w="70" w:type="dxa"/>
              <w:right w:w="70" w:type="dxa"/>
            </w:tcMar>
            <w:vAlign w:val="center"/>
          </w:tcPr>
          <w:p w14:paraId="5A4AD5A0">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PSR -&gt; purchase intention: beta = 0.490, p &lt; .001.</w:t>
            </w:r>
          </w:p>
        </w:tc>
        <w:tc>
          <w:tcPr>
            <w:tcW w:w="1008" w:type="dxa"/>
            <w:tcMar>
              <w:top w:w="70" w:type="dxa"/>
              <w:left w:w="70" w:type="dxa"/>
              <w:bottom w:w="70" w:type="dxa"/>
              <w:right w:w="70" w:type="dxa"/>
            </w:tcMar>
            <w:vAlign w:val="center"/>
          </w:tcPr>
          <w:p w14:paraId="03F24FB8">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p. 6</w:t>
            </w:r>
          </w:p>
        </w:tc>
        <w:tc>
          <w:tcPr>
            <w:tcW w:w="2160" w:type="dxa"/>
            <w:tcMar>
              <w:top w:w="70" w:type="dxa"/>
              <w:left w:w="70" w:type="dxa"/>
              <w:bottom w:w="70" w:type="dxa"/>
              <w:right w:w="70" w:type="dxa"/>
            </w:tcMar>
            <w:vAlign w:val="center"/>
          </w:tcPr>
          <w:p w14:paraId="01E9023D">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Strong relational mechanism</w:t>
            </w:r>
          </w:p>
        </w:tc>
      </w:tr>
      <w:tr w14:paraId="09289744">
        <w:trPr>
          <w:jc w:val="center"/>
        </w:trPr>
        <w:tc>
          <w:tcPr>
            <w:tcW w:w="1944" w:type="dxa"/>
            <w:tcMar>
              <w:top w:w="70" w:type="dxa"/>
              <w:left w:w="70" w:type="dxa"/>
              <w:bottom w:w="70" w:type="dxa"/>
              <w:right w:w="70" w:type="dxa"/>
            </w:tcMar>
            <w:vAlign w:val="center"/>
          </w:tcPr>
          <w:p w14:paraId="36BB1140">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Sokolova &amp; Kefi (2020)</w:t>
            </w:r>
          </w:p>
        </w:tc>
        <w:tc>
          <w:tcPr>
            <w:tcW w:w="1728" w:type="dxa"/>
            <w:tcMar>
              <w:top w:w="70" w:type="dxa"/>
              <w:left w:w="70" w:type="dxa"/>
              <w:bottom w:w="70" w:type="dxa"/>
              <w:right w:w="70" w:type="dxa"/>
            </w:tcMar>
            <w:vAlign w:val="center"/>
          </w:tcPr>
          <w:p w14:paraId="41918956">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Theme 1 / Theme 3 / Theme 5</w:t>
            </w:r>
          </w:p>
        </w:tc>
        <w:tc>
          <w:tcPr>
            <w:tcW w:w="4680" w:type="dxa"/>
            <w:tcMar>
              <w:top w:w="70" w:type="dxa"/>
              <w:left w:w="70" w:type="dxa"/>
              <w:bottom w:w="70" w:type="dxa"/>
              <w:right w:w="70" w:type="dxa"/>
            </w:tcMar>
            <w:vAlign w:val="center"/>
          </w:tcPr>
          <w:p w14:paraId="074E6DDB">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Credibility -&gt; purchase intention = 0.164; parasocial interaction -&gt; purchase intention = 0.118.</w:t>
            </w:r>
          </w:p>
        </w:tc>
        <w:tc>
          <w:tcPr>
            <w:tcW w:w="1008" w:type="dxa"/>
            <w:tcMar>
              <w:top w:w="70" w:type="dxa"/>
              <w:left w:w="70" w:type="dxa"/>
              <w:bottom w:w="70" w:type="dxa"/>
              <w:right w:w="70" w:type="dxa"/>
            </w:tcMar>
            <w:vAlign w:val="center"/>
          </w:tcPr>
          <w:p w14:paraId="66D91437">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p. 9</w:t>
            </w:r>
          </w:p>
        </w:tc>
        <w:tc>
          <w:tcPr>
            <w:tcW w:w="2160" w:type="dxa"/>
            <w:tcMar>
              <w:top w:w="70" w:type="dxa"/>
              <w:left w:w="70" w:type="dxa"/>
              <w:bottom w:w="70" w:type="dxa"/>
              <w:right w:w="70" w:type="dxa"/>
            </w:tcMar>
            <w:vAlign w:val="center"/>
          </w:tcPr>
          <w:p w14:paraId="30E981E2">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Direct PI paths</w:t>
            </w:r>
          </w:p>
        </w:tc>
      </w:tr>
      <w:tr w14:paraId="5E85A891">
        <w:trPr>
          <w:jc w:val="center"/>
        </w:trPr>
        <w:tc>
          <w:tcPr>
            <w:tcW w:w="1944" w:type="dxa"/>
            <w:tcMar>
              <w:top w:w="70" w:type="dxa"/>
              <w:left w:w="70" w:type="dxa"/>
              <w:bottom w:w="70" w:type="dxa"/>
              <w:right w:w="70" w:type="dxa"/>
            </w:tcMar>
            <w:vAlign w:val="center"/>
          </w:tcPr>
          <w:p w14:paraId="753FCF36">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Kay et al. (2020)</w:t>
            </w:r>
          </w:p>
        </w:tc>
        <w:tc>
          <w:tcPr>
            <w:tcW w:w="1728" w:type="dxa"/>
            <w:tcMar>
              <w:top w:w="70" w:type="dxa"/>
              <w:left w:w="70" w:type="dxa"/>
              <w:bottom w:w="70" w:type="dxa"/>
              <w:right w:w="70" w:type="dxa"/>
            </w:tcMar>
            <w:vAlign w:val="center"/>
          </w:tcPr>
          <w:p w14:paraId="2BFD3DB5">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Theme 4 / Theme 5</w:t>
            </w:r>
          </w:p>
        </w:tc>
        <w:tc>
          <w:tcPr>
            <w:tcW w:w="4680" w:type="dxa"/>
            <w:tcMar>
              <w:top w:w="70" w:type="dxa"/>
              <w:left w:w="70" w:type="dxa"/>
              <w:bottom w:w="70" w:type="dxa"/>
              <w:right w:w="70" w:type="dxa"/>
            </w:tcMar>
            <w:vAlign w:val="center"/>
          </w:tcPr>
          <w:p w14:paraId="2D352298">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Macro- vs micro-influencer manipulation had a significant direct effect on purchase intentions (beta = .26, p &lt; .01).</w:t>
            </w:r>
          </w:p>
        </w:tc>
        <w:tc>
          <w:tcPr>
            <w:tcW w:w="1008" w:type="dxa"/>
            <w:tcMar>
              <w:top w:w="70" w:type="dxa"/>
              <w:left w:w="70" w:type="dxa"/>
              <w:bottom w:w="70" w:type="dxa"/>
              <w:right w:w="70" w:type="dxa"/>
            </w:tcMar>
            <w:vAlign w:val="center"/>
          </w:tcPr>
          <w:p w14:paraId="6A7CF2E3">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p. 38</w:t>
            </w:r>
          </w:p>
        </w:tc>
        <w:tc>
          <w:tcPr>
            <w:tcW w:w="2160" w:type="dxa"/>
            <w:tcMar>
              <w:top w:w="70" w:type="dxa"/>
              <w:left w:w="70" w:type="dxa"/>
              <w:bottom w:w="70" w:type="dxa"/>
              <w:right w:w="70" w:type="dxa"/>
            </w:tcMar>
            <w:vAlign w:val="center"/>
          </w:tcPr>
          <w:p w14:paraId="567EEE37">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Direct PI effect</w:t>
            </w:r>
          </w:p>
        </w:tc>
      </w:tr>
      <w:tr w14:paraId="142278E6">
        <w:trPr>
          <w:jc w:val="center"/>
        </w:trPr>
        <w:tc>
          <w:tcPr>
            <w:tcW w:w="1944" w:type="dxa"/>
            <w:tcMar>
              <w:top w:w="70" w:type="dxa"/>
              <w:left w:w="70" w:type="dxa"/>
              <w:bottom w:w="70" w:type="dxa"/>
              <w:right w:w="70" w:type="dxa"/>
            </w:tcMar>
            <w:vAlign w:val="center"/>
          </w:tcPr>
          <w:p w14:paraId="48A0B4CB">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Evans et al. (2017)</w:t>
            </w:r>
          </w:p>
        </w:tc>
        <w:tc>
          <w:tcPr>
            <w:tcW w:w="1728" w:type="dxa"/>
            <w:tcMar>
              <w:top w:w="70" w:type="dxa"/>
              <w:left w:w="70" w:type="dxa"/>
              <w:bottom w:w="70" w:type="dxa"/>
              <w:right w:w="70" w:type="dxa"/>
            </w:tcMar>
            <w:vAlign w:val="center"/>
          </w:tcPr>
          <w:p w14:paraId="58449BB9">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Theme 4 / Theme 5</w:t>
            </w:r>
          </w:p>
        </w:tc>
        <w:tc>
          <w:tcPr>
            <w:tcW w:w="4680" w:type="dxa"/>
            <w:tcMar>
              <w:top w:w="70" w:type="dxa"/>
              <w:left w:w="70" w:type="dxa"/>
              <w:bottom w:w="70" w:type="dxa"/>
              <w:right w:w="70" w:type="dxa"/>
            </w:tcMar>
            <w:vAlign w:val="center"/>
          </w:tcPr>
          <w:p w14:paraId="5B16E917">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“All other analyses indicated no significant differences in purchase intention or sharing intention based on disclosure language.”</w:t>
            </w:r>
          </w:p>
        </w:tc>
        <w:tc>
          <w:tcPr>
            <w:tcW w:w="1008" w:type="dxa"/>
            <w:tcMar>
              <w:top w:w="70" w:type="dxa"/>
              <w:left w:w="70" w:type="dxa"/>
              <w:bottom w:w="70" w:type="dxa"/>
              <w:right w:w="70" w:type="dxa"/>
            </w:tcMar>
            <w:vAlign w:val="center"/>
          </w:tcPr>
          <w:p w14:paraId="18F8EBE1">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p. 20</w:t>
            </w:r>
          </w:p>
        </w:tc>
        <w:tc>
          <w:tcPr>
            <w:tcW w:w="2160" w:type="dxa"/>
            <w:tcMar>
              <w:top w:w="70" w:type="dxa"/>
              <w:left w:w="70" w:type="dxa"/>
              <w:bottom w:w="70" w:type="dxa"/>
              <w:right w:w="70" w:type="dxa"/>
            </w:tcMar>
            <w:vAlign w:val="center"/>
          </w:tcPr>
          <w:p w14:paraId="207DC605">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Null direct PI effect of disclosure wording</w:t>
            </w:r>
          </w:p>
        </w:tc>
      </w:tr>
      <w:tr w14:paraId="54BAE939">
        <w:trPr>
          <w:jc w:val="center"/>
        </w:trPr>
        <w:tc>
          <w:tcPr>
            <w:tcW w:w="1944" w:type="dxa"/>
            <w:tcMar>
              <w:top w:w="70" w:type="dxa"/>
              <w:left w:w="70" w:type="dxa"/>
              <w:bottom w:w="70" w:type="dxa"/>
              <w:right w:w="70" w:type="dxa"/>
            </w:tcMar>
            <w:vAlign w:val="center"/>
          </w:tcPr>
          <w:p w14:paraId="0984C32F">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Mahn et al. (2026)</w:t>
            </w:r>
          </w:p>
        </w:tc>
        <w:tc>
          <w:tcPr>
            <w:tcW w:w="1728" w:type="dxa"/>
            <w:tcMar>
              <w:top w:w="70" w:type="dxa"/>
              <w:left w:w="70" w:type="dxa"/>
              <w:bottom w:w="70" w:type="dxa"/>
              <w:right w:w="70" w:type="dxa"/>
            </w:tcMar>
            <w:vAlign w:val="center"/>
          </w:tcPr>
          <w:p w14:paraId="45409B52">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Theme 2 / Theme 5</w:t>
            </w:r>
          </w:p>
        </w:tc>
        <w:tc>
          <w:tcPr>
            <w:tcW w:w="4680" w:type="dxa"/>
            <w:tcMar>
              <w:top w:w="70" w:type="dxa"/>
              <w:left w:w="70" w:type="dxa"/>
              <w:bottom w:w="70" w:type="dxa"/>
              <w:right w:w="70" w:type="dxa"/>
            </w:tcMar>
            <w:vAlign w:val="center"/>
          </w:tcPr>
          <w:p w14:paraId="5A9369EF">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“none of the investigated SMI characteristics impact the purchase intentions for the products presented in hauls.”</w:t>
            </w:r>
          </w:p>
        </w:tc>
        <w:tc>
          <w:tcPr>
            <w:tcW w:w="1008" w:type="dxa"/>
            <w:tcMar>
              <w:top w:w="70" w:type="dxa"/>
              <w:left w:w="70" w:type="dxa"/>
              <w:bottom w:w="70" w:type="dxa"/>
              <w:right w:w="70" w:type="dxa"/>
            </w:tcMar>
            <w:vAlign w:val="center"/>
          </w:tcPr>
          <w:p w14:paraId="6453EB29">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p. 25</w:t>
            </w:r>
          </w:p>
        </w:tc>
        <w:tc>
          <w:tcPr>
            <w:tcW w:w="2160" w:type="dxa"/>
            <w:tcMar>
              <w:top w:w="70" w:type="dxa"/>
              <w:left w:w="70" w:type="dxa"/>
              <w:bottom w:w="70" w:type="dxa"/>
              <w:right w:w="70" w:type="dxa"/>
            </w:tcMar>
            <w:vAlign w:val="center"/>
          </w:tcPr>
          <w:p w14:paraId="02716EF9">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Contradictory/null influencer-characteristic effect</w:t>
            </w:r>
          </w:p>
        </w:tc>
      </w:tr>
      <w:tr w14:paraId="6621846C">
        <w:trPr>
          <w:jc w:val="center"/>
        </w:trPr>
        <w:tc>
          <w:tcPr>
            <w:tcW w:w="1944" w:type="dxa"/>
            <w:tcMar>
              <w:top w:w="70" w:type="dxa"/>
              <w:left w:w="70" w:type="dxa"/>
              <w:bottom w:w="70" w:type="dxa"/>
              <w:right w:w="70" w:type="dxa"/>
            </w:tcMar>
            <w:vAlign w:val="center"/>
          </w:tcPr>
          <w:p w14:paraId="21921457">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Hughes et al. (2019)</w:t>
            </w:r>
          </w:p>
        </w:tc>
        <w:tc>
          <w:tcPr>
            <w:tcW w:w="1728" w:type="dxa"/>
            <w:tcMar>
              <w:top w:w="70" w:type="dxa"/>
              <w:left w:w="70" w:type="dxa"/>
              <w:bottom w:w="70" w:type="dxa"/>
              <w:right w:w="70" w:type="dxa"/>
            </w:tcMar>
            <w:vAlign w:val="center"/>
          </w:tcPr>
          <w:p w14:paraId="7C2315E8">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Theme 4 / Theme 6</w:t>
            </w:r>
          </w:p>
        </w:tc>
        <w:tc>
          <w:tcPr>
            <w:tcW w:w="4680" w:type="dxa"/>
            <w:tcMar>
              <w:top w:w="70" w:type="dxa"/>
              <w:left w:w="70" w:type="dxa"/>
              <w:bottom w:w="70" w:type="dxa"/>
              <w:right w:w="70" w:type="dxa"/>
            </w:tcMar>
            <w:vAlign w:val="center"/>
          </w:tcPr>
          <w:p w14:paraId="690C7059">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The study “did not directly test for the impact on return on investment (ROI).”</w:t>
            </w:r>
          </w:p>
        </w:tc>
        <w:tc>
          <w:tcPr>
            <w:tcW w:w="1008" w:type="dxa"/>
            <w:tcMar>
              <w:top w:w="70" w:type="dxa"/>
              <w:left w:w="70" w:type="dxa"/>
              <w:bottom w:w="70" w:type="dxa"/>
              <w:right w:w="70" w:type="dxa"/>
            </w:tcMar>
            <w:vAlign w:val="center"/>
          </w:tcPr>
          <w:p w14:paraId="1D3EE4F8">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p. 35</w:t>
            </w:r>
          </w:p>
        </w:tc>
        <w:tc>
          <w:tcPr>
            <w:tcW w:w="2160" w:type="dxa"/>
            <w:tcMar>
              <w:top w:w="70" w:type="dxa"/>
              <w:left w:w="70" w:type="dxa"/>
              <w:bottom w:w="70" w:type="dxa"/>
              <w:right w:w="70" w:type="dxa"/>
            </w:tcMar>
            <w:vAlign w:val="center"/>
          </w:tcPr>
          <w:p w14:paraId="10E2C162">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Explicit ROI limitation</w:t>
            </w:r>
          </w:p>
        </w:tc>
      </w:tr>
      <w:tr w14:paraId="3A405328">
        <w:trPr>
          <w:jc w:val="center"/>
        </w:trPr>
        <w:tc>
          <w:tcPr>
            <w:tcW w:w="1944" w:type="dxa"/>
            <w:tcMar>
              <w:top w:w="70" w:type="dxa"/>
              <w:left w:w="70" w:type="dxa"/>
              <w:bottom w:w="70" w:type="dxa"/>
              <w:right w:w="70" w:type="dxa"/>
            </w:tcMar>
            <w:vAlign w:val="center"/>
          </w:tcPr>
          <w:p w14:paraId="2EE20970">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Leung et al. (2022)</w:t>
            </w:r>
          </w:p>
        </w:tc>
        <w:tc>
          <w:tcPr>
            <w:tcW w:w="1728" w:type="dxa"/>
            <w:tcMar>
              <w:top w:w="70" w:type="dxa"/>
              <w:left w:w="70" w:type="dxa"/>
              <w:bottom w:w="70" w:type="dxa"/>
              <w:right w:w="70" w:type="dxa"/>
            </w:tcMar>
            <w:vAlign w:val="center"/>
          </w:tcPr>
          <w:p w14:paraId="3090DE3D">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Theme 4 / Theme 6</w:t>
            </w:r>
          </w:p>
        </w:tc>
        <w:tc>
          <w:tcPr>
            <w:tcW w:w="4680" w:type="dxa"/>
            <w:tcMar>
              <w:top w:w="70" w:type="dxa"/>
              <w:left w:w="70" w:type="dxa"/>
              <w:bottom w:w="70" w:type="dxa"/>
              <w:right w:w="70" w:type="dxa"/>
            </w:tcMar>
            <w:vAlign w:val="center"/>
          </w:tcPr>
          <w:p w14:paraId="40AA87C0">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A 1% increase in influencer marketing spend increased engagement by 0.457%.</w:t>
            </w:r>
          </w:p>
        </w:tc>
        <w:tc>
          <w:tcPr>
            <w:tcW w:w="1008" w:type="dxa"/>
            <w:tcMar>
              <w:top w:w="70" w:type="dxa"/>
              <w:left w:w="70" w:type="dxa"/>
              <w:bottom w:w="70" w:type="dxa"/>
              <w:right w:w="70" w:type="dxa"/>
            </w:tcMar>
            <w:vAlign w:val="center"/>
          </w:tcPr>
          <w:p w14:paraId="6926B66D">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p. 25</w:t>
            </w:r>
          </w:p>
        </w:tc>
        <w:tc>
          <w:tcPr>
            <w:tcW w:w="2160" w:type="dxa"/>
            <w:tcMar>
              <w:top w:w="70" w:type="dxa"/>
              <w:left w:w="70" w:type="dxa"/>
              <w:bottom w:w="70" w:type="dxa"/>
              <w:right w:w="70" w:type="dxa"/>
            </w:tcMar>
            <w:vAlign w:val="center"/>
          </w:tcPr>
          <w:p w14:paraId="0D316019">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Cost-adjusted engagement, not financial ROI</w:t>
            </w:r>
          </w:p>
        </w:tc>
      </w:tr>
      <w:tr w14:paraId="50204972">
        <w:trPr>
          <w:jc w:val="center"/>
        </w:trPr>
        <w:tc>
          <w:tcPr>
            <w:tcW w:w="1944" w:type="dxa"/>
            <w:tcMar>
              <w:top w:w="70" w:type="dxa"/>
              <w:left w:w="70" w:type="dxa"/>
              <w:bottom w:w="70" w:type="dxa"/>
              <w:right w:w="70" w:type="dxa"/>
            </w:tcMar>
            <w:vAlign w:val="center"/>
          </w:tcPr>
          <w:p w14:paraId="50C30896">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Reinikainen et al. (2020)</w:t>
            </w:r>
          </w:p>
        </w:tc>
        <w:tc>
          <w:tcPr>
            <w:tcW w:w="1728" w:type="dxa"/>
            <w:tcMar>
              <w:top w:w="70" w:type="dxa"/>
              <w:left w:w="70" w:type="dxa"/>
              <w:bottom w:w="70" w:type="dxa"/>
              <w:right w:w="70" w:type="dxa"/>
            </w:tcMar>
            <w:vAlign w:val="center"/>
          </w:tcPr>
          <w:p w14:paraId="652D4146">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Theme 1 / Theme 3 / Theme 5</w:t>
            </w:r>
          </w:p>
        </w:tc>
        <w:tc>
          <w:tcPr>
            <w:tcW w:w="4680" w:type="dxa"/>
            <w:tcMar>
              <w:top w:w="70" w:type="dxa"/>
              <w:left w:w="70" w:type="dxa"/>
              <w:bottom w:w="70" w:type="dxa"/>
              <w:right w:w="70" w:type="dxa"/>
            </w:tcMar>
            <w:vAlign w:val="center"/>
          </w:tcPr>
          <w:p w14:paraId="142E1205">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Influencer credibility positively affects brand trust and purchase intention.</w:t>
            </w:r>
          </w:p>
        </w:tc>
        <w:tc>
          <w:tcPr>
            <w:tcW w:w="1008" w:type="dxa"/>
            <w:tcMar>
              <w:top w:w="70" w:type="dxa"/>
              <w:left w:w="70" w:type="dxa"/>
              <w:bottom w:w="70" w:type="dxa"/>
              <w:right w:w="70" w:type="dxa"/>
            </w:tcMar>
            <w:vAlign w:val="center"/>
          </w:tcPr>
          <w:p w14:paraId="4675F965">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p. 4</w:t>
            </w:r>
          </w:p>
        </w:tc>
        <w:tc>
          <w:tcPr>
            <w:tcW w:w="2160" w:type="dxa"/>
            <w:tcMar>
              <w:top w:w="70" w:type="dxa"/>
              <w:left w:w="70" w:type="dxa"/>
              <w:bottom w:w="70" w:type="dxa"/>
              <w:right w:w="70" w:type="dxa"/>
            </w:tcMar>
            <w:vAlign w:val="center"/>
          </w:tcPr>
          <w:p w14:paraId="36ED7EA5">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Direct relational/PI evidence</w:t>
            </w:r>
          </w:p>
        </w:tc>
      </w:tr>
      <w:tr w14:paraId="3B9BA78A">
        <w:trPr>
          <w:jc w:val="center"/>
        </w:trPr>
        <w:tc>
          <w:tcPr>
            <w:tcW w:w="1944" w:type="dxa"/>
            <w:tcMar>
              <w:top w:w="70" w:type="dxa"/>
              <w:left w:w="70" w:type="dxa"/>
              <w:bottom w:w="70" w:type="dxa"/>
              <w:right w:w="70" w:type="dxa"/>
            </w:tcMar>
            <w:vAlign w:val="center"/>
          </w:tcPr>
          <w:p w14:paraId="01AE7B86">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Lou &amp; Yuan (2019)</w:t>
            </w:r>
          </w:p>
        </w:tc>
        <w:tc>
          <w:tcPr>
            <w:tcW w:w="1728" w:type="dxa"/>
            <w:tcMar>
              <w:top w:w="70" w:type="dxa"/>
              <w:left w:w="70" w:type="dxa"/>
              <w:bottom w:w="70" w:type="dxa"/>
              <w:right w:w="70" w:type="dxa"/>
            </w:tcMar>
            <w:vAlign w:val="center"/>
          </w:tcPr>
          <w:p w14:paraId="1DC586BE">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Theme 1 / Theme 5</w:t>
            </w:r>
          </w:p>
        </w:tc>
        <w:tc>
          <w:tcPr>
            <w:tcW w:w="4680" w:type="dxa"/>
            <w:tcMar>
              <w:top w:w="70" w:type="dxa"/>
              <w:left w:w="70" w:type="dxa"/>
              <w:bottom w:w="70" w:type="dxa"/>
              <w:right w:w="70" w:type="dxa"/>
            </w:tcMar>
            <w:vAlign w:val="center"/>
          </w:tcPr>
          <w:p w14:paraId="3DCEF04E">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Trust in posts -&gt; purchase intention = 0.405; brand awareness -&gt; purchase intention = 0.408.</w:t>
            </w:r>
          </w:p>
        </w:tc>
        <w:tc>
          <w:tcPr>
            <w:tcW w:w="1008" w:type="dxa"/>
            <w:tcMar>
              <w:top w:w="70" w:type="dxa"/>
              <w:left w:w="70" w:type="dxa"/>
              <w:bottom w:w="70" w:type="dxa"/>
              <w:right w:w="70" w:type="dxa"/>
            </w:tcMar>
            <w:vAlign w:val="center"/>
          </w:tcPr>
          <w:p w14:paraId="46E5C38A">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p. 11</w:t>
            </w:r>
          </w:p>
        </w:tc>
        <w:tc>
          <w:tcPr>
            <w:tcW w:w="2160" w:type="dxa"/>
            <w:tcMar>
              <w:top w:w="70" w:type="dxa"/>
              <w:left w:w="70" w:type="dxa"/>
              <w:bottom w:w="70" w:type="dxa"/>
              <w:right w:w="70" w:type="dxa"/>
            </w:tcMar>
            <w:vAlign w:val="center"/>
          </w:tcPr>
          <w:p w14:paraId="778B71DA">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Trust and awareness linked to PI</w:t>
            </w:r>
          </w:p>
        </w:tc>
      </w:tr>
    </w:tbl>
    <w:p w14:paraId="5D772FF9">
      <w:pPr>
        <w:pStyle w:val="3"/>
        <w:rPr>
          <w:rFonts w:ascii="Times New Roman" w:hAnsi="Times New Roman" w:cs="Times New Roman"/>
          <w:b/>
          <w:bCs/>
          <w:color w:val="auto"/>
          <w:sz w:val="24"/>
          <w:szCs w:val="24"/>
        </w:rPr>
      </w:pPr>
      <w:bookmarkStart w:id="266" w:name="_Toc27521"/>
      <w:bookmarkStart w:id="267" w:name="_Toc18917"/>
      <w:bookmarkStart w:id="268" w:name="_Toc31048"/>
      <w:bookmarkStart w:id="269" w:name="_Toc5225"/>
      <w:bookmarkStart w:id="270" w:name="_Toc240993947"/>
      <w:bookmarkStart w:id="271" w:name="_Toc12231"/>
      <w:r>
        <w:rPr>
          <w:rFonts w:ascii="Times New Roman" w:hAnsi="Times New Roman" w:cs="Times New Roman"/>
          <w:b/>
          <w:bCs/>
          <w:color w:val="auto"/>
          <w:sz w:val="24"/>
          <w:szCs w:val="24"/>
        </w:rPr>
        <w:t>Appendix C. Outcome Hierarchy in the 18-Study Corpus</w:t>
      </w:r>
      <w:bookmarkEnd w:id="266"/>
      <w:bookmarkEnd w:id="267"/>
      <w:bookmarkEnd w:id="268"/>
      <w:bookmarkEnd w:id="269"/>
      <w:bookmarkEnd w:id="270"/>
      <w:bookmarkEnd w:id="271"/>
    </w:p>
    <w:tbl>
      <w:tblPr>
        <w:tblStyle w:val="24"/>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231"/>
        <w:gridCol w:w="3511"/>
        <w:gridCol w:w="2046"/>
        <w:gridCol w:w="1712"/>
      </w:tblGrid>
      <w:tr w14:paraId="7C688D57">
        <w:trPr>
          <w:tblHeader/>
          <w:jc w:val="center"/>
        </w:trPr>
        <w:tc>
          <w:tcPr>
            <w:tcW w:w="2448" w:type="dxa"/>
            <w:shd w:val="clear" w:color="auto" w:fill="D9D9D9"/>
            <w:tcMar>
              <w:top w:w="70" w:type="dxa"/>
              <w:left w:w="70" w:type="dxa"/>
              <w:bottom w:w="70" w:type="dxa"/>
              <w:right w:w="70" w:type="dxa"/>
            </w:tcMar>
            <w:vAlign w:val="center"/>
          </w:tcPr>
          <w:p w14:paraId="4078514D">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b/>
                <w:kern w:val="0"/>
                <w:sz w:val="24"/>
                <w:szCs w:val="24"/>
                <w:lang w:eastAsia="en-US"/>
                <w14:ligatures w14:val="none"/>
              </w:rPr>
              <w:t>Outcome stage</w:t>
            </w:r>
          </w:p>
        </w:tc>
        <w:tc>
          <w:tcPr>
            <w:tcW w:w="4320" w:type="dxa"/>
            <w:shd w:val="clear" w:color="auto" w:fill="D9D9D9"/>
            <w:tcMar>
              <w:top w:w="70" w:type="dxa"/>
              <w:left w:w="70" w:type="dxa"/>
              <w:bottom w:w="70" w:type="dxa"/>
              <w:right w:w="70" w:type="dxa"/>
            </w:tcMar>
            <w:vAlign w:val="center"/>
          </w:tcPr>
          <w:p w14:paraId="62D3DBC0">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b/>
                <w:kern w:val="0"/>
                <w:sz w:val="24"/>
                <w:szCs w:val="24"/>
                <w:lang w:eastAsia="en-US"/>
                <w14:ligatures w14:val="none"/>
              </w:rPr>
              <w:t>Typical measure</w:t>
            </w:r>
          </w:p>
        </w:tc>
        <w:tc>
          <w:tcPr>
            <w:tcW w:w="2448" w:type="dxa"/>
            <w:shd w:val="clear" w:color="auto" w:fill="D9D9D9"/>
            <w:tcMar>
              <w:top w:w="70" w:type="dxa"/>
              <w:left w:w="70" w:type="dxa"/>
              <w:bottom w:w="70" w:type="dxa"/>
              <w:right w:w="70" w:type="dxa"/>
            </w:tcMar>
            <w:vAlign w:val="center"/>
          </w:tcPr>
          <w:p w14:paraId="74A23A5A">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b/>
                <w:kern w:val="0"/>
                <w:sz w:val="24"/>
                <w:szCs w:val="24"/>
                <w:lang w:eastAsia="en-US"/>
                <w14:ligatures w14:val="none"/>
              </w:rPr>
              <w:t>Coverage in corpus</w:t>
            </w:r>
          </w:p>
        </w:tc>
        <w:tc>
          <w:tcPr>
            <w:tcW w:w="2016" w:type="dxa"/>
            <w:shd w:val="clear" w:color="auto" w:fill="D9D9D9"/>
            <w:tcMar>
              <w:top w:w="70" w:type="dxa"/>
              <w:left w:w="70" w:type="dxa"/>
              <w:bottom w:w="70" w:type="dxa"/>
              <w:right w:w="70" w:type="dxa"/>
            </w:tcMar>
            <w:vAlign w:val="center"/>
          </w:tcPr>
          <w:p w14:paraId="0EA5743A">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b/>
                <w:kern w:val="0"/>
                <w:sz w:val="24"/>
                <w:szCs w:val="24"/>
                <w:lang w:eastAsia="en-US"/>
                <w14:ligatures w14:val="none"/>
              </w:rPr>
              <w:t>Evidence strength</w:t>
            </w:r>
          </w:p>
        </w:tc>
      </w:tr>
      <w:tr w14:paraId="49BA8908">
        <w:trPr>
          <w:jc w:val="center"/>
        </w:trPr>
        <w:tc>
          <w:tcPr>
            <w:tcW w:w="2448" w:type="dxa"/>
            <w:tcMar>
              <w:top w:w="70" w:type="dxa"/>
              <w:left w:w="70" w:type="dxa"/>
              <w:bottom w:w="70" w:type="dxa"/>
              <w:right w:w="70" w:type="dxa"/>
            </w:tcMar>
            <w:vAlign w:val="center"/>
          </w:tcPr>
          <w:p w14:paraId="52032C41">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Influencer/content characteristics</w:t>
            </w:r>
          </w:p>
        </w:tc>
        <w:tc>
          <w:tcPr>
            <w:tcW w:w="4320" w:type="dxa"/>
            <w:tcMar>
              <w:top w:w="70" w:type="dxa"/>
              <w:left w:w="70" w:type="dxa"/>
              <w:bottom w:w="70" w:type="dxa"/>
              <w:right w:w="70" w:type="dxa"/>
            </w:tcMar>
            <w:vAlign w:val="center"/>
          </w:tcPr>
          <w:p w14:paraId="5EC597F2">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Credibility, authenticity, expertise, fit, informativeness</w:t>
            </w:r>
          </w:p>
        </w:tc>
        <w:tc>
          <w:tcPr>
            <w:tcW w:w="2448" w:type="dxa"/>
            <w:tcMar>
              <w:top w:w="70" w:type="dxa"/>
              <w:left w:w="70" w:type="dxa"/>
              <w:bottom w:w="70" w:type="dxa"/>
              <w:right w:w="70" w:type="dxa"/>
            </w:tcMar>
            <w:vAlign w:val="center"/>
          </w:tcPr>
          <w:p w14:paraId="5D63130D">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Extensive</w:t>
            </w:r>
          </w:p>
        </w:tc>
        <w:tc>
          <w:tcPr>
            <w:tcW w:w="2016" w:type="dxa"/>
            <w:tcMar>
              <w:top w:w="70" w:type="dxa"/>
              <w:left w:w="70" w:type="dxa"/>
              <w:bottom w:w="70" w:type="dxa"/>
              <w:right w:w="70" w:type="dxa"/>
            </w:tcMar>
            <w:vAlign w:val="center"/>
          </w:tcPr>
          <w:p w14:paraId="3CDEC864">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Strong</w:t>
            </w:r>
          </w:p>
        </w:tc>
      </w:tr>
      <w:tr w14:paraId="41D03C3F">
        <w:trPr>
          <w:jc w:val="center"/>
        </w:trPr>
        <w:tc>
          <w:tcPr>
            <w:tcW w:w="2448" w:type="dxa"/>
            <w:tcMar>
              <w:top w:w="70" w:type="dxa"/>
              <w:left w:w="70" w:type="dxa"/>
              <w:bottom w:w="70" w:type="dxa"/>
              <w:right w:w="70" w:type="dxa"/>
            </w:tcMar>
            <w:vAlign w:val="center"/>
          </w:tcPr>
          <w:p w14:paraId="1427D68B">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Psychological mechanisms</w:t>
            </w:r>
          </w:p>
        </w:tc>
        <w:tc>
          <w:tcPr>
            <w:tcW w:w="4320" w:type="dxa"/>
            <w:tcMar>
              <w:top w:w="70" w:type="dxa"/>
              <w:left w:w="70" w:type="dxa"/>
              <w:bottom w:w="70" w:type="dxa"/>
              <w:right w:w="70" w:type="dxa"/>
            </w:tcMar>
            <w:vAlign w:val="center"/>
          </w:tcPr>
          <w:p w14:paraId="575E55C8">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Trust, PSR, attachment, flow, identification</w:t>
            </w:r>
          </w:p>
        </w:tc>
        <w:tc>
          <w:tcPr>
            <w:tcW w:w="2448" w:type="dxa"/>
            <w:tcMar>
              <w:top w:w="70" w:type="dxa"/>
              <w:left w:w="70" w:type="dxa"/>
              <w:bottom w:w="70" w:type="dxa"/>
              <w:right w:w="70" w:type="dxa"/>
            </w:tcMar>
            <w:vAlign w:val="center"/>
          </w:tcPr>
          <w:p w14:paraId="590DB7D7">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Extensive</w:t>
            </w:r>
          </w:p>
        </w:tc>
        <w:tc>
          <w:tcPr>
            <w:tcW w:w="2016" w:type="dxa"/>
            <w:tcMar>
              <w:top w:w="70" w:type="dxa"/>
              <w:left w:w="70" w:type="dxa"/>
              <w:bottom w:w="70" w:type="dxa"/>
              <w:right w:w="70" w:type="dxa"/>
            </w:tcMar>
            <w:vAlign w:val="center"/>
          </w:tcPr>
          <w:p w14:paraId="7E52994E">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Strong</w:t>
            </w:r>
          </w:p>
        </w:tc>
      </w:tr>
      <w:tr w14:paraId="5DB1D075">
        <w:trPr>
          <w:jc w:val="center"/>
        </w:trPr>
        <w:tc>
          <w:tcPr>
            <w:tcW w:w="2448" w:type="dxa"/>
            <w:tcMar>
              <w:top w:w="70" w:type="dxa"/>
              <w:left w:w="70" w:type="dxa"/>
              <w:bottom w:w="70" w:type="dxa"/>
              <w:right w:w="70" w:type="dxa"/>
            </w:tcMar>
            <w:vAlign w:val="center"/>
          </w:tcPr>
          <w:p w14:paraId="6CA420EA">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Brand response</w:t>
            </w:r>
          </w:p>
        </w:tc>
        <w:tc>
          <w:tcPr>
            <w:tcW w:w="4320" w:type="dxa"/>
            <w:tcMar>
              <w:top w:w="70" w:type="dxa"/>
              <w:left w:w="70" w:type="dxa"/>
              <w:bottom w:w="70" w:type="dxa"/>
              <w:right w:w="70" w:type="dxa"/>
            </w:tcMar>
            <w:vAlign w:val="center"/>
          </w:tcPr>
          <w:p w14:paraId="6F8F9DA7">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Awareness, recall, brand attitude</w:t>
            </w:r>
          </w:p>
        </w:tc>
        <w:tc>
          <w:tcPr>
            <w:tcW w:w="2448" w:type="dxa"/>
            <w:tcMar>
              <w:top w:w="70" w:type="dxa"/>
              <w:left w:w="70" w:type="dxa"/>
              <w:bottom w:w="70" w:type="dxa"/>
              <w:right w:w="70" w:type="dxa"/>
            </w:tcMar>
            <w:vAlign w:val="center"/>
          </w:tcPr>
          <w:p w14:paraId="739FF831">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Several studies</w:t>
            </w:r>
          </w:p>
        </w:tc>
        <w:tc>
          <w:tcPr>
            <w:tcW w:w="2016" w:type="dxa"/>
            <w:tcMar>
              <w:top w:w="70" w:type="dxa"/>
              <w:left w:w="70" w:type="dxa"/>
              <w:bottom w:w="70" w:type="dxa"/>
              <w:right w:w="70" w:type="dxa"/>
            </w:tcMar>
            <w:vAlign w:val="center"/>
          </w:tcPr>
          <w:p w14:paraId="5B0158A0">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Moderate-strong</w:t>
            </w:r>
          </w:p>
        </w:tc>
      </w:tr>
      <w:tr w14:paraId="7D98F20D">
        <w:trPr>
          <w:jc w:val="center"/>
        </w:trPr>
        <w:tc>
          <w:tcPr>
            <w:tcW w:w="2448" w:type="dxa"/>
            <w:tcMar>
              <w:top w:w="70" w:type="dxa"/>
              <w:left w:w="70" w:type="dxa"/>
              <w:bottom w:w="70" w:type="dxa"/>
              <w:right w:w="70" w:type="dxa"/>
            </w:tcMar>
            <w:vAlign w:val="center"/>
          </w:tcPr>
          <w:p w14:paraId="09970CA5">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Engagement</w:t>
            </w:r>
          </w:p>
        </w:tc>
        <w:tc>
          <w:tcPr>
            <w:tcW w:w="4320" w:type="dxa"/>
            <w:tcMar>
              <w:top w:w="70" w:type="dxa"/>
              <w:left w:w="70" w:type="dxa"/>
              <w:bottom w:w="70" w:type="dxa"/>
              <w:right w:w="70" w:type="dxa"/>
            </w:tcMar>
            <w:vAlign w:val="center"/>
          </w:tcPr>
          <w:p w14:paraId="02CCDE40">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Likes, comments, reposts, engagement intention</w:t>
            </w:r>
          </w:p>
        </w:tc>
        <w:tc>
          <w:tcPr>
            <w:tcW w:w="2448" w:type="dxa"/>
            <w:tcMar>
              <w:top w:w="70" w:type="dxa"/>
              <w:left w:w="70" w:type="dxa"/>
              <w:bottom w:w="70" w:type="dxa"/>
              <w:right w:w="70" w:type="dxa"/>
            </w:tcMar>
            <w:vAlign w:val="center"/>
          </w:tcPr>
          <w:p w14:paraId="0876FB98">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Several studies</w:t>
            </w:r>
          </w:p>
        </w:tc>
        <w:tc>
          <w:tcPr>
            <w:tcW w:w="2016" w:type="dxa"/>
            <w:tcMar>
              <w:top w:w="70" w:type="dxa"/>
              <w:left w:w="70" w:type="dxa"/>
              <w:bottom w:w="70" w:type="dxa"/>
              <w:right w:w="70" w:type="dxa"/>
            </w:tcMar>
            <w:vAlign w:val="center"/>
          </w:tcPr>
          <w:p w14:paraId="579EAE7E">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Moderate-strong</w:t>
            </w:r>
          </w:p>
        </w:tc>
      </w:tr>
      <w:tr w14:paraId="603BD18E">
        <w:trPr>
          <w:jc w:val="center"/>
        </w:trPr>
        <w:tc>
          <w:tcPr>
            <w:tcW w:w="2448" w:type="dxa"/>
            <w:tcMar>
              <w:top w:w="70" w:type="dxa"/>
              <w:left w:w="70" w:type="dxa"/>
              <w:bottom w:w="70" w:type="dxa"/>
              <w:right w:w="70" w:type="dxa"/>
            </w:tcMar>
            <w:vAlign w:val="center"/>
          </w:tcPr>
          <w:p w14:paraId="6F8AC8EB">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Purchase intention</w:t>
            </w:r>
          </w:p>
        </w:tc>
        <w:tc>
          <w:tcPr>
            <w:tcW w:w="4320" w:type="dxa"/>
            <w:tcMar>
              <w:top w:w="70" w:type="dxa"/>
              <w:left w:w="70" w:type="dxa"/>
              <w:bottom w:w="70" w:type="dxa"/>
              <w:right w:w="70" w:type="dxa"/>
            </w:tcMar>
            <w:vAlign w:val="center"/>
          </w:tcPr>
          <w:p w14:paraId="3A4AC44D">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Self-reported likelihood/willingness to buy</w:t>
            </w:r>
          </w:p>
        </w:tc>
        <w:tc>
          <w:tcPr>
            <w:tcW w:w="2448" w:type="dxa"/>
            <w:tcMar>
              <w:top w:w="70" w:type="dxa"/>
              <w:left w:w="70" w:type="dxa"/>
              <w:bottom w:w="70" w:type="dxa"/>
              <w:right w:w="70" w:type="dxa"/>
            </w:tcMar>
            <w:vAlign w:val="center"/>
          </w:tcPr>
          <w:p w14:paraId="61598B39">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Most common lower-funnel outcome</w:t>
            </w:r>
          </w:p>
        </w:tc>
        <w:tc>
          <w:tcPr>
            <w:tcW w:w="2016" w:type="dxa"/>
            <w:tcMar>
              <w:top w:w="70" w:type="dxa"/>
              <w:left w:w="70" w:type="dxa"/>
              <w:bottom w:w="70" w:type="dxa"/>
              <w:right w:w="70" w:type="dxa"/>
            </w:tcMar>
            <w:vAlign w:val="center"/>
          </w:tcPr>
          <w:p w14:paraId="433EEDF6">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Strong</w:t>
            </w:r>
          </w:p>
        </w:tc>
      </w:tr>
      <w:tr w14:paraId="601FC047">
        <w:trPr>
          <w:jc w:val="center"/>
        </w:trPr>
        <w:tc>
          <w:tcPr>
            <w:tcW w:w="2448" w:type="dxa"/>
            <w:tcMar>
              <w:top w:w="70" w:type="dxa"/>
              <w:left w:w="70" w:type="dxa"/>
              <w:bottom w:w="70" w:type="dxa"/>
              <w:right w:w="70" w:type="dxa"/>
            </w:tcMar>
            <w:vAlign w:val="center"/>
          </w:tcPr>
          <w:p w14:paraId="71E31098">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Conversion</w:t>
            </w:r>
          </w:p>
        </w:tc>
        <w:tc>
          <w:tcPr>
            <w:tcW w:w="4320" w:type="dxa"/>
            <w:tcMar>
              <w:top w:w="70" w:type="dxa"/>
              <w:left w:w="70" w:type="dxa"/>
              <w:bottom w:w="70" w:type="dxa"/>
              <w:right w:w="70" w:type="dxa"/>
            </w:tcMar>
            <w:vAlign w:val="center"/>
          </w:tcPr>
          <w:p w14:paraId="2F009985">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Clicks, codes, checkout actions</w:t>
            </w:r>
          </w:p>
        </w:tc>
        <w:tc>
          <w:tcPr>
            <w:tcW w:w="2448" w:type="dxa"/>
            <w:tcMar>
              <w:top w:w="70" w:type="dxa"/>
              <w:left w:w="70" w:type="dxa"/>
              <w:bottom w:w="70" w:type="dxa"/>
              <w:right w:w="70" w:type="dxa"/>
            </w:tcMar>
            <w:vAlign w:val="center"/>
          </w:tcPr>
          <w:p w14:paraId="450E585C">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Rare</w:t>
            </w:r>
          </w:p>
        </w:tc>
        <w:tc>
          <w:tcPr>
            <w:tcW w:w="2016" w:type="dxa"/>
            <w:tcMar>
              <w:top w:w="70" w:type="dxa"/>
              <w:left w:w="70" w:type="dxa"/>
              <w:bottom w:w="70" w:type="dxa"/>
              <w:right w:w="70" w:type="dxa"/>
            </w:tcMar>
            <w:vAlign w:val="center"/>
          </w:tcPr>
          <w:p w14:paraId="5260A17B">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Weak</w:t>
            </w:r>
          </w:p>
        </w:tc>
      </w:tr>
      <w:tr w14:paraId="2AF1EE9C">
        <w:trPr>
          <w:jc w:val="center"/>
        </w:trPr>
        <w:tc>
          <w:tcPr>
            <w:tcW w:w="2448" w:type="dxa"/>
            <w:tcMar>
              <w:top w:w="70" w:type="dxa"/>
              <w:left w:w="70" w:type="dxa"/>
              <w:bottom w:w="70" w:type="dxa"/>
              <w:right w:w="70" w:type="dxa"/>
            </w:tcMar>
            <w:vAlign w:val="center"/>
          </w:tcPr>
          <w:p w14:paraId="3D204068">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Actual purchase</w:t>
            </w:r>
          </w:p>
        </w:tc>
        <w:tc>
          <w:tcPr>
            <w:tcW w:w="4320" w:type="dxa"/>
            <w:tcMar>
              <w:top w:w="70" w:type="dxa"/>
              <w:left w:w="70" w:type="dxa"/>
              <w:bottom w:w="70" w:type="dxa"/>
              <w:right w:w="70" w:type="dxa"/>
            </w:tcMar>
            <w:vAlign w:val="center"/>
          </w:tcPr>
          <w:p w14:paraId="19539CBE">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Verified transaction</w:t>
            </w:r>
          </w:p>
        </w:tc>
        <w:tc>
          <w:tcPr>
            <w:tcW w:w="2448" w:type="dxa"/>
            <w:tcMar>
              <w:top w:w="70" w:type="dxa"/>
              <w:left w:w="70" w:type="dxa"/>
              <w:bottom w:w="70" w:type="dxa"/>
              <w:right w:w="70" w:type="dxa"/>
            </w:tcMar>
            <w:vAlign w:val="center"/>
          </w:tcPr>
          <w:p w14:paraId="37B0D906">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Very rare</w:t>
            </w:r>
          </w:p>
        </w:tc>
        <w:tc>
          <w:tcPr>
            <w:tcW w:w="2016" w:type="dxa"/>
            <w:tcMar>
              <w:top w:w="70" w:type="dxa"/>
              <w:left w:w="70" w:type="dxa"/>
              <w:bottom w:w="70" w:type="dxa"/>
              <w:right w:w="70" w:type="dxa"/>
            </w:tcMar>
            <w:vAlign w:val="center"/>
          </w:tcPr>
          <w:p w14:paraId="16829745">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Very weak</w:t>
            </w:r>
          </w:p>
        </w:tc>
      </w:tr>
      <w:tr w14:paraId="4BAF2A5E">
        <w:trPr>
          <w:jc w:val="center"/>
        </w:trPr>
        <w:tc>
          <w:tcPr>
            <w:tcW w:w="2448" w:type="dxa"/>
            <w:tcMar>
              <w:top w:w="70" w:type="dxa"/>
              <w:left w:w="70" w:type="dxa"/>
              <w:bottom w:w="70" w:type="dxa"/>
              <w:right w:w="70" w:type="dxa"/>
            </w:tcMar>
            <w:vAlign w:val="center"/>
          </w:tcPr>
          <w:p w14:paraId="1E5BA786">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Attributed sales</w:t>
            </w:r>
          </w:p>
        </w:tc>
        <w:tc>
          <w:tcPr>
            <w:tcW w:w="4320" w:type="dxa"/>
            <w:tcMar>
              <w:top w:w="70" w:type="dxa"/>
              <w:left w:w="70" w:type="dxa"/>
              <w:bottom w:w="70" w:type="dxa"/>
              <w:right w:w="70" w:type="dxa"/>
            </w:tcMar>
            <w:vAlign w:val="center"/>
          </w:tcPr>
          <w:p w14:paraId="3D3672C8">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Campaign-linked revenue</w:t>
            </w:r>
          </w:p>
        </w:tc>
        <w:tc>
          <w:tcPr>
            <w:tcW w:w="2448" w:type="dxa"/>
            <w:tcMar>
              <w:top w:w="70" w:type="dxa"/>
              <w:left w:w="70" w:type="dxa"/>
              <w:bottom w:w="70" w:type="dxa"/>
              <w:right w:w="70" w:type="dxa"/>
            </w:tcMar>
            <w:vAlign w:val="center"/>
          </w:tcPr>
          <w:p w14:paraId="6CDE37D9">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Rare</w:t>
            </w:r>
          </w:p>
        </w:tc>
        <w:tc>
          <w:tcPr>
            <w:tcW w:w="2016" w:type="dxa"/>
            <w:tcMar>
              <w:top w:w="70" w:type="dxa"/>
              <w:left w:w="70" w:type="dxa"/>
              <w:bottom w:w="70" w:type="dxa"/>
              <w:right w:w="70" w:type="dxa"/>
            </w:tcMar>
            <w:vAlign w:val="center"/>
          </w:tcPr>
          <w:p w14:paraId="24116DD4">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Very weak</w:t>
            </w:r>
          </w:p>
        </w:tc>
      </w:tr>
      <w:tr w14:paraId="458A7397">
        <w:trPr>
          <w:jc w:val="center"/>
        </w:trPr>
        <w:tc>
          <w:tcPr>
            <w:tcW w:w="2448" w:type="dxa"/>
            <w:tcMar>
              <w:top w:w="70" w:type="dxa"/>
              <w:left w:w="70" w:type="dxa"/>
              <w:bottom w:w="70" w:type="dxa"/>
              <w:right w:w="70" w:type="dxa"/>
            </w:tcMar>
            <w:vAlign w:val="center"/>
          </w:tcPr>
          <w:p w14:paraId="19F93583">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Financial ROI</w:t>
            </w:r>
          </w:p>
        </w:tc>
        <w:tc>
          <w:tcPr>
            <w:tcW w:w="4320" w:type="dxa"/>
            <w:tcMar>
              <w:top w:w="70" w:type="dxa"/>
              <w:left w:w="70" w:type="dxa"/>
              <w:bottom w:w="70" w:type="dxa"/>
              <w:right w:w="70" w:type="dxa"/>
            </w:tcMar>
            <w:vAlign w:val="center"/>
          </w:tcPr>
          <w:p w14:paraId="0886A282">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Incremental profit relative to campaign cost</w:t>
            </w:r>
          </w:p>
        </w:tc>
        <w:tc>
          <w:tcPr>
            <w:tcW w:w="2448" w:type="dxa"/>
            <w:tcMar>
              <w:top w:w="70" w:type="dxa"/>
              <w:left w:w="70" w:type="dxa"/>
              <w:bottom w:w="70" w:type="dxa"/>
              <w:right w:w="70" w:type="dxa"/>
            </w:tcMar>
            <w:vAlign w:val="center"/>
          </w:tcPr>
          <w:p w14:paraId="30150661">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Not directly demonstrated</w:t>
            </w:r>
          </w:p>
        </w:tc>
        <w:tc>
          <w:tcPr>
            <w:tcW w:w="2016" w:type="dxa"/>
            <w:tcMar>
              <w:top w:w="70" w:type="dxa"/>
              <w:left w:w="70" w:type="dxa"/>
              <w:bottom w:w="70" w:type="dxa"/>
              <w:right w:w="70" w:type="dxa"/>
            </w:tcMar>
            <w:vAlign w:val="center"/>
          </w:tcPr>
          <w:p w14:paraId="31A29713">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Insufficient</w:t>
            </w:r>
          </w:p>
        </w:tc>
      </w:tr>
    </w:tbl>
    <w:p w14:paraId="6B8150D4">
      <w:pPr>
        <w:keepNext/>
        <w:spacing w:before="160" w:after="80"/>
        <w:rPr>
          <w:rFonts w:ascii="Times New Roman" w:hAnsi="Times New Roman" w:cs="Times New Roman"/>
        </w:rPr>
      </w:pPr>
      <w:r>
        <w:rPr>
          <w:rFonts w:ascii="Times New Roman" w:hAnsi="Times New Roman" w:cs="Times New Roman"/>
          <w:b/>
        </w:rPr>
        <w:t>Appendix D. Research Question Synthesis</w:t>
      </w:r>
    </w:p>
    <w:tbl>
      <w:tblPr>
        <w:tblStyle w:val="24"/>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348"/>
        <w:gridCol w:w="3317"/>
        <w:gridCol w:w="4835"/>
      </w:tblGrid>
      <w:tr w14:paraId="60737F8E">
        <w:trPr>
          <w:tblHeader/>
          <w:jc w:val="center"/>
        </w:trPr>
        <w:tc>
          <w:tcPr>
            <w:tcW w:w="1440" w:type="dxa"/>
            <w:shd w:val="clear" w:color="auto" w:fill="D9D9D9"/>
            <w:tcMar>
              <w:top w:w="70" w:type="dxa"/>
              <w:left w:w="70" w:type="dxa"/>
              <w:bottom w:w="70" w:type="dxa"/>
              <w:right w:w="70" w:type="dxa"/>
            </w:tcMar>
            <w:vAlign w:val="center"/>
          </w:tcPr>
          <w:p w14:paraId="5B06C136">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b/>
                <w:kern w:val="0"/>
                <w:sz w:val="24"/>
                <w:szCs w:val="24"/>
                <w:lang w:eastAsia="en-US"/>
                <w14:ligatures w14:val="none"/>
              </w:rPr>
              <w:t>Question</w:t>
            </w:r>
          </w:p>
        </w:tc>
        <w:tc>
          <w:tcPr>
            <w:tcW w:w="3888" w:type="dxa"/>
            <w:shd w:val="clear" w:color="auto" w:fill="D9D9D9"/>
            <w:tcMar>
              <w:top w:w="70" w:type="dxa"/>
              <w:left w:w="70" w:type="dxa"/>
              <w:bottom w:w="70" w:type="dxa"/>
              <w:right w:w="70" w:type="dxa"/>
            </w:tcMar>
            <w:vAlign w:val="center"/>
          </w:tcPr>
          <w:p w14:paraId="2D2F198C">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b/>
                <w:kern w:val="0"/>
                <w:sz w:val="24"/>
                <w:szCs w:val="24"/>
                <w:lang w:eastAsia="en-US"/>
                <w14:ligatures w14:val="none"/>
              </w:rPr>
              <w:t>Focus</w:t>
            </w:r>
          </w:p>
        </w:tc>
        <w:tc>
          <w:tcPr>
            <w:tcW w:w="5904" w:type="dxa"/>
            <w:shd w:val="clear" w:color="auto" w:fill="D9D9D9"/>
            <w:tcMar>
              <w:top w:w="70" w:type="dxa"/>
              <w:left w:w="70" w:type="dxa"/>
              <w:bottom w:w="70" w:type="dxa"/>
              <w:right w:w="70" w:type="dxa"/>
            </w:tcMar>
            <w:vAlign w:val="center"/>
          </w:tcPr>
          <w:p w14:paraId="02F3DD0A">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b/>
                <w:kern w:val="0"/>
                <w:sz w:val="24"/>
                <w:szCs w:val="24"/>
                <w:lang w:eastAsia="en-US"/>
                <w14:ligatures w14:val="none"/>
              </w:rPr>
              <w:t>Narrow synthesis</w:t>
            </w:r>
          </w:p>
        </w:tc>
      </w:tr>
      <w:tr w14:paraId="766394F6">
        <w:trPr>
          <w:jc w:val="center"/>
        </w:trPr>
        <w:tc>
          <w:tcPr>
            <w:tcW w:w="1440" w:type="dxa"/>
            <w:tcMar>
              <w:top w:w="70" w:type="dxa"/>
              <w:left w:w="70" w:type="dxa"/>
              <w:bottom w:w="70" w:type="dxa"/>
              <w:right w:w="70" w:type="dxa"/>
            </w:tcMar>
            <w:vAlign w:val="center"/>
          </w:tcPr>
          <w:p w14:paraId="49F149E6">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Main RQ</w:t>
            </w:r>
          </w:p>
        </w:tc>
        <w:tc>
          <w:tcPr>
            <w:tcW w:w="3888" w:type="dxa"/>
            <w:tcMar>
              <w:top w:w="70" w:type="dxa"/>
              <w:left w:w="70" w:type="dxa"/>
              <w:bottom w:w="70" w:type="dxa"/>
              <w:right w:w="70" w:type="dxa"/>
            </w:tcMar>
            <w:vAlign w:val="center"/>
          </w:tcPr>
          <w:p w14:paraId="48ACC8D5">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What does existing evidence reveal about influencer marketing and purchase intention in UK fashion?</w:t>
            </w:r>
          </w:p>
        </w:tc>
        <w:tc>
          <w:tcPr>
            <w:tcW w:w="5904" w:type="dxa"/>
            <w:tcMar>
              <w:top w:w="70" w:type="dxa"/>
              <w:left w:w="70" w:type="dxa"/>
              <w:bottom w:w="70" w:type="dxa"/>
              <w:right w:w="70" w:type="dxa"/>
            </w:tcMar>
            <w:vAlign w:val="center"/>
          </w:tcPr>
          <w:p w14:paraId="27A169C6">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Influencer marketing is generally associated with purchase intention through credibility, trust, parasocial and content mechanisms. Evidence is strongest up to intention and weakens sharply for verified purchase and ROI.</w:t>
            </w:r>
          </w:p>
        </w:tc>
      </w:tr>
      <w:tr w14:paraId="79F9960A">
        <w:trPr>
          <w:jc w:val="center"/>
        </w:trPr>
        <w:tc>
          <w:tcPr>
            <w:tcW w:w="1440" w:type="dxa"/>
            <w:tcMar>
              <w:top w:w="70" w:type="dxa"/>
              <w:left w:w="70" w:type="dxa"/>
              <w:bottom w:w="70" w:type="dxa"/>
              <w:right w:w="70" w:type="dxa"/>
            </w:tcMar>
            <w:vAlign w:val="center"/>
          </w:tcPr>
          <w:p w14:paraId="65569EDF">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RQ1</w:t>
            </w:r>
          </w:p>
        </w:tc>
        <w:tc>
          <w:tcPr>
            <w:tcW w:w="3888" w:type="dxa"/>
            <w:tcMar>
              <w:top w:w="70" w:type="dxa"/>
              <w:left w:w="70" w:type="dxa"/>
              <w:bottom w:w="70" w:type="dxa"/>
              <w:right w:w="70" w:type="dxa"/>
            </w:tcMar>
            <w:vAlign w:val="center"/>
          </w:tcPr>
          <w:p w14:paraId="4719B471">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How are credibility, authenticity, trust, parasocial interaction and product fit associated with purchase intention?</w:t>
            </w:r>
          </w:p>
        </w:tc>
        <w:tc>
          <w:tcPr>
            <w:tcW w:w="5904" w:type="dxa"/>
            <w:tcMar>
              <w:top w:w="70" w:type="dxa"/>
              <w:left w:w="70" w:type="dxa"/>
              <w:bottom w:w="70" w:type="dxa"/>
              <w:right w:w="70" w:type="dxa"/>
            </w:tcMar>
            <w:vAlign w:val="center"/>
          </w:tcPr>
          <w:p w14:paraId="402C2E50">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Trust and parasocial interaction show the most consistent positive links. Credibility and authenticity often operate indirectly or conditionally; product fit and context matter.</w:t>
            </w:r>
          </w:p>
        </w:tc>
      </w:tr>
      <w:tr w14:paraId="7DCACB2C">
        <w:trPr>
          <w:jc w:val="center"/>
        </w:trPr>
        <w:tc>
          <w:tcPr>
            <w:tcW w:w="1440" w:type="dxa"/>
            <w:tcMar>
              <w:top w:w="70" w:type="dxa"/>
              <w:left w:w="70" w:type="dxa"/>
              <w:bottom w:w="70" w:type="dxa"/>
              <w:right w:w="70" w:type="dxa"/>
            </w:tcMar>
            <w:vAlign w:val="center"/>
          </w:tcPr>
          <w:p w14:paraId="76FDFBCF">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RQ2</w:t>
            </w:r>
          </w:p>
        </w:tc>
        <w:tc>
          <w:tcPr>
            <w:tcW w:w="3888" w:type="dxa"/>
            <w:tcMar>
              <w:top w:w="70" w:type="dxa"/>
              <w:left w:w="70" w:type="dxa"/>
              <w:bottom w:w="70" w:type="dxa"/>
              <w:right w:w="70" w:type="dxa"/>
            </w:tcMar>
            <w:vAlign w:val="center"/>
          </w:tcPr>
          <w:p w14:paraId="08B22FE9">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How useful are engagement, awareness, conversion and purchase-intention measures?</w:t>
            </w:r>
          </w:p>
        </w:tc>
        <w:tc>
          <w:tcPr>
            <w:tcW w:w="5904" w:type="dxa"/>
            <w:tcMar>
              <w:top w:w="70" w:type="dxa"/>
              <w:left w:w="70" w:type="dxa"/>
              <w:bottom w:w="70" w:type="dxa"/>
              <w:right w:w="70" w:type="dxa"/>
            </w:tcMar>
            <w:vAlign w:val="center"/>
          </w:tcPr>
          <w:p w14:paraId="36E4ACED">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They represent different stages. Awareness and engagement show response; purchase intention is closer to behaviour; conversion and verified purchases provide stronger commercial evidence.</w:t>
            </w:r>
          </w:p>
        </w:tc>
      </w:tr>
      <w:tr w14:paraId="7B2079D5">
        <w:trPr>
          <w:jc w:val="center"/>
        </w:trPr>
        <w:tc>
          <w:tcPr>
            <w:tcW w:w="1440" w:type="dxa"/>
            <w:tcMar>
              <w:top w:w="70" w:type="dxa"/>
              <w:left w:w="70" w:type="dxa"/>
              <w:bottom w:w="70" w:type="dxa"/>
              <w:right w:w="70" w:type="dxa"/>
            </w:tcMar>
            <w:vAlign w:val="center"/>
          </w:tcPr>
          <w:p w14:paraId="67E15756">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RQ3</w:t>
            </w:r>
          </w:p>
        </w:tc>
        <w:tc>
          <w:tcPr>
            <w:tcW w:w="3888" w:type="dxa"/>
            <w:tcMar>
              <w:top w:w="70" w:type="dxa"/>
              <w:left w:w="70" w:type="dxa"/>
              <w:bottom w:w="70" w:type="dxa"/>
              <w:right w:w="70" w:type="dxa"/>
            </w:tcMar>
            <w:vAlign w:val="center"/>
          </w:tcPr>
          <w:p w14:paraId="4AE05DED">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How do academic and industry interpretations of performance differ?</w:t>
            </w:r>
          </w:p>
        </w:tc>
        <w:tc>
          <w:tcPr>
            <w:tcW w:w="5904" w:type="dxa"/>
            <w:tcMar>
              <w:top w:w="70" w:type="dxa"/>
              <w:left w:w="70" w:type="dxa"/>
              <w:bottom w:w="70" w:type="dxa"/>
              <w:right w:w="70" w:type="dxa"/>
            </w:tcMar>
            <w:vAlign w:val="center"/>
          </w:tcPr>
          <w:p w14:paraId="1C802537">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The 18 academic studies mainly explain psychological and attitudinal mechanisms. A definitive academic-industry comparison requires the separately identified industry dataset.</w:t>
            </w:r>
          </w:p>
        </w:tc>
      </w:tr>
      <w:tr w14:paraId="1F151221">
        <w:trPr>
          <w:jc w:val="center"/>
        </w:trPr>
        <w:tc>
          <w:tcPr>
            <w:tcW w:w="1440" w:type="dxa"/>
            <w:tcMar>
              <w:top w:w="70" w:type="dxa"/>
              <w:left w:w="70" w:type="dxa"/>
              <w:bottom w:w="70" w:type="dxa"/>
              <w:right w:w="70" w:type="dxa"/>
            </w:tcMar>
            <w:vAlign w:val="center"/>
          </w:tcPr>
          <w:p w14:paraId="27EECBD4">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RQ4</w:t>
            </w:r>
          </w:p>
        </w:tc>
        <w:tc>
          <w:tcPr>
            <w:tcW w:w="3888" w:type="dxa"/>
            <w:tcMar>
              <w:top w:w="70" w:type="dxa"/>
              <w:left w:w="70" w:type="dxa"/>
              <w:bottom w:w="70" w:type="dxa"/>
              <w:right w:w="70" w:type="dxa"/>
            </w:tcMar>
            <w:vAlign w:val="center"/>
          </w:tcPr>
          <w:p w14:paraId="0F0E49C7">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What limitations arise when secondary evidence is used to evaluate ROI and purchasing?</w:t>
            </w:r>
          </w:p>
        </w:tc>
        <w:tc>
          <w:tcPr>
            <w:tcW w:w="5904" w:type="dxa"/>
            <w:tcMar>
              <w:top w:w="70" w:type="dxa"/>
              <w:left w:w="70" w:type="dxa"/>
              <w:bottom w:w="70" w:type="dxa"/>
              <w:right w:w="70" w:type="dxa"/>
            </w:tcMar>
            <w:vAlign w:val="center"/>
          </w:tcPr>
          <w:p w14:paraId="32310EE4">
            <w:pPr>
              <w:spacing w:after="0" w:line="240" w:lineRule="auto"/>
              <w:rPr>
                <w:rFonts w:ascii="Times New Roman" w:hAnsi="Times New Roman" w:cs="Times New Roman"/>
                <w:kern w:val="0"/>
                <w:sz w:val="24"/>
                <w:szCs w:val="24"/>
                <w:lang w:eastAsia="en-US"/>
                <w14:ligatures w14:val="none"/>
              </w:rPr>
            </w:pPr>
            <w:r>
              <w:rPr>
                <w:rFonts w:ascii="Times New Roman" w:hAnsi="Times New Roman" w:cs="Times New Roman"/>
                <w:kern w:val="0"/>
                <w:sz w:val="24"/>
                <w:szCs w:val="24"/>
                <w:lang w:eastAsia="en-US"/>
                <w14:ligatures w14:val="none"/>
              </w:rPr>
              <w:t>Main limits are self-reported intention, inconsistent engagement measures, cross-context transferability and lack of campaign cost, attributable sales and incremental profit data.</w:t>
            </w:r>
          </w:p>
        </w:tc>
      </w:tr>
    </w:tbl>
    <w:p w14:paraId="7C6D90AB">
      <w:pPr>
        <w:keepNext/>
        <w:spacing w:before="160" w:after="80"/>
        <w:rPr>
          <w:rFonts w:ascii="Times New Roman" w:hAnsi="Times New Roman" w:cs="Times New Roman"/>
          <w:b/>
        </w:rPr>
      </w:pPr>
    </w:p>
    <w:p w14:paraId="2565D6D9">
      <w:pPr>
        <w:rPr>
          <w:rFonts w:ascii="Times New Roman" w:hAnsi="Times New Roman" w:cs="Times New Roman"/>
          <w:lang w:val="en-US"/>
        </w:rPr>
      </w:pPr>
    </w:p>
    <w:p w14:paraId="5CFC4AD8">
      <w:pPr>
        <w:rPr>
          <w:rFonts w:ascii="Times New Roman" w:hAnsi="Times New Roman" w:cs="Times New Roman"/>
          <w:lang w:val="en-US"/>
        </w:rPr>
      </w:pPr>
      <w:r>
        <w:rPr>
          <w:rFonts w:ascii="Times New Roman" w:hAnsi="Times New Roman" w:cs="Times New Roman"/>
          <w:lang w:val="en-US"/>
        </w:rPr>
        <w:br w:type="page"/>
      </w:r>
    </w:p>
    <w:p w14:paraId="1C17EB00">
      <w:pPr>
        <w:pStyle w:val="3"/>
        <w:rPr>
          <w:rFonts w:ascii="Times New Roman" w:hAnsi="Times New Roman" w:cs="Times New Roman"/>
          <w:b/>
          <w:bCs/>
          <w:color w:val="auto"/>
          <w:sz w:val="24"/>
          <w:szCs w:val="24"/>
          <w:lang w:val="en-US"/>
        </w:rPr>
      </w:pPr>
      <w:bookmarkStart w:id="272" w:name="_Toc29442"/>
      <w:bookmarkStart w:id="273" w:name="_Toc21362"/>
      <w:bookmarkStart w:id="274" w:name="_Toc31418"/>
      <w:bookmarkStart w:id="275" w:name="_Toc2852"/>
      <w:bookmarkStart w:id="276" w:name="_Toc14576"/>
      <w:bookmarkStart w:id="277" w:name="_Toc240993948"/>
      <w:r>
        <w:rPr>
          <w:rFonts w:ascii="Times New Roman" w:hAnsi="Times New Roman" w:cs="Times New Roman"/>
          <w:b/>
          <w:bCs/>
          <w:color w:val="auto"/>
          <w:sz w:val="24"/>
          <w:szCs w:val="24"/>
          <w:lang w:val="en-US"/>
        </w:rPr>
        <w:t>Appendix E: Ethics Form</w:t>
      </w:r>
      <w:bookmarkEnd w:id="272"/>
      <w:bookmarkEnd w:id="273"/>
      <w:bookmarkEnd w:id="274"/>
      <w:bookmarkEnd w:id="275"/>
      <w:bookmarkEnd w:id="276"/>
      <w:bookmarkEnd w:id="277"/>
    </w:p>
    <w:p w14:paraId="31B98F6E">
      <w:pPr>
        <w:tabs>
          <w:tab w:val="left" w:pos="5103"/>
        </w:tabs>
        <w:jc w:val="center"/>
        <w:rPr>
          <w:rFonts w:ascii="Times New Roman" w:hAnsi="Times New Roman" w:cs="Times New Roman"/>
          <w:b/>
          <w:bCs/>
        </w:rPr>
      </w:pPr>
      <w:r>
        <w:rPr>
          <w:rFonts w:ascii="Times New Roman" w:hAnsi="Times New Roman" w:cs="Times New Roman"/>
          <w:b/>
          <w:bCs/>
        </w:rPr>
        <w:t>APPLICATION FOR ETHICAL APPROVAL – INTRODUCTORY NOTES</w:t>
      </w:r>
    </w:p>
    <w:p w14:paraId="36C0444E">
      <w:pPr>
        <w:tabs>
          <w:tab w:val="left" w:pos="5103"/>
        </w:tabs>
        <w:ind w:right="282"/>
        <w:jc w:val="center"/>
        <w:rPr>
          <w:rFonts w:ascii="Times New Roman" w:hAnsi="Times New Roman" w:cs="Times New Roman"/>
          <w:b/>
          <w:bCs/>
        </w:rPr>
      </w:pPr>
    </w:p>
    <w:p w14:paraId="090939E8">
      <w:pPr>
        <w:tabs>
          <w:tab w:val="left" w:pos="5103"/>
        </w:tabs>
        <w:ind w:right="282"/>
        <w:jc w:val="both"/>
        <w:rPr>
          <w:rFonts w:ascii="Times New Roman" w:hAnsi="Times New Roman" w:cs="Times New Roman"/>
          <w:b/>
          <w:bCs/>
        </w:rPr>
      </w:pPr>
      <w:r>
        <w:rPr>
          <w:rFonts w:ascii="Times New Roman" w:hAnsi="Times New Roman" w:cs="Times New Roman"/>
          <w:b/>
          <w:bCs/>
        </w:rPr>
        <w:t>In order for research to result in benefit and minimise risk of harm, it must be conducted ethically. A researcher may not be covered by the University’s insurance if ethical approval has not been obtained prior to commencement.</w:t>
      </w:r>
    </w:p>
    <w:p w14:paraId="41FF3D64">
      <w:pPr>
        <w:tabs>
          <w:tab w:val="left" w:pos="5103"/>
        </w:tabs>
        <w:ind w:right="282"/>
        <w:jc w:val="center"/>
        <w:rPr>
          <w:rFonts w:ascii="Times New Roman" w:hAnsi="Times New Roman" w:cs="Times New Roman"/>
          <w:b/>
          <w:bCs/>
        </w:rPr>
      </w:pPr>
    </w:p>
    <w:p w14:paraId="77E3036F">
      <w:pPr>
        <w:tabs>
          <w:tab w:val="left" w:pos="5103"/>
        </w:tabs>
        <w:ind w:right="282"/>
        <w:jc w:val="both"/>
        <w:rPr>
          <w:rFonts w:ascii="Times New Roman" w:hAnsi="Times New Roman" w:cs="Times New Roman"/>
        </w:rPr>
      </w:pPr>
      <w:r>
        <w:rPr>
          <w:rFonts w:ascii="Times New Roman" w:hAnsi="Times New Roman" w:cs="Times New Roman"/>
        </w:rPr>
        <w:t xml:space="preserve">The University follows the OECD Frascati manual definition of </w:t>
      </w:r>
      <w:r>
        <w:rPr>
          <w:rFonts w:ascii="Times New Roman" w:hAnsi="Times New Roman" w:cs="Times New Roman"/>
          <w:b/>
        </w:rPr>
        <w:t>research activity</w:t>
      </w:r>
      <w:r>
        <w:rPr>
          <w:rFonts w:ascii="Times New Roman" w:hAnsi="Times New Roman" w:cs="Times New Roman"/>
        </w:rPr>
        <w:t xml:space="preserve">: </w:t>
      </w:r>
    </w:p>
    <w:p w14:paraId="5B07BEEC">
      <w:pPr>
        <w:pStyle w:val="40"/>
        <w:ind w:left="720" w:right="827"/>
        <w:jc w:val="left"/>
        <w:rPr>
          <w:rFonts w:ascii="Times New Roman" w:hAnsi="Times New Roman" w:cs="Times New Roman"/>
        </w:rPr>
      </w:pPr>
      <w:r>
        <w:rPr>
          <w:rFonts w:ascii="Times New Roman" w:hAnsi="Times New Roman" w:cs="Times New Roman"/>
        </w:rPr>
        <w:t xml:space="preserve">“[C]reative work undertaken on a systematic basis in order to increase the stock of knowledge, including knowledge of man, culture and society, and the use of this stock of knowledge to devise new applications”. </w:t>
      </w:r>
    </w:p>
    <w:p w14:paraId="5334387A">
      <w:pPr>
        <w:tabs>
          <w:tab w:val="left" w:pos="5103"/>
        </w:tabs>
        <w:ind w:right="282"/>
        <w:jc w:val="both"/>
        <w:rPr>
          <w:rFonts w:ascii="Times New Roman" w:hAnsi="Times New Roman" w:cs="Times New Roman"/>
        </w:rPr>
      </w:pPr>
      <w:r>
        <w:rPr>
          <w:rFonts w:ascii="Times New Roman" w:hAnsi="Times New Roman" w:cs="Times New Roman"/>
        </w:rPr>
        <w:t>As such this covers activities undertaken by:</w:t>
      </w:r>
    </w:p>
    <w:p w14:paraId="15678ADF">
      <w:pPr>
        <w:pStyle w:val="42"/>
        <w:numPr>
          <w:ilvl w:val="0"/>
          <w:numId w:val="4"/>
        </w:numPr>
        <w:tabs>
          <w:tab w:val="left" w:pos="5103"/>
        </w:tabs>
        <w:spacing w:after="0" w:line="240" w:lineRule="auto"/>
        <w:ind w:right="282"/>
        <w:jc w:val="both"/>
        <w:rPr>
          <w:rFonts w:ascii="Times New Roman" w:hAnsi="Times New Roman" w:cs="Times New Roman"/>
        </w:rPr>
      </w:pPr>
      <w:r>
        <w:rPr>
          <w:rFonts w:ascii="Times New Roman" w:hAnsi="Times New Roman" w:cs="Times New Roman"/>
        </w:rPr>
        <w:t>Members of staff (academic staff or support staff);</w:t>
      </w:r>
    </w:p>
    <w:p w14:paraId="40474BBA">
      <w:pPr>
        <w:pStyle w:val="42"/>
        <w:numPr>
          <w:ilvl w:val="0"/>
          <w:numId w:val="4"/>
        </w:numPr>
        <w:tabs>
          <w:tab w:val="left" w:pos="5103"/>
        </w:tabs>
        <w:spacing w:after="0" w:line="240" w:lineRule="auto"/>
        <w:ind w:right="282"/>
        <w:jc w:val="both"/>
        <w:rPr>
          <w:rFonts w:ascii="Times New Roman" w:hAnsi="Times New Roman" w:cs="Times New Roman"/>
        </w:rPr>
      </w:pPr>
      <w:r>
        <w:rPr>
          <w:rFonts w:ascii="Times New Roman" w:hAnsi="Times New Roman" w:cs="Times New Roman"/>
        </w:rPr>
        <w:t>Individuals holding honorary title from the University;</w:t>
      </w:r>
    </w:p>
    <w:p w14:paraId="0A30F9B0">
      <w:pPr>
        <w:pStyle w:val="42"/>
        <w:numPr>
          <w:ilvl w:val="0"/>
          <w:numId w:val="4"/>
        </w:numPr>
        <w:tabs>
          <w:tab w:val="left" w:pos="5103"/>
        </w:tabs>
        <w:spacing w:after="0" w:line="240" w:lineRule="auto"/>
        <w:ind w:right="282"/>
        <w:jc w:val="both"/>
        <w:rPr>
          <w:rFonts w:ascii="Times New Roman" w:hAnsi="Times New Roman" w:cs="Times New Roman"/>
        </w:rPr>
      </w:pPr>
      <w:r>
        <w:rPr>
          <w:rFonts w:ascii="Times New Roman" w:hAnsi="Times New Roman" w:cs="Times New Roman"/>
        </w:rPr>
        <w:t>Postgraduate research students;</w:t>
      </w:r>
    </w:p>
    <w:p w14:paraId="13E7839F">
      <w:pPr>
        <w:tabs>
          <w:tab w:val="left" w:pos="5103"/>
        </w:tabs>
        <w:ind w:left="64" w:right="282"/>
        <w:jc w:val="both"/>
        <w:rPr>
          <w:rFonts w:ascii="Times New Roman" w:hAnsi="Times New Roman" w:cs="Times New Roman"/>
        </w:rPr>
      </w:pPr>
      <w:r>
        <w:rPr>
          <w:rFonts w:ascii="Times New Roman" w:hAnsi="Times New Roman" w:cs="Times New Roman"/>
        </w:rPr>
        <w:t>In all of these cases ethical review is required regardless of discipline.</w:t>
      </w:r>
    </w:p>
    <w:p w14:paraId="33B12475">
      <w:pPr>
        <w:tabs>
          <w:tab w:val="left" w:pos="5103"/>
        </w:tabs>
        <w:ind w:right="282"/>
        <w:jc w:val="both"/>
        <w:rPr>
          <w:rFonts w:ascii="Times New Roman" w:hAnsi="Times New Roman" w:cs="Times New Roman"/>
        </w:rPr>
      </w:pPr>
    </w:p>
    <w:p w14:paraId="2DD07119">
      <w:pPr>
        <w:tabs>
          <w:tab w:val="left" w:pos="5103"/>
        </w:tabs>
        <w:ind w:right="282"/>
        <w:jc w:val="both"/>
        <w:rPr>
          <w:rFonts w:ascii="Times New Roman" w:hAnsi="Times New Roman" w:cs="Times New Roman"/>
        </w:rPr>
      </w:pPr>
      <w:r>
        <w:rPr>
          <w:rFonts w:ascii="Times New Roman" w:hAnsi="Times New Roman" w:cs="Times New Roman"/>
        </w:rPr>
        <w:t xml:space="preserve">The individual undertaking the research activity is known as the </w:t>
      </w:r>
      <w:r>
        <w:rPr>
          <w:rFonts w:ascii="Times New Roman" w:hAnsi="Times New Roman" w:cs="Times New Roman"/>
          <w:b/>
          <w:bCs/>
        </w:rPr>
        <w:t>lead researcher</w:t>
      </w:r>
      <w:r>
        <w:rPr>
          <w:rFonts w:ascii="Times New Roman" w:hAnsi="Times New Roman" w:cs="Times New Roman"/>
        </w:rPr>
        <w:t>.</w:t>
      </w:r>
    </w:p>
    <w:p w14:paraId="308FA8B2">
      <w:pPr>
        <w:tabs>
          <w:tab w:val="left" w:pos="5103"/>
        </w:tabs>
        <w:ind w:right="282"/>
        <w:jc w:val="both"/>
        <w:rPr>
          <w:rFonts w:ascii="Times New Roman" w:hAnsi="Times New Roman" w:cs="Times New Roman"/>
        </w:rPr>
      </w:pPr>
    </w:p>
    <w:p w14:paraId="12477BA0">
      <w:pPr>
        <w:tabs>
          <w:tab w:val="left" w:pos="5103"/>
        </w:tabs>
        <w:jc w:val="both"/>
        <w:rPr>
          <w:rFonts w:ascii="Times New Roman" w:hAnsi="Times New Roman" w:cs="Times New Roman"/>
        </w:rPr>
      </w:pPr>
      <w:r>
        <w:rPr>
          <w:rFonts w:ascii="Times New Roman" w:hAnsi="Times New Roman" w:cs="Times New Roman"/>
        </w:rPr>
        <w:t xml:space="preserve">Ethical approval is not required for routine audits, performance reviews, quality assurance studies, testing within normal educational requirements, and literary or artistic criticism. </w:t>
      </w:r>
    </w:p>
    <w:p w14:paraId="5B5E5D20">
      <w:pPr>
        <w:tabs>
          <w:tab w:val="left" w:pos="5103"/>
        </w:tabs>
        <w:ind w:right="282"/>
        <w:jc w:val="both"/>
        <w:rPr>
          <w:rFonts w:ascii="Times New Roman" w:hAnsi="Times New Roman" w:cs="Times New Roman"/>
          <w:color w:val="000000" w:themeColor="text1"/>
          <w14:textFill>
            <w14:solidFill>
              <w14:schemeClr w14:val="tx1"/>
            </w14:solidFill>
          </w14:textFill>
        </w:rPr>
      </w:pPr>
    </w:p>
    <w:p w14:paraId="4E2770B6">
      <w:pPr>
        <w:tabs>
          <w:tab w:val="left" w:pos="5103"/>
        </w:tabs>
        <w:ind w:right="282"/>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5A1BD905">
      <w:pPr>
        <w:tabs>
          <w:tab w:val="left" w:pos="5103"/>
        </w:tabs>
        <w:ind w:right="282"/>
        <w:jc w:val="both"/>
        <w:rPr>
          <w:rFonts w:ascii="Times New Roman" w:hAnsi="Times New Roman" w:cs="Times New Roman"/>
          <w:color w:val="000000" w:themeColor="text1"/>
          <w14:textFill>
            <w14:solidFill>
              <w14:schemeClr w14:val="tx1"/>
            </w14:solidFill>
          </w14:textFill>
        </w:rPr>
      </w:pPr>
    </w:p>
    <w:tbl>
      <w:tblPr>
        <w:tblStyle w:val="24"/>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129221D0">
        <w:tc>
          <w:tcPr>
            <w:tcW w:w="562" w:type="dxa"/>
            <w:shd w:val="clear" w:color="auto" w:fill="F1F1F1" w:themeFill="background1" w:themeFillShade="F2"/>
            <w:vAlign w:val="center"/>
          </w:tcPr>
          <w:p w14:paraId="79618C06">
            <w:pPr>
              <w:autoSpaceDE w:val="0"/>
              <w:autoSpaceDN w:val="0"/>
              <w:adjustRightInd w:val="0"/>
              <w:spacing w:after="0" w:line="240" w:lineRule="auto"/>
              <w:rPr>
                <w:rFonts w:ascii="Times New Roman" w:hAnsi="Times New Roman" w:cs="Times New Roman"/>
                <w:kern w:val="0"/>
                <w:sz w:val="24"/>
                <w:szCs w:val="24"/>
                <w:lang w:eastAsia="en-GB"/>
                <w14:ligatures w14:val="none"/>
              </w:rPr>
            </w:pPr>
            <w:r>
              <w:rPr>
                <w:rFonts w:ascii="Times New Roman" w:hAnsi="Times New Roman" w:cs="Times New Roman"/>
                <w:kern w:val="0"/>
                <w:sz w:val="24"/>
                <w:szCs w:val="24"/>
                <w:lang w:eastAsia="en-GB"/>
                <w14:ligatures w14:val="none"/>
              </w:rPr>
              <w:t>1</w:t>
            </w:r>
          </w:p>
        </w:tc>
        <w:tc>
          <w:tcPr>
            <w:tcW w:w="4253" w:type="dxa"/>
            <w:shd w:val="clear" w:color="auto" w:fill="F1F1F1" w:themeFill="background1" w:themeFillShade="F2"/>
            <w:vAlign w:val="center"/>
          </w:tcPr>
          <w:p w14:paraId="2E45C202">
            <w:pPr>
              <w:autoSpaceDE w:val="0"/>
              <w:autoSpaceDN w:val="0"/>
              <w:adjustRightInd w:val="0"/>
              <w:spacing w:after="0" w:line="240" w:lineRule="auto"/>
              <w:rPr>
                <w:rFonts w:ascii="Times New Roman" w:hAnsi="Times New Roman" w:cs="Times New Roman"/>
                <w:kern w:val="0"/>
                <w:sz w:val="24"/>
                <w:szCs w:val="24"/>
                <w:lang w:eastAsia="en-GB"/>
                <w14:ligatures w14:val="none"/>
              </w:rPr>
            </w:pPr>
            <w:r>
              <w:rPr>
                <w:rFonts w:ascii="Times New Roman" w:hAnsi="Times New Roman" w:cs="Times New Roman"/>
                <w:kern w:val="0"/>
                <w:sz w:val="24"/>
                <w:szCs w:val="24"/>
                <w:lang w:eastAsia="en-GB"/>
                <w14:ligatures w14:val="none"/>
              </w:rPr>
              <w:t>Does your research involve &lt;&lt;something specific&gt;&gt;?</w:t>
            </w:r>
          </w:p>
        </w:tc>
        <w:tc>
          <w:tcPr>
            <w:tcW w:w="992" w:type="dxa"/>
            <w:shd w:val="clear" w:color="auto" w:fill="F1F1F1" w:themeFill="background1" w:themeFillShade="F2"/>
            <w:vAlign w:val="center"/>
          </w:tcPr>
          <w:p w14:paraId="45309C12">
            <w:pPr>
              <w:autoSpaceDE w:val="0"/>
              <w:autoSpaceDN w:val="0"/>
              <w:adjustRightInd w:val="0"/>
              <w:spacing w:after="0" w:line="240" w:lineRule="auto"/>
              <w:jc w:val="center"/>
              <w:rPr>
                <w:rFonts w:ascii="Times New Roman" w:hAnsi="Times New Roman" w:cs="Times New Roman"/>
                <w:b/>
                <w:kern w:val="0"/>
                <w:sz w:val="24"/>
                <w:szCs w:val="24"/>
                <w:lang w:eastAsia="en-GB"/>
                <w14:ligatures w14:val="none"/>
              </w:rPr>
            </w:pPr>
            <w:r>
              <w:rPr>
                <w:rFonts w:ascii="Times New Roman" w:hAnsi="Times New Roman" w:cs="Times New Roman"/>
                <w:b/>
                <w:kern w:val="0"/>
                <w:sz w:val="24"/>
                <w:szCs w:val="24"/>
                <w:lang w:eastAsia="en-GB"/>
                <w14:ligatures w14:val="none"/>
              </w:rPr>
              <w:t>YES</w:t>
            </w:r>
          </w:p>
        </w:tc>
        <w:tc>
          <w:tcPr>
            <w:tcW w:w="1985" w:type="dxa"/>
            <w:shd w:val="clear" w:color="auto" w:fill="E2EFD9" w:themeFill="accent6" w:themeFillTint="33"/>
            <w:vAlign w:val="center"/>
          </w:tcPr>
          <w:p w14:paraId="74E0341B">
            <w:pPr>
              <w:autoSpaceDE w:val="0"/>
              <w:autoSpaceDN w:val="0"/>
              <w:adjustRightInd w:val="0"/>
              <w:spacing w:after="0" w:line="240" w:lineRule="auto"/>
              <w:jc w:val="center"/>
              <w:rPr>
                <w:rFonts w:ascii="Times New Roman" w:hAnsi="Times New Roman" w:cs="Times New Roman"/>
                <w:b/>
                <w:kern w:val="0"/>
                <w:sz w:val="24"/>
                <w:szCs w:val="24"/>
                <w:lang w:eastAsia="en-GB"/>
                <w14:ligatures w14:val="none"/>
              </w:rPr>
            </w:pPr>
            <w:r>
              <w:rPr>
                <w:rFonts w:ascii="Times New Roman" w:hAnsi="Times New Roman" w:eastAsia="MS Gothic" w:cs="Times New Roman"/>
                <w:b/>
                <w:kern w:val="0"/>
                <w:sz w:val="24"/>
                <w:szCs w:val="24"/>
                <w:lang w:eastAsia="en-GB"/>
                <w14:ligatures w14:val="none"/>
              </w:rPr>
              <w:t>Click to continue to appendix &lt;&lt;N&gt;&gt;</w:t>
            </w:r>
          </w:p>
        </w:tc>
        <w:tc>
          <w:tcPr>
            <w:tcW w:w="850" w:type="dxa"/>
            <w:shd w:val="clear" w:color="auto" w:fill="F1F1F1" w:themeFill="background1" w:themeFillShade="F2"/>
            <w:vAlign w:val="center"/>
          </w:tcPr>
          <w:p w14:paraId="583BDA48">
            <w:pPr>
              <w:autoSpaceDE w:val="0"/>
              <w:autoSpaceDN w:val="0"/>
              <w:adjustRightInd w:val="0"/>
              <w:spacing w:after="0" w:line="240" w:lineRule="auto"/>
              <w:jc w:val="center"/>
              <w:rPr>
                <w:rFonts w:ascii="Times New Roman" w:hAnsi="Times New Roman" w:cs="Times New Roman"/>
                <w:b/>
                <w:kern w:val="0"/>
                <w:sz w:val="24"/>
                <w:szCs w:val="24"/>
                <w:lang w:eastAsia="en-GB"/>
                <w14:ligatures w14:val="none"/>
              </w:rPr>
            </w:pPr>
            <w:r>
              <w:rPr>
                <w:rFonts w:ascii="Times New Roman" w:hAnsi="Times New Roman" w:cs="Times New Roman"/>
                <w:b/>
                <w:kern w:val="0"/>
                <w:sz w:val="24"/>
                <w:szCs w:val="24"/>
                <w:lang w:eastAsia="en-GB"/>
                <w14:ligatures w14:val="none"/>
              </w:rPr>
              <w:t>NO</w:t>
            </w:r>
          </w:p>
        </w:tc>
        <w:tc>
          <w:tcPr>
            <w:tcW w:w="1838" w:type="dxa"/>
            <w:shd w:val="clear" w:color="auto" w:fill="E2EFD9" w:themeFill="accent6" w:themeFillTint="33"/>
            <w:vAlign w:val="center"/>
          </w:tcPr>
          <w:p w14:paraId="0B31DA58">
            <w:pPr>
              <w:autoSpaceDE w:val="0"/>
              <w:autoSpaceDN w:val="0"/>
              <w:adjustRightInd w:val="0"/>
              <w:spacing w:after="0" w:line="240" w:lineRule="auto"/>
              <w:jc w:val="center"/>
              <w:rPr>
                <w:rFonts w:ascii="Times New Roman" w:hAnsi="Times New Roman" w:cs="Times New Roman"/>
                <w:b/>
                <w:kern w:val="0"/>
                <w:sz w:val="24"/>
                <w:szCs w:val="24"/>
                <w:lang w:eastAsia="en-GB"/>
                <w14:ligatures w14:val="none"/>
              </w:rPr>
            </w:pPr>
            <w:r>
              <w:rPr>
                <w:rFonts w:ascii="Times New Roman" w:hAnsi="Times New Roman" w:cs="Times New Roman"/>
                <w:b/>
                <w:kern w:val="0"/>
                <w:sz w:val="24"/>
                <w:szCs w:val="24"/>
                <w:lang w:eastAsia="en-GB"/>
                <w14:ligatures w14:val="none"/>
              </w:rPr>
              <w:t>Continue to the next section</w:t>
            </w:r>
          </w:p>
        </w:tc>
      </w:tr>
      <w:tr w14:paraId="50A771F0">
        <w:trPr>
          <w:trHeight w:val="729" w:hRule="atLeast"/>
        </w:trPr>
        <w:tc>
          <w:tcPr>
            <w:tcW w:w="562" w:type="dxa"/>
            <w:shd w:val="clear" w:color="auto" w:fill="F1F1F1" w:themeFill="background1" w:themeFillShade="F2"/>
            <w:vAlign w:val="center"/>
          </w:tcPr>
          <w:p w14:paraId="0B27D2C0">
            <w:pPr>
              <w:autoSpaceDE w:val="0"/>
              <w:autoSpaceDN w:val="0"/>
              <w:adjustRightInd w:val="0"/>
              <w:spacing w:after="0" w:line="240" w:lineRule="auto"/>
              <w:rPr>
                <w:rFonts w:ascii="Times New Roman" w:hAnsi="Times New Roman" w:cs="Times New Roman"/>
                <w:kern w:val="0"/>
                <w:sz w:val="24"/>
                <w:szCs w:val="24"/>
                <w:lang w:eastAsia="en-GB"/>
                <w14:ligatures w14:val="none"/>
              </w:rPr>
            </w:pPr>
            <w:r>
              <w:rPr>
                <w:rFonts w:ascii="Times New Roman" w:hAnsi="Times New Roman" w:cs="Times New Roman"/>
                <w:kern w:val="0"/>
                <w:sz w:val="24"/>
                <w:szCs w:val="24"/>
                <w:lang w:eastAsia="en-GB"/>
                <w14:ligatures w14:val="none"/>
              </w:rPr>
              <w:t>2</w:t>
            </w:r>
          </w:p>
        </w:tc>
        <w:tc>
          <w:tcPr>
            <w:tcW w:w="4253" w:type="dxa"/>
            <w:shd w:val="clear" w:color="auto" w:fill="F1F1F1" w:themeFill="background1" w:themeFillShade="F2"/>
            <w:vAlign w:val="center"/>
          </w:tcPr>
          <w:p w14:paraId="11CCCD58">
            <w:pPr>
              <w:autoSpaceDE w:val="0"/>
              <w:autoSpaceDN w:val="0"/>
              <w:adjustRightInd w:val="0"/>
              <w:spacing w:after="0" w:line="240" w:lineRule="auto"/>
              <w:rPr>
                <w:rFonts w:ascii="Times New Roman" w:hAnsi="Times New Roman" w:cs="Times New Roman"/>
                <w:kern w:val="0"/>
                <w:sz w:val="24"/>
                <w:szCs w:val="24"/>
                <w:lang w:eastAsia="en-GB"/>
                <w14:ligatures w14:val="none"/>
              </w:rPr>
            </w:pPr>
            <w:r>
              <w:rPr>
                <w:rFonts w:ascii="Times New Roman" w:hAnsi="Times New Roman" w:cs="Times New Roman"/>
                <w:kern w:val="0"/>
                <w:sz w:val="24"/>
                <w:szCs w:val="24"/>
                <w:lang w:eastAsia="en-GB"/>
                <w14:ligatures w14:val="none"/>
              </w:rPr>
              <w:t xml:space="preserve">Have you completed appendix &lt;&lt;N&gt;&gt;? </w:t>
            </w:r>
          </w:p>
        </w:tc>
        <w:tc>
          <w:tcPr>
            <w:tcW w:w="992" w:type="dxa"/>
            <w:shd w:val="clear" w:color="auto" w:fill="F1F1F1" w:themeFill="background1" w:themeFillShade="F2"/>
            <w:vAlign w:val="center"/>
          </w:tcPr>
          <w:p w14:paraId="78EE6848">
            <w:pPr>
              <w:autoSpaceDE w:val="0"/>
              <w:autoSpaceDN w:val="0"/>
              <w:adjustRightInd w:val="0"/>
              <w:spacing w:after="0" w:line="240" w:lineRule="auto"/>
              <w:jc w:val="center"/>
              <w:rPr>
                <w:rFonts w:ascii="Times New Roman" w:hAnsi="Times New Roman" w:cs="Times New Roman"/>
                <w:b/>
                <w:kern w:val="0"/>
                <w:sz w:val="24"/>
                <w:szCs w:val="24"/>
                <w:lang w:eastAsia="en-GB"/>
                <w14:ligatures w14:val="none"/>
              </w:rPr>
            </w:pPr>
            <w:r>
              <w:rPr>
                <w:rFonts w:ascii="Times New Roman" w:hAnsi="Times New Roman" w:cs="Times New Roman"/>
                <w:b/>
                <w:bCs/>
                <w:kern w:val="0"/>
                <w:sz w:val="24"/>
                <w:szCs w:val="24"/>
                <w:lang w:eastAsia="en-GB"/>
                <w14:ligatures w14:val="none"/>
              </w:rPr>
              <w:t>YES</w:t>
            </w:r>
          </w:p>
        </w:tc>
        <w:tc>
          <w:tcPr>
            <w:tcW w:w="1985" w:type="dxa"/>
            <w:shd w:val="clear" w:color="auto" w:fill="E2EFD9" w:themeFill="accent6" w:themeFillTint="33"/>
            <w:vAlign w:val="center"/>
          </w:tcPr>
          <w:p w14:paraId="6D237EA6">
            <w:pPr>
              <w:autoSpaceDE w:val="0"/>
              <w:autoSpaceDN w:val="0"/>
              <w:adjustRightInd w:val="0"/>
              <w:spacing w:after="0" w:line="240" w:lineRule="auto"/>
              <w:jc w:val="center"/>
              <w:rPr>
                <w:rFonts w:ascii="Times New Roman" w:hAnsi="Times New Roman" w:eastAsia="MS Gothic" w:cs="Times New Roman"/>
                <w:b/>
                <w:kern w:val="0"/>
                <w:sz w:val="24"/>
                <w:szCs w:val="24"/>
                <w:lang w:eastAsia="en-GB"/>
                <w14:ligatures w14:val="none"/>
              </w:rPr>
            </w:pPr>
            <w:r>
              <w:rPr>
                <w:rFonts w:ascii="Segoe UI Symbol" w:hAnsi="Segoe UI Symbol" w:eastAsia="MS Gothic" w:cs="Segoe UI Symbol"/>
                <w:kern w:val="0"/>
                <w:sz w:val="24"/>
                <w:szCs w:val="24"/>
                <w:lang w:eastAsia="en-GB"/>
                <w14:ligatures w14:val="none"/>
              </w:rPr>
              <w:t>☐</w:t>
            </w:r>
          </w:p>
        </w:tc>
        <w:tc>
          <w:tcPr>
            <w:tcW w:w="850" w:type="dxa"/>
            <w:shd w:val="clear" w:color="auto" w:fill="F1F1F1" w:themeFill="background1" w:themeFillShade="F2"/>
            <w:vAlign w:val="center"/>
          </w:tcPr>
          <w:p w14:paraId="05BEA71C">
            <w:pPr>
              <w:autoSpaceDE w:val="0"/>
              <w:autoSpaceDN w:val="0"/>
              <w:adjustRightInd w:val="0"/>
              <w:spacing w:after="0" w:line="240" w:lineRule="auto"/>
              <w:jc w:val="center"/>
              <w:rPr>
                <w:rFonts w:ascii="Times New Roman" w:hAnsi="Times New Roman" w:cs="Times New Roman"/>
                <w:b/>
                <w:bCs/>
                <w:kern w:val="0"/>
                <w:sz w:val="24"/>
                <w:szCs w:val="24"/>
                <w:lang w:eastAsia="en-GB"/>
                <w14:ligatures w14:val="none"/>
              </w:rPr>
            </w:pPr>
            <w:r>
              <w:rPr>
                <w:rFonts w:ascii="Times New Roman" w:hAnsi="Times New Roman" w:cs="Times New Roman"/>
                <w:b/>
                <w:bCs/>
                <w:kern w:val="0"/>
                <w:sz w:val="24"/>
                <w:szCs w:val="24"/>
                <w:lang w:eastAsia="en-GB"/>
                <w14:ligatures w14:val="none"/>
              </w:rPr>
              <w:t>NO</w:t>
            </w:r>
          </w:p>
        </w:tc>
        <w:tc>
          <w:tcPr>
            <w:tcW w:w="1838" w:type="dxa"/>
            <w:shd w:val="clear" w:color="auto" w:fill="E2EFD9" w:themeFill="accent6" w:themeFillTint="33"/>
            <w:vAlign w:val="center"/>
          </w:tcPr>
          <w:sdt>
            <w:sdtPr>
              <w:rPr>
                <w:rFonts w:ascii="Times New Roman" w:hAnsi="Times New Roman" w:eastAsia="MS Gothic" w:cs="Times New Roman"/>
                <w:kern w:val="0"/>
                <w:sz w:val="24"/>
                <w:szCs w:val="24"/>
                <w:lang w:eastAsia="en-GB"/>
                <w14:ligatures w14:val="none"/>
              </w:rPr>
              <w:id w:val="10888495"/>
              <w14:checkbox>
                <w14:checked w14:val="0"/>
                <w14:checkedState w14:val="2612" w14:font="MS Gothic"/>
                <w14:uncheckedState w14:val="2610" w14:font="MS Gothic"/>
              </w14:checkbox>
            </w:sdtPr>
            <w:sdtEndPr>
              <w:rPr>
                <w:rFonts w:ascii="Times New Roman" w:hAnsi="Times New Roman" w:eastAsia="MS Gothic" w:cs="Times New Roman"/>
                <w:kern w:val="0"/>
                <w:sz w:val="24"/>
                <w:szCs w:val="24"/>
                <w:lang w:eastAsia="en-GB"/>
                <w14:ligatures w14:val="none"/>
              </w:rPr>
            </w:sdtEndPr>
            <w:sdtContent>
              <w:p w14:paraId="7E1D99EF">
                <w:pPr>
                  <w:autoSpaceDE w:val="0"/>
                  <w:autoSpaceDN w:val="0"/>
                  <w:adjustRightInd w:val="0"/>
                  <w:spacing w:after="0" w:line="240" w:lineRule="auto"/>
                  <w:jc w:val="center"/>
                  <w:rPr>
                    <w:rFonts w:ascii="Times New Roman" w:hAnsi="Times New Roman" w:cs="Times New Roman"/>
                    <w:b/>
                    <w:kern w:val="0"/>
                    <w:sz w:val="24"/>
                    <w:szCs w:val="24"/>
                    <w:lang w:eastAsia="en-GB"/>
                    <w14:ligatures w14:val="none"/>
                  </w:rPr>
                </w:pPr>
                <w:r>
                  <w:rPr>
                    <w:rFonts w:ascii="Segoe UI Symbol" w:hAnsi="Segoe UI Symbol" w:eastAsia="MS Gothic" w:cs="Segoe UI Symbol"/>
                    <w:kern w:val="0"/>
                    <w:sz w:val="24"/>
                    <w:szCs w:val="24"/>
                    <w:lang w:eastAsia="en-GB"/>
                    <w14:ligatures w14:val="none"/>
                  </w:rPr>
                  <w:t>☐</w:t>
                </w:r>
              </w:p>
            </w:sdtContent>
          </w:sdt>
        </w:tc>
      </w:tr>
    </w:tbl>
    <w:p w14:paraId="42CAF7CD">
      <w:pPr>
        <w:tabs>
          <w:tab w:val="left" w:pos="5103"/>
        </w:tabs>
        <w:ind w:right="282"/>
        <w:jc w:val="both"/>
        <w:rPr>
          <w:rFonts w:ascii="Times New Roman" w:hAnsi="Times New Roman" w:cs="Times New Roman"/>
          <w:color w:val="000000" w:themeColor="text1"/>
          <w14:textFill>
            <w14:solidFill>
              <w14:schemeClr w14:val="tx1"/>
            </w14:solidFill>
          </w14:textFill>
        </w:rPr>
      </w:pPr>
    </w:p>
    <w:p w14:paraId="7F9157B9">
      <w:pPr>
        <w:rPr>
          <w:rFonts w:ascii="Times New Roman" w:hAnsi="Times New Roman" w:cs="Times New Roman"/>
          <w:bCs/>
          <w:iCs/>
        </w:rPr>
      </w:pPr>
      <w:r>
        <w:rPr>
          <w:rFonts w:ascii="Times New Roman" w:hAnsi="Times New Roman" w:cs="Times New Roman"/>
          <w:bCs/>
          <w:iCs/>
        </w:rPr>
        <w:t>Clicking in the appropriate box will take you to the appropriate location in the text. At the end of each appendix is a box. Clicking on this will return you to the question that originally took you to the appendix.</w:t>
      </w:r>
    </w:p>
    <w:p w14:paraId="05DF55C3">
      <w:pPr>
        <w:tabs>
          <w:tab w:val="left" w:pos="5103"/>
        </w:tabs>
        <w:ind w:right="282"/>
        <w:jc w:val="both"/>
        <w:rPr>
          <w:rFonts w:ascii="Times New Roman" w:hAnsi="Times New Roman" w:cs="Times New Roman"/>
          <w:color w:val="000000" w:themeColor="text1"/>
          <w14:textFill>
            <w14:solidFill>
              <w14:schemeClr w14:val="tx1"/>
            </w14:solidFill>
          </w14:textFill>
        </w:rPr>
      </w:pPr>
    </w:p>
    <w:tbl>
      <w:tblPr>
        <w:tblStyle w:val="24"/>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145D2A4E">
        <w:tc>
          <w:tcPr>
            <w:tcW w:w="562" w:type="dxa"/>
            <w:tcBorders>
              <w:top w:val="nil"/>
              <w:left w:val="nil"/>
              <w:bottom w:val="nil"/>
              <w:right w:val="nil"/>
            </w:tcBorders>
            <w:shd w:val="clear" w:color="auto" w:fill="FFFFFF" w:themeFill="background1"/>
          </w:tcPr>
          <w:p w14:paraId="63E9CF90">
            <w:pPr>
              <w:autoSpaceDE w:val="0"/>
              <w:autoSpaceDN w:val="0"/>
              <w:adjustRightInd w:val="0"/>
              <w:spacing w:after="0" w:line="240" w:lineRule="auto"/>
              <w:rPr>
                <w:rFonts w:ascii="Times New Roman" w:hAnsi="Times New Roman" w:cs="Times New Roman"/>
                <w:kern w:val="0"/>
                <w:sz w:val="24"/>
                <w:szCs w:val="24"/>
                <w:lang w:eastAsia="en-GB"/>
                <w14:ligatures w14:val="none"/>
              </w:rPr>
            </w:pPr>
          </w:p>
        </w:tc>
        <w:tc>
          <w:tcPr>
            <w:tcW w:w="4253" w:type="dxa"/>
            <w:tcBorders>
              <w:top w:val="nil"/>
              <w:left w:val="nil"/>
              <w:bottom w:val="nil"/>
              <w:right w:val="nil"/>
            </w:tcBorders>
            <w:shd w:val="clear" w:color="auto" w:fill="FFFFFF" w:themeFill="background1"/>
            <w:vAlign w:val="center"/>
          </w:tcPr>
          <w:p w14:paraId="1BCCAA38">
            <w:pPr>
              <w:autoSpaceDE w:val="0"/>
              <w:autoSpaceDN w:val="0"/>
              <w:adjustRightInd w:val="0"/>
              <w:spacing w:after="0" w:line="240" w:lineRule="auto"/>
              <w:rPr>
                <w:rFonts w:ascii="Times New Roman" w:hAnsi="Times New Roman" w:cs="Times New Roman"/>
                <w:kern w:val="0"/>
                <w:sz w:val="24"/>
                <w:szCs w:val="24"/>
                <w:lang w:eastAsia="en-GB"/>
                <w14:ligatures w14:val="none"/>
              </w:rPr>
            </w:pPr>
          </w:p>
        </w:tc>
        <w:tc>
          <w:tcPr>
            <w:tcW w:w="992" w:type="dxa"/>
            <w:tcBorders>
              <w:top w:val="nil"/>
              <w:left w:val="nil"/>
              <w:bottom w:val="nil"/>
              <w:right w:val="nil"/>
            </w:tcBorders>
            <w:shd w:val="clear" w:color="auto" w:fill="FFFFFF" w:themeFill="background1"/>
            <w:vAlign w:val="center"/>
          </w:tcPr>
          <w:p w14:paraId="15AAF732">
            <w:pPr>
              <w:autoSpaceDE w:val="0"/>
              <w:autoSpaceDN w:val="0"/>
              <w:adjustRightInd w:val="0"/>
              <w:spacing w:after="0" w:line="240" w:lineRule="auto"/>
              <w:jc w:val="center"/>
              <w:rPr>
                <w:rFonts w:ascii="Times New Roman" w:hAnsi="Times New Roman" w:cs="Times New Roman"/>
                <w:b/>
                <w:kern w:val="0"/>
                <w:sz w:val="24"/>
                <w:szCs w:val="24"/>
                <w:lang w:eastAsia="en-GB"/>
                <w14:ligatures w14:val="none"/>
              </w:rPr>
            </w:pPr>
          </w:p>
        </w:tc>
        <w:tc>
          <w:tcPr>
            <w:tcW w:w="1985" w:type="dxa"/>
            <w:tcBorders>
              <w:top w:val="nil"/>
              <w:left w:val="nil"/>
              <w:bottom w:val="nil"/>
              <w:right w:val="nil"/>
            </w:tcBorders>
            <w:shd w:val="clear" w:color="auto" w:fill="FFFFFF" w:themeFill="background1"/>
            <w:vAlign w:val="center"/>
          </w:tcPr>
          <w:p w14:paraId="5AD9EC44">
            <w:pPr>
              <w:autoSpaceDE w:val="0"/>
              <w:autoSpaceDN w:val="0"/>
              <w:adjustRightInd w:val="0"/>
              <w:spacing w:after="0" w:line="240" w:lineRule="auto"/>
              <w:jc w:val="center"/>
              <w:rPr>
                <w:rFonts w:ascii="Times New Roman" w:hAnsi="Times New Roman" w:cs="Times New Roman"/>
                <w:b/>
                <w:kern w:val="0"/>
                <w:sz w:val="24"/>
                <w:szCs w:val="24"/>
                <w:lang w:eastAsia="en-GB"/>
                <w14:ligatures w14:val="none"/>
              </w:rPr>
            </w:pPr>
          </w:p>
        </w:tc>
        <w:tc>
          <w:tcPr>
            <w:tcW w:w="850" w:type="dxa"/>
            <w:tcBorders>
              <w:top w:val="nil"/>
              <w:left w:val="nil"/>
              <w:bottom w:val="nil"/>
            </w:tcBorders>
            <w:shd w:val="clear" w:color="auto" w:fill="FFFFFF" w:themeFill="background1"/>
            <w:vAlign w:val="center"/>
          </w:tcPr>
          <w:p w14:paraId="7549C1E5">
            <w:pPr>
              <w:autoSpaceDE w:val="0"/>
              <w:autoSpaceDN w:val="0"/>
              <w:adjustRightInd w:val="0"/>
              <w:spacing w:after="0" w:line="240" w:lineRule="auto"/>
              <w:jc w:val="center"/>
              <w:rPr>
                <w:rFonts w:ascii="Times New Roman" w:hAnsi="Times New Roman" w:cs="Times New Roman"/>
                <w:b/>
                <w:kern w:val="0"/>
                <w:sz w:val="24"/>
                <w:szCs w:val="24"/>
                <w:lang w:eastAsia="en-GB"/>
                <w14:ligatures w14:val="none"/>
              </w:rPr>
            </w:pPr>
          </w:p>
          <w:p w14:paraId="29A05C30">
            <w:pPr>
              <w:autoSpaceDE w:val="0"/>
              <w:autoSpaceDN w:val="0"/>
              <w:adjustRightInd w:val="0"/>
              <w:spacing w:after="0" w:line="240" w:lineRule="auto"/>
              <w:jc w:val="center"/>
              <w:rPr>
                <w:rFonts w:ascii="Times New Roman" w:hAnsi="Times New Roman" w:cs="Times New Roman"/>
                <w:b/>
                <w:kern w:val="0"/>
                <w:sz w:val="24"/>
                <w:szCs w:val="24"/>
                <w:lang w:eastAsia="en-GB"/>
                <w14:ligatures w14:val="none"/>
              </w:rPr>
            </w:pPr>
          </w:p>
          <w:p w14:paraId="07FD69CB">
            <w:pPr>
              <w:autoSpaceDE w:val="0"/>
              <w:autoSpaceDN w:val="0"/>
              <w:adjustRightInd w:val="0"/>
              <w:spacing w:after="0" w:line="240" w:lineRule="auto"/>
              <w:jc w:val="center"/>
              <w:rPr>
                <w:rFonts w:ascii="Times New Roman" w:hAnsi="Times New Roman" w:cs="Times New Roman"/>
                <w:b/>
                <w:kern w:val="0"/>
                <w:sz w:val="24"/>
                <w:szCs w:val="24"/>
                <w:lang w:eastAsia="en-GB"/>
                <w14:ligatures w14:val="none"/>
              </w:rPr>
            </w:pPr>
          </w:p>
        </w:tc>
        <w:tc>
          <w:tcPr>
            <w:tcW w:w="1838" w:type="dxa"/>
            <w:shd w:val="clear" w:color="auto" w:fill="E2EFD9" w:themeFill="accent6" w:themeFillTint="33"/>
            <w:vAlign w:val="center"/>
          </w:tcPr>
          <w:p w14:paraId="1FD047BF">
            <w:pPr>
              <w:autoSpaceDE w:val="0"/>
              <w:autoSpaceDN w:val="0"/>
              <w:adjustRightInd w:val="0"/>
              <w:spacing w:after="0" w:line="240" w:lineRule="auto"/>
              <w:jc w:val="center"/>
              <w:rPr>
                <w:rFonts w:ascii="Times New Roman" w:hAnsi="Times New Roman" w:cs="Times New Roman"/>
                <w:b/>
                <w:kern w:val="0"/>
                <w:sz w:val="24"/>
                <w:szCs w:val="24"/>
                <w:lang w:eastAsia="en-GB"/>
                <w14:ligatures w14:val="none"/>
              </w:rPr>
            </w:pPr>
            <w:r>
              <w:rPr>
                <w:rFonts w:ascii="Times New Roman" w:hAnsi="Times New Roman" w:cs="Times New Roman"/>
                <w:b/>
                <w:kern w:val="0"/>
                <w:sz w:val="24"/>
                <w:szCs w:val="24"/>
                <w:lang w:eastAsia="en-GB"/>
                <w14:ligatures w14:val="none"/>
              </w:rPr>
              <w:t>Return to the main form</w:t>
            </w:r>
          </w:p>
        </w:tc>
      </w:tr>
    </w:tbl>
    <w:p w14:paraId="552CA37D">
      <w:pPr>
        <w:tabs>
          <w:tab w:val="left" w:pos="5103"/>
        </w:tabs>
        <w:ind w:right="282"/>
        <w:jc w:val="both"/>
        <w:rPr>
          <w:rFonts w:ascii="Times New Roman" w:hAnsi="Times New Roman" w:cs="Times New Roman"/>
          <w:color w:val="000000" w:themeColor="text1"/>
          <w14:textFill>
            <w14:solidFill>
              <w14:schemeClr w14:val="tx1"/>
            </w14:solidFill>
          </w14:textFill>
        </w:rPr>
      </w:pPr>
    </w:p>
    <w:p w14:paraId="2C88D23F">
      <w:pPr>
        <w:tabs>
          <w:tab w:val="left" w:pos="5103"/>
        </w:tabs>
        <w:ind w:right="282"/>
        <w:jc w:val="both"/>
        <w:rPr>
          <w:rFonts w:ascii="Times New Roman" w:hAnsi="Times New Roman" w:cs="Times New Roman"/>
        </w:rPr>
      </w:pPr>
      <w:r>
        <w:rPr>
          <w:rFonts w:ascii="Times New Roman" w:hAnsi="Times New Roman" w:cs="Times New Roman"/>
        </w:rPr>
        <w:t>NB These clickable links will only work if you are editing the document in the desktop version of Word, not the browser version. Please download and save the form before editing it.</w:t>
      </w:r>
    </w:p>
    <w:p w14:paraId="17F67A94">
      <w:pPr>
        <w:tabs>
          <w:tab w:val="left" w:pos="5103"/>
        </w:tabs>
        <w:ind w:right="282"/>
        <w:jc w:val="both"/>
        <w:rPr>
          <w:rFonts w:ascii="Times New Roman" w:hAnsi="Times New Roman" w:cs="Times New Roman"/>
        </w:rPr>
      </w:pPr>
    </w:p>
    <w:p w14:paraId="65C94260">
      <w:pPr>
        <w:tabs>
          <w:tab w:val="left" w:pos="5103"/>
        </w:tabs>
        <w:ind w:right="282"/>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rPr>
        <w:t xml:space="preserve">Guidance notes are provided as comments or as text </w:t>
      </w:r>
      <w:r>
        <w:rPr>
          <w:rFonts w:ascii="Times New Roman" w:hAnsi="Times New Roman" w:cs="Times New Roman"/>
          <w:color w:val="70AD47" w:themeColor="accent6"/>
          <w14:textFill>
            <w14:solidFill>
              <w14:schemeClr w14:val="accent6"/>
            </w14:solidFill>
          </w14:textFill>
        </w:rPr>
        <w:t>IN GREEN</w:t>
      </w:r>
      <w:r>
        <w:rPr>
          <w:rFonts w:ascii="Times New Roman" w:hAnsi="Times New Roman" w:cs="Times New Roman"/>
          <w:color w:val="000000" w:themeColor="text1"/>
          <w14:textFill>
            <w14:solidFill>
              <w14:schemeClr w14:val="tx1"/>
            </w14:solidFill>
          </w14:textFill>
        </w:rPr>
        <w:t xml:space="preserve"> throughout this form. Please ensure that the comments are removed and that the green text is replaced by your own text or removed as appropriate BEFORE submitting this form.</w:t>
      </w:r>
    </w:p>
    <w:p w14:paraId="75044912">
      <w:pPr>
        <w:tabs>
          <w:tab w:val="left" w:pos="5103"/>
        </w:tabs>
        <w:ind w:right="282"/>
        <w:jc w:val="both"/>
        <w:rPr>
          <w:rFonts w:ascii="Times New Roman" w:hAnsi="Times New Roman" w:cs="Times New Roman"/>
          <w:color w:val="000000" w:themeColor="text1"/>
          <w14:textFill>
            <w14:solidFill>
              <w14:schemeClr w14:val="tx1"/>
            </w14:solidFill>
          </w14:textFill>
        </w:rPr>
      </w:pPr>
    </w:p>
    <w:p w14:paraId="40741C78">
      <w:pPr>
        <w:tabs>
          <w:tab w:val="left" w:pos="5103"/>
        </w:tabs>
        <w:jc w:val="both"/>
        <w:rPr>
          <w:rFonts w:ascii="Times New Roman" w:hAnsi="Times New Roman" w:cs="Times New Roman"/>
        </w:rPr>
      </w:pPr>
      <w:r>
        <w:rPr>
          <w:rFonts w:ascii="Times New Roman" w:hAnsi="Times New Roman" w:cs="Times New Roman"/>
        </w:rPr>
        <w:t>Please ensure that you have read the UWTSD Research Ethics and Integrity Policy and the UWTSD Research Data Management Policy BEFORE submitting this form.</w:t>
      </w:r>
    </w:p>
    <w:p w14:paraId="4174F4D8">
      <w:pPr>
        <w:tabs>
          <w:tab w:val="left" w:pos="5103"/>
        </w:tabs>
        <w:ind w:right="282"/>
        <w:jc w:val="both"/>
        <w:rPr>
          <w:rFonts w:ascii="Times New Roman" w:hAnsi="Times New Roman" w:cs="Times New Roman"/>
          <w:color w:val="000000" w:themeColor="text1"/>
          <w14:textFill>
            <w14:solidFill>
              <w14:schemeClr w14:val="tx1"/>
            </w14:solidFill>
          </w14:textFill>
        </w:rPr>
      </w:pPr>
    </w:p>
    <w:p w14:paraId="3EE1E6B9">
      <w:pPr>
        <w:tabs>
          <w:tab w:val="left" w:pos="5103"/>
        </w:tabs>
        <w:ind w:right="282"/>
        <w:jc w:val="both"/>
        <w:rPr>
          <w:rFonts w:ascii="Times New Roman" w:hAnsi="Times New Roman" w:cs="Times New Roman"/>
          <w:color w:val="000000" w:themeColor="text1"/>
          <w14:textFill>
            <w14:solidFill>
              <w14:schemeClr w14:val="tx1"/>
            </w14:solidFill>
          </w14:textFill>
        </w:rPr>
      </w:pPr>
    </w:p>
    <w:p w14:paraId="5BDD7053">
      <w:pPr>
        <w:rPr>
          <w:rFonts w:ascii="Times New Roman" w:hAnsi="Times New Roman" w:cs="Times New Roman"/>
        </w:rPr>
      </w:pPr>
    </w:p>
    <w:sectPr>
      <w:footerReference r:id="rId8" w:type="first"/>
      <w:footerReference r:id="rId7" w:type="default"/>
      <w:pgSz w:w="12240" w:h="15840"/>
      <w:pgMar w:top="1440" w:right="1440" w:bottom="1440" w:left="1440" w:header="720" w:footer="720" w:gutter="0"/>
      <w:pgNumType w:fmt="decimal" w:start="1"/>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CC"/>
    <w:family w:val="roman"/>
    <w:pitch w:val="default"/>
    <w:sig w:usb0="E0000AFF" w:usb1="00007843" w:usb2="00000001" w:usb3="00000000" w:csb0="400001BF" w:csb1="DFF7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汉仪中等线KW"/>
    <w:panose1 w:val="02010600030101010101"/>
    <w:charset w:val="86"/>
    <w:family w:val="auto"/>
    <w:pitch w:val="default"/>
    <w:sig w:usb0="00000000" w:usb1="00000000" w:usb2="00000016" w:usb3="00000000" w:csb0="0004000F" w:csb1="00000000"/>
  </w:font>
  <w:font w:name="等线">
    <w:altName w:val="汉仪中等线KW"/>
    <w:panose1 w:val="00000000000000000000"/>
    <w:charset w:val="86"/>
    <w:family w:val="auto"/>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9" w:usb3="00000000" w:csb0="200001FF" w:csb1="00000000"/>
  </w:font>
  <w:font w:name="等线 Light">
    <w:altName w:val="汉仪中等线KW"/>
    <w:panose1 w:val="02010600030101010101"/>
    <w:charset w:val="86"/>
    <w:family w:val="auto"/>
    <w:pitch w:val="default"/>
    <w:sig w:usb0="00000000" w:usb1="00000000" w:usb2="00000016" w:usb3="00000000" w:csb0="0004000F" w:csb1="00000000"/>
  </w:font>
  <w:font w:name="MS Gothic">
    <w:altName w:val="Hiragino Sans"/>
    <w:panose1 w:val="020B0609070205080204"/>
    <w:charset w:val="80"/>
    <w:family w:val="modern"/>
    <w:pitch w:val="default"/>
    <w:sig w:usb0="00000000" w:usb1="00000000" w:usb2="08000012" w:usb3="00000000" w:csb0="4002009F" w:csb1="DFD70000"/>
  </w:font>
  <w:font w:name="Segoe UI Symbol">
    <w:altName w:val="苹方-简"/>
    <w:panose1 w:val="020B0502040204020203"/>
    <w:charset w:val="00"/>
    <w:family w:val="swiss"/>
    <w:pitch w:val="default"/>
    <w:sig w:usb0="00000000" w:usb1="00000000" w:usb2="00040000" w:usb3="04000000" w:csb0="00000001" w:csb1="4000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冬青黑体简体中文">
    <w:panose1 w:val="020B0300000000000000"/>
    <w:charset w:val="86"/>
    <w:family w:val="auto"/>
    <w:pitch w:val="default"/>
    <w:sig w:usb0="A00002BF" w:usb1="1ACF7CFA" w:usb2="00000016" w:usb3="00000000" w:csb0="00060007" w:csb1="00000000"/>
  </w:font>
  <w:font w:name="Helvetica Neue">
    <w:panose1 w:val="02000503000000020004"/>
    <w:charset w:val="00"/>
    <w:family w:val="auto"/>
    <w:pitch w:val="default"/>
    <w:sig w:usb0="E50002FF" w:usb1="500079DB" w:usb2="00000010" w:usb3="00000000" w:csb0="00000000" w:csb1="00000000"/>
  </w:font>
  <w:font w:name="等线 Light">
    <w:altName w:val="汉仪中等线KW"/>
    <w:panose1 w:val="00000000000000000000"/>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10000000" w:usb2="00000000" w:usb3="00000000" w:csb0="00000001" w:csb1="00000000"/>
  </w:font>
  <w:font w:name="苹方-简">
    <w:panose1 w:val="020B0400000000000000"/>
    <w:charset w:val="86"/>
    <w:family w:val="auto"/>
    <w:pitch w:val="default"/>
    <w:sig w:usb0="A00002FF" w:usb1="7ACFFDFB" w:usb2="00000017" w:usb3="00000000" w:csb0="00040001" w:csb1="00000000"/>
  </w:font>
  <w:font w:name="Arial Unicode MS">
    <w:panose1 w:val="020B0604020202020204"/>
    <w:charset w:val="86"/>
    <w:family w:val="auto"/>
    <w:pitch w:val="default"/>
    <w:sig w:usb0="FFFFFFFF" w:usb1="E9FFFFFF" w:usb2="0000003F" w:usb3="00000000" w:csb0="603F01FF" w:csb1="FFFF0000"/>
  </w:font>
  <w:font w:name="Hiragino Sans">
    <w:panose1 w:val="020B0300000000000000"/>
    <w:charset w:val="80"/>
    <w:family w:val="auto"/>
    <w:pitch w:val="default"/>
    <w:sig w:usb0="E00002FF" w:usb1="7AE7FFFF" w:usb2="00000012" w:usb3="00000000" w:csb0="0002000D" w:csb1="00000000"/>
  </w:font>
  <w:font w:name="汉仪书宋二KW">
    <w:panose1 w:val="00020600040101010101"/>
    <w:charset w:val="86"/>
    <w:family w:val="auto"/>
    <w:pitch w:val="default"/>
    <w:sig w:usb0="A00002BF" w:usb1="18EF7CFA" w:usb2="00000016" w:usb3="00000000" w:csb0="00040000" w:csb1="00000000"/>
  </w:font>
  <w:font w:name="汉仪中黑KW">
    <w:panose1 w:val="00020600040101010101"/>
    <w:charset w:val="86"/>
    <w:family w:val="auto"/>
    <w:pitch w:val="default"/>
    <w:sig w:usb0="A00002BF" w:usb1="18EF7CFA" w:usb2="00000016" w:usb3="00000000" w:csb0="00040000" w:csb1="00000000"/>
  </w:font>
  <w:font w:name="宋体-简">
    <w:panose1 w:val="02010800040101010101"/>
    <w:charset w:val="86"/>
    <w:family w:val="auto"/>
    <w:pitch w:val="default"/>
    <w:sig w:usb0="00000001" w:usb1="080F0000" w:usb2="0000000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5C4926D">
    <w:pPr>
      <w:pStyle w:val="1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E9228E9">
    <w:pPr>
      <w:pStyle w:val="14"/>
      <w:jc w:val="right"/>
    </w:pPr>
    <w:r>
      <w:rPr>
        <w:sz w:val="24"/>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sdt>
                          <w:sdtPr>
                            <w:id w:val="147468248"/>
                            <w:docPartObj>
                              <w:docPartGallery w:val="autotext"/>
                            </w:docPartObj>
                          </w:sdtPr>
                          <w:sdtContent>
                            <w:p w14:paraId="29644128">
                              <w:pPr>
                                <w:pStyle w:val="14"/>
                                <w:jc w:val="right"/>
                              </w:pPr>
                              <w:r>
                                <w:fldChar w:fldCharType="begin"/>
                              </w:r>
                              <w:r>
                                <w:instrText xml:space="preserve"> PAGE   \* MERGEFORMAT </w:instrText>
                              </w:r>
                              <w:r>
                                <w:fldChar w:fldCharType="separate"/>
                              </w:r>
                              <w:r>
                                <w:t>2</w:t>
                              </w:r>
                              <w:r>
                                <w:fldChar w:fldCharType="end"/>
                              </w:r>
                            </w:p>
                          </w:sdtContent>
                        </w:sdt>
                        <w:p w14:paraId="6A98CBF3"/>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sdt>
                    <w:sdtPr>
                      <w:id w:val="147468248"/>
                      <w:docPartObj>
                        <w:docPartGallery w:val="autotext"/>
                      </w:docPartObj>
                    </w:sdtPr>
                    <w:sdtContent>
                      <w:p w14:paraId="29644128">
                        <w:pPr>
                          <w:pStyle w:val="14"/>
                          <w:jc w:val="right"/>
                        </w:pPr>
                        <w:r>
                          <w:fldChar w:fldCharType="begin"/>
                        </w:r>
                        <w:r>
                          <w:instrText xml:space="preserve"> PAGE   \* MERGEFORMAT </w:instrText>
                        </w:r>
                        <w:r>
                          <w:fldChar w:fldCharType="separate"/>
                        </w:r>
                        <w:r>
                          <w:t>2</w:t>
                        </w:r>
                        <w:r>
                          <w:fldChar w:fldCharType="end"/>
                        </w:r>
                      </w:p>
                    </w:sdtContent>
                  </w:sdt>
                  <w:p w14:paraId="6A98CBF3"/>
                </w:txbxContent>
              </v:textbox>
            </v:shape>
          </w:pict>
        </mc:Fallback>
      </mc:AlternateContent>
    </w:r>
  </w:p>
  <w:p w14:paraId="65701F8F">
    <w:pPr>
      <w:pStyle w:val="14"/>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8A926EA">
    <w:pPr>
      <w:pStyle w:val="14"/>
    </w:pPr>
    <w:r>
      <w:rPr>
        <w:sz w:val="24"/>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2AF26731">
                          <w:pPr>
                            <w:pStyle w:val="1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uow4KzICAABhBAAADgAAAAAAAAABACAAAAAfAQAAZHJzL2Uyb0RvYy54bWxQSwUG&#10;AAAAAAYABgBZAQAAwwUAAAAA&#10;">
              <v:fill on="f" focussize="0,0"/>
              <v:stroke on="f" weight="0.5pt"/>
              <v:imagedata o:title=""/>
              <o:lock v:ext="edit" aspectratio="f"/>
              <v:textbox inset="0mm,0mm,0mm,0mm" style="mso-fit-shape-to-text:t;">
                <w:txbxContent>
                  <w:p w14:paraId="2AF26731">
                    <w:pPr>
                      <w:pStyle w:val="14"/>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879A189">
    <w:pPr>
      <w:pStyle w:val="15"/>
      <w:tabs>
        <w:tab w:val="center" w:pos="4153"/>
        <w:tab w:val="right" w:pos="8306"/>
        <w:tab w:val="clear" w:pos="4680"/>
        <w:tab w:val="clear" w:pos="9360"/>
      </w:tabs>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0C66BF1"/>
    <w:multiLevelType w:val="multilevel"/>
    <w:tmpl w:val="10C66BF1"/>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251F5145"/>
    <w:multiLevelType w:val="multilevel"/>
    <w:tmpl w:val="251F5145"/>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2">
    <w:nsid w:val="385D7ECF"/>
    <w:multiLevelType w:val="multilevel"/>
    <w:tmpl w:val="385D7ECF"/>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3">
    <w:nsid w:val="50A7543C"/>
    <w:multiLevelType w:val="multilevel"/>
    <w:tmpl w:val="50A7543C"/>
    <w:lvl w:ilvl="0" w:tentative="0">
      <w:start w:val="1"/>
      <w:numFmt w:val="bullet"/>
      <w:lvlText w:val=""/>
      <w:lvlJc w:val="left"/>
      <w:pPr>
        <w:ind w:left="784" w:hanging="360"/>
      </w:pPr>
      <w:rPr>
        <w:rFonts w:hint="default" w:ascii="Symbol" w:hAnsi="Symbol"/>
      </w:rPr>
    </w:lvl>
    <w:lvl w:ilvl="1" w:tentative="0">
      <w:start w:val="1"/>
      <w:numFmt w:val="bullet"/>
      <w:lvlText w:val="o"/>
      <w:lvlJc w:val="left"/>
      <w:pPr>
        <w:ind w:left="1504" w:hanging="360"/>
      </w:pPr>
      <w:rPr>
        <w:rFonts w:hint="default" w:ascii="Courier New" w:hAnsi="Courier New" w:cs="Courier New"/>
      </w:rPr>
    </w:lvl>
    <w:lvl w:ilvl="2" w:tentative="0">
      <w:start w:val="1"/>
      <w:numFmt w:val="bullet"/>
      <w:lvlText w:val=""/>
      <w:lvlJc w:val="left"/>
      <w:pPr>
        <w:ind w:left="2224" w:hanging="360"/>
      </w:pPr>
      <w:rPr>
        <w:rFonts w:hint="default" w:ascii="Wingdings" w:hAnsi="Wingdings"/>
      </w:rPr>
    </w:lvl>
    <w:lvl w:ilvl="3" w:tentative="0">
      <w:start w:val="1"/>
      <w:numFmt w:val="bullet"/>
      <w:lvlText w:val=""/>
      <w:lvlJc w:val="left"/>
      <w:pPr>
        <w:ind w:left="2944" w:hanging="360"/>
      </w:pPr>
      <w:rPr>
        <w:rFonts w:hint="default" w:ascii="Symbol" w:hAnsi="Symbol"/>
      </w:rPr>
    </w:lvl>
    <w:lvl w:ilvl="4" w:tentative="0">
      <w:start w:val="1"/>
      <w:numFmt w:val="bullet"/>
      <w:lvlText w:val="o"/>
      <w:lvlJc w:val="left"/>
      <w:pPr>
        <w:ind w:left="3664" w:hanging="360"/>
      </w:pPr>
      <w:rPr>
        <w:rFonts w:hint="default" w:ascii="Courier New" w:hAnsi="Courier New" w:cs="Courier New"/>
      </w:rPr>
    </w:lvl>
    <w:lvl w:ilvl="5" w:tentative="0">
      <w:start w:val="1"/>
      <w:numFmt w:val="bullet"/>
      <w:lvlText w:val=""/>
      <w:lvlJc w:val="left"/>
      <w:pPr>
        <w:ind w:left="4384" w:hanging="360"/>
      </w:pPr>
      <w:rPr>
        <w:rFonts w:hint="default" w:ascii="Wingdings" w:hAnsi="Wingdings"/>
      </w:rPr>
    </w:lvl>
    <w:lvl w:ilvl="6" w:tentative="0">
      <w:start w:val="1"/>
      <w:numFmt w:val="bullet"/>
      <w:lvlText w:val=""/>
      <w:lvlJc w:val="left"/>
      <w:pPr>
        <w:ind w:left="5104" w:hanging="360"/>
      </w:pPr>
      <w:rPr>
        <w:rFonts w:hint="default" w:ascii="Symbol" w:hAnsi="Symbol"/>
      </w:rPr>
    </w:lvl>
    <w:lvl w:ilvl="7" w:tentative="0">
      <w:start w:val="1"/>
      <w:numFmt w:val="bullet"/>
      <w:lvlText w:val="o"/>
      <w:lvlJc w:val="left"/>
      <w:pPr>
        <w:ind w:left="5824" w:hanging="360"/>
      </w:pPr>
      <w:rPr>
        <w:rFonts w:hint="default" w:ascii="Courier New" w:hAnsi="Courier New" w:cs="Courier New"/>
      </w:rPr>
    </w:lvl>
    <w:lvl w:ilvl="8" w:tentative="0">
      <w:start w:val="1"/>
      <w:numFmt w:val="bullet"/>
      <w:lvlText w:val=""/>
      <w:lvlJc w:val="left"/>
      <w:pPr>
        <w:ind w:left="6544" w:hanging="360"/>
      </w:pPr>
      <w:rPr>
        <w:rFonts w:hint="default" w:ascii="Wingdings" w:hAnsi="Wingdings"/>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4"/>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ZDYwYTFjZDBiZGJmMzE2N2U1NTg2MjdmYjBjMzAyYTAifQ=="/>
  </w:docVars>
  <w:rsids>
    <w:rsidRoot w:val="00DA465E"/>
    <w:rsid w:val="00015312"/>
    <w:rsid w:val="00024051"/>
    <w:rsid w:val="00065553"/>
    <w:rsid w:val="00091758"/>
    <w:rsid w:val="000A332D"/>
    <w:rsid w:val="000A4262"/>
    <w:rsid w:val="000E25EC"/>
    <w:rsid w:val="000E27A4"/>
    <w:rsid w:val="000F74CD"/>
    <w:rsid w:val="00126B4B"/>
    <w:rsid w:val="00132F0C"/>
    <w:rsid w:val="002B6BEF"/>
    <w:rsid w:val="002C1FD2"/>
    <w:rsid w:val="002D77BF"/>
    <w:rsid w:val="00393C08"/>
    <w:rsid w:val="00460635"/>
    <w:rsid w:val="0047589C"/>
    <w:rsid w:val="004A37E4"/>
    <w:rsid w:val="004D6982"/>
    <w:rsid w:val="004E53B3"/>
    <w:rsid w:val="00502316"/>
    <w:rsid w:val="005451A2"/>
    <w:rsid w:val="005D6F00"/>
    <w:rsid w:val="005F190B"/>
    <w:rsid w:val="006042D3"/>
    <w:rsid w:val="0066187B"/>
    <w:rsid w:val="006A1A31"/>
    <w:rsid w:val="006D5BC6"/>
    <w:rsid w:val="006F306C"/>
    <w:rsid w:val="0070039A"/>
    <w:rsid w:val="00705C4A"/>
    <w:rsid w:val="00737888"/>
    <w:rsid w:val="007461F8"/>
    <w:rsid w:val="007E3578"/>
    <w:rsid w:val="00827587"/>
    <w:rsid w:val="008379D3"/>
    <w:rsid w:val="00846D77"/>
    <w:rsid w:val="008805B7"/>
    <w:rsid w:val="008A0055"/>
    <w:rsid w:val="008C27C4"/>
    <w:rsid w:val="008D2E5C"/>
    <w:rsid w:val="009576F3"/>
    <w:rsid w:val="009A519F"/>
    <w:rsid w:val="00A143D5"/>
    <w:rsid w:val="00A23BA2"/>
    <w:rsid w:val="00A420A5"/>
    <w:rsid w:val="00A426ED"/>
    <w:rsid w:val="00A64BDF"/>
    <w:rsid w:val="00AA02D0"/>
    <w:rsid w:val="00AE7043"/>
    <w:rsid w:val="00B438B4"/>
    <w:rsid w:val="00B538C4"/>
    <w:rsid w:val="00B74E60"/>
    <w:rsid w:val="00BD1586"/>
    <w:rsid w:val="00C004DF"/>
    <w:rsid w:val="00C0752E"/>
    <w:rsid w:val="00C23B83"/>
    <w:rsid w:val="00C35DE2"/>
    <w:rsid w:val="00CB6CED"/>
    <w:rsid w:val="00CD0271"/>
    <w:rsid w:val="00CF10BB"/>
    <w:rsid w:val="00D84F96"/>
    <w:rsid w:val="00DA3568"/>
    <w:rsid w:val="00DA465E"/>
    <w:rsid w:val="00DC5404"/>
    <w:rsid w:val="00E37D4D"/>
    <w:rsid w:val="00E804DF"/>
    <w:rsid w:val="00E952E4"/>
    <w:rsid w:val="00F06669"/>
    <w:rsid w:val="00FA432D"/>
    <w:rsid w:val="00FA763D"/>
    <w:rsid w:val="00FE13BC"/>
    <w:rsid w:val="00FF51A5"/>
    <w:rsid w:val="05720B50"/>
    <w:rsid w:val="33E75AEA"/>
    <w:rsid w:val="4C013661"/>
    <w:rsid w:val="5BE83B81"/>
    <w:rsid w:val="5FBA7343"/>
    <w:rsid w:val="636D5D54"/>
    <w:rsid w:val="74956EB9"/>
    <w:rsid w:val="74D80B5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qFormat="1" w:uiPriority="99" w:semiHidden="0" w:name="header"/>
    <w:lsdException w:qFormat="1"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Theme="minorHAnsi" w:hAnsiTheme="minorHAnsi" w:eastAsiaTheme="minorEastAsia" w:cstheme="minorBidi"/>
      <w:kern w:val="2"/>
      <w:sz w:val="24"/>
      <w:szCs w:val="24"/>
      <w:lang w:val="en-GB" w:eastAsia="zh-CN" w:bidi="ar-SA"/>
      <w14:ligatures w14:val="standardContextual"/>
    </w:rPr>
  </w:style>
  <w:style w:type="paragraph" w:styleId="2">
    <w:name w:val="heading 1"/>
    <w:basedOn w:val="1"/>
    <w:next w:val="1"/>
    <w:link w:val="29"/>
    <w:qFormat/>
    <w:uiPriority w:val="9"/>
    <w:pPr>
      <w:keepNext/>
      <w:keepLines/>
      <w:spacing w:before="360" w:after="80"/>
      <w:outlineLvl w:val="0"/>
    </w:pPr>
    <w:rPr>
      <w:rFonts w:asciiTheme="majorHAnsi" w:hAnsiTheme="majorHAnsi" w:eastAsiaTheme="majorEastAsia" w:cstheme="majorBidi"/>
      <w:color w:val="2F5597" w:themeColor="accent1" w:themeShade="BF"/>
      <w:sz w:val="40"/>
      <w:szCs w:val="40"/>
    </w:rPr>
  </w:style>
  <w:style w:type="paragraph" w:styleId="3">
    <w:name w:val="heading 2"/>
    <w:basedOn w:val="1"/>
    <w:next w:val="1"/>
    <w:link w:val="30"/>
    <w:unhideWhenUsed/>
    <w:qFormat/>
    <w:uiPriority w:val="9"/>
    <w:pPr>
      <w:keepNext/>
      <w:keepLines/>
      <w:spacing w:before="160" w:after="80"/>
      <w:outlineLvl w:val="1"/>
    </w:pPr>
    <w:rPr>
      <w:rFonts w:asciiTheme="majorHAnsi" w:hAnsiTheme="majorHAnsi" w:eastAsiaTheme="majorEastAsia" w:cstheme="majorBidi"/>
      <w:color w:val="2F5597" w:themeColor="accent1" w:themeShade="BF"/>
      <w:sz w:val="32"/>
      <w:szCs w:val="32"/>
    </w:rPr>
  </w:style>
  <w:style w:type="paragraph" w:styleId="4">
    <w:name w:val="heading 3"/>
    <w:basedOn w:val="1"/>
    <w:next w:val="1"/>
    <w:link w:val="31"/>
    <w:unhideWhenUsed/>
    <w:qFormat/>
    <w:uiPriority w:val="9"/>
    <w:pPr>
      <w:keepNext/>
      <w:keepLines/>
      <w:spacing w:before="160" w:after="80"/>
      <w:outlineLvl w:val="2"/>
    </w:pPr>
    <w:rPr>
      <w:rFonts w:eastAsiaTheme="majorEastAsia" w:cstheme="majorBidi"/>
      <w:color w:val="2F5597" w:themeColor="accent1" w:themeShade="BF"/>
      <w:sz w:val="28"/>
      <w:szCs w:val="28"/>
    </w:rPr>
  </w:style>
  <w:style w:type="paragraph" w:styleId="5">
    <w:name w:val="heading 4"/>
    <w:basedOn w:val="1"/>
    <w:next w:val="1"/>
    <w:link w:val="32"/>
    <w:semiHidden/>
    <w:unhideWhenUsed/>
    <w:qFormat/>
    <w:uiPriority w:val="9"/>
    <w:pPr>
      <w:keepNext/>
      <w:keepLines/>
      <w:spacing w:before="80" w:after="40"/>
      <w:outlineLvl w:val="3"/>
    </w:pPr>
    <w:rPr>
      <w:rFonts w:eastAsiaTheme="majorEastAsia" w:cstheme="majorBidi"/>
      <w:i/>
      <w:iCs/>
      <w:color w:val="2F5597" w:themeColor="accent1" w:themeShade="BF"/>
    </w:rPr>
  </w:style>
  <w:style w:type="paragraph" w:styleId="6">
    <w:name w:val="heading 5"/>
    <w:basedOn w:val="1"/>
    <w:next w:val="1"/>
    <w:link w:val="33"/>
    <w:semiHidden/>
    <w:unhideWhenUsed/>
    <w:qFormat/>
    <w:uiPriority w:val="9"/>
    <w:pPr>
      <w:keepNext/>
      <w:keepLines/>
      <w:spacing w:before="80" w:after="40"/>
      <w:outlineLvl w:val="4"/>
    </w:pPr>
    <w:rPr>
      <w:rFonts w:eastAsiaTheme="majorEastAsia" w:cstheme="majorBidi"/>
      <w:color w:val="2F5597" w:themeColor="accent1" w:themeShade="BF"/>
    </w:rPr>
  </w:style>
  <w:style w:type="paragraph" w:styleId="7">
    <w:name w:val="heading 6"/>
    <w:basedOn w:val="1"/>
    <w:next w:val="1"/>
    <w:link w:val="34"/>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5"/>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6"/>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7"/>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25">
    <w:name w:val="Default Paragraph Font"/>
    <w:unhideWhenUsed/>
    <w:qFormat/>
    <w:uiPriority w:val="1"/>
  </w:style>
  <w:style w:type="table" w:default="1" w:styleId="23">
    <w:name w:val="Normal Table"/>
    <w:semiHidden/>
    <w:unhideWhenUsed/>
    <w:qFormat/>
    <w:uiPriority w:val="99"/>
    <w:tblPr>
      <w:tblCellMar>
        <w:top w:w="0" w:type="dxa"/>
        <w:left w:w="108" w:type="dxa"/>
        <w:bottom w:w="0" w:type="dxa"/>
        <w:right w:w="108" w:type="dxa"/>
      </w:tblCellMar>
    </w:tblPr>
  </w:style>
  <w:style w:type="paragraph" w:styleId="11">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12">
    <w:name w:val="annotation text"/>
    <w:basedOn w:val="1"/>
    <w:link w:val="53"/>
    <w:unhideWhenUsed/>
    <w:qFormat/>
    <w:uiPriority w:val="99"/>
    <w:pPr>
      <w:spacing w:after="0" w:line="240" w:lineRule="auto"/>
    </w:pPr>
    <w:rPr>
      <w:rFonts w:ascii="Times New Roman" w:hAnsi="Times New Roman" w:eastAsia="Times New Roman" w:cs="Times New Roman"/>
      <w:kern w:val="0"/>
      <w:sz w:val="20"/>
      <w:szCs w:val="20"/>
      <w:lang w:eastAsia="en-US"/>
      <w14:ligatures w14:val="none"/>
    </w:rPr>
  </w:style>
  <w:style w:type="paragraph" w:styleId="13">
    <w:name w:val="toc 3"/>
    <w:basedOn w:val="1"/>
    <w:next w:val="1"/>
    <w:autoRedefine/>
    <w:unhideWhenUsed/>
    <w:qFormat/>
    <w:uiPriority w:val="39"/>
    <w:pPr>
      <w:spacing w:after="100"/>
      <w:ind w:left="480"/>
    </w:pPr>
  </w:style>
  <w:style w:type="paragraph" w:styleId="14">
    <w:name w:val="footer"/>
    <w:basedOn w:val="1"/>
    <w:link w:val="52"/>
    <w:unhideWhenUsed/>
    <w:qFormat/>
    <w:uiPriority w:val="99"/>
    <w:pPr>
      <w:tabs>
        <w:tab w:val="center" w:pos="4680"/>
        <w:tab w:val="right" w:pos="9360"/>
      </w:tabs>
      <w:spacing w:after="0" w:line="240" w:lineRule="auto"/>
    </w:pPr>
  </w:style>
  <w:style w:type="paragraph" w:styleId="15">
    <w:name w:val="header"/>
    <w:basedOn w:val="1"/>
    <w:link w:val="51"/>
    <w:unhideWhenUsed/>
    <w:qFormat/>
    <w:uiPriority w:val="99"/>
    <w:pPr>
      <w:tabs>
        <w:tab w:val="center" w:pos="4680"/>
        <w:tab w:val="right" w:pos="9360"/>
      </w:tabs>
      <w:spacing w:after="0" w:line="240" w:lineRule="auto"/>
    </w:pPr>
  </w:style>
  <w:style w:type="paragraph" w:styleId="16">
    <w:name w:val="toc 1"/>
    <w:basedOn w:val="1"/>
    <w:next w:val="1"/>
    <w:autoRedefine/>
    <w:unhideWhenUsed/>
    <w:qFormat/>
    <w:uiPriority w:val="39"/>
    <w:pPr>
      <w:spacing w:after="100"/>
    </w:pPr>
  </w:style>
  <w:style w:type="paragraph" w:styleId="17">
    <w:name w:val="Subtitle"/>
    <w:basedOn w:val="1"/>
    <w:next w:val="1"/>
    <w:link w:val="39"/>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8">
    <w:name w:val="table of figures"/>
    <w:basedOn w:val="1"/>
    <w:next w:val="1"/>
    <w:unhideWhenUsed/>
    <w:qFormat/>
    <w:uiPriority w:val="99"/>
    <w:pPr>
      <w:spacing w:after="0"/>
    </w:pPr>
  </w:style>
  <w:style w:type="paragraph" w:styleId="19">
    <w:name w:val="toc 2"/>
    <w:basedOn w:val="1"/>
    <w:next w:val="1"/>
    <w:autoRedefine/>
    <w:unhideWhenUsed/>
    <w:qFormat/>
    <w:uiPriority w:val="39"/>
    <w:pPr>
      <w:spacing w:after="100"/>
      <w:ind w:left="240"/>
    </w:pPr>
  </w:style>
  <w:style w:type="paragraph" w:styleId="20">
    <w:name w:val="Normal (Web)"/>
    <w:basedOn w:val="1"/>
    <w:qFormat/>
    <w:uiPriority w:val="99"/>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paragraph" w:styleId="21">
    <w:name w:val="Title"/>
    <w:basedOn w:val="1"/>
    <w:next w:val="1"/>
    <w:link w:val="38"/>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22">
    <w:name w:val="annotation subject"/>
    <w:basedOn w:val="12"/>
    <w:next w:val="12"/>
    <w:link w:val="54"/>
    <w:semiHidden/>
    <w:unhideWhenUsed/>
    <w:qFormat/>
    <w:uiPriority w:val="99"/>
    <w:rPr>
      <w:b/>
      <w:bCs/>
    </w:rPr>
  </w:style>
  <w:style w:type="table" w:styleId="24">
    <w:name w:val="Table Grid"/>
    <w:basedOn w:val="23"/>
    <w:qFormat/>
    <w:uiPriority w:val="39"/>
    <w:pPr>
      <w:spacing w:after="0" w:line="240" w:lineRule="auto"/>
    </w:pPr>
    <w:rPr>
      <w:kern w:val="0"/>
      <w:sz w:val="22"/>
      <w:szCs w:val="22"/>
      <w:lang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6">
    <w:name w:val="FollowedHyperlink"/>
    <w:basedOn w:val="25"/>
    <w:semiHidden/>
    <w:unhideWhenUsed/>
    <w:qFormat/>
    <w:uiPriority w:val="99"/>
    <w:rPr>
      <w:color w:val="954F72" w:themeColor="followedHyperlink"/>
      <w:u w:val="single"/>
      <w14:textFill>
        <w14:solidFill>
          <w14:schemeClr w14:val="folHlink"/>
        </w14:solidFill>
      </w14:textFill>
    </w:rPr>
  </w:style>
  <w:style w:type="character" w:styleId="27">
    <w:name w:val="Hyperlink"/>
    <w:basedOn w:val="25"/>
    <w:unhideWhenUsed/>
    <w:qFormat/>
    <w:uiPriority w:val="99"/>
    <w:rPr>
      <w:color w:val="0563C1" w:themeColor="hyperlink"/>
      <w:u w:val="single"/>
      <w14:textFill>
        <w14:solidFill>
          <w14:schemeClr w14:val="hlink"/>
        </w14:solidFill>
      </w14:textFill>
    </w:rPr>
  </w:style>
  <w:style w:type="character" w:styleId="28">
    <w:name w:val="annotation reference"/>
    <w:basedOn w:val="25"/>
    <w:semiHidden/>
    <w:unhideWhenUsed/>
    <w:qFormat/>
    <w:uiPriority w:val="99"/>
    <w:rPr>
      <w:sz w:val="16"/>
      <w:szCs w:val="16"/>
    </w:rPr>
  </w:style>
  <w:style w:type="character" w:customStyle="1" w:styleId="29">
    <w:name w:val="Heading 1 Char"/>
    <w:basedOn w:val="25"/>
    <w:link w:val="2"/>
    <w:qFormat/>
    <w:uiPriority w:val="9"/>
    <w:rPr>
      <w:rFonts w:asciiTheme="majorHAnsi" w:hAnsiTheme="majorHAnsi" w:eastAsiaTheme="majorEastAsia" w:cstheme="majorBidi"/>
      <w:color w:val="2F5597" w:themeColor="accent1" w:themeShade="BF"/>
      <w:sz w:val="40"/>
      <w:szCs w:val="40"/>
      <w:lang w:val="en-GB"/>
    </w:rPr>
  </w:style>
  <w:style w:type="character" w:customStyle="1" w:styleId="30">
    <w:name w:val="Heading 2 Char"/>
    <w:basedOn w:val="25"/>
    <w:link w:val="3"/>
    <w:qFormat/>
    <w:uiPriority w:val="9"/>
    <w:rPr>
      <w:rFonts w:asciiTheme="majorHAnsi" w:hAnsiTheme="majorHAnsi" w:eastAsiaTheme="majorEastAsia" w:cstheme="majorBidi"/>
      <w:color w:val="2F5597" w:themeColor="accent1" w:themeShade="BF"/>
      <w:sz w:val="32"/>
      <w:szCs w:val="32"/>
      <w:lang w:val="en-GB"/>
    </w:rPr>
  </w:style>
  <w:style w:type="character" w:customStyle="1" w:styleId="31">
    <w:name w:val="Heading 3 Char"/>
    <w:basedOn w:val="25"/>
    <w:link w:val="4"/>
    <w:qFormat/>
    <w:uiPriority w:val="9"/>
    <w:rPr>
      <w:rFonts w:eastAsiaTheme="majorEastAsia" w:cstheme="majorBidi"/>
      <w:color w:val="2F5597" w:themeColor="accent1" w:themeShade="BF"/>
      <w:sz w:val="28"/>
      <w:szCs w:val="28"/>
      <w:lang w:val="en-GB"/>
    </w:rPr>
  </w:style>
  <w:style w:type="character" w:customStyle="1" w:styleId="32">
    <w:name w:val="Heading 4 Char"/>
    <w:basedOn w:val="25"/>
    <w:link w:val="5"/>
    <w:semiHidden/>
    <w:qFormat/>
    <w:uiPriority w:val="9"/>
    <w:rPr>
      <w:rFonts w:eastAsiaTheme="majorEastAsia" w:cstheme="majorBidi"/>
      <w:i/>
      <w:iCs/>
      <w:color w:val="2F5597" w:themeColor="accent1" w:themeShade="BF"/>
      <w:lang w:val="en-GB"/>
    </w:rPr>
  </w:style>
  <w:style w:type="character" w:customStyle="1" w:styleId="33">
    <w:name w:val="Heading 5 Char"/>
    <w:basedOn w:val="25"/>
    <w:link w:val="6"/>
    <w:semiHidden/>
    <w:qFormat/>
    <w:uiPriority w:val="9"/>
    <w:rPr>
      <w:rFonts w:eastAsiaTheme="majorEastAsia" w:cstheme="majorBidi"/>
      <w:color w:val="2F5597" w:themeColor="accent1" w:themeShade="BF"/>
      <w:lang w:val="en-GB"/>
    </w:rPr>
  </w:style>
  <w:style w:type="character" w:customStyle="1" w:styleId="34">
    <w:name w:val="Heading 6 Char"/>
    <w:basedOn w:val="25"/>
    <w:link w:val="7"/>
    <w:semiHidden/>
    <w:qFormat/>
    <w:uiPriority w:val="9"/>
    <w:rPr>
      <w:rFonts w:eastAsiaTheme="majorEastAsia" w:cstheme="majorBidi"/>
      <w:i/>
      <w:iCs/>
      <w:color w:val="595959" w:themeColor="text1" w:themeTint="A6"/>
      <w:lang w:val="en-GB"/>
      <w14:textFill>
        <w14:solidFill>
          <w14:schemeClr w14:val="tx1">
            <w14:lumMod w14:val="65000"/>
            <w14:lumOff w14:val="35000"/>
          </w14:schemeClr>
        </w14:solidFill>
      </w14:textFill>
    </w:rPr>
  </w:style>
  <w:style w:type="character" w:customStyle="1" w:styleId="35">
    <w:name w:val="Heading 7 Char"/>
    <w:basedOn w:val="25"/>
    <w:link w:val="8"/>
    <w:semiHidden/>
    <w:qFormat/>
    <w:uiPriority w:val="9"/>
    <w:rPr>
      <w:rFonts w:eastAsiaTheme="majorEastAsia" w:cstheme="majorBidi"/>
      <w:color w:val="595959" w:themeColor="text1" w:themeTint="A6"/>
      <w:lang w:val="en-GB"/>
      <w14:textFill>
        <w14:solidFill>
          <w14:schemeClr w14:val="tx1">
            <w14:lumMod w14:val="65000"/>
            <w14:lumOff w14:val="35000"/>
          </w14:schemeClr>
        </w14:solidFill>
      </w14:textFill>
    </w:rPr>
  </w:style>
  <w:style w:type="character" w:customStyle="1" w:styleId="36">
    <w:name w:val="Heading 8 Char"/>
    <w:basedOn w:val="25"/>
    <w:link w:val="9"/>
    <w:semiHidden/>
    <w:qFormat/>
    <w:uiPriority w:val="9"/>
    <w:rPr>
      <w:rFonts w:eastAsiaTheme="majorEastAsia" w:cstheme="majorBidi"/>
      <w:i/>
      <w:iCs/>
      <w:color w:val="262626" w:themeColor="text1" w:themeTint="D9"/>
      <w:lang w:val="en-GB"/>
      <w14:textFill>
        <w14:solidFill>
          <w14:schemeClr w14:val="tx1">
            <w14:lumMod w14:val="85000"/>
            <w14:lumOff w14:val="15000"/>
          </w14:schemeClr>
        </w14:solidFill>
      </w14:textFill>
    </w:rPr>
  </w:style>
  <w:style w:type="character" w:customStyle="1" w:styleId="37">
    <w:name w:val="Heading 9 Char"/>
    <w:basedOn w:val="25"/>
    <w:link w:val="10"/>
    <w:semiHidden/>
    <w:qFormat/>
    <w:uiPriority w:val="9"/>
    <w:rPr>
      <w:rFonts w:eastAsiaTheme="majorEastAsia" w:cstheme="majorBidi"/>
      <w:color w:val="262626" w:themeColor="text1" w:themeTint="D9"/>
      <w:lang w:val="en-GB"/>
      <w14:textFill>
        <w14:solidFill>
          <w14:schemeClr w14:val="tx1">
            <w14:lumMod w14:val="85000"/>
            <w14:lumOff w14:val="15000"/>
          </w14:schemeClr>
        </w14:solidFill>
      </w14:textFill>
    </w:rPr>
  </w:style>
  <w:style w:type="character" w:customStyle="1" w:styleId="38">
    <w:name w:val="Title Char"/>
    <w:basedOn w:val="25"/>
    <w:link w:val="21"/>
    <w:qFormat/>
    <w:uiPriority w:val="10"/>
    <w:rPr>
      <w:rFonts w:asciiTheme="majorHAnsi" w:hAnsiTheme="majorHAnsi" w:eastAsiaTheme="majorEastAsia" w:cstheme="majorBidi"/>
      <w:spacing w:val="-10"/>
      <w:kern w:val="28"/>
      <w:sz w:val="56"/>
      <w:szCs w:val="56"/>
      <w:lang w:val="en-GB"/>
    </w:rPr>
  </w:style>
  <w:style w:type="character" w:customStyle="1" w:styleId="39">
    <w:name w:val="Subtitle Char"/>
    <w:basedOn w:val="25"/>
    <w:link w:val="17"/>
    <w:qFormat/>
    <w:uiPriority w:val="11"/>
    <w:rPr>
      <w:rFonts w:eastAsiaTheme="majorEastAsia" w:cstheme="majorBidi"/>
      <w:color w:val="595959" w:themeColor="text1" w:themeTint="A6"/>
      <w:spacing w:val="15"/>
      <w:sz w:val="28"/>
      <w:szCs w:val="28"/>
      <w:lang w:val="en-GB"/>
      <w14:textFill>
        <w14:solidFill>
          <w14:schemeClr w14:val="tx1">
            <w14:lumMod w14:val="65000"/>
            <w14:lumOff w14:val="35000"/>
          </w14:schemeClr>
        </w14:solidFill>
      </w14:textFill>
    </w:rPr>
  </w:style>
  <w:style w:type="paragraph" w:styleId="40">
    <w:name w:val="Quote"/>
    <w:basedOn w:val="1"/>
    <w:next w:val="1"/>
    <w:link w:val="41"/>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41">
    <w:name w:val="Quote Char"/>
    <w:basedOn w:val="25"/>
    <w:link w:val="40"/>
    <w:qFormat/>
    <w:uiPriority w:val="29"/>
    <w:rPr>
      <w:i/>
      <w:iCs/>
      <w:color w:val="404040" w:themeColor="text1" w:themeTint="BF"/>
      <w:lang w:val="en-GB"/>
      <w14:textFill>
        <w14:solidFill>
          <w14:schemeClr w14:val="tx1">
            <w14:lumMod w14:val="75000"/>
            <w14:lumOff w14:val="25000"/>
          </w14:schemeClr>
        </w14:solidFill>
      </w14:textFill>
    </w:rPr>
  </w:style>
  <w:style w:type="paragraph" w:styleId="42">
    <w:name w:val="List Paragraph"/>
    <w:basedOn w:val="1"/>
    <w:qFormat/>
    <w:uiPriority w:val="34"/>
    <w:pPr>
      <w:ind w:left="720"/>
      <w:contextualSpacing/>
    </w:pPr>
  </w:style>
  <w:style w:type="character" w:customStyle="1" w:styleId="43">
    <w:name w:val="Intense Emphasis"/>
    <w:basedOn w:val="25"/>
    <w:qFormat/>
    <w:uiPriority w:val="21"/>
    <w:rPr>
      <w:i/>
      <w:iCs/>
      <w:color w:val="2F5597" w:themeColor="accent1" w:themeShade="BF"/>
    </w:rPr>
  </w:style>
  <w:style w:type="paragraph" w:styleId="44">
    <w:name w:val="Intense Quote"/>
    <w:basedOn w:val="1"/>
    <w:next w:val="1"/>
    <w:link w:val="45"/>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45">
    <w:name w:val="Intense Quote Char"/>
    <w:basedOn w:val="25"/>
    <w:link w:val="44"/>
    <w:qFormat/>
    <w:uiPriority w:val="30"/>
    <w:rPr>
      <w:i/>
      <w:iCs/>
      <w:color w:val="2F5597" w:themeColor="accent1" w:themeShade="BF"/>
      <w:lang w:val="en-GB"/>
    </w:rPr>
  </w:style>
  <w:style w:type="character" w:customStyle="1" w:styleId="46">
    <w:name w:val="Intense Reference"/>
    <w:basedOn w:val="25"/>
    <w:qFormat/>
    <w:uiPriority w:val="32"/>
    <w:rPr>
      <w:b/>
      <w:bCs/>
      <w:smallCaps/>
      <w:color w:val="2F5597" w:themeColor="accent1" w:themeShade="BF"/>
      <w:spacing w:val="5"/>
    </w:rPr>
  </w:style>
  <w:style w:type="character" w:customStyle="1" w:styleId="47">
    <w:name w:val="Unresolved Mention"/>
    <w:basedOn w:val="25"/>
    <w:semiHidden/>
    <w:unhideWhenUsed/>
    <w:qFormat/>
    <w:uiPriority w:val="99"/>
    <w:rPr>
      <w:color w:val="605E5C"/>
      <w:shd w:val="clear" w:color="auto" w:fill="E1DFDD"/>
    </w:rPr>
  </w:style>
  <w:style w:type="paragraph" w:styleId="48">
    <w:name w:val="No Spacing"/>
    <w:link w:val="49"/>
    <w:qFormat/>
    <w:uiPriority w:val="1"/>
    <w:pPr>
      <w:spacing w:after="0" w:line="240" w:lineRule="auto"/>
    </w:pPr>
    <w:rPr>
      <w:rFonts w:asciiTheme="minorHAnsi" w:hAnsiTheme="minorHAnsi" w:eastAsiaTheme="minorEastAsia" w:cstheme="minorBidi"/>
      <w:kern w:val="0"/>
      <w:sz w:val="22"/>
      <w:szCs w:val="22"/>
      <w:lang w:val="en-US" w:eastAsia="en-US" w:bidi="ar-SA"/>
      <w14:ligatures w14:val="none"/>
    </w:rPr>
  </w:style>
  <w:style w:type="character" w:customStyle="1" w:styleId="49">
    <w:name w:val="No Spacing Char"/>
    <w:basedOn w:val="25"/>
    <w:link w:val="48"/>
    <w:qFormat/>
    <w:uiPriority w:val="1"/>
    <w:rPr>
      <w:kern w:val="0"/>
      <w:sz w:val="22"/>
      <w:szCs w:val="22"/>
      <w:lang w:eastAsia="en-US"/>
      <w14:ligatures w14:val="none"/>
    </w:rPr>
  </w:style>
  <w:style w:type="paragraph" w:customStyle="1" w:styleId="50">
    <w:name w:val="TOC Heading"/>
    <w:basedOn w:val="2"/>
    <w:next w:val="1"/>
    <w:unhideWhenUsed/>
    <w:qFormat/>
    <w:uiPriority w:val="39"/>
    <w:pPr>
      <w:spacing w:before="240" w:after="0" w:line="259" w:lineRule="auto"/>
      <w:outlineLvl w:val="9"/>
    </w:pPr>
    <w:rPr>
      <w:kern w:val="0"/>
      <w:sz w:val="32"/>
      <w:szCs w:val="32"/>
      <w:lang w:val="en-US" w:eastAsia="en-US"/>
      <w14:ligatures w14:val="none"/>
    </w:rPr>
  </w:style>
  <w:style w:type="character" w:customStyle="1" w:styleId="51">
    <w:name w:val="Header Char"/>
    <w:basedOn w:val="25"/>
    <w:link w:val="15"/>
    <w:qFormat/>
    <w:uiPriority w:val="99"/>
    <w:rPr>
      <w:lang w:val="en-GB"/>
    </w:rPr>
  </w:style>
  <w:style w:type="character" w:customStyle="1" w:styleId="52">
    <w:name w:val="Footer Char"/>
    <w:basedOn w:val="25"/>
    <w:link w:val="14"/>
    <w:qFormat/>
    <w:uiPriority w:val="99"/>
    <w:rPr>
      <w:lang w:val="en-GB"/>
    </w:rPr>
  </w:style>
  <w:style w:type="character" w:customStyle="1" w:styleId="53">
    <w:name w:val="Comment Text Char"/>
    <w:basedOn w:val="25"/>
    <w:link w:val="12"/>
    <w:qFormat/>
    <w:uiPriority w:val="99"/>
    <w:rPr>
      <w:rFonts w:ascii="Times New Roman" w:hAnsi="Times New Roman" w:eastAsia="Times New Roman" w:cs="Times New Roman"/>
      <w:kern w:val="0"/>
      <w:sz w:val="20"/>
      <w:szCs w:val="20"/>
      <w:lang w:val="en-GB" w:eastAsia="en-US"/>
      <w14:ligatures w14:val="none"/>
    </w:rPr>
  </w:style>
  <w:style w:type="character" w:customStyle="1" w:styleId="54">
    <w:name w:val="Comment Subject Char"/>
    <w:basedOn w:val="53"/>
    <w:link w:val="22"/>
    <w:semiHidden/>
    <w:qFormat/>
    <w:uiPriority w:val="99"/>
    <w:rPr>
      <w:rFonts w:ascii="Times New Roman" w:hAnsi="Times New Roman" w:eastAsia="Times New Roman" w:cs="Times New Roman"/>
      <w:b/>
      <w:bCs/>
      <w:kern w:val="0"/>
      <w:sz w:val="20"/>
      <w:szCs w:val="20"/>
      <w:lang w:val="en-GB" w:eastAsia="en-US"/>
      <w14:ligatures w14:val="none"/>
    </w:rPr>
  </w:style>
  <w:style w:type="character" w:customStyle="1" w:styleId="55">
    <w:name w:val="Intense Emphasis1"/>
    <w:basedOn w:val="25"/>
    <w:qFormat/>
    <w:uiPriority w:val="21"/>
    <w:rPr>
      <w:i/>
      <w:iCs/>
      <w:color w:val="2F5597" w:themeColor="accent1" w:themeShade="BF"/>
    </w:rPr>
  </w:style>
  <w:style w:type="character" w:customStyle="1" w:styleId="56">
    <w:name w:val="Intense Reference1"/>
    <w:basedOn w:val="25"/>
    <w:qFormat/>
    <w:uiPriority w:val="32"/>
    <w:rPr>
      <w:b/>
      <w:bCs/>
      <w:smallCaps/>
      <w:color w:val="2F5597" w:themeColor="accent1" w:themeShade="BF"/>
      <w:spacing w:val="5"/>
    </w:rPr>
  </w:style>
  <w:style w:type="character" w:customStyle="1" w:styleId="57">
    <w:name w:val="Unresolved Mention1"/>
    <w:basedOn w:val="25"/>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3.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numbering" Target="numbering.xml"/><Relationship Id="rId12" Type="http://schemas.openxmlformats.org/officeDocument/2006/relationships/customXml" Target="../customXml/item1.xml"/><Relationship Id="rId11" Type="http://schemas.openxmlformats.org/officeDocument/2006/relationships/image" Target="media/image2.jpeg"/><Relationship Id="rId10" Type="http://schemas.openxmlformats.org/officeDocument/2006/relationships/image" Target="media/image1.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82</Pages>
  <Words>255</Words>
  <Characters>1899</Characters>
  <Lines>1361</Lines>
  <Paragraphs>383</Paragraphs>
  <TotalTime>26</TotalTime>
  <ScaleCrop>false</ScaleCrop>
  <LinksUpToDate>false</LinksUpToDate>
  <CharactersWithSpaces>2142</CharactersWithSpaces>
  <Application>WPS Office_6.12.0.8899_F1E327BC-269C-435d-A152-05C5408002CA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2026-09-18T18:08:00Z</dcterms:created>
  <dc:creator>Lenovo</dc:creator>
  <cp:lastModifiedBy>。</cp:lastModifiedBy>
  <dcterms:modified xsi:type="dcterms:W3CDTF">2026-09-25T02:03:28Z</dcterms:modified>
  <cp:revision>39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1e9557e7-d39f-47e8-829d-b8e8752f9856</vt:lpwstr>
  </property>
  <property fmtid="{D5CDD505-2E9C-101B-9397-08002B2CF9AE}" pid="3" name="KSOTemplateDocerSaveRecord">
    <vt:lpwstr>eyJoZGlkIjoiY2MxNzA2ZGI2YTI4YmIwNDU5ZGJmN2YxOTNlOWZlM2MiLCJ1c2VySWQiOiIyNDIwMTU1MjIifQ==</vt:lpwstr>
  </property>
  <property fmtid="{D5CDD505-2E9C-101B-9397-08002B2CF9AE}" pid="4" name="KSOProductBuildVer">
    <vt:lpwstr>2052-6.12.0.8899</vt:lpwstr>
  </property>
  <property fmtid="{D5CDD505-2E9C-101B-9397-08002B2CF9AE}" pid="5" name="ICV">
    <vt:lpwstr>BD91A3E66C04D1C3F065B56ABB7BC2D8_43</vt:lpwstr>
  </property>
</Properties>
</file>