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000001" w14:textId="77777777" w:rsidR="00DB4DA1" w:rsidRDefault="00443CBE">
      <w:pPr>
        <w:jc w:val="center"/>
        <w:rPr>
          <w:sz w:val="54"/>
          <w:szCs w:val="54"/>
          <w:u w:val="single"/>
        </w:rPr>
      </w:pPr>
      <w:r>
        <w:rPr>
          <w:sz w:val="54"/>
          <w:szCs w:val="54"/>
          <w:u w:val="single"/>
        </w:rPr>
        <w:t>An Analysis of the Processes and Procedures Adopted by the First Attending Officer at a Crime Scene and a Critical Examination of the Methods in Practice for the Recovery and Examination of Forensic Evidence</w:t>
      </w:r>
    </w:p>
    <w:p w14:paraId="00000002" w14:textId="77777777" w:rsidR="00DB4DA1" w:rsidRDefault="00DB4DA1">
      <w:pPr>
        <w:jc w:val="center"/>
        <w:rPr>
          <w:sz w:val="54"/>
          <w:szCs w:val="54"/>
        </w:rPr>
      </w:pPr>
    </w:p>
    <w:p w14:paraId="00000003" w14:textId="77777777" w:rsidR="00DB4DA1" w:rsidRDefault="00DB4DA1">
      <w:pPr>
        <w:jc w:val="center"/>
        <w:rPr>
          <w:sz w:val="54"/>
          <w:szCs w:val="54"/>
        </w:rPr>
      </w:pPr>
    </w:p>
    <w:p w14:paraId="00000004" w14:textId="77777777" w:rsidR="00DB4DA1" w:rsidRDefault="00443CBE">
      <w:pPr>
        <w:jc w:val="center"/>
        <w:rPr>
          <w:sz w:val="54"/>
          <w:szCs w:val="54"/>
        </w:rPr>
      </w:pPr>
      <w:r>
        <w:rPr>
          <w:sz w:val="54"/>
          <w:szCs w:val="54"/>
        </w:rPr>
        <w:t xml:space="preserve">By </w:t>
      </w:r>
    </w:p>
    <w:p w14:paraId="00000005" w14:textId="77777777" w:rsidR="00DB4DA1" w:rsidRDefault="00443CBE">
      <w:pPr>
        <w:jc w:val="center"/>
        <w:rPr>
          <w:sz w:val="54"/>
          <w:szCs w:val="54"/>
        </w:rPr>
      </w:pPr>
      <w:r>
        <w:rPr>
          <w:sz w:val="54"/>
          <w:szCs w:val="54"/>
        </w:rPr>
        <w:t>Keely Sharpe</w:t>
      </w:r>
    </w:p>
    <w:p w14:paraId="00000006" w14:textId="77777777" w:rsidR="00DB4DA1" w:rsidRDefault="00DB4DA1">
      <w:pPr>
        <w:jc w:val="center"/>
        <w:rPr>
          <w:sz w:val="54"/>
          <w:szCs w:val="54"/>
        </w:rPr>
      </w:pPr>
    </w:p>
    <w:p w14:paraId="00000007" w14:textId="77777777" w:rsidR="00DB4DA1" w:rsidRDefault="00DB4DA1">
      <w:pPr>
        <w:jc w:val="center"/>
        <w:rPr>
          <w:sz w:val="54"/>
          <w:szCs w:val="54"/>
        </w:rPr>
      </w:pPr>
    </w:p>
    <w:p w14:paraId="00000008" w14:textId="77777777" w:rsidR="00DB4DA1" w:rsidRDefault="00443CBE">
      <w:pPr>
        <w:jc w:val="center"/>
        <w:rPr>
          <w:sz w:val="54"/>
          <w:szCs w:val="54"/>
        </w:rPr>
      </w:pPr>
      <w:r>
        <w:rPr>
          <w:sz w:val="54"/>
          <w:szCs w:val="54"/>
        </w:rPr>
        <w:t>Forensic Recovery and Examination</w:t>
      </w:r>
    </w:p>
    <w:p w14:paraId="00000009" w14:textId="77777777" w:rsidR="00DB4DA1" w:rsidRDefault="00443CBE">
      <w:pPr>
        <w:jc w:val="center"/>
        <w:rPr>
          <w:sz w:val="54"/>
          <w:szCs w:val="54"/>
        </w:rPr>
      </w:pPr>
      <w:r>
        <w:rPr>
          <w:sz w:val="54"/>
          <w:szCs w:val="54"/>
        </w:rPr>
        <w:t>BA Law and Criminology</w:t>
      </w:r>
    </w:p>
    <w:p w14:paraId="0000000A" w14:textId="77777777" w:rsidR="00DB4DA1" w:rsidRDefault="00443CBE">
      <w:pPr>
        <w:jc w:val="center"/>
        <w:rPr>
          <w:sz w:val="54"/>
          <w:szCs w:val="54"/>
        </w:rPr>
      </w:pPr>
      <w:r>
        <w:rPr>
          <w:sz w:val="54"/>
          <w:szCs w:val="54"/>
        </w:rPr>
        <w:t>University of Wales Trinity Saint David</w:t>
      </w:r>
    </w:p>
    <w:p w14:paraId="0000000B" w14:textId="77777777" w:rsidR="00DB4DA1" w:rsidRDefault="00DB4DA1">
      <w:pPr>
        <w:jc w:val="center"/>
        <w:rPr>
          <w:sz w:val="52"/>
          <w:szCs w:val="52"/>
        </w:rPr>
      </w:pPr>
    </w:p>
    <w:p w14:paraId="0000000C" w14:textId="77777777" w:rsidR="00DB4DA1" w:rsidRDefault="00443CBE">
      <w:pPr>
        <w:jc w:val="center"/>
        <w:rPr>
          <w:sz w:val="52"/>
          <w:szCs w:val="52"/>
        </w:rPr>
      </w:pPr>
      <w:r>
        <w:rPr>
          <w:sz w:val="52"/>
          <w:szCs w:val="52"/>
        </w:rPr>
        <w:t>Student no.: 1805415</w:t>
      </w:r>
    </w:p>
    <w:p w14:paraId="0000000D" w14:textId="77777777" w:rsidR="00DB4DA1" w:rsidRDefault="00DB4DA1">
      <w:pPr>
        <w:rPr>
          <w:sz w:val="48"/>
          <w:szCs w:val="48"/>
        </w:rPr>
      </w:pPr>
    </w:p>
    <w:p w14:paraId="0000000E" w14:textId="77777777" w:rsidR="00DB4DA1" w:rsidRDefault="00443CBE">
      <w:pPr>
        <w:spacing w:line="480" w:lineRule="auto"/>
        <w:rPr>
          <w:sz w:val="24"/>
          <w:szCs w:val="24"/>
          <w:u w:val="single"/>
        </w:rPr>
      </w:pPr>
      <w:r>
        <w:rPr>
          <w:sz w:val="24"/>
          <w:szCs w:val="24"/>
          <w:u w:val="single"/>
        </w:rPr>
        <w:lastRenderedPageBreak/>
        <w:t>Part A</w:t>
      </w:r>
    </w:p>
    <w:p w14:paraId="0000000F" w14:textId="4F634545" w:rsidR="00DB4DA1" w:rsidRDefault="00443CBE">
      <w:pPr>
        <w:spacing w:line="480" w:lineRule="auto"/>
        <w:rPr>
          <w:sz w:val="24"/>
          <w:szCs w:val="24"/>
        </w:rPr>
      </w:pPr>
      <w:r>
        <w:rPr>
          <w:sz w:val="24"/>
          <w:szCs w:val="24"/>
        </w:rPr>
        <w:t xml:space="preserve">One could think of the criminal justice system as a machine, with various working parts </w:t>
      </w:r>
      <w:r w:rsidR="005B5E6A">
        <w:rPr>
          <w:sz w:val="24"/>
          <w:szCs w:val="24"/>
        </w:rPr>
        <w:t>for</w:t>
      </w:r>
      <w:r>
        <w:rPr>
          <w:sz w:val="24"/>
          <w:szCs w:val="24"/>
        </w:rPr>
        <w:t xml:space="preserve"> the machine to function properly as a whole. These parts being the law enforcement, or the police, the experts in forensic science, the Criminal Prosecution Service, the courts, the solicitors and barristers, the judges, the clerks, the juries, the prisons and the probation service. Each working part must correctly fulfill its duties in order to achieve the best possible outcome in each scenario that arises </w:t>
      </w:r>
      <w:hyperlink r:id="rId6">
        <w:r>
          <w:rPr>
            <w:color w:val="000000"/>
            <w:sz w:val="24"/>
            <w:szCs w:val="24"/>
          </w:rPr>
          <w:t xml:space="preserve">(Wallace, Cunningham and </w:t>
        </w:r>
        <w:proofErr w:type="spellStart"/>
        <w:r>
          <w:rPr>
            <w:color w:val="000000"/>
            <w:sz w:val="24"/>
            <w:szCs w:val="24"/>
          </w:rPr>
          <w:t>Boggiano</w:t>
        </w:r>
        <w:proofErr w:type="spellEnd"/>
        <w:r>
          <w:rPr>
            <w:color w:val="000000"/>
            <w:sz w:val="24"/>
            <w:szCs w:val="24"/>
          </w:rPr>
          <w:t>, 2015)</w:t>
        </w:r>
      </w:hyperlink>
      <w:r>
        <w:rPr>
          <w:sz w:val="24"/>
          <w:szCs w:val="24"/>
        </w:rPr>
        <w:t xml:space="preserve">. </w:t>
      </w:r>
    </w:p>
    <w:p w14:paraId="00000010" w14:textId="77777777" w:rsidR="00DB4DA1" w:rsidRDefault="00DB4DA1">
      <w:pPr>
        <w:spacing w:line="480" w:lineRule="auto"/>
        <w:rPr>
          <w:sz w:val="24"/>
          <w:szCs w:val="24"/>
        </w:rPr>
      </w:pPr>
    </w:p>
    <w:p w14:paraId="00000011" w14:textId="77777777" w:rsidR="00DB4DA1" w:rsidRDefault="00443CBE">
      <w:pPr>
        <w:spacing w:line="480" w:lineRule="auto"/>
        <w:rPr>
          <w:sz w:val="24"/>
          <w:szCs w:val="24"/>
        </w:rPr>
      </w:pPr>
      <w:r>
        <w:rPr>
          <w:sz w:val="24"/>
          <w:szCs w:val="24"/>
        </w:rPr>
        <w:t>Finding someone guilty of a crime they did commit, provides punishment or possible rehabilitation along with justice for the victim and their families. Finding someone guilty of a crime they did not commit, means that an injustice has taken place and causes unnecessary suffering for the innocent person and their family. Finding a guilty person innocent allows that person to go back into society to commit further crime and cause further harm.</w:t>
      </w:r>
    </w:p>
    <w:p w14:paraId="00000012" w14:textId="77777777" w:rsidR="00DB4DA1" w:rsidRDefault="00DB4DA1">
      <w:pPr>
        <w:spacing w:line="480" w:lineRule="auto"/>
        <w:rPr>
          <w:sz w:val="24"/>
          <w:szCs w:val="24"/>
        </w:rPr>
      </w:pPr>
    </w:p>
    <w:p w14:paraId="00000013" w14:textId="4A102DD4" w:rsidR="00DB4DA1" w:rsidRDefault="00443CBE">
      <w:pPr>
        <w:spacing w:line="480" w:lineRule="auto"/>
        <w:rPr>
          <w:sz w:val="24"/>
          <w:szCs w:val="24"/>
        </w:rPr>
      </w:pPr>
      <w:r>
        <w:rPr>
          <w:sz w:val="24"/>
          <w:szCs w:val="24"/>
        </w:rPr>
        <w:t xml:space="preserve">Forensic science plays a </w:t>
      </w:r>
      <w:r w:rsidR="00C61091">
        <w:rPr>
          <w:sz w:val="24"/>
          <w:szCs w:val="24"/>
        </w:rPr>
        <w:t>considerably important</w:t>
      </w:r>
      <w:r>
        <w:rPr>
          <w:sz w:val="24"/>
          <w:szCs w:val="24"/>
        </w:rPr>
        <w:t xml:space="preserve"> role within the criminal justice system that can largely impact these outcomes of an investigation. </w:t>
      </w:r>
      <w:r w:rsidR="008C7624">
        <w:fldChar w:fldCharType="begin"/>
      </w:r>
      <w:r w:rsidR="008C7624">
        <w:instrText xml:space="preserve"> HYPERLINK "https://paperpile.com/c/WWCWa4/4VUh" \h </w:instrText>
      </w:r>
      <w:r w:rsidR="008C7624">
        <w:fldChar w:fldCharType="separate"/>
      </w:r>
      <w:r>
        <w:rPr>
          <w:color w:val="000000"/>
          <w:sz w:val="24"/>
          <w:szCs w:val="24"/>
        </w:rPr>
        <w:t xml:space="preserve">Caddy and Cobb </w:t>
      </w:r>
      <w:r w:rsidR="005B5E6A">
        <w:rPr>
          <w:color w:val="000000"/>
          <w:sz w:val="24"/>
          <w:szCs w:val="24"/>
        </w:rPr>
        <w:t>(</w:t>
      </w:r>
      <w:r>
        <w:rPr>
          <w:color w:val="000000"/>
          <w:sz w:val="24"/>
          <w:szCs w:val="24"/>
        </w:rPr>
        <w:t>2004</w:t>
      </w:r>
      <w:r w:rsidR="005B5E6A">
        <w:rPr>
          <w:color w:val="000000"/>
          <w:sz w:val="24"/>
          <w:szCs w:val="24"/>
        </w:rPr>
        <w:t xml:space="preserve">, </w:t>
      </w:r>
      <w:r w:rsidR="005B5E6A">
        <w:rPr>
          <w:i/>
          <w:iCs/>
          <w:color w:val="000000"/>
          <w:sz w:val="24"/>
          <w:szCs w:val="24"/>
        </w:rPr>
        <w:t>p1</w:t>
      </w:r>
      <w:r>
        <w:rPr>
          <w:color w:val="000000"/>
          <w:sz w:val="24"/>
          <w:szCs w:val="24"/>
        </w:rPr>
        <w:t>)</w:t>
      </w:r>
      <w:r w:rsidR="008C7624">
        <w:rPr>
          <w:color w:val="000000"/>
          <w:sz w:val="24"/>
          <w:szCs w:val="24"/>
        </w:rPr>
        <w:fldChar w:fldCharType="end"/>
      </w:r>
      <w:r>
        <w:rPr>
          <w:sz w:val="24"/>
          <w:szCs w:val="24"/>
        </w:rPr>
        <w:t xml:space="preserve"> provide the following definition</w:t>
      </w:r>
      <w:r w:rsidR="005B5E6A">
        <w:rPr>
          <w:sz w:val="24"/>
          <w:szCs w:val="24"/>
        </w:rPr>
        <w:t>:</w:t>
      </w:r>
    </w:p>
    <w:p w14:paraId="00000014" w14:textId="77777777" w:rsidR="00DB4DA1" w:rsidRDefault="00DB4DA1">
      <w:pPr>
        <w:spacing w:line="480" w:lineRule="auto"/>
        <w:rPr>
          <w:sz w:val="24"/>
          <w:szCs w:val="24"/>
        </w:rPr>
      </w:pPr>
    </w:p>
    <w:p w14:paraId="00000015" w14:textId="77777777" w:rsidR="00DB4DA1" w:rsidRDefault="00443CBE">
      <w:pPr>
        <w:spacing w:line="480" w:lineRule="auto"/>
        <w:rPr>
          <w:sz w:val="24"/>
          <w:szCs w:val="24"/>
        </w:rPr>
      </w:pPr>
      <w:r>
        <w:rPr>
          <w:sz w:val="24"/>
          <w:szCs w:val="24"/>
        </w:rPr>
        <w:tab/>
        <w:t>“</w:t>
      </w:r>
      <w:r>
        <w:rPr>
          <w:i/>
          <w:sz w:val="24"/>
          <w:szCs w:val="24"/>
        </w:rPr>
        <w:t>Forensic science is science used for the purpose of the law</w:t>
      </w:r>
      <w:r>
        <w:rPr>
          <w:sz w:val="24"/>
          <w:szCs w:val="24"/>
        </w:rPr>
        <w:t>”.</w:t>
      </w:r>
    </w:p>
    <w:p w14:paraId="00000016" w14:textId="77777777" w:rsidR="00DB4DA1" w:rsidRDefault="00DB4DA1">
      <w:pPr>
        <w:spacing w:line="480" w:lineRule="auto"/>
        <w:rPr>
          <w:sz w:val="24"/>
          <w:szCs w:val="24"/>
        </w:rPr>
      </w:pPr>
    </w:p>
    <w:p w14:paraId="00000017" w14:textId="77777777" w:rsidR="00DB4DA1" w:rsidRDefault="00443CBE">
      <w:pPr>
        <w:spacing w:line="480" w:lineRule="auto"/>
        <w:rPr>
          <w:sz w:val="24"/>
          <w:szCs w:val="24"/>
        </w:rPr>
      </w:pPr>
      <w:r>
        <w:rPr>
          <w:sz w:val="24"/>
          <w:szCs w:val="24"/>
        </w:rPr>
        <w:lastRenderedPageBreak/>
        <w:t xml:space="preserve">More specifically, the use of such science in an investigation of a crime by both the police and the courts as evidence in resolving said crime in any subsequent trial. </w:t>
      </w:r>
    </w:p>
    <w:p w14:paraId="00000018" w14:textId="77777777" w:rsidR="00DB4DA1" w:rsidRDefault="00DB4DA1">
      <w:pPr>
        <w:spacing w:line="480" w:lineRule="auto"/>
        <w:rPr>
          <w:sz w:val="24"/>
          <w:szCs w:val="24"/>
        </w:rPr>
      </w:pPr>
    </w:p>
    <w:p w14:paraId="0000001A" w14:textId="42B20500" w:rsidR="00DB4DA1" w:rsidRDefault="00443CBE">
      <w:pPr>
        <w:spacing w:line="480" w:lineRule="auto"/>
        <w:rPr>
          <w:sz w:val="24"/>
          <w:szCs w:val="24"/>
        </w:rPr>
      </w:pPr>
      <w:r>
        <w:rPr>
          <w:sz w:val="24"/>
          <w:szCs w:val="24"/>
        </w:rPr>
        <w:t xml:space="preserve">Forensic science utilises evidence which has been gathered from a crime scene, a crime scene being a building, a road, a field or sometimes more than one location for a single investigation </w:t>
      </w:r>
      <w:hyperlink r:id="rId7">
        <w:r>
          <w:rPr>
            <w:color w:val="000000"/>
            <w:sz w:val="24"/>
            <w:szCs w:val="24"/>
          </w:rPr>
          <w:t>(</w:t>
        </w:r>
        <w:proofErr w:type="spellStart"/>
        <w:r>
          <w:rPr>
            <w:color w:val="000000"/>
            <w:sz w:val="24"/>
            <w:szCs w:val="24"/>
          </w:rPr>
          <w:t>Tilstone</w:t>
        </w:r>
        <w:proofErr w:type="spellEnd"/>
        <w:r>
          <w:rPr>
            <w:color w:val="000000"/>
            <w:sz w:val="24"/>
            <w:szCs w:val="24"/>
          </w:rPr>
          <w:t xml:space="preserve">, Savage and Clark, </w:t>
        </w:r>
        <w:r w:rsidR="005B5E6A">
          <w:rPr>
            <w:color w:val="000000"/>
            <w:sz w:val="24"/>
            <w:szCs w:val="24"/>
          </w:rPr>
          <w:t>2006</w:t>
        </w:r>
        <w:r>
          <w:rPr>
            <w:color w:val="000000"/>
            <w:sz w:val="24"/>
            <w:szCs w:val="24"/>
          </w:rPr>
          <w:t>)</w:t>
        </w:r>
      </w:hyperlink>
      <w:r>
        <w:rPr>
          <w:sz w:val="24"/>
          <w:szCs w:val="24"/>
        </w:rPr>
        <w:t xml:space="preserve">. Forensic evidence such as DNA or fingerprints, can be considered to be ‘irrefutable evidence’, but only under the condition that it is recovered and processed in the correct way to prevent cross-contamination and ensure that the evidence will be admissible in a court of law </w:t>
      </w:r>
      <w:hyperlink r:id="rId8">
        <w:r>
          <w:rPr>
            <w:color w:val="000000"/>
            <w:sz w:val="24"/>
            <w:szCs w:val="24"/>
          </w:rPr>
          <w:t xml:space="preserve">(Jackson </w:t>
        </w:r>
      </w:hyperlink>
      <w:hyperlink r:id="rId9">
        <w:r>
          <w:rPr>
            <w:i/>
            <w:color w:val="000000"/>
            <w:sz w:val="24"/>
            <w:szCs w:val="24"/>
          </w:rPr>
          <w:t>et al.</w:t>
        </w:r>
      </w:hyperlink>
      <w:hyperlink r:id="rId10">
        <w:r>
          <w:rPr>
            <w:color w:val="000000"/>
            <w:sz w:val="24"/>
            <w:szCs w:val="24"/>
          </w:rPr>
          <w:t>, 2016)</w:t>
        </w:r>
      </w:hyperlink>
      <w:r>
        <w:rPr>
          <w:sz w:val="24"/>
          <w:szCs w:val="24"/>
        </w:rPr>
        <w:t>.</w:t>
      </w:r>
      <w:r w:rsidR="005B5E6A">
        <w:rPr>
          <w:sz w:val="24"/>
          <w:szCs w:val="24"/>
        </w:rPr>
        <w:t xml:space="preserve"> </w:t>
      </w:r>
      <w:r>
        <w:rPr>
          <w:sz w:val="24"/>
          <w:szCs w:val="24"/>
        </w:rPr>
        <w:t>Cross-contamination is the unwanted transfer of material between two or more pieces of evidence.</w:t>
      </w:r>
    </w:p>
    <w:p w14:paraId="0000001B" w14:textId="77777777" w:rsidR="00DB4DA1" w:rsidRDefault="00DB4DA1">
      <w:pPr>
        <w:spacing w:line="480" w:lineRule="auto"/>
        <w:rPr>
          <w:sz w:val="24"/>
          <w:szCs w:val="24"/>
        </w:rPr>
      </w:pPr>
    </w:p>
    <w:p w14:paraId="0000001C" w14:textId="77777777" w:rsidR="00DB4DA1" w:rsidRDefault="00443CBE">
      <w:pPr>
        <w:spacing w:line="480" w:lineRule="auto"/>
        <w:rPr>
          <w:sz w:val="24"/>
          <w:szCs w:val="24"/>
        </w:rPr>
      </w:pPr>
      <w:r>
        <w:rPr>
          <w:sz w:val="24"/>
          <w:szCs w:val="24"/>
        </w:rPr>
        <w:t xml:space="preserve">A crime scene can contain many risks to both personnel at the scene and the wider public. Incorrect procedures can mean that others are physically harmed, or that evidence is inadmissible in a court of law, and this ultimately may be the downfall of a criminal investigation </w:t>
      </w:r>
      <w:hyperlink r:id="rId11">
        <w:r>
          <w:rPr>
            <w:color w:val="000000"/>
            <w:sz w:val="24"/>
            <w:szCs w:val="24"/>
          </w:rPr>
          <w:t>(UNODC, 2009)</w:t>
        </w:r>
      </w:hyperlink>
      <w:r>
        <w:rPr>
          <w:sz w:val="24"/>
          <w:szCs w:val="24"/>
        </w:rPr>
        <w:t xml:space="preserve">. </w:t>
      </w:r>
    </w:p>
    <w:p w14:paraId="0000001D" w14:textId="77777777" w:rsidR="00DB4DA1" w:rsidRDefault="00DB4DA1">
      <w:pPr>
        <w:spacing w:line="480" w:lineRule="auto"/>
        <w:rPr>
          <w:sz w:val="24"/>
          <w:szCs w:val="24"/>
        </w:rPr>
      </w:pPr>
    </w:p>
    <w:p w14:paraId="0000001E" w14:textId="77777777" w:rsidR="00DB4DA1" w:rsidRDefault="00443CBE">
      <w:pPr>
        <w:spacing w:line="480" w:lineRule="auto"/>
        <w:rPr>
          <w:sz w:val="24"/>
          <w:szCs w:val="24"/>
        </w:rPr>
      </w:pPr>
      <w:r>
        <w:rPr>
          <w:sz w:val="24"/>
          <w:szCs w:val="24"/>
        </w:rPr>
        <w:t>Therefore, great responsibility often falls to the First Attending Officer, or FAO, to ensure that the start of the investigation is carried out in the appropriate fashion for the safety of all involved, in the surrounding parameters of the crime scene, and for a successful investigation, trial and conviction of the right individual.</w:t>
      </w:r>
    </w:p>
    <w:p w14:paraId="0000001F" w14:textId="77777777" w:rsidR="00DB4DA1" w:rsidRDefault="00DB4DA1">
      <w:pPr>
        <w:spacing w:line="480" w:lineRule="auto"/>
        <w:rPr>
          <w:sz w:val="24"/>
          <w:szCs w:val="24"/>
        </w:rPr>
      </w:pPr>
    </w:p>
    <w:p w14:paraId="00000020" w14:textId="1AF33771" w:rsidR="00DB4DA1" w:rsidRDefault="00443CBE">
      <w:pPr>
        <w:spacing w:line="480" w:lineRule="auto"/>
        <w:rPr>
          <w:sz w:val="24"/>
          <w:szCs w:val="24"/>
        </w:rPr>
      </w:pPr>
      <w:r>
        <w:rPr>
          <w:sz w:val="24"/>
          <w:szCs w:val="24"/>
        </w:rPr>
        <w:lastRenderedPageBreak/>
        <w:t xml:space="preserve">According to the </w:t>
      </w:r>
      <w:hyperlink r:id="rId12">
        <w:r>
          <w:rPr>
            <w:color w:val="000000"/>
            <w:sz w:val="24"/>
            <w:szCs w:val="24"/>
          </w:rPr>
          <w:t xml:space="preserve">College of Policing </w:t>
        </w:r>
        <w:r w:rsidR="005B5E6A">
          <w:rPr>
            <w:color w:val="000000"/>
            <w:sz w:val="24"/>
            <w:szCs w:val="24"/>
          </w:rPr>
          <w:t>(</w:t>
        </w:r>
        <w:r>
          <w:rPr>
            <w:color w:val="000000"/>
            <w:sz w:val="24"/>
            <w:szCs w:val="24"/>
          </w:rPr>
          <w:t>2016)</w:t>
        </w:r>
      </w:hyperlink>
      <w:r>
        <w:rPr>
          <w:sz w:val="24"/>
          <w:szCs w:val="24"/>
        </w:rPr>
        <w:t xml:space="preserve">, the first priority of a First Attending Officer is to ensure the safety and protection of all present individuals from harm or further harm. It is also important to utilise body-worn video cameras to provide useful evidence footage </w:t>
      </w:r>
      <w:hyperlink r:id="rId13">
        <w:r>
          <w:rPr>
            <w:color w:val="000000"/>
            <w:sz w:val="24"/>
            <w:szCs w:val="24"/>
          </w:rPr>
          <w:t xml:space="preserve">(Bouma </w:t>
        </w:r>
      </w:hyperlink>
      <w:hyperlink r:id="rId14">
        <w:r>
          <w:rPr>
            <w:i/>
            <w:color w:val="000000"/>
            <w:sz w:val="24"/>
            <w:szCs w:val="24"/>
          </w:rPr>
          <w:t>et al.</w:t>
        </w:r>
      </w:hyperlink>
      <w:hyperlink r:id="rId15">
        <w:r>
          <w:rPr>
            <w:color w:val="000000"/>
            <w:sz w:val="24"/>
            <w:szCs w:val="24"/>
          </w:rPr>
          <w:t>, 2015)</w:t>
        </w:r>
      </w:hyperlink>
      <w:r>
        <w:rPr>
          <w:sz w:val="24"/>
          <w:szCs w:val="24"/>
        </w:rPr>
        <w:t xml:space="preserve">. Individuals present must be assessed for any required first-aid and removal from the scene to an appropriate location, followed by a confirmation of the suspect’s identity and arrest where possible. If an immediate arrest is not possible but the identity of the individual is suspected, it is imperative that this is communicated to all appropriate parties in the surrounding area to ensure location of the individual and subsequent arrest as soon as possible </w:t>
      </w:r>
      <w:hyperlink r:id="rId16">
        <w:r>
          <w:rPr>
            <w:color w:val="000000"/>
            <w:sz w:val="24"/>
            <w:szCs w:val="24"/>
          </w:rPr>
          <w:t>(Home Office, 2014)</w:t>
        </w:r>
      </w:hyperlink>
      <w:r>
        <w:rPr>
          <w:sz w:val="24"/>
          <w:szCs w:val="24"/>
        </w:rPr>
        <w:t xml:space="preserve">. Adequate records must also be kept of everything said by those on scene as potential witnesses. </w:t>
      </w:r>
    </w:p>
    <w:p w14:paraId="00000021" w14:textId="77777777" w:rsidR="00DB4DA1" w:rsidRDefault="00DB4DA1">
      <w:pPr>
        <w:spacing w:line="480" w:lineRule="auto"/>
        <w:rPr>
          <w:sz w:val="24"/>
          <w:szCs w:val="24"/>
        </w:rPr>
      </w:pPr>
    </w:p>
    <w:p w14:paraId="00000022" w14:textId="1EE65A2C" w:rsidR="00DB4DA1" w:rsidRDefault="00443CBE">
      <w:pPr>
        <w:spacing w:line="480" w:lineRule="auto"/>
        <w:rPr>
          <w:sz w:val="24"/>
          <w:szCs w:val="24"/>
        </w:rPr>
      </w:pPr>
      <w:r>
        <w:rPr>
          <w:sz w:val="24"/>
          <w:szCs w:val="24"/>
        </w:rPr>
        <w:t xml:space="preserve">It is also of utmost importance, following the protection of any victims, witnesses and suspects from harm, that the scene itself is protected in order for there to be forensic examination and collection of evidence </w:t>
      </w:r>
      <w:hyperlink r:id="rId17">
        <w:r>
          <w:rPr>
            <w:color w:val="000000"/>
            <w:sz w:val="24"/>
            <w:szCs w:val="24"/>
          </w:rPr>
          <w:t xml:space="preserve">(Rod and </w:t>
        </w:r>
        <w:proofErr w:type="spellStart"/>
        <w:r>
          <w:rPr>
            <w:color w:val="000000"/>
            <w:sz w:val="24"/>
            <w:szCs w:val="24"/>
          </w:rPr>
          <w:t>Plecas</w:t>
        </w:r>
        <w:proofErr w:type="spellEnd"/>
        <w:r>
          <w:rPr>
            <w:color w:val="000000"/>
            <w:sz w:val="24"/>
            <w:szCs w:val="24"/>
          </w:rPr>
          <w:t>, 2017)</w:t>
        </w:r>
      </w:hyperlink>
      <w:r>
        <w:rPr>
          <w:sz w:val="24"/>
          <w:szCs w:val="24"/>
        </w:rPr>
        <w:t xml:space="preserve">. The College of Policing advises that where collection of forensic evidence may take place at multiple crime scenes or specialist forensic techniques will be required, that officers seek advice from their supervisor or a crime scene expert, and to secure the scene to preserve evidence and control the scene to limit access by using </w:t>
      </w:r>
      <w:r w:rsidR="005B5E6A">
        <w:rPr>
          <w:sz w:val="24"/>
          <w:szCs w:val="24"/>
        </w:rPr>
        <w:t>cordons</w:t>
      </w:r>
      <w:r>
        <w:rPr>
          <w:sz w:val="24"/>
          <w:szCs w:val="24"/>
        </w:rPr>
        <w:t xml:space="preserve"> and tape with a potential secondary scene parameter, and to start a log to record persons that may enter or leave the scene. CSI should also be contacted if necessary, or a note made to state why they are not attending before considering safety hazards to personnel and creating a plan for managing such risks. Following this, photographic evidence must now be collected, </w:t>
      </w:r>
      <w:r>
        <w:rPr>
          <w:sz w:val="24"/>
          <w:szCs w:val="24"/>
        </w:rPr>
        <w:lastRenderedPageBreak/>
        <w:t xml:space="preserve">including the securing and preservation of CCTV, mobile phones and computer equipment </w:t>
      </w:r>
      <w:hyperlink r:id="rId18">
        <w:r>
          <w:rPr>
            <w:color w:val="000000"/>
            <w:sz w:val="24"/>
            <w:szCs w:val="24"/>
          </w:rPr>
          <w:t>(College of Policing, 2016)</w:t>
        </w:r>
      </w:hyperlink>
      <w:r>
        <w:rPr>
          <w:sz w:val="24"/>
          <w:szCs w:val="24"/>
        </w:rPr>
        <w:t>.</w:t>
      </w:r>
    </w:p>
    <w:p w14:paraId="00000023" w14:textId="77777777" w:rsidR="00DB4DA1" w:rsidRDefault="00DB4DA1">
      <w:pPr>
        <w:spacing w:line="480" w:lineRule="auto"/>
        <w:rPr>
          <w:sz w:val="24"/>
          <w:szCs w:val="24"/>
        </w:rPr>
      </w:pPr>
    </w:p>
    <w:p w14:paraId="00000024" w14:textId="77777777" w:rsidR="00DB4DA1" w:rsidRDefault="00443CBE">
      <w:pPr>
        <w:spacing w:line="480" w:lineRule="auto"/>
        <w:rPr>
          <w:sz w:val="24"/>
          <w:szCs w:val="24"/>
        </w:rPr>
      </w:pPr>
      <w:r>
        <w:rPr>
          <w:sz w:val="24"/>
          <w:szCs w:val="24"/>
        </w:rPr>
        <w:t xml:space="preserve">In reference to the documentation that must be completed, this is usually the Criminal Justice Act labels and statements taken at the scene </w:t>
      </w:r>
      <w:hyperlink r:id="rId19">
        <w:r>
          <w:rPr>
            <w:color w:val="000000"/>
            <w:sz w:val="24"/>
            <w:szCs w:val="24"/>
          </w:rPr>
          <w:t>(</w:t>
        </w:r>
      </w:hyperlink>
      <w:hyperlink r:id="rId20">
        <w:r w:rsidRPr="005B5E6A">
          <w:rPr>
            <w:color w:val="000000"/>
            <w:sz w:val="24"/>
            <w:szCs w:val="24"/>
          </w:rPr>
          <w:t>Criminal Justice Act</w:t>
        </w:r>
      </w:hyperlink>
      <w:hyperlink r:id="rId21">
        <w:r w:rsidRPr="005B5E6A">
          <w:rPr>
            <w:color w:val="000000"/>
            <w:sz w:val="24"/>
            <w:szCs w:val="24"/>
          </w:rPr>
          <w:t>, 1967)</w:t>
        </w:r>
      </w:hyperlink>
      <w:r>
        <w:rPr>
          <w:sz w:val="24"/>
          <w:szCs w:val="24"/>
        </w:rPr>
        <w:t xml:space="preserve">. Labels must be securely attached to the packaging of the evidence and include unique identifying information, place of recovery, date of recovery, who collected it and what their role is, and any details of where, how and by who the item has been handled and transferred </w:t>
      </w:r>
      <w:hyperlink r:id="rId22">
        <w:r>
          <w:rPr>
            <w:color w:val="000000"/>
            <w:sz w:val="24"/>
            <w:szCs w:val="24"/>
          </w:rPr>
          <w:t>(Forensic Science Regulator, 2020)</w:t>
        </w:r>
      </w:hyperlink>
      <w:r>
        <w:rPr>
          <w:sz w:val="24"/>
          <w:szCs w:val="24"/>
        </w:rPr>
        <w:t xml:space="preserve">. This provides what is known as a chain of custody or continuity of the item from when it was recovered and what has happened to it since. This maintains the integrity of the evidence in question in order for it to be admissible in a case when it is in court proceedings and maintains accountability in the process </w:t>
      </w:r>
      <w:hyperlink r:id="rId23">
        <w:r>
          <w:rPr>
            <w:color w:val="000000"/>
            <w:sz w:val="24"/>
            <w:szCs w:val="24"/>
          </w:rPr>
          <w:t>(Health and Safety Executive, 2003)</w:t>
        </w:r>
      </w:hyperlink>
      <w:r>
        <w:rPr>
          <w:sz w:val="24"/>
          <w:szCs w:val="24"/>
        </w:rPr>
        <w:t>.</w:t>
      </w:r>
    </w:p>
    <w:p w14:paraId="00000025" w14:textId="77777777" w:rsidR="00DB4DA1" w:rsidRDefault="00DB4DA1">
      <w:pPr>
        <w:spacing w:line="480" w:lineRule="auto"/>
        <w:rPr>
          <w:sz w:val="24"/>
          <w:szCs w:val="24"/>
        </w:rPr>
      </w:pPr>
    </w:p>
    <w:p w14:paraId="00000026" w14:textId="77777777" w:rsidR="00DB4DA1" w:rsidRDefault="00443CBE">
      <w:pPr>
        <w:spacing w:line="480" w:lineRule="auto"/>
        <w:rPr>
          <w:sz w:val="24"/>
          <w:szCs w:val="24"/>
        </w:rPr>
      </w:pPr>
      <w:r>
        <w:rPr>
          <w:sz w:val="24"/>
          <w:szCs w:val="24"/>
        </w:rPr>
        <w:t xml:space="preserve">Police forces in the United Kingdom also use crime scene investigation forms that allow a continuity of evidence and paperwork by recording who has done what and when </w:t>
      </w:r>
      <w:hyperlink r:id="rId24">
        <w:r>
          <w:rPr>
            <w:color w:val="000000"/>
            <w:sz w:val="24"/>
            <w:szCs w:val="24"/>
          </w:rPr>
          <w:t>(College of Policing, 2020a)</w:t>
        </w:r>
      </w:hyperlink>
      <w:r>
        <w:rPr>
          <w:sz w:val="24"/>
          <w:szCs w:val="24"/>
        </w:rPr>
        <w:t xml:space="preserve">. Information recorded in such documentation is useful for ‘setting the scene’, elaborating on where evidence was collected or where it was not found and why. A </w:t>
      </w:r>
      <w:r>
        <w:rPr>
          <w:i/>
          <w:sz w:val="24"/>
          <w:szCs w:val="24"/>
        </w:rPr>
        <w:t xml:space="preserve">modus operandi </w:t>
      </w:r>
      <w:r>
        <w:rPr>
          <w:sz w:val="24"/>
          <w:szCs w:val="24"/>
        </w:rPr>
        <w:t xml:space="preserve">is found in such paperwork with details of the crime and how it was committed; a </w:t>
      </w:r>
      <w:r>
        <w:rPr>
          <w:i/>
          <w:sz w:val="24"/>
          <w:szCs w:val="24"/>
        </w:rPr>
        <w:t xml:space="preserve">modus operandi </w:t>
      </w:r>
      <w:r>
        <w:rPr>
          <w:sz w:val="24"/>
          <w:szCs w:val="24"/>
        </w:rPr>
        <w:t xml:space="preserve">being an ‘operating method’ or a manner in which a specific criminal works </w:t>
      </w:r>
      <w:hyperlink r:id="rId25">
        <w:r>
          <w:rPr>
            <w:color w:val="000000"/>
            <w:sz w:val="24"/>
            <w:szCs w:val="24"/>
          </w:rPr>
          <w:t>(Fosdick, 1916)</w:t>
        </w:r>
      </w:hyperlink>
      <w:r>
        <w:rPr>
          <w:sz w:val="24"/>
          <w:szCs w:val="24"/>
        </w:rPr>
        <w:t>.</w:t>
      </w:r>
    </w:p>
    <w:p w14:paraId="00000027" w14:textId="77777777" w:rsidR="00DB4DA1" w:rsidRDefault="00DB4DA1">
      <w:pPr>
        <w:spacing w:line="480" w:lineRule="auto"/>
        <w:rPr>
          <w:sz w:val="24"/>
          <w:szCs w:val="24"/>
        </w:rPr>
      </w:pPr>
    </w:p>
    <w:p w14:paraId="00000028" w14:textId="0BBAEA43" w:rsidR="00DB4DA1" w:rsidRDefault="00443CBE">
      <w:pPr>
        <w:spacing w:line="480" w:lineRule="auto"/>
        <w:rPr>
          <w:sz w:val="24"/>
          <w:szCs w:val="24"/>
        </w:rPr>
      </w:pPr>
      <w:r>
        <w:rPr>
          <w:sz w:val="24"/>
          <w:szCs w:val="24"/>
        </w:rPr>
        <w:lastRenderedPageBreak/>
        <w:t xml:space="preserve">Documentation that must be correctly completed under the Criminal Justice Act </w:t>
      </w:r>
      <w:r w:rsidR="005B5E6A">
        <w:rPr>
          <w:sz w:val="24"/>
          <w:szCs w:val="24"/>
        </w:rPr>
        <w:t>(</w:t>
      </w:r>
      <w:r>
        <w:rPr>
          <w:sz w:val="24"/>
          <w:szCs w:val="24"/>
        </w:rPr>
        <w:t>1967</w:t>
      </w:r>
      <w:r w:rsidR="005B5E6A">
        <w:rPr>
          <w:sz w:val="24"/>
          <w:szCs w:val="24"/>
        </w:rPr>
        <w:t>)</w:t>
      </w:r>
      <w:r>
        <w:rPr>
          <w:sz w:val="24"/>
          <w:szCs w:val="24"/>
        </w:rPr>
        <w:t xml:space="preserve"> can then be used to maintain the aforementioned integrity of evidence and the work done by those at the scene, including the actions of the First Attending Officer </w:t>
      </w:r>
      <w:hyperlink r:id="rId26">
        <w:r>
          <w:rPr>
            <w:color w:val="000000"/>
            <w:sz w:val="24"/>
            <w:szCs w:val="24"/>
          </w:rPr>
          <w:t>(CPS, 2018)</w:t>
        </w:r>
      </w:hyperlink>
      <w:r>
        <w:rPr>
          <w:sz w:val="24"/>
          <w:szCs w:val="24"/>
        </w:rPr>
        <w:t>.</w:t>
      </w:r>
    </w:p>
    <w:p w14:paraId="00000029" w14:textId="77777777" w:rsidR="00DB4DA1" w:rsidRDefault="00DB4DA1">
      <w:pPr>
        <w:spacing w:line="480" w:lineRule="auto"/>
        <w:rPr>
          <w:sz w:val="24"/>
          <w:szCs w:val="24"/>
        </w:rPr>
      </w:pPr>
    </w:p>
    <w:p w14:paraId="0000002A" w14:textId="280B35C8" w:rsidR="00DB4DA1" w:rsidRDefault="008C7624">
      <w:pPr>
        <w:spacing w:line="480" w:lineRule="auto"/>
        <w:rPr>
          <w:sz w:val="24"/>
          <w:szCs w:val="24"/>
        </w:rPr>
      </w:pPr>
      <w:hyperlink r:id="rId27">
        <w:r w:rsidR="00443CBE">
          <w:rPr>
            <w:color w:val="000000"/>
            <w:sz w:val="24"/>
            <w:szCs w:val="24"/>
          </w:rPr>
          <w:t xml:space="preserve">Sutton, </w:t>
        </w:r>
        <w:proofErr w:type="spellStart"/>
        <w:r w:rsidR="00443CBE">
          <w:rPr>
            <w:color w:val="000000"/>
            <w:sz w:val="24"/>
            <w:szCs w:val="24"/>
          </w:rPr>
          <w:t>Trueman</w:t>
        </w:r>
        <w:proofErr w:type="spellEnd"/>
        <w:r w:rsidR="00443CBE">
          <w:rPr>
            <w:color w:val="000000"/>
            <w:sz w:val="24"/>
            <w:szCs w:val="24"/>
          </w:rPr>
          <w:t xml:space="preserve"> and Moran </w:t>
        </w:r>
        <w:r w:rsidR="005B5E6A">
          <w:rPr>
            <w:color w:val="000000"/>
            <w:sz w:val="24"/>
            <w:szCs w:val="24"/>
          </w:rPr>
          <w:t>(</w:t>
        </w:r>
        <w:r w:rsidR="00443CBE">
          <w:rPr>
            <w:color w:val="000000"/>
            <w:sz w:val="24"/>
            <w:szCs w:val="24"/>
          </w:rPr>
          <w:t>2016)</w:t>
        </w:r>
      </w:hyperlink>
      <w:r w:rsidR="00443CBE">
        <w:rPr>
          <w:sz w:val="24"/>
          <w:szCs w:val="24"/>
        </w:rPr>
        <w:t xml:space="preserve"> state: </w:t>
      </w:r>
    </w:p>
    <w:p w14:paraId="0000002B" w14:textId="77777777" w:rsidR="00DB4DA1" w:rsidRDefault="00DB4DA1">
      <w:pPr>
        <w:spacing w:line="480" w:lineRule="auto"/>
        <w:rPr>
          <w:sz w:val="24"/>
          <w:szCs w:val="24"/>
        </w:rPr>
      </w:pPr>
    </w:p>
    <w:p w14:paraId="0000002C" w14:textId="41D2BA94" w:rsidR="00DB4DA1" w:rsidRDefault="00443CBE">
      <w:pPr>
        <w:spacing w:line="480" w:lineRule="auto"/>
        <w:rPr>
          <w:sz w:val="24"/>
          <w:szCs w:val="24"/>
        </w:rPr>
      </w:pPr>
      <w:r>
        <w:rPr>
          <w:sz w:val="24"/>
          <w:szCs w:val="24"/>
        </w:rPr>
        <w:tab/>
      </w:r>
      <w:r>
        <w:rPr>
          <w:sz w:val="24"/>
          <w:szCs w:val="24"/>
        </w:rPr>
        <w:tab/>
        <w:t>“</w:t>
      </w:r>
      <w:r w:rsidR="005B5E6A">
        <w:rPr>
          <w:sz w:val="24"/>
          <w:szCs w:val="24"/>
        </w:rPr>
        <w:t>…</w:t>
      </w:r>
      <w:r>
        <w:rPr>
          <w:i/>
          <w:sz w:val="24"/>
          <w:szCs w:val="24"/>
        </w:rPr>
        <w:t>the importance of correct, immediate actions taken by the first police officer(s) to attend any crime scene should not be underestimated</w:t>
      </w:r>
      <w:r>
        <w:rPr>
          <w:sz w:val="24"/>
          <w:szCs w:val="24"/>
        </w:rPr>
        <w:t>.”</w:t>
      </w:r>
    </w:p>
    <w:p w14:paraId="0000002D" w14:textId="77777777" w:rsidR="00DB4DA1" w:rsidRDefault="00DB4DA1">
      <w:pPr>
        <w:spacing w:line="480" w:lineRule="auto"/>
        <w:rPr>
          <w:sz w:val="24"/>
          <w:szCs w:val="24"/>
        </w:rPr>
      </w:pPr>
    </w:p>
    <w:p w14:paraId="0000002E" w14:textId="13C942ED" w:rsidR="00DB4DA1" w:rsidRDefault="00443CBE">
      <w:pPr>
        <w:spacing w:line="480" w:lineRule="auto"/>
        <w:rPr>
          <w:sz w:val="24"/>
          <w:szCs w:val="24"/>
        </w:rPr>
      </w:pPr>
      <w:r>
        <w:rPr>
          <w:sz w:val="24"/>
          <w:szCs w:val="24"/>
        </w:rPr>
        <w:t xml:space="preserve">Further, any mistakes made during the initial process can have a huge impact on how the case </w:t>
      </w:r>
      <w:proofErr w:type="gramStart"/>
      <w:r>
        <w:rPr>
          <w:sz w:val="24"/>
          <w:szCs w:val="24"/>
        </w:rPr>
        <w:t>comes to a close</w:t>
      </w:r>
      <w:proofErr w:type="gramEnd"/>
      <w:r>
        <w:rPr>
          <w:sz w:val="24"/>
          <w:szCs w:val="24"/>
        </w:rPr>
        <w:t xml:space="preserve">. No amount of work in a lab can fix the cross-contamination of forensic evidence such as blood, fingerprints, or </w:t>
      </w:r>
      <w:proofErr w:type="spellStart"/>
      <w:r w:rsidR="005B5E6A">
        <w:rPr>
          <w:sz w:val="24"/>
          <w:szCs w:val="24"/>
        </w:rPr>
        <w:t>fibres</w:t>
      </w:r>
      <w:proofErr w:type="spellEnd"/>
      <w:r>
        <w:rPr>
          <w:sz w:val="24"/>
          <w:szCs w:val="24"/>
        </w:rPr>
        <w:t xml:space="preserve"> </w:t>
      </w:r>
      <w:hyperlink r:id="rId28">
        <w:r>
          <w:rPr>
            <w:color w:val="000000"/>
            <w:sz w:val="24"/>
            <w:szCs w:val="24"/>
          </w:rPr>
          <w:t>(Balk, 2015)</w:t>
        </w:r>
      </w:hyperlink>
      <w:r>
        <w:rPr>
          <w:sz w:val="24"/>
          <w:szCs w:val="24"/>
        </w:rPr>
        <w:t xml:space="preserve">. </w:t>
      </w:r>
    </w:p>
    <w:p w14:paraId="0000002F" w14:textId="77777777" w:rsidR="00DB4DA1" w:rsidRDefault="00DB4DA1">
      <w:pPr>
        <w:spacing w:line="480" w:lineRule="auto"/>
        <w:rPr>
          <w:sz w:val="24"/>
          <w:szCs w:val="24"/>
        </w:rPr>
      </w:pPr>
    </w:p>
    <w:p w14:paraId="00000030" w14:textId="009B2590" w:rsidR="00DB4DA1" w:rsidRDefault="00443CBE">
      <w:pPr>
        <w:spacing w:line="480" w:lineRule="auto"/>
        <w:rPr>
          <w:sz w:val="24"/>
          <w:szCs w:val="24"/>
        </w:rPr>
      </w:pPr>
      <w:r>
        <w:rPr>
          <w:sz w:val="24"/>
          <w:szCs w:val="24"/>
        </w:rPr>
        <w:t xml:space="preserve">‘The Golden Hour’ is a term that describes the period immediately following an </w:t>
      </w:r>
      <w:r w:rsidR="005B5E6A">
        <w:rPr>
          <w:sz w:val="24"/>
          <w:szCs w:val="24"/>
        </w:rPr>
        <w:t>offence when</w:t>
      </w:r>
      <w:r>
        <w:rPr>
          <w:sz w:val="24"/>
          <w:szCs w:val="24"/>
        </w:rPr>
        <w:t xml:space="preserve"> material is available to the police in high volumes. Positive action during this period of time minimises the risks of the loss or contamination of evidence that can be used during a trial </w:t>
      </w:r>
      <w:hyperlink r:id="rId29">
        <w:r>
          <w:rPr>
            <w:color w:val="000000"/>
            <w:sz w:val="24"/>
            <w:szCs w:val="24"/>
          </w:rPr>
          <w:t>(College of Policing, 2019)</w:t>
        </w:r>
      </w:hyperlink>
      <w:r>
        <w:rPr>
          <w:sz w:val="24"/>
          <w:szCs w:val="24"/>
        </w:rPr>
        <w:t>.</w:t>
      </w:r>
    </w:p>
    <w:p w14:paraId="00000031" w14:textId="77777777" w:rsidR="00DB4DA1" w:rsidRDefault="00DB4DA1">
      <w:pPr>
        <w:spacing w:line="480" w:lineRule="auto"/>
        <w:rPr>
          <w:sz w:val="24"/>
          <w:szCs w:val="24"/>
        </w:rPr>
      </w:pPr>
    </w:p>
    <w:p w14:paraId="00000032" w14:textId="77777777" w:rsidR="00DB4DA1" w:rsidRDefault="00443CBE">
      <w:pPr>
        <w:spacing w:line="480" w:lineRule="auto"/>
        <w:rPr>
          <w:sz w:val="24"/>
          <w:szCs w:val="24"/>
        </w:rPr>
      </w:pPr>
      <w:r>
        <w:rPr>
          <w:sz w:val="24"/>
          <w:szCs w:val="24"/>
        </w:rPr>
        <w:t xml:space="preserve">In </w:t>
      </w:r>
      <w:proofErr w:type="spellStart"/>
      <w:r>
        <w:rPr>
          <w:i/>
          <w:sz w:val="24"/>
          <w:szCs w:val="24"/>
        </w:rPr>
        <w:t>Hoey</w:t>
      </w:r>
      <w:proofErr w:type="spellEnd"/>
      <w:r>
        <w:rPr>
          <w:i/>
          <w:sz w:val="24"/>
          <w:szCs w:val="24"/>
        </w:rPr>
        <w:t xml:space="preserve">, R. </w:t>
      </w:r>
      <w:r>
        <w:rPr>
          <w:sz w:val="24"/>
          <w:szCs w:val="24"/>
        </w:rPr>
        <w:t xml:space="preserve">v [2007] NICC 49 case, the Low Copy Number (LCN) DNA analysis was critiqued by the defense experts following Sean </w:t>
      </w:r>
      <w:proofErr w:type="spellStart"/>
      <w:r>
        <w:rPr>
          <w:sz w:val="24"/>
          <w:szCs w:val="24"/>
        </w:rPr>
        <w:t>Hoey</w:t>
      </w:r>
      <w:proofErr w:type="spellEnd"/>
      <w:r>
        <w:rPr>
          <w:sz w:val="24"/>
          <w:szCs w:val="24"/>
        </w:rPr>
        <w:t xml:space="preserve"> being cleared of the deaths of 29 individuals in the Omagh bombings in Northern Ireland </w:t>
      </w:r>
      <w:hyperlink r:id="rId30">
        <w:r>
          <w:rPr>
            <w:color w:val="000000"/>
            <w:sz w:val="24"/>
            <w:szCs w:val="24"/>
          </w:rPr>
          <w:t>(BBC News, 2007)</w:t>
        </w:r>
      </w:hyperlink>
      <w:r>
        <w:rPr>
          <w:sz w:val="24"/>
          <w:szCs w:val="24"/>
        </w:rPr>
        <w:t xml:space="preserve">. DNA belonging to </w:t>
      </w:r>
      <w:proofErr w:type="spellStart"/>
      <w:r>
        <w:rPr>
          <w:sz w:val="24"/>
          <w:szCs w:val="24"/>
        </w:rPr>
        <w:t>Hoey</w:t>
      </w:r>
      <w:proofErr w:type="spellEnd"/>
      <w:r>
        <w:rPr>
          <w:sz w:val="24"/>
          <w:szCs w:val="24"/>
        </w:rPr>
        <w:t xml:space="preserve"> was said to have been identified on the timers of the bombs which </w:t>
      </w:r>
      <w:r>
        <w:rPr>
          <w:sz w:val="24"/>
          <w:szCs w:val="24"/>
        </w:rPr>
        <w:lastRenderedPageBreak/>
        <w:t>were linked to the attack, which was disputed by the defence who claimed there was a lack of reliability on this method of DNA analysis. The critique also centred around the moving of the evidence from a car footwell onto the driver’s seat to be photographed, unexplained tape was also attached to the device following its collection. There were no orderly records relating to the custody of items which were seized and bagged, and a police officer claimed she was wearing protective clothing when she was at the scene when it later came to light that she was not, despite being responsible for photographing, handling and transferring evidence. The judge in this case stated:</w:t>
      </w:r>
    </w:p>
    <w:p w14:paraId="00000033" w14:textId="77777777" w:rsidR="00DB4DA1" w:rsidRDefault="00DB4DA1">
      <w:pPr>
        <w:spacing w:line="480" w:lineRule="auto"/>
        <w:rPr>
          <w:sz w:val="24"/>
          <w:szCs w:val="24"/>
        </w:rPr>
      </w:pPr>
    </w:p>
    <w:p w14:paraId="00000034" w14:textId="77777777" w:rsidR="00DB4DA1" w:rsidRDefault="00443CBE">
      <w:pPr>
        <w:spacing w:line="480" w:lineRule="auto"/>
        <w:rPr>
          <w:sz w:val="24"/>
          <w:szCs w:val="24"/>
        </w:rPr>
      </w:pPr>
      <w:r>
        <w:rPr>
          <w:sz w:val="24"/>
          <w:szCs w:val="24"/>
        </w:rPr>
        <w:tab/>
        <w:t>“</w:t>
      </w:r>
      <w:r>
        <w:rPr>
          <w:i/>
          <w:sz w:val="24"/>
          <w:szCs w:val="24"/>
        </w:rPr>
        <w:t>The effect of this, as I find deliberate and calculated deception..., is to make it impossible for me to accept any of the evidence of either witness since I have no means of knowing whether they may have told lies about other aspects of the case...</w:t>
      </w:r>
      <w:r>
        <w:rPr>
          <w:sz w:val="24"/>
          <w:szCs w:val="24"/>
        </w:rPr>
        <w:t xml:space="preserve">” </w:t>
      </w:r>
      <w:hyperlink r:id="rId31">
        <w:r>
          <w:rPr>
            <w:color w:val="000000"/>
            <w:sz w:val="24"/>
            <w:szCs w:val="24"/>
          </w:rPr>
          <w:t>(</w:t>
        </w:r>
      </w:hyperlink>
      <w:hyperlink r:id="rId32">
        <w:r>
          <w:rPr>
            <w:i/>
            <w:color w:val="000000"/>
            <w:sz w:val="24"/>
            <w:szCs w:val="24"/>
          </w:rPr>
          <w:t xml:space="preserve">In The Crown Court Sitting in Northern Ireland: Bill No: 341/05: The Queen v Sean </w:t>
        </w:r>
        <w:proofErr w:type="spellStart"/>
        <w:r>
          <w:rPr>
            <w:i/>
            <w:color w:val="000000"/>
            <w:sz w:val="24"/>
            <w:szCs w:val="24"/>
          </w:rPr>
          <w:t>Hoey</w:t>
        </w:r>
        <w:proofErr w:type="spellEnd"/>
      </w:hyperlink>
      <w:hyperlink r:id="rId33">
        <w:r>
          <w:rPr>
            <w:color w:val="000000"/>
            <w:sz w:val="24"/>
            <w:szCs w:val="24"/>
          </w:rPr>
          <w:t>, 2007)</w:t>
        </w:r>
      </w:hyperlink>
    </w:p>
    <w:p w14:paraId="00000035" w14:textId="77777777" w:rsidR="00DB4DA1" w:rsidRDefault="00DB4DA1">
      <w:pPr>
        <w:spacing w:line="480" w:lineRule="auto"/>
        <w:rPr>
          <w:i/>
          <w:sz w:val="24"/>
          <w:szCs w:val="24"/>
        </w:rPr>
      </w:pPr>
    </w:p>
    <w:p w14:paraId="00000036" w14:textId="6A85D3D2" w:rsidR="00DB4DA1" w:rsidRDefault="00443CBE">
      <w:pPr>
        <w:spacing w:line="480" w:lineRule="auto"/>
        <w:rPr>
          <w:sz w:val="24"/>
          <w:szCs w:val="24"/>
        </w:rPr>
      </w:pPr>
      <w:r>
        <w:rPr>
          <w:sz w:val="24"/>
          <w:szCs w:val="24"/>
        </w:rPr>
        <w:t xml:space="preserve">Every single individual at a crime scene must base their work on the Locard exchange principle, the idea that every contact leaves a trace, in order for the evidence to verify that a crime has taken place, to identify the individual or individuals who are responsible for the crime being committed, and to exonerate suspects who are not responsible </w:t>
      </w:r>
      <w:hyperlink r:id="rId34">
        <w:r>
          <w:rPr>
            <w:color w:val="000000"/>
            <w:sz w:val="24"/>
            <w:szCs w:val="24"/>
          </w:rPr>
          <w:t>(</w:t>
        </w:r>
        <w:proofErr w:type="spellStart"/>
        <w:r>
          <w:rPr>
            <w:color w:val="000000"/>
            <w:sz w:val="24"/>
            <w:szCs w:val="24"/>
          </w:rPr>
          <w:t>Horswell</w:t>
        </w:r>
        <w:proofErr w:type="spellEnd"/>
        <w:r>
          <w:rPr>
            <w:color w:val="000000"/>
            <w:sz w:val="24"/>
            <w:szCs w:val="24"/>
          </w:rPr>
          <w:t>, 2004</w:t>
        </w:r>
        <w:r w:rsidR="005B5E6A">
          <w:rPr>
            <w:color w:val="000000"/>
            <w:sz w:val="24"/>
            <w:szCs w:val="24"/>
          </w:rPr>
          <w:t xml:space="preserve">, </w:t>
        </w:r>
        <w:r w:rsidR="005B5E6A">
          <w:rPr>
            <w:i/>
            <w:iCs/>
            <w:color w:val="000000"/>
            <w:sz w:val="24"/>
            <w:szCs w:val="24"/>
          </w:rPr>
          <w:t>p6</w:t>
        </w:r>
        <w:r>
          <w:rPr>
            <w:color w:val="000000"/>
            <w:sz w:val="24"/>
            <w:szCs w:val="24"/>
          </w:rPr>
          <w:t>)</w:t>
        </w:r>
      </w:hyperlink>
      <w:r w:rsidR="005B5E6A">
        <w:rPr>
          <w:sz w:val="24"/>
          <w:szCs w:val="24"/>
        </w:rPr>
        <w:t>.</w:t>
      </w:r>
    </w:p>
    <w:p w14:paraId="00000037" w14:textId="77777777" w:rsidR="00DB4DA1" w:rsidRDefault="00DB4DA1">
      <w:pPr>
        <w:spacing w:line="480" w:lineRule="auto"/>
        <w:rPr>
          <w:sz w:val="24"/>
          <w:szCs w:val="24"/>
        </w:rPr>
      </w:pPr>
    </w:p>
    <w:p w14:paraId="00000038" w14:textId="77777777" w:rsidR="00DB4DA1" w:rsidRDefault="00443CBE">
      <w:pPr>
        <w:spacing w:line="480" w:lineRule="auto"/>
        <w:rPr>
          <w:sz w:val="24"/>
          <w:szCs w:val="24"/>
        </w:rPr>
      </w:pPr>
      <w:r>
        <w:rPr>
          <w:sz w:val="24"/>
          <w:szCs w:val="24"/>
        </w:rPr>
        <w:tab/>
        <w:t>“</w:t>
      </w:r>
      <w:r>
        <w:rPr>
          <w:i/>
          <w:sz w:val="24"/>
          <w:szCs w:val="24"/>
        </w:rPr>
        <w:t>Physical evidence cannot be wrong; it cannot perjure itself; it cannot be wholly absent</w:t>
      </w:r>
      <w:r>
        <w:rPr>
          <w:sz w:val="24"/>
          <w:szCs w:val="24"/>
        </w:rPr>
        <w:t xml:space="preserve">. </w:t>
      </w:r>
      <w:r>
        <w:rPr>
          <w:i/>
          <w:sz w:val="24"/>
          <w:szCs w:val="24"/>
        </w:rPr>
        <w:t>Only in its interpretation can there be error</w:t>
      </w:r>
      <w:r>
        <w:rPr>
          <w:sz w:val="24"/>
          <w:szCs w:val="24"/>
        </w:rPr>
        <w:t xml:space="preserve">” </w:t>
      </w:r>
      <w:hyperlink r:id="rId35">
        <w:r>
          <w:rPr>
            <w:color w:val="000000"/>
            <w:sz w:val="24"/>
            <w:szCs w:val="24"/>
          </w:rPr>
          <w:t>(Kirk, 1953)</w:t>
        </w:r>
      </w:hyperlink>
      <w:r>
        <w:rPr>
          <w:sz w:val="24"/>
          <w:szCs w:val="24"/>
        </w:rPr>
        <w:t>.</w:t>
      </w:r>
    </w:p>
    <w:p w14:paraId="00000039" w14:textId="77777777" w:rsidR="00DB4DA1" w:rsidRDefault="00DB4DA1">
      <w:pPr>
        <w:spacing w:line="480" w:lineRule="auto"/>
        <w:rPr>
          <w:sz w:val="24"/>
          <w:szCs w:val="24"/>
        </w:rPr>
      </w:pPr>
    </w:p>
    <w:p w14:paraId="0000003A" w14:textId="77777777" w:rsidR="00DB4DA1" w:rsidRDefault="00443CBE">
      <w:pPr>
        <w:spacing w:line="480" w:lineRule="auto"/>
        <w:rPr>
          <w:sz w:val="24"/>
          <w:szCs w:val="24"/>
          <w:u w:val="single"/>
        </w:rPr>
      </w:pPr>
      <w:r>
        <w:rPr>
          <w:sz w:val="24"/>
          <w:szCs w:val="24"/>
          <w:u w:val="single"/>
        </w:rPr>
        <w:lastRenderedPageBreak/>
        <w:t>Part B</w:t>
      </w:r>
    </w:p>
    <w:p w14:paraId="0000003B" w14:textId="34A01D2F" w:rsidR="00DB4DA1" w:rsidRDefault="00443CBE">
      <w:pPr>
        <w:spacing w:line="480" w:lineRule="auto"/>
        <w:rPr>
          <w:sz w:val="24"/>
          <w:szCs w:val="24"/>
        </w:rPr>
      </w:pPr>
      <w:r>
        <w:rPr>
          <w:sz w:val="24"/>
          <w:szCs w:val="24"/>
        </w:rPr>
        <w:t xml:space="preserve">Following the collapse of the Omagh trial, an investigation into LTDNA evidence was conducted and a report produced by the UK Forensic Science Regulator, which found that LTDNA profiling was fit for purpose despite there being a lack of agreement as to how these profiles should be interpreted </w:t>
      </w:r>
      <w:hyperlink r:id="rId36">
        <w:r>
          <w:rPr>
            <w:color w:val="000000"/>
            <w:sz w:val="24"/>
            <w:szCs w:val="24"/>
          </w:rPr>
          <w:t>(Caddy, 2008)</w:t>
        </w:r>
      </w:hyperlink>
      <w:r>
        <w:rPr>
          <w:sz w:val="24"/>
          <w:szCs w:val="24"/>
        </w:rPr>
        <w:t xml:space="preserve">. The report also stated that they had no available information on where they were most likely to find trace amounts of DNA for analysis </w:t>
      </w:r>
      <w:hyperlink r:id="rId37">
        <w:r>
          <w:rPr>
            <w:color w:val="000000"/>
            <w:sz w:val="24"/>
            <w:szCs w:val="24"/>
          </w:rPr>
          <w:t>(Newman, 2009)</w:t>
        </w:r>
      </w:hyperlink>
      <w:r>
        <w:rPr>
          <w:sz w:val="24"/>
          <w:szCs w:val="24"/>
        </w:rPr>
        <w:t xml:space="preserve">. </w:t>
      </w:r>
      <w:hyperlink r:id="rId38">
        <w:r>
          <w:rPr>
            <w:color w:val="000000"/>
            <w:sz w:val="24"/>
            <w:szCs w:val="24"/>
          </w:rPr>
          <w:t xml:space="preserve">Balding </w:t>
        </w:r>
        <w:r w:rsidR="005B5E6A">
          <w:rPr>
            <w:color w:val="000000"/>
            <w:sz w:val="24"/>
            <w:szCs w:val="24"/>
          </w:rPr>
          <w:t>(</w:t>
        </w:r>
        <w:r>
          <w:rPr>
            <w:color w:val="000000"/>
            <w:sz w:val="24"/>
            <w:szCs w:val="24"/>
          </w:rPr>
          <w:t>2013)</w:t>
        </w:r>
      </w:hyperlink>
      <w:r>
        <w:rPr>
          <w:sz w:val="24"/>
          <w:szCs w:val="24"/>
        </w:rPr>
        <w:t xml:space="preserve"> suggests that without valid methods of assessing the validity and strength </w:t>
      </w:r>
      <w:proofErr w:type="gramStart"/>
      <w:r>
        <w:rPr>
          <w:sz w:val="24"/>
          <w:szCs w:val="24"/>
        </w:rPr>
        <w:t>in regard to</w:t>
      </w:r>
      <w:proofErr w:type="gramEnd"/>
      <w:r>
        <w:rPr>
          <w:sz w:val="24"/>
          <w:szCs w:val="24"/>
        </w:rPr>
        <w:t xml:space="preserve"> how useful LTDNA is as evidence, it cannot be considered fit for purpose in a court of law.</w:t>
      </w:r>
    </w:p>
    <w:p w14:paraId="0000003C" w14:textId="77777777" w:rsidR="00DB4DA1" w:rsidRDefault="00DB4DA1">
      <w:pPr>
        <w:spacing w:line="480" w:lineRule="auto"/>
        <w:rPr>
          <w:sz w:val="24"/>
          <w:szCs w:val="24"/>
        </w:rPr>
      </w:pPr>
    </w:p>
    <w:p w14:paraId="0000003D" w14:textId="77777777" w:rsidR="00DB4DA1" w:rsidRDefault="00443CBE">
      <w:pPr>
        <w:spacing w:line="480" w:lineRule="auto"/>
        <w:rPr>
          <w:sz w:val="24"/>
          <w:szCs w:val="24"/>
        </w:rPr>
      </w:pPr>
      <w:r>
        <w:rPr>
          <w:sz w:val="24"/>
          <w:szCs w:val="24"/>
        </w:rPr>
        <w:t xml:space="preserve">A preliminary examination of a crime scene will provide the identification of items which may be used as evidence that is required in a trial. The nature of the offence that has taken place and the evidential value of the items in question are both factors that contribute to the decision of removal from the scene </w:t>
      </w:r>
      <w:hyperlink r:id="rId39">
        <w:r>
          <w:rPr>
            <w:color w:val="000000"/>
            <w:sz w:val="24"/>
            <w:szCs w:val="24"/>
          </w:rPr>
          <w:t>(City Law School, 2007)</w:t>
        </w:r>
      </w:hyperlink>
      <w:r>
        <w:rPr>
          <w:sz w:val="24"/>
          <w:szCs w:val="24"/>
        </w:rPr>
        <w:t xml:space="preserve">. Following the identification of the items they can then be removed from the scene in order to be packaged, labelled and transferred to the appropriate places for testing and analysis </w:t>
      </w:r>
      <w:hyperlink r:id="rId40">
        <w:r>
          <w:rPr>
            <w:color w:val="000000"/>
            <w:sz w:val="24"/>
            <w:szCs w:val="24"/>
          </w:rPr>
          <w:t xml:space="preserve">(Sutton, </w:t>
        </w:r>
        <w:proofErr w:type="spellStart"/>
        <w:r>
          <w:rPr>
            <w:color w:val="000000"/>
            <w:sz w:val="24"/>
            <w:szCs w:val="24"/>
          </w:rPr>
          <w:t>Trueman</w:t>
        </w:r>
        <w:proofErr w:type="spellEnd"/>
        <w:r>
          <w:rPr>
            <w:color w:val="000000"/>
            <w:sz w:val="24"/>
            <w:szCs w:val="24"/>
          </w:rPr>
          <w:t xml:space="preserve"> and Moran, 2016)</w:t>
        </w:r>
      </w:hyperlink>
      <w:r>
        <w:rPr>
          <w:sz w:val="24"/>
          <w:szCs w:val="24"/>
        </w:rPr>
        <w:t>.</w:t>
      </w:r>
    </w:p>
    <w:p w14:paraId="0000003E" w14:textId="77777777" w:rsidR="00DB4DA1" w:rsidRDefault="00DB4DA1">
      <w:pPr>
        <w:spacing w:line="480" w:lineRule="auto"/>
        <w:rPr>
          <w:sz w:val="24"/>
          <w:szCs w:val="24"/>
        </w:rPr>
      </w:pPr>
    </w:p>
    <w:p w14:paraId="0000003F" w14:textId="77777777" w:rsidR="00DB4DA1" w:rsidRDefault="00443CBE">
      <w:pPr>
        <w:spacing w:line="480" w:lineRule="auto"/>
        <w:rPr>
          <w:sz w:val="24"/>
          <w:szCs w:val="24"/>
        </w:rPr>
      </w:pPr>
      <w:r>
        <w:rPr>
          <w:sz w:val="24"/>
          <w:szCs w:val="24"/>
        </w:rPr>
        <w:t xml:space="preserve">Requirements for avoiding cross-contamination include the use of two pairs of gloves and PPE head-to-toe including shoe coverings and a mask </w:t>
      </w:r>
      <w:hyperlink r:id="rId41">
        <w:r>
          <w:rPr>
            <w:color w:val="000000"/>
            <w:sz w:val="24"/>
            <w:szCs w:val="24"/>
          </w:rPr>
          <w:t>(Fish, Miller and Braswell, 2010)</w:t>
        </w:r>
      </w:hyperlink>
      <w:r>
        <w:rPr>
          <w:sz w:val="24"/>
          <w:szCs w:val="24"/>
        </w:rPr>
        <w:t xml:space="preserve">. Evidence must be documented, photographed and preserved by packaging items separately in adequate fashion; for example, in the correct box or bag for each </w:t>
      </w:r>
      <w:r>
        <w:rPr>
          <w:sz w:val="24"/>
          <w:szCs w:val="24"/>
        </w:rPr>
        <w:lastRenderedPageBreak/>
        <w:t xml:space="preserve">item, clearly labelled and stored in a way that preserves the item for testing </w:t>
      </w:r>
      <w:hyperlink r:id="rId42">
        <w:r>
          <w:rPr>
            <w:color w:val="000000"/>
            <w:sz w:val="24"/>
            <w:szCs w:val="24"/>
          </w:rPr>
          <w:t>(Lewis, 2015)</w:t>
        </w:r>
      </w:hyperlink>
      <w:r>
        <w:rPr>
          <w:sz w:val="24"/>
          <w:szCs w:val="24"/>
        </w:rPr>
        <w:t>.</w:t>
      </w:r>
    </w:p>
    <w:p w14:paraId="00000040" w14:textId="77777777" w:rsidR="00DB4DA1" w:rsidRDefault="00DB4DA1">
      <w:pPr>
        <w:spacing w:line="480" w:lineRule="auto"/>
        <w:rPr>
          <w:sz w:val="24"/>
          <w:szCs w:val="24"/>
        </w:rPr>
      </w:pPr>
    </w:p>
    <w:p w14:paraId="00000041" w14:textId="44C9657C" w:rsidR="00DB4DA1" w:rsidRDefault="00443CBE">
      <w:pPr>
        <w:spacing w:line="480" w:lineRule="auto"/>
        <w:rPr>
          <w:sz w:val="24"/>
          <w:szCs w:val="24"/>
        </w:rPr>
      </w:pPr>
      <w:r>
        <w:rPr>
          <w:sz w:val="24"/>
          <w:szCs w:val="24"/>
        </w:rPr>
        <w:t xml:space="preserve">There is a large variety in the types of packaging that is available for use in storing and preserving evidence that protect the item from the transfer of adventitious materials and prevents the loss of material from the item that impacts the ability to test the item sufficiently, allowing for transport, handling and storage that further protects the item for the continuation of evidence and reliable test results, and also to protect those who handle the item from any exposure to hazards such as infections of blood-borne viruses like Hepatitis and HIV </w:t>
      </w:r>
      <w:hyperlink r:id="rId43">
        <w:r>
          <w:rPr>
            <w:color w:val="000000"/>
            <w:sz w:val="24"/>
            <w:szCs w:val="24"/>
          </w:rPr>
          <w:t>(</w:t>
        </w:r>
        <w:proofErr w:type="spellStart"/>
        <w:r>
          <w:rPr>
            <w:color w:val="000000"/>
            <w:sz w:val="24"/>
            <w:szCs w:val="24"/>
          </w:rPr>
          <w:t>Horswell</w:t>
        </w:r>
        <w:proofErr w:type="spellEnd"/>
        <w:r>
          <w:rPr>
            <w:color w:val="000000"/>
            <w:sz w:val="24"/>
            <w:szCs w:val="24"/>
          </w:rPr>
          <w:t>, 2015)</w:t>
        </w:r>
      </w:hyperlink>
      <w:r>
        <w:rPr>
          <w:sz w:val="24"/>
          <w:szCs w:val="24"/>
        </w:rPr>
        <w:t xml:space="preserve">. </w:t>
      </w:r>
      <w:hyperlink r:id="rId44">
        <w:r>
          <w:rPr>
            <w:color w:val="000000"/>
            <w:sz w:val="24"/>
            <w:szCs w:val="24"/>
          </w:rPr>
          <w:t xml:space="preserve">Fraser and Fraser </w:t>
        </w:r>
        <w:r w:rsidR="005B5E6A">
          <w:rPr>
            <w:color w:val="000000"/>
            <w:sz w:val="24"/>
            <w:szCs w:val="24"/>
          </w:rPr>
          <w:t>(</w:t>
        </w:r>
        <w:r>
          <w:rPr>
            <w:color w:val="000000"/>
            <w:sz w:val="24"/>
            <w:szCs w:val="24"/>
          </w:rPr>
          <w:t>2010)</w:t>
        </w:r>
      </w:hyperlink>
      <w:r>
        <w:rPr>
          <w:sz w:val="24"/>
          <w:szCs w:val="24"/>
        </w:rPr>
        <w:t xml:space="preserve"> state that recommendations for different types of evidence include paper bags for dry clothing, polythene bags for wet clothing, rigid cardboard boxes in a polythene bag for items such as drinking glasses, and small sterile tubes for scrapings of blood.</w:t>
      </w:r>
    </w:p>
    <w:p w14:paraId="00000042" w14:textId="77777777" w:rsidR="00DB4DA1" w:rsidRDefault="00DB4DA1">
      <w:pPr>
        <w:spacing w:line="480" w:lineRule="auto"/>
        <w:rPr>
          <w:sz w:val="24"/>
          <w:szCs w:val="24"/>
        </w:rPr>
      </w:pPr>
    </w:p>
    <w:p w14:paraId="00000043" w14:textId="5DB72CA5" w:rsidR="00DB4DA1" w:rsidRDefault="00443CBE">
      <w:pPr>
        <w:spacing w:line="480" w:lineRule="auto"/>
        <w:rPr>
          <w:i/>
          <w:sz w:val="24"/>
          <w:szCs w:val="24"/>
        </w:rPr>
      </w:pPr>
      <w:r>
        <w:rPr>
          <w:sz w:val="24"/>
          <w:szCs w:val="24"/>
        </w:rPr>
        <w:tab/>
        <w:t>“</w:t>
      </w:r>
      <w:r>
        <w:rPr>
          <w:i/>
          <w:sz w:val="24"/>
          <w:szCs w:val="24"/>
        </w:rPr>
        <w:t>Wherever he steps, whatever he touches, whatever he leaves even unconsciously, will serve as silent witness against him</w:t>
      </w:r>
      <w:r>
        <w:rPr>
          <w:sz w:val="24"/>
          <w:szCs w:val="24"/>
        </w:rPr>
        <w:t xml:space="preserve">” </w:t>
      </w:r>
      <w:hyperlink r:id="rId45">
        <w:r>
          <w:rPr>
            <w:color w:val="000000"/>
            <w:sz w:val="24"/>
            <w:szCs w:val="24"/>
          </w:rPr>
          <w:t>(</w:t>
        </w:r>
        <w:proofErr w:type="spellStart"/>
        <w:r>
          <w:rPr>
            <w:color w:val="000000"/>
            <w:sz w:val="24"/>
            <w:szCs w:val="24"/>
          </w:rPr>
          <w:t>Bodziak</w:t>
        </w:r>
        <w:proofErr w:type="spellEnd"/>
        <w:r>
          <w:rPr>
            <w:color w:val="000000"/>
            <w:sz w:val="24"/>
            <w:szCs w:val="24"/>
          </w:rPr>
          <w:t>, 2017</w:t>
        </w:r>
        <w:r w:rsidR="005B5E6A">
          <w:rPr>
            <w:color w:val="000000"/>
            <w:sz w:val="24"/>
            <w:szCs w:val="24"/>
          </w:rPr>
          <w:t xml:space="preserve">, </w:t>
        </w:r>
        <w:r w:rsidR="005B5E6A">
          <w:rPr>
            <w:i/>
            <w:iCs/>
            <w:color w:val="000000"/>
            <w:sz w:val="24"/>
            <w:szCs w:val="24"/>
          </w:rPr>
          <w:t>p1</w:t>
        </w:r>
        <w:r>
          <w:rPr>
            <w:color w:val="000000"/>
            <w:sz w:val="24"/>
            <w:szCs w:val="24"/>
          </w:rPr>
          <w:t>)</w:t>
        </w:r>
      </w:hyperlink>
      <w:r w:rsidR="005B5E6A">
        <w:rPr>
          <w:sz w:val="24"/>
          <w:szCs w:val="24"/>
        </w:rPr>
        <w:t>.</w:t>
      </w:r>
    </w:p>
    <w:p w14:paraId="00000044" w14:textId="77777777" w:rsidR="00DB4DA1" w:rsidRDefault="00DB4DA1">
      <w:pPr>
        <w:spacing w:line="480" w:lineRule="auto"/>
        <w:rPr>
          <w:sz w:val="24"/>
          <w:szCs w:val="24"/>
        </w:rPr>
      </w:pPr>
    </w:p>
    <w:p w14:paraId="00000045" w14:textId="77777777" w:rsidR="00DB4DA1" w:rsidRDefault="00443CBE">
      <w:pPr>
        <w:spacing w:line="480" w:lineRule="auto"/>
        <w:rPr>
          <w:sz w:val="24"/>
          <w:szCs w:val="24"/>
        </w:rPr>
      </w:pPr>
      <w:r>
        <w:rPr>
          <w:sz w:val="24"/>
          <w:szCs w:val="24"/>
        </w:rPr>
        <w:t xml:space="preserve">It is important to understand not only the procedures for managing a crime scene and its personnel, but the methods used for collection and examination of forensic evidence in order to complete a successful investigation of a crime. </w:t>
      </w:r>
    </w:p>
    <w:p w14:paraId="00000046" w14:textId="77777777" w:rsidR="00DB4DA1" w:rsidRDefault="00DB4DA1">
      <w:pPr>
        <w:spacing w:line="480" w:lineRule="auto"/>
        <w:rPr>
          <w:sz w:val="24"/>
          <w:szCs w:val="24"/>
        </w:rPr>
      </w:pPr>
    </w:p>
    <w:p w14:paraId="00000047" w14:textId="77777777" w:rsidR="00DB4DA1" w:rsidRDefault="00443CBE">
      <w:pPr>
        <w:spacing w:line="480" w:lineRule="auto"/>
        <w:rPr>
          <w:sz w:val="24"/>
          <w:szCs w:val="24"/>
        </w:rPr>
      </w:pPr>
      <w:r>
        <w:rPr>
          <w:sz w:val="24"/>
          <w:szCs w:val="24"/>
        </w:rPr>
        <w:t xml:space="preserve">When looking at trace evidence, it is vital to note that the successful recovery and testing of trace evidence can not only result in the solving of one crime, but a </w:t>
      </w:r>
      <w:r>
        <w:rPr>
          <w:sz w:val="24"/>
          <w:szCs w:val="24"/>
        </w:rPr>
        <w:lastRenderedPageBreak/>
        <w:t xml:space="preserve">connection to other crimes, potentially in a series of homicides or a string of burglaries </w:t>
      </w:r>
      <w:hyperlink r:id="rId46">
        <w:r>
          <w:rPr>
            <w:color w:val="000000"/>
            <w:sz w:val="24"/>
            <w:szCs w:val="24"/>
          </w:rPr>
          <w:t>(Hess, 2016)</w:t>
        </w:r>
      </w:hyperlink>
      <w:r>
        <w:rPr>
          <w:sz w:val="24"/>
          <w:szCs w:val="24"/>
        </w:rPr>
        <w:t xml:space="preserve">. Trace evidence, such as the transfer of material from an offender's clothing, can be recovered by picking off a clump of </w:t>
      </w:r>
      <w:proofErr w:type="spellStart"/>
      <w:r>
        <w:rPr>
          <w:sz w:val="24"/>
          <w:szCs w:val="24"/>
        </w:rPr>
        <w:t>fibres</w:t>
      </w:r>
      <w:proofErr w:type="spellEnd"/>
      <w:r>
        <w:rPr>
          <w:sz w:val="24"/>
          <w:szCs w:val="24"/>
        </w:rPr>
        <w:t xml:space="preserve"> using tweezers and then sealing the </w:t>
      </w:r>
      <w:proofErr w:type="spellStart"/>
      <w:r>
        <w:rPr>
          <w:sz w:val="24"/>
          <w:szCs w:val="24"/>
        </w:rPr>
        <w:t>fibres</w:t>
      </w:r>
      <w:proofErr w:type="spellEnd"/>
      <w:r>
        <w:rPr>
          <w:sz w:val="24"/>
          <w:szCs w:val="24"/>
        </w:rPr>
        <w:t xml:space="preserve"> in a paper wrap and polythene bag, or by recovering the </w:t>
      </w:r>
      <w:proofErr w:type="spellStart"/>
      <w:r>
        <w:rPr>
          <w:sz w:val="24"/>
          <w:szCs w:val="24"/>
        </w:rPr>
        <w:t>fibres</w:t>
      </w:r>
      <w:proofErr w:type="spellEnd"/>
      <w:r>
        <w:rPr>
          <w:sz w:val="24"/>
          <w:szCs w:val="24"/>
        </w:rPr>
        <w:t xml:space="preserve"> using clear adhesive tape. The method of recovery would depend on the location of the </w:t>
      </w:r>
      <w:proofErr w:type="spellStart"/>
      <w:r>
        <w:rPr>
          <w:sz w:val="24"/>
          <w:szCs w:val="24"/>
        </w:rPr>
        <w:t>fibres</w:t>
      </w:r>
      <w:proofErr w:type="spellEnd"/>
      <w:r>
        <w:rPr>
          <w:sz w:val="24"/>
          <w:szCs w:val="24"/>
        </w:rPr>
        <w:t xml:space="preserve"> and factors such as the weather; if the location is exposed to the outdoors in some way that may potentially contaminate the evidence if it is not collected properly </w:t>
      </w:r>
      <w:hyperlink r:id="rId47">
        <w:r>
          <w:rPr>
            <w:color w:val="000000"/>
            <w:sz w:val="24"/>
            <w:szCs w:val="24"/>
          </w:rPr>
          <w:t>(Pepper, 2010)</w:t>
        </w:r>
      </w:hyperlink>
      <w:r>
        <w:rPr>
          <w:sz w:val="24"/>
          <w:szCs w:val="24"/>
        </w:rPr>
        <w:t xml:space="preserve">. Some </w:t>
      </w:r>
      <w:proofErr w:type="spellStart"/>
      <w:r>
        <w:rPr>
          <w:sz w:val="24"/>
          <w:szCs w:val="24"/>
        </w:rPr>
        <w:t>fibres</w:t>
      </w:r>
      <w:proofErr w:type="spellEnd"/>
      <w:r>
        <w:rPr>
          <w:sz w:val="24"/>
          <w:szCs w:val="24"/>
        </w:rPr>
        <w:t xml:space="preserve"> can also deposit onto the clothing that the offender wore at the time of the offence, the items of clothing can then be recovered and tested </w:t>
      </w:r>
      <w:hyperlink r:id="rId48">
        <w:r>
          <w:rPr>
            <w:color w:val="000000"/>
            <w:sz w:val="24"/>
            <w:szCs w:val="24"/>
          </w:rPr>
          <w:t>(Pepper, 2010)</w:t>
        </w:r>
      </w:hyperlink>
      <w:r>
        <w:rPr>
          <w:sz w:val="24"/>
          <w:szCs w:val="24"/>
        </w:rPr>
        <w:t>.</w:t>
      </w:r>
    </w:p>
    <w:p w14:paraId="00000048" w14:textId="77777777" w:rsidR="00DB4DA1" w:rsidRDefault="00DB4DA1">
      <w:pPr>
        <w:spacing w:line="480" w:lineRule="auto"/>
        <w:rPr>
          <w:sz w:val="24"/>
          <w:szCs w:val="24"/>
        </w:rPr>
      </w:pPr>
    </w:p>
    <w:p w14:paraId="00000049" w14:textId="77777777" w:rsidR="00DB4DA1" w:rsidRDefault="00443CBE">
      <w:pPr>
        <w:spacing w:line="480" w:lineRule="auto"/>
        <w:rPr>
          <w:sz w:val="24"/>
          <w:szCs w:val="24"/>
        </w:rPr>
      </w:pPr>
      <w:r>
        <w:rPr>
          <w:sz w:val="24"/>
          <w:szCs w:val="24"/>
        </w:rPr>
        <w:t xml:space="preserve">One further example of a method of forensic evidence would be that of impression evidence; objects, or materials, which have retained characteristics of another object(s) or material(s) through direct and physical contact. This can include, but is not limited to, hand prints and fingerprints, impressions of footprints, tires, teeth, lips and tool impressions; all of which can be incredibly valuable forms of evidence </w:t>
      </w:r>
      <w:hyperlink r:id="rId49">
        <w:r>
          <w:rPr>
            <w:color w:val="000000"/>
            <w:sz w:val="24"/>
            <w:szCs w:val="24"/>
          </w:rPr>
          <w:t>(</w:t>
        </w:r>
        <w:proofErr w:type="spellStart"/>
        <w:r>
          <w:rPr>
            <w:color w:val="000000"/>
            <w:sz w:val="24"/>
            <w:szCs w:val="24"/>
          </w:rPr>
          <w:t>Bodziak</w:t>
        </w:r>
        <w:proofErr w:type="spellEnd"/>
        <w:r>
          <w:rPr>
            <w:color w:val="000000"/>
            <w:sz w:val="24"/>
            <w:szCs w:val="24"/>
          </w:rPr>
          <w:t>, 2017)</w:t>
        </w:r>
      </w:hyperlink>
      <w:r>
        <w:rPr>
          <w:sz w:val="24"/>
          <w:szCs w:val="24"/>
        </w:rPr>
        <w:t xml:space="preserve">. </w:t>
      </w:r>
    </w:p>
    <w:p w14:paraId="0000004A" w14:textId="77777777" w:rsidR="00DB4DA1" w:rsidRDefault="00DB4DA1">
      <w:pPr>
        <w:spacing w:line="480" w:lineRule="auto"/>
        <w:rPr>
          <w:sz w:val="24"/>
          <w:szCs w:val="24"/>
        </w:rPr>
      </w:pPr>
    </w:p>
    <w:p w14:paraId="0000004B" w14:textId="77777777" w:rsidR="00DB4DA1" w:rsidRDefault="00443CBE">
      <w:pPr>
        <w:spacing w:line="480" w:lineRule="auto"/>
        <w:rPr>
          <w:sz w:val="24"/>
          <w:szCs w:val="24"/>
        </w:rPr>
      </w:pPr>
      <w:r>
        <w:rPr>
          <w:sz w:val="24"/>
          <w:szCs w:val="24"/>
        </w:rPr>
        <w:t xml:space="preserve">In 1989, a convicted murderer, Allan Legere, escaped from Canadian custody and murdered a further four people while authorities were trying to locate his whereabouts </w:t>
      </w:r>
      <w:hyperlink r:id="rId50">
        <w:r>
          <w:rPr>
            <w:color w:val="000000"/>
            <w:sz w:val="24"/>
            <w:szCs w:val="24"/>
          </w:rPr>
          <w:t>(</w:t>
        </w:r>
        <w:proofErr w:type="spellStart"/>
        <w:r>
          <w:rPr>
            <w:color w:val="000000"/>
            <w:sz w:val="24"/>
            <w:szCs w:val="24"/>
          </w:rPr>
          <w:t>MacInnis</w:t>
        </w:r>
        <w:proofErr w:type="spellEnd"/>
        <w:r>
          <w:rPr>
            <w:color w:val="000000"/>
            <w:sz w:val="24"/>
            <w:szCs w:val="24"/>
          </w:rPr>
          <w:t xml:space="preserve"> and April, 2020)</w:t>
        </w:r>
      </w:hyperlink>
      <w:r>
        <w:rPr>
          <w:sz w:val="24"/>
          <w:szCs w:val="24"/>
        </w:rPr>
        <w:t xml:space="preserve">. At one crime scene, they collected blood covered impressions of boots which they later connected to a pair of boots which were discarded behind a motel miles away from the scene </w:t>
      </w:r>
      <w:hyperlink r:id="rId51">
        <w:r>
          <w:rPr>
            <w:color w:val="000000"/>
            <w:sz w:val="24"/>
            <w:szCs w:val="24"/>
          </w:rPr>
          <w:t>(Butts, 2017)</w:t>
        </w:r>
      </w:hyperlink>
      <w:r>
        <w:rPr>
          <w:sz w:val="24"/>
          <w:szCs w:val="24"/>
        </w:rPr>
        <w:t xml:space="preserve">. They then matched a nail found protruding through the boot to the scar the nail left on the heel of Legere when he was eventually captured </w:t>
      </w:r>
      <w:hyperlink r:id="rId52">
        <w:r>
          <w:rPr>
            <w:color w:val="000000"/>
            <w:sz w:val="24"/>
            <w:szCs w:val="24"/>
          </w:rPr>
          <w:t>(Kennedy, 2007)</w:t>
        </w:r>
      </w:hyperlink>
      <w:r>
        <w:rPr>
          <w:sz w:val="24"/>
          <w:szCs w:val="24"/>
        </w:rPr>
        <w:t>.</w:t>
      </w:r>
    </w:p>
    <w:p w14:paraId="0000004D" w14:textId="2D21D2FC" w:rsidR="00DB4DA1" w:rsidRDefault="00443CBE">
      <w:pPr>
        <w:spacing w:line="480" w:lineRule="auto"/>
        <w:rPr>
          <w:sz w:val="24"/>
          <w:szCs w:val="24"/>
        </w:rPr>
      </w:pPr>
      <w:r>
        <w:rPr>
          <w:sz w:val="24"/>
          <w:szCs w:val="24"/>
        </w:rPr>
        <w:lastRenderedPageBreak/>
        <w:t xml:space="preserve">The most common places where foot impressions, specifically, can be found would be the area the crime took place (the point of </w:t>
      </w:r>
      <w:r w:rsidR="005B5E6A">
        <w:rPr>
          <w:sz w:val="24"/>
          <w:szCs w:val="24"/>
        </w:rPr>
        <w:t>occurrence</w:t>
      </w:r>
      <w:r>
        <w:rPr>
          <w:sz w:val="24"/>
          <w:szCs w:val="24"/>
        </w:rPr>
        <w:t xml:space="preserve">), and footprints may be left in blood, on clothing or on a body </w:t>
      </w:r>
      <w:hyperlink r:id="rId53">
        <w:r>
          <w:rPr>
            <w:color w:val="000000"/>
            <w:sz w:val="24"/>
            <w:szCs w:val="24"/>
          </w:rPr>
          <w:t>(Vernon, 2006)</w:t>
        </w:r>
      </w:hyperlink>
      <w:r>
        <w:rPr>
          <w:sz w:val="24"/>
          <w:szCs w:val="24"/>
        </w:rPr>
        <w:t xml:space="preserve">. Footprints may also be found at the point of entry, the path through the crime scene, the point of exit and other exterior areas surrounding the scene. The previously discussed techniques of sealing the scene and monitoring who goes in and out of it wearing the correct PPE equipment assist in preserving any foot impressions that can be used for evidence. Many types of footprints can be temporary in nature, they fade for one reason or another, and so they must be collected and photographed as soon as it is possible to do so </w:t>
      </w:r>
      <w:hyperlink r:id="rId54">
        <w:r>
          <w:rPr>
            <w:color w:val="000000"/>
            <w:sz w:val="24"/>
            <w:szCs w:val="24"/>
          </w:rPr>
          <w:t>(</w:t>
        </w:r>
        <w:proofErr w:type="spellStart"/>
        <w:r>
          <w:rPr>
            <w:color w:val="000000"/>
            <w:sz w:val="24"/>
            <w:szCs w:val="24"/>
          </w:rPr>
          <w:t>Bodziak</w:t>
        </w:r>
        <w:proofErr w:type="spellEnd"/>
        <w:r>
          <w:rPr>
            <w:color w:val="000000"/>
            <w:sz w:val="24"/>
            <w:szCs w:val="24"/>
          </w:rPr>
          <w:t>, 2017)</w:t>
        </w:r>
      </w:hyperlink>
      <w:r>
        <w:rPr>
          <w:sz w:val="24"/>
          <w:szCs w:val="24"/>
        </w:rPr>
        <w:t>.</w:t>
      </w:r>
    </w:p>
    <w:p w14:paraId="0000004E" w14:textId="77777777" w:rsidR="00DB4DA1" w:rsidRDefault="00DB4DA1">
      <w:pPr>
        <w:spacing w:line="480" w:lineRule="auto"/>
        <w:rPr>
          <w:sz w:val="24"/>
          <w:szCs w:val="24"/>
        </w:rPr>
      </w:pPr>
    </w:p>
    <w:p w14:paraId="0000004F" w14:textId="143C7FF6" w:rsidR="00DB4DA1" w:rsidRDefault="00443CBE">
      <w:pPr>
        <w:spacing w:line="480" w:lineRule="auto"/>
        <w:rPr>
          <w:sz w:val="24"/>
          <w:szCs w:val="24"/>
        </w:rPr>
      </w:pPr>
      <w:r>
        <w:rPr>
          <w:sz w:val="24"/>
          <w:szCs w:val="24"/>
        </w:rPr>
        <w:t xml:space="preserve">In 1995, the FSS (Forensic Science Service) created the first ever established national database of DNA which held the DNA of those who were suspected of committing crimes, convicted of crimes and even those who were acquitted </w:t>
      </w:r>
      <w:hyperlink r:id="rId55">
        <w:r>
          <w:rPr>
            <w:color w:val="000000"/>
            <w:sz w:val="24"/>
            <w:szCs w:val="24"/>
          </w:rPr>
          <w:t>(</w:t>
        </w:r>
      </w:hyperlink>
      <w:hyperlink r:id="rId56">
        <w:r>
          <w:rPr>
            <w:i/>
            <w:color w:val="000000"/>
            <w:sz w:val="24"/>
            <w:szCs w:val="24"/>
          </w:rPr>
          <w:t>Criminal Justice and Police Act</w:t>
        </w:r>
      </w:hyperlink>
      <w:hyperlink r:id="rId57">
        <w:r>
          <w:rPr>
            <w:color w:val="000000"/>
            <w:sz w:val="24"/>
            <w:szCs w:val="24"/>
          </w:rPr>
          <w:t>, 2001)</w:t>
        </w:r>
      </w:hyperlink>
      <w:r>
        <w:rPr>
          <w:sz w:val="24"/>
          <w:szCs w:val="24"/>
        </w:rPr>
        <w:t xml:space="preserve">. Samples collected at crime scenes were also stored on this database, allowing for the beginning of an </w:t>
      </w:r>
      <w:proofErr w:type="spellStart"/>
      <w:r>
        <w:rPr>
          <w:sz w:val="24"/>
          <w:szCs w:val="24"/>
        </w:rPr>
        <w:t>organised</w:t>
      </w:r>
      <w:proofErr w:type="spellEnd"/>
      <w:r>
        <w:rPr>
          <w:sz w:val="24"/>
          <w:szCs w:val="24"/>
        </w:rPr>
        <w:t xml:space="preserve"> method of linking suspects to crime scenes through DNA analysis </w:t>
      </w:r>
      <w:hyperlink r:id="rId58">
        <w:r>
          <w:rPr>
            <w:color w:val="000000"/>
            <w:sz w:val="24"/>
            <w:szCs w:val="24"/>
          </w:rPr>
          <w:t>(Fraser and Williams, 2013)</w:t>
        </w:r>
      </w:hyperlink>
      <w:r>
        <w:rPr>
          <w:sz w:val="24"/>
          <w:szCs w:val="24"/>
        </w:rPr>
        <w:t xml:space="preserve">. Following the European Court of Human Rights declaring that it was a breach of human rights to indefinitely store DNA of those who are not charged or convicted with a crime </w:t>
      </w:r>
      <w:hyperlink r:id="rId59">
        <w:r>
          <w:rPr>
            <w:color w:val="000000"/>
            <w:sz w:val="24"/>
            <w:szCs w:val="24"/>
          </w:rPr>
          <w:t>(Walker, 2008)</w:t>
        </w:r>
      </w:hyperlink>
      <w:r>
        <w:rPr>
          <w:sz w:val="24"/>
          <w:szCs w:val="24"/>
        </w:rPr>
        <w:t xml:space="preserve">, the then Home Secretary in 2009 stated that DNA profiles would be removed from the database after six years if the person had not been charged or convicted, with the exception of DNA profiles that were collected for use in </w:t>
      </w:r>
      <w:r w:rsidR="005B5E6A">
        <w:rPr>
          <w:sz w:val="24"/>
          <w:szCs w:val="24"/>
        </w:rPr>
        <w:t>terrorism</w:t>
      </w:r>
      <w:r>
        <w:rPr>
          <w:sz w:val="24"/>
          <w:szCs w:val="24"/>
        </w:rPr>
        <w:t xml:space="preserve"> or national security investigations, these could be maintained beyond the six year time limit and would be periodically reviewed </w:t>
      </w:r>
      <w:hyperlink r:id="rId60">
        <w:r>
          <w:rPr>
            <w:color w:val="000000"/>
            <w:sz w:val="24"/>
            <w:szCs w:val="24"/>
          </w:rPr>
          <w:t>(The Home Affairs Committee, 2010)</w:t>
        </w:r>
      </w:hyperlink>
      <w:r>
        <w:rPr>
          <w:sz w:val="24"/>
          <w:szCs w:val="24"/>
        </w:rPr>
        <w:t>.</w:t>
      </w:r>
    </w:p>
    <w:p w14:paraId="00000050" w14:textId="77777777" w:rsidR="00DB4DA1" w:rsidRDefault="00DB4DA1">
      <w:pPr>
        <w:spacing w:line="480" w:lineRule="auto"/>
        <w:rPr>
          <w:sz w:val="24"/>
          <w:szCs w:val="24"/>
        </w:rPr>
      </w:pPr>
    </w:p>
    <w:p w14:paraId="00000051" w14:textId="2EE1D42A" w:rsidR="00DB4DA1" w:rsidRDefault="008C7624">
      <w:pPr>
        <w:spacing w:line="480" w:lineRule="auto"/>
        <w:rPr>
          <w:sz w:val="24"/>
          <w:szCs w:val="24"/>
        </w:rPr>
      </w:pPr>
      <w:hyperlink r:id="rId61">
        <w:r w:rsidR="00443CBE">
          <w:rPr>
            <w:color w:val="000000"/>
            <w:sz w:val="24"/>
            <w:szCs w:val="24"/>
          </w:rPr>
          <w:t xml:space="preserve">Fraser and Fraser </w:t>
        </w:r>
        <w:r w:rsidR="005B5E6A">
          <w:rPr>
            <w:color w:val="000000"/>
            <w:sz w:val="24"/>
            <w:szCs w:val="24"/>
          </w:rPr>
          <w:t>(</w:t>
        </w:r>
        <w:r w:rsidR="00443CBE">
          <w:rPr>
            <w:color w:val="000000"/>
            <w:sz w:val="24"/>
            <w:szCs w:val="24"/>
          </w:rPr>
          <w:t>2010)</w:t>
        </w:r>
      </w:hyperlink>
      <w:r w:rsidR="00443CBE">
        <w:rPr>
          <w:sz w:val="24"/>
          <w:szCs w:val="24"/>
        </w:rPr>
        <w:t xml:space="preserve"> suggest that upon any examination of a crime scene, it is probable that disturbing the scene will contaminate the scene in some aspect, but the steps taken to ‘control, record and recover’ mean that this does not impact the validity of the evidence collected. </w:t>
      </w:r>
    </w:p>
    <w:p w14:paraId="00000052" w14:textId="77777777" w:rsidR="00DB4DA1" w:rsidRDefault="00DB4DA1">
      <w:pPr>
        <w:spacing w:line="480" w:lineRule="auto"/>
        <w:rPr>
          <w:sz w:val="24"/>
          <w:szCs w:val="24"/>
        </w:rPr>
      </w:pPr>
    </w:p>
    <w:p w14:paraId="00000053" w14:textId="4F8A33E1" w:rsidR="00DB4DA1" w:rsidRDefault="00443CBE">
      <w:pPr>
        <w:spacing w:line="480" w:lineRule="auto"/>
        <w:rPr>
          <w:sz w:val="24"/>
          <w:szCs w:val="24"/>
        </w:rPr>
      </w:pPr>
      <w:r>
        <w:rPr>
          <w:sz w:val="24"/>
          <w:szCs w:val="24"/>
        </w:rPr>
        <w:t xml:space="preserve">The correct collection and storage of DNA samples with the profiles stored in a database have led to the resolution of cases years after the incident </w:t>
      </w:r>
      <w:r w:rsidR="005B5E6A">
        <w:rPr>
          <w:sz w:val="24"/>
          <w:szCs w:val="24"/>
        </w:rPr>
        <w:t>occurred</w:t>
      </w:r>
      <w:r>
        <w:rPr>
          <w:sz w:val="24"/>
          <w:szCs w:val="24"/>
        </w:rPr>
        <w:t xml:space="preserve"> and with technology in this field continuing to develop as time passes, the chances of solving a crime using forensic science at the time of the offence or in ‘cold cases’ will only increase </w:t>
      </w:r>
      <w:hyperlink r:id="rId62">
        <w:r>
          <w:rPr>
            <w:color w:val="000000"/>
            <w:sz w:val="24"/>
            <w:szCs w:val="24"/>
          </w:rPr>
          <w:t>(Butler, 2015)</w:t>
        </w:r>
      </w:hyperlink>
      <w:r>
        <w:rPr>
          <w:sz w:val="24"/>
          <w:szCs w:val="24"/>
        </w:rPr>
        <w:t>.</w:t>
      </w:r>
    </w:p>
    <w:p w14:paraId="00000054" w14:textId="77777777" w:rsidR="00DB4DA1" w:rsidRDefault="00DB4DA1">
      <w:pPr>
        <w:spacing w:line="480" w:lineRule="auto"/>
        <w:rPr>
          <w:sz w:val="24"/>
          <w:szCs w:val="24"/>
        </w:rPr>
      </w:pPr>
    </w:p>
    <w:p w14:paraId="00000055" w14:textId="196942A0" w:rsidR="00DB4DA1" w:rsidRDefault="00443CBE">
      <w:pPr>
        <w:spacing w:line="480" w:lineRule="auto"/>
        <w:rPr>
          <w:sz w:val="24"/>
          <w:szCs w:val="24"/>
        </w:rPr>
      </w:pPr>
      <w:r>
        <w:rPr>
          <w:sz w:val="24"/>
          <w:szCs w:val="24"/>
        </w:rPr>
        <w:t xml:space="preserve">There is increasing recognition of the importance of the contribution made by forensic science in the UK during a criminal investigation, particularly in the early stages. This is, in part, due to the National DNA Database </w:t>
      </w:r>
      <w:hyperlink r:id="rId63">
        <w:r>
          <w:rPr>
            <w:color w:val="000000"/>
            <w:sz w:val="24"/>
            <w:szCs w:val="24"/>
          </w:rPr>
          <w:t>(Wallace, 2006)</w:t>
        </w:r>
      </w:hyperlink>
      <w:r>
        <w:rPr>
          <w:sz w:val="24"/>
          <w:szCs w:val="24"/>
        </w:rPr>
        <w:t xml:space="preserve">. There have, however, been criticisms of the state of forensic science within the UK, particularly in the legislation. </w:t>
      </w:r>
      <w:hyperlink r:id="rId64">
        <w:r w:rsidR="005B5E6A">
          <w:rPr>
            <w:color w:val="000000"/>
            <w:sz w:val="24"/>
            <w:szCs w:val="24"/>
          </w:rPr>
          <w:t xml:space="preserve">The </w:t>
        </w:r>
        <w:r>
          <w:rPr>
            <w:color w:val="000000"/>
            <w:sz w:val="24"/>
            <w:szCs w:val="24"/>
          </w:rPr>
          <w:t xml:space="preserve">Science and Technology Committee of the House of Lords </w:t>
        </w:r>
        <w:r w:rsidR="005B5E6A">
          <w:rPr>
            <w:color w:val="000000"/>
            <w:sz w:val="24"/>
            <w:szCs w:val="24"/>
          </w:rPr>
          <w:t>(</w:t>
        </w:r>
        <w:r>
          <w:rPr>
            <w:color w:val="000000"/>
            <w:sz w:val="24"/>
            <w:szCs w:val="24"/>
          </w:rPr>
          <w:t>2019)</w:t>
        </w:r>
      </w:hyperlink>
      <w:r>
        <w:rPr>
          <w:sz w:val="24"/>
          <w:szCs w:val="24"/>
        </w:rPr>
        <w:t xml:space="preserve"> criticised</w:t>
      </w:r>
      <w:r w:rsidR="005B5E6A">
        <w:rPr>
          <w:sz w:val="24"/>
          <w:szCs w:val="24"/>
        </w:rPr>
        <w:t xml:space="preserve"> the</w:t>
      </w:r>
      <w:r>
        <w:rPr>
          <w:sz w:val="24"/>
          <w:szCs w:val="24"/>
        </w:rPr>
        <w:t xml:space="preserve"> UK police forces for being unable to meet evidence standards for fingerprinting and the lack of oversight from the government and legislation governing the collection and use of forensic evidence, warning that if changes were not made to address these failings that the public would lose trust in scientific evidence and therefore lose trust in the criminal justice system itself. </w:t>
      </w:r>
    </w:p>
    <w:p w14:paraId="00000056" w14:textId="77777777" w:rsidR="00DB4DA1" w:rsidRDefault="00DB4DA1">
      <w:pPr>
        <w:spacing w:line="480" w:lineRule="auto"/>
        <w:rPr>
          <w:sz w:val="24"/>
          <w:szCs w:val="24"/>
        </w:rPr>
      </w:pPr>
    </w:p>
    <w:p w14:paraId="00000057" w14:textId="77777777" w:rsidR="00DB4DA1" w:rsidRDefault="00443CBE">
      <w:pPr>
        <w:spacing w:line="480" w:lineRule="auto"/>
        <w:rPr>
          <w:sz w:val="24"/>
          <w:szCs w:val="24"/>
        </w:rPr>
      </w:pPr>
      <w:r>
        <w:rPr>
          <w:sz w:val="24"/>
          <w:szCs w:val="24"/>
        </w:rPr>
        <w:lastRenderedPageBreak/>
        <w:t xml:space="preserve">There is also the issue of what is referred to as “confirmation bias”; a latent fingerprint from a bag that contained detonating devices in the March 2004 bombings of Madrid, which killed 191 people and injured a further 1800, the U.S Federal Bureau </w:t>
      </w:r>
      <w:proofErr w:type="spellStart"/>
      <w:r>
        <w:rPr>
          <w:sz w:val="24"/>
          <w:szCs w:val="24"/>
        </w:rPr>
        <w:t>or</w:t>
      </w:r>
      <w:proofErr w:type="spellEnd"/>
      <w:r>
        <w:rPr>
          <w:sz w:val="24"/>
          <w:szCs w:val="24"/>
        </w:rPr>
        <w:t xml:space="preserve"> Investigation (FBI) identified Brandon Mayfield, an American-Muslim in Oregon, who was previously on an FBI ‘watch list’ </w:t>
      </w:r>
      <w:hyperlink r:id="rId65">
        <w:r>
          <w:rPr>
            <w:color w:val="000000"/>
            <w:sz w:val="24"/>
            <w:szCs w:val="24"/>
          </w:rPr>
          <w:t>(Stout, 2004)</w:t>
        </w:r>
      </w:hyperlink>
      <w:r>
        <w:rPr>
          <w:sz w:val="24"/>
          <w:szCs w:val="24"/>
        </w:rPr>
        <w:t xml:space="preserve">. Later, Spanish authorities matched the prints to an Algerian national </w:t>
      </w:r>
      <w:proofErr w:type="spellStart"/>
      <w:r>
        <w:rPr>
          <w:sz w:val="24"/>
          <w:szCs w:val="24"/>
        </w:rPr>
        <w:t>Ouhane</w:t>
      </w:r>
      <w:proofErr w:type="spellEnd"/>
      <w:r>
        <w:rPr>
          <w:sz w:val="24"/>
          <w:szCs w:val="24"/>
        </w:rPr>
        <w:t xml:space="preserve"> Daoud, who was </w:t>
      </w:r>
      <w:proofErr w:type="gramStart"/>
      <w:r>
        <w:rPr>
          <w:sz w:val="24"/>
          <w:szCs w:val="24"/>
        </w:rPr>
        <w:t>actually responsible</w:t>
      </w:r>
      <w:proofErr w:type="gramEnd"/>
      <w:r>
        <w:rPr>
          <w:sz w:val="24"/>
          <w:szCs w:val="24"/>
        </w:rPr>
        <w:t xml:space="preserve"> for the bombings. An investigation followed and a report by the Office of the Inspector General that there was a “confirmation bias” in identification </w:t>
      </w:r>
      <w:hyperlink r:id="rId66">
        <w:r>
          <w:rPr>
            <w:color w:val="000000"/>
            <w:sz w:val="24"/>
            <w:szCs w:val="24"/>
          </w:rPr>
          <w:t>(</w:t>
        </w:r>
        <w:proofErr w:type="spellStart"/>
        <w:r>
          <w:rPr>
            <w:color w:val="000000"/>
            <w:sz w:val="24"/>
            <w:szCs w:val="24"/>
          </w:rPr>
          <w:t>Kassin</w:t>
        </w:r>
        <w:proofErr w:type="spellEnd"/>
        <w:r>
          <w:rPr>
            <w:color w:val="000000"/>
            <w:sz w:val="24"/>
            <w:szCs w:val="24"/>
          </w:rPr>
          <w:t xml:space="preserve">, </w:t>
        </w:r>
        <w:proofErr w:type="spellStart"/>
        <w:r>
          <w:rPr>
            <w:color w:val="000000"/>
            <w:sz w:val="24"/>
            <w:szCs w:val="24"/>
          </w:rPr>
          <w:t>Dror</w:t>
        </w:r>
        <w:proofErr w:type="spellEnd"/>
        <w:r>
          <w:rPr>
            <w:color w:val="000000"/>
            <w:sz w:val="24"/>
            <w:szCs w:val="24"/>
          </w:rPr>
          <w:t xml:space="preserve"> and </w:t>
        </w:r>
        <w:proofErr w:type="spellStart"/>
        <w:r>
          <w:rPr>
            <w:color w:val="000000"/>
            <w:sz w:val="24"/>
            <w:szCs w:val="24"/>
          </w:rPr>
          <w:t>Kukucka</w:t>
        </w:r>
        <w:proofErr w:type="spellEnd"/>
        <w:r>
          <w:rPr>
            <w:color w:val="000000"/>
            <w:sz w:val="24"/>
            <w:szCs w:val="24"/>
          </w:rPr>
          <w:t>, 2013)</w:t>
        </w:r>
      </w:hyperlink>
      <w:r>
        <w:rPr>
          <w:sz w:val="24"/>
          <w:szCs w:val="24"/>
        </w:rPr>
        <w:t xml:space="preserve">. This “confirmation bias” cost the U.S. government $2 million dollars in compensation </w:t>
      </w:r>
      <w:hyperlink r:id="rId67">
        <w:r>
          <w:rPr>
            <w:color w:val="000000"/>
            <w:sz w:val="24"/>
            <w:szCs w:val="24"/>
          </w:rPr>
          <w:t>(OIG, 2006)</w:t>
        </w:r>
      </w:hyperlink>
      <w:r>
        <w:rPr>
          <w:sz w:val="24"/>
          <w:szCs w:val="24"/>
        </w:rPr>
        <w:t xml:space="preserve">. </w:t>
      </w:r>
    </w:p>
    <w:p w14:paraId="00000058" w14:textId="77777777" w:rsidR="00DB4DA1" w:rsidRDefault="00DB4DA1">
      <w:pPr>
        <w:spacing w:line="480" w:lineRule="auto"/>
        <w:rPr>
          <w:sz w:val="24"/>
          <w:szCs w:val="24"/>
        </w:rPr>
      </w:pPr>
    </w:p>
    <w:p w14:paraId="00000059" w14:textId="77777777" w:rsidR="00DB4DA1" w:rsidRDefault="00443CBE" w:rsidP="005B5E6A">
      <w:pPr>
        <w:spacing w:line="480" w:lineRule="auto"/>
        <w:rPr>
          <w:sz w:val="24"/>
          <w:szCs w:val="24"/>
        </w:rPr>
      </w:pPr>
      <w:r>
        <w:rPr>
          <w:sz w:val="24"/>
          <w:szCs w:val="24"/>
        </w:rPr>
        <w:t xml:space="preserve">As no two patterns are identical in latent fingerprint analysis, an examiner must decide whether fingerprint comparisons are “sufficiently similar” in order to conclude whether or not they are from the same person, however, this term “sufficiently similar” has yet to be clarified with a complete definition of what constitutes similar enough to warrant reliable evidence </w:t>
      </w:r>
      <w:hyperlink r:id="rId68">
        <w:r>
          <w:rPr>
            <w:color w:val="000000"/>
            <w:sz w:val="24"/>
            <w:szCs w:val="24"/>
          </w:rPr>
          <w:t>(</w:t>
        </w:r>
        <w:proofErr w:type="spellStart"/>
        <w:r>
          <w:rPr>
            <w:color w:val="000000"/>
            <w:sz w:val="24"/>
            <w:szCs w:val="24"/>
          </w:rPr>
          <w:t>Tangen</w:t>
        </w:r>
        <w:proofErr w:type="spellEnd"/>
        <w:r>
          <w:rPr>
            <w:color w:val="000000"/>
            <w:sz w:val="24"/>
            <w:szCs w:val="24"/>
          </w:rPr>
          <w:t>, Thompson and McCarthy, 2011)</w:t>
        </w:r>
      </w:hyperlink>
      <w:r>
        <w:rPr>
          <w:sz w:val="24"/>
          <w:szCs w:val="24"/>
        </w:rPr>
        <w:t xml:space="preserve">. </w:t>
      </w:r>
    </w:p>
    <w:p w14:paraId="0000005A" w14:textId="77777777" w:rsidR="00DB4DA1" w:rsidRDefault="00DB4DA1">
      <w:pPr>
        <w:spacing w:line="480" w:lineRule="auto"/>
        <w:rPr>
          <w:sz w:val="24"/>
          <w:szCs w:val="24"/>
        </w:rPr>
      </w:pPr>
    </w:p>
    <w:p w14:paraId="0000005B" w14:textId="2AB9E4D4" w:rsidR="00DB4DA1" w:rsidRDefault="008C7624">
      <w:pPr>
        <w:spacing w:line="480" w:lineRule="auto"/>
        <w:rPr>
          <w:sz w:val="24"/>
          <w:szCs w:val="24"/>
        </w:rPr>
      </w:pPr>
      <w:hyperlink r:id="rId69">
        <w:proofErr w:type="spellStart"/>
        <w:r w:rsidR="00443CBE">
          <w:rPr>
            <w:color w:val="000000"/>
            <w:sz w:val="24"/>
            <w:szCs w:val="24"/>
          </w:rPr>
          <w:t>Kassin</w:t>
        </w:r>
        <w:proofErr w:type="spellEnd"/>
        <w:r w:rsidR="00443CBE">
          <w:rPr>
            <w:color w:val="000000"/>
            <w:sz w:val="24"/>
            <w:szCs w:val="24"/>
          </w:rPr>
          <w:t xml:space="preserve">, </w:t>
        </w:r>
        <w:proofErr w:type="spellStart"/>
        <w:r w:rsidR="00443CBE">
          <w:rPr>
            <w:color w:val="000000"/>
            <w:sz w:val="24"/>
            <w:szCs w:val="24"/>
          </w:rPr>
          <w:t>Dror</w:t>
        </w:r>
        <w:proofErr w:type="spellEnd"/>
        <w:r w:rsidR="00443CBE">
          <w:rPr>
            <w:color w:val="000000"/>
            <w:sz w:val="24"/>
            <w:szCs w:val="24"/>
          </w:rPr>
          <w:t xml:space="preserve"> and </w:t>
        </w:r>
        <w:proofErr w:type="spellStart"/>
        <w:r w:rsidR="00443CBE">
          <w:rPr>
            <w:color w:val="000000"/>
            <w:sz w:val="24"/>
            <w:szCs w:val="24"/>
          </w:rPr>
          <w:t>Kukucka</w:t>
        </w:r>
        <w:proofErr w:type="spellEnd"/>
        <w:r w:rsidR="005B5E6A">
          <w:rPr>
            <w:color w:val="000000"/>
            <w:sz w:val="24"/>
            <w:szCs w:val="24"/>
          </w:rPr>
          <w:t xml:space="preserve"> (</w:t>
        </w:r>
        <w:r w:rsidR="00443CBE">
          <w:rPr>
            <w:color w:val="000000"/>
            <w:sz w:val="24"/>
            <w:szCs w:val="24"/>
          </w:rPr>
          <w:t>2013)</w:t>
        </w:r>
      </w:hyperlink>
      <w:r w:rsidR="00443CBE">
        <w:rPr>
          <w:sz w:val="24"/>
          <w:szCs w:val="24"/>
        </w:rPr>
        <w:t xml:space="preserve"> claim that experts are not only over-confident in their abilities, but that courts, and generally the public due to TV shows such as CSI, ‘blindly accept’ forensic science with a lack of scrutiny </w:t>
      </w:r>
      <w:hyperlink r:id="rId70">
        <w:r w:rsidR="00443CBE">
          <w:rPr>
            <w:color w:val="000000"/>
            <w:sz w:val="24"/>
            <w:szCs w:val="24"/>
          </w:rPr>
          <w:t xml:space="preserve">(Mnookin </w:t>
        </w:r>
      </w:hyperlink>
      <w:hyperlink r:id="rId71">
        <w:r w:rsidR="00443CBE">
          <w:rPr>
            <w:i/>
            <w:color w:val="000000"/>
            <w:sz w:val="24"/>
            <w:szCs w:val="24"/>
          </w:rPr>
          <w:t>et al.</w:t>
        </w:r>
      </w:hyperlink>
      <w:hyperlink r:id="rId72">
        <w:r w:rsidR="00443CBE">
          <w:rPr>
            <w:color w:val="000000"/>
            <w:sz w:val="24"/>
            <w:szCs w:val="24"/>
          </w:rPr>
          <w:t>, 2010)</w:t>
        </w:r>
      </w:hyperlink>
      <w:r w:rsidR="00443CBE">
        <w:rPr>
          <w:sz w:val="24"/>
          <w:szCs w:val="24"/>
        </w:rPr>
        <w:t>.</w:t>
      </w:r>
    </w:p>
    <w:p w14:paraId="0000005C" w14:textId="77777777" w:rsidR="00DB4DA1" w:rsidRDefault="00DB4DA1">
      <w:pPr>
        <w:spacing w:line="480" w:lineRule="auto"/>
        <w:rPr>
          <w:sz w:val="24"/>
          <w:szCs w:val="24"/>
        </w:rPr>
      </w:pPr>
    </w:p>
    <w:p w14:paraId="0000005D" w14:textId="093B0A79" w:rsidR="00DB4DA1" w:rsidRDefault="00443CBE">
      <w:pPr>
        <w:spacing w:line="480" w:lineRule="auto"/>
        <w:rPr>
          <w:sz w:val="24"/>
          <w:szCs w:val="24"/>
        </w:rPr>
      </w:pPr>
      <w:r>
        <w:rPr>
          <w:sz w:val="24"/>
          <w:szCs w:val="24"/>
        </w:rPr>
        <w:t xml:space="preserve">To conclude, a crime scene is one of the most pivotal aspects of a criminal investigation. It is therefore imperative that the correct procedures be understood and </w:t>
      </w:r>
      <w:r>
        <w:rPr>
          <w:sz w:val="24"/>
          <w:szCs w:val="24"/>
        </w:rPr>
        <w:lastRenderedPageBreak/>
        <w:t xml:space="preserve">followed by all who examine the crime scene and the evidence that has been collected, in order for there to be an adequate trial following and to reduce the risk of unfair or unjust outcomes in what follows </w:t>
      </w:r>
      <w:hyperlink r:id="rId73">
        <w:r>
          <w:rPr>
            <w:color w:val="000000"/>
            <w:sz w:val="24"/>
            <w:szCs w:val="24"/>
          </w:rPr>
          <w:t>(</w:t>
        </w:r>
        <w:proofErr w:type="spellStart"/>
        <w:r>
          <w:rPr>
            <w:color w:val="000000"/>
            <w:sz w:val="24"/>
            <w:szCs w:val="24"/>
          </w:rPr>
          <w:t>Eady</w:t>
        </w:r>
        <w:proofErr w:type="spellEnd"/>
        <w:r>
          <w:rPr>
            <w:color w:val="000000"/>
            <w:sz w:val="24"/>
            <w:szCs w:val="24"/>
          </w:rPr>
          <w:t>, 2009)</w:t>
        </w:r>
      </w:hyperlink>
      <w:r>
        <w:rPr>
          <w:sz w:val="24"/>
          <w:szCs w:val="24"/>
        </w:rPr>
        <w:t xml:space="preserve">. In especially serious crimes, such as homicide or a sexual assault, the reducing of risks of criminal justice failures is of the highest importance for not only the victims of the crime but for the wider public </w:t>
      </w:r>
      <w:r w:rsidR="005B5E6A">
        <w:rPr>
          <w:sz w:val="24"/>
          <w:szCs w:val="24"/>
        </w:rPr>
        <w:t>as well</w:t>
      </w:r>
      <w:r>
        <w:rPr>
          <w:sz w:val="24"/>
          <w:szCs w:val="24"/>
        </w:rPr>
        <w:t xml:space="preserve">. The management of a crime scene contributes greatly to the final outcomes of an investigation, and so it is of utmost importance that the first attending officer (FAO) on scene follows all procedures required of them to reduce the risk of contamination of evidence and to reduce the risk of harm to any individuals on or around the scene </w:t>
      </w:r>
      <w:hyperlink r:id="rId74">
        <w:r>
          <w:rPr>
            <w:color w:val="000000"/>
            <w:sz w:val="24"/>
            <w:szCs w:val="24"/>
          </w:rPr>
          <w:t>(College of Policing, 2020b)</w:t>
        </w:r>
      </w:hyperlink>
      <w:r>
        <w:rPr>
          <w:sz w:val="24"/>
          <w:szCs w:val="24"/>
        </w:rPr>
        <w:t xml:space="preserve">. It is also crucial that following this initial arrival on scene, that all personnel reduce the risk of contamination by being aware of trace evidence and that they may easily contaminate evidence if they do not follow the correct procedures </w:t>
      </w:r>
      <w:hyperlink r:id="rId75">
        <w:r>
          <w:rPr>
            <w:color w:val="000000"/>
            <w:sz w:val="24"/>
            <w:szCs w:val="24"/>
          </w:rPr>
          <w:t>(Nance and Morris, 2005)</w:t>
        </w:r>
      </w:hyperlink>
      <w:r>
        <w:rPr>
          <w:sz w:val="24"/>
          <w:szCs w:val="24"/>
        </w:rPr>
        <w:t xml:space="preserve">. The steps that follow collecting evidence must also be carried out with great responsibility in packaging, labelling, transporting and </w:t>
      </w:r>
      <w:proofErr w:type="spellStart"/>
      <w:r>
        <w:rPr>
          <w:sz w:val="24"/>
          <w:szCs w:val="24"/>
        </w:rPr>
        <w:t>analysing</w:t>
      </w:r>
      <w:proofErr w:type="spellEnd"/>
      <w:r>
        <w:rPr>
          <w:sz w:val="24"/>
          <w:szCs w:val="24"/>
        </w:rPr>
        <w:t xml:space="preserve"> evidence </w:t>
      </w:r>
      <w:hyperlink r:id="rId76">
        <w:r>
          <w:rPr>
            <w:color w:val="000000"/>
            <w:sz w:val="24"/>
            <w:szCs w:val="24"/>
          </w:rPr>
          <w:t>(</w:t>
        </w:r>
        <w:proofErr w:type="spellStart"/>
        <w:r>
          <w:rPr>
            <w:color w:val="000000"/>
            <w:sz w:val="24"/>
            <w:szCs w:val="24"/>
          </w:rPr>
          <w:t>Goray</w:t>
        </w:r>
        <w:proofErr w:type="spellEnd"/>
        <w:r>
          <w:rPr>
            <w:color w:val="000000"/>
            <w:sz w:val="24"/>
            <w:szCs w:val="24"/>
          </w:rPr>
          <w:t>, Oorschot and Mitchell, 2012)</w:t>
        </w:r>
      </w:hyperlink>
      <w:r>
        <w:rPr>
          <w:sz w:val="24"/>
          <w:szCs w:val="24"/>
        </w:rPr>
        <w:t>.  Every step impacts the step which follows, and one mistake can mean that a vital piece of evidence in a case is inadmissible. It is also important to note that further research in forensic evidence and how best to collect it and utilise it to the best of technological abilities, and also how to govern this in terms of the law, is a necessity within this field of work to ensure that this science continues to improve and be used correctly within the criminal justice system.</w:t>
      </w:r>
    </w:p>
    <w:p w14:paraId="0000005E" w14:textId="77777777" w:rsidR="00DB4DA1" w:rsidRDefault="00DB4DA1">
      <w:pPr>
        <w:spacing w:line="480" w:lineRule="auto"/>
        <w:rPr>
          <w:sz w:val="24"/>
          <w:szCs w:val="24"/>
        </w:rPr>
      </w:pPr>
    </w:p>
    <w:p w14:paraId="0000005F" w14:textId="77777777" w:rsidR="00DB4DA1" w:rsidRDefault="00443CBE">
      <w:pPr>
        <w:spacing w:line="480" w:lineRule="auto"/>
        <w:rPr>
          <w:sz w:val="24"/>
          <w:szCs w:val="24"/>
        </w:rPr>
      </w:pPr>
      <w:r>
        <w:rPr>
          <w:sz w:val="24"/>
          <w:szCs w:val="24"/>
        </w:rPr>
        <w:lastRenderedPageBreak/>
        <w:t xml:space="preserve">Forensic science is one of the most incredible tools in the criminal justice system in the modern day, but only if it is used correctly to bring justice and protect the public from further harm by dangerous offenders.  </w:t>
      </w:r>
    </w:p>
    <w:p w14:paraId="00000060" w14:textId="77777777" w:rsidR="00DB4DA1" w:rsidRDefault="00DB4DA1">
      <w:pPr>
        <w:spacing w:line="480" w:lineRule="auto"/>
        <w:rPr>
          <w:sz w:val="24"/>
          <w:szCs w:val="24"/>
        </w:rPr>
      </w:pPr>
    </w:p>
    <w:p w14:paraId="00000061" w14:textId="77777777" w:rsidR="00DB4DA1" w:rsidRDefault="00DB4DA1">
      <w:pPr>
        <w:spacing w:line="480" w:lineRule="auto"/>
        <w:rPr>
          <w:sz w:val="24"/>
          <w:szCs w:val="24"/>
        </w:rPr>
      </w:pPr>
    </w:p>
    <w:p w14:paraId="00000062" w14:textId="77777777" w:rsidR="00DB4DA1" w:rsidRDefault="00DB4DA1">
      <w:pPr>
        <w:spacing w:line="480" w:lineRule="auto"/>
        <w:rPr>
          <w:sz w:val="24"/>
          <w:szCs w:val="24"/>
        </w:rPr>
      </w:pPr>
    </w:p>
    <w:p w14:paraId="00000063" w14:textId="77777777" w:rsidR="00DB4DA1" w:rsidRDefault="00DB4DA1">
      <w:pPr>
        <w:spacing w:line="480" w:lineRule="auto"/>
        <w:rPr>
          <w:sz w:val="24"/>
          <w:szCs w:val="24"/>
        </w:rPr>
      </w:pPr>
    </w:p>
    <w:p w14:paraId="00000064" w14:textId="77777777" w:rsidR="00DB4DA1" w:rsidRDefault="00DB4DA1">
      <w:pPr>
        <w:spacing w:line="480" w:lineRule="auto"/>
        <w:rPr>
          <w:sz w:val="24"/>
          <w:szCs w:val="24"/>
        </w:rPr>
      </w:pPr>
    </w:p>
    <w:p w14:paraId="00000065" w14:textId="77777777" w:rsidR="00DB4DA1" w:rsidRDefault="00DB4DA1">
      <w:pPr>
        <w:spacing w:line="480" w:lineRule="auto"/>
        <w:rPr>
          <w:sz w:val="24"/>
          <w:szCs w:val="24"/>
        </w:rPr>
      </w:pPr>
    </w:p>
    <w:p w14:paraId="00000066" w14:textId="77777777" w:rsidR="00DB4DA1" w:rsidRDefault="00DB4DA1">
      <w:pPr>
        <w:spacing w:line="480" w:lineRule="auto"/>
        <w:rPr>
          <w:sz w:val="24"/>
          <w:szCs w:val="24"/>
        </w:rPr>
      </w:pPr>
    </w:p>
    <w:p w14:paraId="00000067" w14:textId="77777777" w:rsidR="00DB4DA1" w:rsidRDefault="00DB4DA1">
      <w:pPr>
        <w:spacing w:line="480" w:lineRule="auto"/>
        <w:rPr>
          <w:sz w:val="24"/>
          <w:szCs w:val="24"/>
        </w:rPr>
      </w:pPr>
    </w:p>
    <w:p w14:paraId="00000068" w14:textId="77777777" w:rsidR="00DB4DA1" w:rsidRDefault="00DB4DA1">
      <w:pPr>
        <w:spacing w:line="480" w:lineRule="auto"/>
        <w:rPr>
          <w:sz w:val="24"/>
          <w:szCs w:val="24"/>
        </w:rPr>
      </w:pPr>
    </w:p>
    <w:p w14:paraId="00000069" w14:textId="77777777" w:rsidR="00DB4DA1" w:rsidRDefault="00DB4DA1">
      <w:pPr>
        <w:spacing w:line="480" w:lineRule="auto"/>
        <w:rPr>
          <w:sz w:val="24"/>
          <w:szCs w:val="24"/>
        </w:rPr>
      </w:pPr>
    </w:p>
    <w:p w14:paraId="0000006A" w14:textId="77777777" w:rsidR="00DB4DA1" w:rsidRDefault="00DB4DA1">
      <w:pPr>
        <w:spacing w:line="480" w:lineRule="auto"/>
        <w:rPr>
          <w:sz w:val="24"/>
          <w:szCs w:val="24"/>
        </w:rPr>
      </w:pPr>
    </w:p>
    <w:p w14:paraId="0000006B" w14:textId="77777777" w:rsidR="00DB4DA1" w:rsidRDefault="00DB4DA1">
      <w:pPr>
        <w:spacing w:line="480" w:lineRule="auto"/>
        <w:rPr>
          <w:sz w:val="24"/>
          <w:szCs w:val="24"/>
        </w:rPr>
      </w:pPr>
    </w:p>
    <w:p w14:paraId="0000006C" w14:textId="77777777" w:rsidR="00DB4DA1" w:rsidRDefault="00DB4DA1">
      <w:pPr>
        <w:spacing w:line="480" w:lineRule="auto"/>
        <w:rPr>
          <w:sz w:val="24"/>
          <w:szCs w:val="24"/>
        </w:rPr>
      </w:pPr>
    </w:p>
    <w:p w14:paraId="0000006D" w14:textId="77777777" w:rsidR="00DB4DA1" w:rsidRDefault="00DB4DA1">
      <w:pPr>
        <w:spacing w:line="480" w:lineRule="auto"/>
        <w:rPr>
          <w:sz w:val="24"/>
          <w:szCs w:val="24"/>
        </w:rPr>
      </w:pPr>
    </w:p>
    <w:p w14:paraId="0000006E" w14:textId="77777777" w:rsidR="00DB4DA1" w:rsidRDefault="00DB4DA1">
      <w:pPr>
        <w:spacing w:line="480" w:lineRule="auto"/>
        <w:rPr>
          <w:sz w:val="24"/>
          <w:szCs w:val="24"/>
        </w:rPr>
      </w:pPr>
    </w:p>
    <w:p w14:paraId="0000006F" w14:textId="77777777" w:rsidR="00DB4DA1" w:rsidRDefault="00DB4DA1">
      <w:pPr>
        <w:spacing w:line="480" w:lineRule="auto"/>
        <w:rPr>
          <w:sz w:val="24"/>
          <w:szCs w:val="24"/>
        </w:rPr>
      </w:pPr>
    </w:p>
    <w:p w14:paraId="00000070" w14:textId="77777777" w:rsidR="00DB4DA1" w:rsidRDefault="00DB4DA1">
      <w:pPr>
        <w:spacing w:line="480" w:lineRule="auto"/>
        <w:rPr>
          <w:sz w:val="24"/>
          <w:szCs w:val="24"/>
        </w:rPr>
      </w:pPr>
    </w:p>
    <w:p w14:paraId="00000071" w14:textId="77777777" w:rsidR="00DB4DA1" w:rsidRDefault="00DB4DA1">
      <w:pPr>
        <w:spacing w:line="480" w:lineRule="auto"/>
        <w:rPr>
          <w:sz w:val="24"/>
          <w:szCs w:val="24"/>
        </w:rPr>
      </w:pPr>
    </w:p>
    <w:p w14:paraId="00000072" w14:textId="77777777" w:rsidR="00DB4DA1" w:rsidRDefault="00DB4DA1">
      <w:pPr>
        <w:spacing w:line="480" w:lineRule="auto"/>
        <w:rPr>
          <w:sz w:val="24"/>
          <w:szCs w:val="24"/>
        </w:rPr>
      </w:pPr>
    </w:p>
    <w:p w14:paraId="24548BE2" w14:textId="77777777" w:rsidR="00587BCA" w:rsidRDefault="00587BCA">
      <w:pPr>
        <w:widowControl w:val="0"/>
        <w:pBdr>
          <w:top w:val="nil"/>
          <w:left w:val="nil"/>
          <w:bottom w:val="nil"/>
          <w:right w:val="nil"/>
          <w:between w:val="nil"/>
        </w:pBdr>
        <w:spacing w:before="240" w:after="240" w:line="240" w:lineRule="auto"/>
        <w:rPr>
          <w:u w:val="single"/>
        </w:rPr>
      </w:pPr>
    </w:p>
    <w:p w14:paraId="488F7C18" w14:textId="390D7CD4" w:rsidR="005B5E6A" w:rsidRPr="005B5E6A" w:rsidRDefault="005B5E6A">
      <w:pPr>
        <w:widowControl w:val="0"/>
        <w:pBdr>
          <w:top w:val="nil"/>
          <w:left w:val="nil"/>
          <w:bottom w:val="nil"/>
          <w:right w:val="nil"/>
          <w:between w:val="nil"/>
        </w:pBdr>
        <w:spacing w:before="240" w:after="240" w:line="240" w:lineRule="auto"/>
      </w:pPr>
      <w:r>
        <w:rPr>
          <w:u w:val="single"/>
        </w:rPr>
        <w:lastRenderedPageBreak/>
        <w:t>Bibliography</w:t>
      </w:r>
    </w:p>
    <w:p w14:paraId="0AB2D75F" w14:textId="77777777" w:rsidR="005B5E6A" w:rsidRDefault="005B5E6A">
      <w:pPr>
        <w:widowControl w:val="0"/>
        <w:pBdr>
          <w:top w:val="nil"/>
          <w:left w:val="nil"/>
          <w:bottom w:val="nil"/>
          <w:right w:val="nil"/>
          <w:between w:val="nil"/>
        </w:pBdr>
        <w:spacing w:before="240" w:after="240" w:line="240" w:lineRule="auto"/>
      </w:pPr>
    </w:p>
    <w:p w14:paraId="6E70F463" w14:textId="77777777" w:rsidR="00C61091" w:rsidRDefault="00C61091">
      <w:pPr>
        <w:widowControl w:val="0"/>
        <w:pBdr>
          <w:top w:val="nil"/>
          <w:left w:val="nil"/>
          <w:bottom w:val="nil"/>
          <w:right w:val="nil"/>
          <w:between w:val="nil"/>
        </w:pBdr>
        <w:spacing w:before="240" w:after="240" w:line="240" w:lineRule="auto"/>
        <w:rPr>
          <w:color w:val="000000"/>
          <w:sz w:val="24"/>
          <w:szCs w:val="24"/>
        </w:rPr>
      </w:pPr>
      <w:hyperlink r:id="rId77">
        <w:r>
          <w:rPr>
            <w:color w:val="000000"/>
            <w:sz w:val="24"/>
            <w:szCs w:val="24"/>
          </w:rPr>
          <w:t xml:space="preserve">Balding, J. D. (2013) ‘Evaluation of mixed-source, low-template DNA profiles in forensic science’, </w:t>
        </w:r>
      </w:hyperlink>
      <w:hyperlink r:id="rId78">
        <w:r>
          <w:rPr>
            <w:i/>
            <w:color w:val="000000"/>
            <w:sz w:val="24"/>
            <w:szCs w:val="24"/>
          </w:rPr>
          <w:t>Proceedings of the National Academy of Sciences of the United States of America</w:t>
        </w:r>
      </w:hyperlink>
      <w:hyperlink r:id="rId79">
        <w:r>
          <w:rPr>
            <w:color w:val="000000"/>
            <w:sz w:val="24"/>
            <w:szCs w:val="24"/>
          </w:rPr>
          <w:t>, 110(30), pp. 12241–12246.</w:t>
        </w:r>
      </w:hyperlink>
    </w:p>
    <w:p w14:paraId="7E5C609D" w14:textId="77777777" w:rsidR="00C61091" w:rsidRDefault="00C61091">
      <w:pPr>
        <w:widowControl w:val="0"/>
        <w:pBdr>
          <w:top w:val="nil"/>
          <w:left w:val="nil"/>
          <w:bottom w:val="nil"/>
          <w:right w:val="nil"/>
          <w:between w:val="nil"/>
        </w:pBdr>
        <w:spacing w:after="240" w:line="240" w:lineRule="auto"/>
        <w:rPr>
          <w:color w:val="000000"/>
          <w:sz w:val="24"/>
          <w:szCs w:val="24"/>
        </w:rPr>
      </w:pPr>
      <w:hyperlink r:id="rId80">
        <w:r>
          <w:rPr>
            <w:color w:val="000000"/>
            <w:sz w:val="24"/>
            <w:szCs w:val="24"/>
          </w:rPr>
          <w:t xml:space="preserve">Balk, C. (2015) ‘Reducing Contamination in Forensic Science’, </w:t>
        </w:r>
      </w:hyperlink>
      <w:hyperlink r:id="rId81">
        <w:r>
          <w:rPr>
            <w:i/>
            <w:color w:val="000000"/>
            <w:sz w:val="24"/>
            <w:szCs w:val="24"/>
          </w:rPr>
          <w:t>Themis: Research Journal of Justice Studies and Forensic Science</w:t>
        </w:r>
      </w:hyperlink>
      <w:hyperlink r:id="rId82">
        <w:r>
          <w:rPr>
            <w:color w:val="000000"/>
            <w:sz w:val="24"/>
            <w:szCs w:val="24"/>
          </w:rPr>
          <w:t xml:space="preserve">, 3(1). Available at: </w:t>
        </w:r>
      </w:hyperlink>
      <w:hyperlink r:id="rId83">
        <w:r>
          <w:rPr>
            <w:color w:val="000000"/>
            <w:sz w:val="24"/>
            <w:szCs w:val="24"/>
          </w:rPr>
          <w:t>https://scholarworks.sjsu.edu/themis/vol3/iss1/12</w:t>
        </w:r>
      </w:hyperlink>
      <w:hyperlink r:id="rId84">
        <w:r>
          <w:rPr>
            <w:color w:val="000000"/>
            <w:sz w:val="24"/>
            <w:szCs w:val="24"/>
          </w:rPr>
          <w:t xml:space="preserve"> (Accessed: 23 October 2020).</w:t>
        </w:r>
      </w:hyperlink>
    </w:p>
    <w:p w14:paraId="38F3618B" w14:textId="77777777" w:rsidR="00C61091" w:rsidRDefault="00C61091">
      <w:pPr>
        <w:widowControl w:val="0"/>
        <w:pBdr>
          <w:top w:val="nil"/>
          <w:left w:val="nil"/>
          <w:bottom w:val="nil"/>
          <w:right w:val="nil"/>
          <w:between w:val="nil"/>
        </w:pBdr>
        <w:spacing w:after="240" w:line="240" w:lineRule="auto"/>
        <w:rPr>
          <w:color w:val="000000"/>
          <w:sz w:val="24"/>
          <w:szCs w:val="24"/>
        </w:rPr>
      </w:pPr>
      <w:hyperlink r:id="rId85">
        <w:r>
          <w:rPr>
            <w:color w:val="000000"/>
            <w:sz w:val="24"/>
            <w:szCs w:val="24"/>
          </w:rPr>
          <w:t xml:space="preserve">BBC News (2007) </w:t>
        </w:r>
      </w:hyperlink>
      <w:hyperlink r:id="rId86">
        <w:r>
          <w:rPr>
            <w:i/>
            <w:color w:val="000000"/>
            <w:sz w:val="24"/>
            <w:szCs w:val="24"/>
          </w:rPr>
          <w:t>Man not guilty of Omagh murders</w:t>
        </w:r>
      </w:hyperlink>
      <w:hyperlink r:id="rId87">
        <w:r>
          <w:rPr>
            <w:color w:val="000000"/>
            <w:sz w:val="24"/>
            <w:szCs w:val="24"/>
          </w:rPr>
          <w:t xml:space="preserve">, </w:t>
        </w:r>
      </w:hyperlink>
      <w:hyperlink r:id="rId88">
        <w:r>
          <w:rPr>
            <w:i/>
            <w:color w:val="000000"/>
            <w:sz w:val="24"/>
            <w:szCs w:val="24"/>
          </w:rPr>
          <w:t>BBC</w:t>
        </w:r>
      </w:hyperlink>
      <w:hyperlink r:id="rId89">
        <w:r>
          <w:rPr>
            <w:color w:val="000000"/>
            <w:sz w:val="24"/>
            <w:szCs w:val="24"/>
          </w:rPr>
          <w:t xml:space="preserve">. Available at: </w:t>
        </w:r>
      </w:hyperlink>
      <w:hyperlink r:id="rId90" w:anchor=":~:text=A%20Northern%20Ireland%20man%20has,directly%20linked%20to%20the%20bombing.">
        <w:r>
          <w:rPr>
            <w:color w:val="000000"/>
            <w:sz w:val="24"/>
            <w:szCs w:val="24"/>
          </w:rPr>
          <w:t>http://news.bbc.co.uk/1/hi/northern_ireland/7154221.stm#:~:text=A%20Northern%20Ireland%20man%20has,directly%20linked%20to%20the%20bombing.</w:t>
        </w:r>
      </w:hyperlink>
      <w:hyperlink r:id="rId91">
        <w:r>
          <w:rPr>
            <w:color w:val="000000"/>
            <w:sz w:val="24"/>
            <w:szCs w:val="24"/>
          </w:rPr>
          <w:t xml:space="preserve"> (Accessed: 23 October 2020).</w:t>
        </w:r>
      </w:hyperlink>
    </w:p>
    <w:p w14:paraId="6BF1EABC" w14:textId="77777777" w:rsidR="00C61091" w:rsidRDefault="00C61091">
      <w:pPr>
        <w:widowControl w:val="0"/>
        <w:pBdr>
          <w:top w:val="nil"/>
          <w:left w:val="nil"/>
          <w:bottom w:val="nil"/>
          <w:right w:val="nil"/>
          <w:between w:val="nil"/>
        </w:pBdr>
        <w:spacing w:after="240" w:line="240" w:lineRule="auto"/>
        <w:rPr>
          <w:color w:val="000000"/>
          <w:sz w:val="24"/>
          <w:szCs w:val="24"/>
        </w:rPr>
      </w:pPr>
      <w:hyperlink r:id="rId92">
        <w:proofErr w:type="spellStart"/>
        <w:r>
          <w:rPr>
            <w:color w:val="000000"/>
            <w:sz w:val="24"/>
            <w:szCs w:val="24"/>
          </w:rPr>
          <w:t>Bodziak</w:t>
        </w:r>
        <w:proofErr w:type="spellEnd"/>
        <w:r>
          <w:rPr>
            <w:color w:val="000000"/>
            <w:sz w:val="24"/>
            <w:szCs w:val="24"/>
          </w:rPr>
          <w:t xml:space="preserve">, W. J. (2017) </w:t>
        </w:r>
      </w:hyperlink>
      <w:hyperlink r:id="rId93">
        <w:r>
          <w:rPr>
            <w:i/>
            <w:color w:val="000000"/>
            <w:sz w:val="24"/>
            <w:szCs w:val="24"/>
          </w:rPr>
          <w:t>Footwear Impression Evidence: Detection, Recovery and Examination</w:t>
        </w:r>
      </w:hyperlink>
      <w:hyperlink r:id="rId94">
        <w:r>
          <w:rPr>
            <w:color w:val="000000"/>
            <w:sz w:val="24"/>
            <w:szCs w:val="24"/>
          </w:rPr>
          <w:t>. 2nd Edition. CRC Press (Practical Aspects of Criminal and Forensic Investigations).</w:t>
        </w:r>
      </w:hyperlink>
    </w:p>
    <w:p w14:paraId="3AC714F3" w14:textId="77777777" w:rsidR="00C61091" w:rsidRDefault="00C61091">
      <w:pPr>
        <w:widowControl w:val="0"/>
        <w:pBdr>
          <w:top w:val="nil"/>
          <w:left w:val="nil"/>
          <w:bottom w:val="nil"/>
          <w:right w:val="nil"/>
          <w:between w:val="nil"/>
        </w:pBdr>
        <w:spacing w:after="240" w:line="240" w:lineRule="auto"/>
        <w:rPr>
          <w:color w:val="000000"/>
          <w:sz w:val="24"/>
          <w:szCs w:val="24"/>
        </w:rPr>
      </w:pPr>
      <w:hyperlink r:id="rId95">
        <w:r>
          <w:rPr>
            <w:color w:val="000000"/>
            <w:sz w:val="24"/>
            <w:szCs w:val="24"/>
          </w:rPr>
          <w:t xml:space="preserve">Bouma, H. </w:t>
        </w:r>
      </w:hyperlink>
      <w:hyperlink r:id="rId96">
        <w:r>
          <w:rPr>
            <w:i/>
            <w:color w:val="000000"/>
            <w:sz w:val="24"/>
            <w:szCs w:val="24"/>
          </w:rPr>
          <w:t>et al.</w:t>
        </w:r>
      </w:hyperlink>
      <w:hyperlink r:id="rId97">
        <w:r>
          <w:rPr>
            <w:color w:val="000000"/>
            <w:sz w:val="24"/>
            <w:szCs w:val="24"/>
          </w:rPr>
          <w:t xml:space="preserve"> (2015) ‘Video content analysis on body-worn cameras for retrospective investigation’, </w:t>
        </w:r>
      </w:hyperlink>
      <w:hyperlink r:id="rId98">
        <w:r>
          <w:rPr>
            <w:i/>
            <w:color w:val="000000"/>
            <w:sz w:val="24"/>
            <w:szCs w:val="24"/>
          </w:rPr>
          <w:t>Optics and Photonics for Counterterrorism, Crime Fighting, and Defence</w:t>
        </w:r>
      </w:hyperlink>
      <w:hyperlink r:id="rId99">
        <w:r>
          <w:rPr>
            <w:color w:val="000000"/>
            <w:sz w:val="24"/>
            <w:szCs w:val="24"/>
          </w:rPr>
          <w:t xml:space="preserve">, 9625. doi: </w:t>
        </w:r>
      </w:hyperlink>
      <w:hyperlink r:id="rId100">
        <w:r>
          <w:rPr>
            <w:color w:val="000000"/>
            <w:sz w:val="24"/>
            <w:szCs w:val="24"/>
          </w:rPr>
          <w:t xml:space="preserve"> https://doi.org/10.1117/12.2194436</w:t>
        </w:r>
      </w:hyperlink>
      <w:hyperlink r:id="rId101">
        <w:r>
          <w:rPr>
            <w:color w:val="000000"/>
            <w:sz w:val="24"/>
            <w:szCs w:val="24"/>
          </w:rPr>
          <w:t>.</w:t>
        </w:r>
      </w:hyperlink>
    </w:p>
    <w:p w14:paraId="027B826D" w14:textId="77777777" w:rsidR="00C61091" w:rsidRDefault="00C61091">
      <w:pPr>
        <w:widowControl w:val="0"/>
        <w:pBdr>
          <w:top w:val="nil"/>
          <w:left w:val="nil"/>
          <w:bottom w:val="nil"/>
          <w:right w:val="nil"/>
          <w:between w:val="nil"/>
        </w:pBdr>
        <w:spacing w:after="240" w:line="240" w:lineRule="auto"/>
        <w:rPr>
          <w:color w:val="000000"/>
          <w:sz w:val="24"/>
          <w:szCs w:val="24"/>
        </w:rPr>
      </w:pPr>
      <w:hyperlink r:id="rId102">
        <w:r>
          <w:rPr>
            <w:color w:val="000000"/>
            <w:sz w:val="24"/>
            <w:szCs w:val="24"/>
          </w:rPr>
          <w:t xml:space="preserve">Butler, J. (2015) ‘The future of forensic DNA analysis’, </w:t>
        </w:r>
      </w:hyperlink>
      <w:hyperlink r:id="rId103">
        <w:r>
          <w:rPr>
            <w:i/>
            <w:color w:val="000000"/>
            <w:sz w:val="24"/>
            <w:szCs w:val="24"/>
          </w:rPr>
          <w:t>Philosophical Transactions of the Royal Society of London</w:t>
        </w:r>
      </w:hyperlink>
      <w:hyperlink r:id="rId104">
        <w:r>
          <w:rPr>
            <w:color w:val="000000"/>
            <w:sz w:val="24"/>
            <w:szCs w:val="24"/>
          </w:rPr>
          <w:t xml:space="preserve">, 370(1674). </w:t>
        </w:r>
        <w:proofErr w:type="spellStart"/>
        <w:r>
          <w:rPr>
            <w:color w:val="000000"/>
            <w:sz w:val="24"/>
            <w:szCs w:val="24"/>
          </w:rPr>
          <w:t>doi</w:t>
        </w:r>
        <w:proofErr w:type="spellEnd"/>
        <w:r>
          <w:rPr>
            <w:color w:val="000000"/>
            <w:sz w:val="24"/>
            <w:szCs w:val="24"/>
          </w:rPr>
          <w:t xml:space="preserve">: </w:t>
        </w:r>
      </w:hyperlink>
      <w:hyperlink r:id="rId105">
        <w:r>
          <w:rPr>
            <w:color w:val="000000"/>
            <w:sz w:val="24"/>
            <w:szCs w:val="24"/>
          </w:rPr>
          <w:t>10.1098/rstb.2014.0252</w:t>
        </w:r>
      </w:hyperlink>
      <w:hyperlink r:id="rId106">
        <w:r>
          <w:rPr>
            <w:color w:val="000000"/>
            <w:sz w:val="24"/>
            <w:szCs w:val="24"/>
          </w:rPr>
          <w:t>.</w:t>
        </w:r>
      </w:hyperlink>
    </w:p>
    <w:p w14:paraId="57474266" w14:textId="77777777" w:rsidR="00C61091" w:rsidRDefault="00C61091">
      <w:pPr>
        <w:widowControl w:val="0"/>
        <w:pBdr>
          <w:top w:val="nil"/>
          <w:left w:val="nil"/>
          <w:bottom w:val="nil"/>
          <w:right w:val="nil"/>
          <w:between w:val="nil"/>
        </w:pBdr>
        <w:spacing w:after="240" w:line="240" w:lineRule="auto"/>
        <w:rPr>
          <w:color w:val="000000"/>
          <w:sz w:val="24"/>
          <w:szCs w:val="24"/>
        </w:rPr>
      </w:pPr>
      <w:hyperlink r:id="rId107">
        <w:r>
          <w:rPr>
            <w:color w:val="000000"/>
            <w:sz w:val="24"/>
            <w:szCs w:val="24"/>
          </w:rPr>
          <w:t xml:space="preserve">Butts, E. (2017) </w:t>
        </w:r>
      </w:hyperlink>
      <w:hyperlink r:id="rId108">
        <w:r>
          <w:rPr>
            <w:i/>
            <w:color w:val="000000"/>
            <w:sz w:val="24"/>
            <w:szCs w:val="24"/>
          </w:rPr>
          <w:t>Allan Legere Case</w:t>
        </w:r>
      </w:hyperlink>
      <w:hyperlink r:id="rId109">
        <w:r>
          <w:rPr>
            <w:color w:val="000000"/>
            <w:sz w:val="24"/>
            <w:szCs w:val="24"/>
          </w:rPr>
          <w:t xml:space="preserve">, </w:t>
        </w:r>
      </w:hyperlink>
      <w:hyperlink r:id="rId110">
        <w:r>
          <w:rPr>
            <w:i/>
            <w:color w:val="000000"/>
            <w:sz w:val="24"/>
            <w:szCs w:val="24"/>
          </w:rPr>
          <w:t>The Canadian Encyclopedia</w:t>
        </w:r>
      </w:hyperlink>
      <w:hyperlink r:id="rId111">
        <w:r>
          <w:rPr>
            <w:color w:val="000000"/>
            <w:sz w:val="24"/>
            <w:szCs w:val="24"/>
          </w:rPr>
          <w:t xml:space="preserve">. Available at: </w:t>
        </w:r>
      </w:hyperlink>
      <w:hyperlink r:id="rId112">
        <w:r>
          <w:rPr>
            <w:color w:val="000000"/>
            <w:sz w:val="24"/>
            <w:szCs w:val="24"/>
          </w:rPr>
          <w:t>https://www.thecanadianencyclopedia.ca/en/article/allan-legere-case</w:t>
        </w:r>
      </w:hyperlink>
      <w:hyperlink r:id="rId113">
        <w:r>
          <w:rPr>
            <w:color w:val="000000"/>
            <w:sz w:val="24"/>
            <w:szCs w:val="24"/>
          </w:rPr>
          <w:t xml:space="preserve"> (Accessed: 22 October 2020).</w:t>
        </w:r>
      </w:hyperlink>
    </w:p>
    <w:p w14:paraId="63CB22BD" w14:textId="77777777" w:rsidR="00C61091" w:rsidRDefault="00C61091">
      <w:pPr>
        <w:widowControl w:val="0"/>
        <w:pBdr>
          <w:top w:val="nil"/>
          <w:left w:val="nil"/>
          <w:bottom w:val="nil"/>
          <w:right w:val="nil"/>
          <w:between w:val="nil"/>
        </w:pBdr>
        <w:spacing w:after="240" w:line="240" w:lineRule="auto"/>
        <w:rPr>
          <w:color w:val="000000"/>
          <w:sz w:val="24"/>
          <w:szCs w:val="24"/>
        </w:rPr>
      </w:pPr>
      <w:hyperlink r:id="rId114">
        <w:r>
          <w:rPr>
            <w:color w:val="000000"/>
            <w:sz w:val="24"/>
            <w:szCs w:val="24"/>
          </w:rPr>
          <w:t xml:space="preserve">Caddy, B. and Cobb, P. (2004) </w:t>
        </w:r>
      </w:hyperlink>
      <w:hyperlink r:id="rId115">
        <w:r>
          <w:rPr>
            <w:i/>
            <w:color w:val="000000"/>
            <w:sz w:val="24"/>
            <w:szCs w:val="24"/>
          </w:rPr>
          <w:t>Crime Scene to Court: The Essentials of Forensic Science</w:t>
        </w:r>
      </w:hyperlink>
      <w:hyperlink r:id="rId116">
        <w:r>
          <w:rPr>
            <w:color w:val="000000"/>
            <w:sz w:val="24"/>
            <w:szCs w:val="24"/>
          </w:rPr>
          <w:t>. Second Edition. Edited by P. White. Cambridge, UK: The Royal Society of Chemistry, p. 1.</w:t>
        </w:r>
      </w:hyperlink>
    </w:p>
    <w:p w14:paraId="03009BC8" w14:textId="77777777" w:rsidR="00C61091" w:rsidRDefault="00C61091">
      <w:pPr>
        <w:widowControl w:val="0"/>
        <w:pBdr>
          <w:top w:val="nil"/>
          <w:left w:val="nil"/>
          <w:bottom w:val="nil"/>
          <w:right w:val="nil"/>
          <w:between w:val="nil"/>
        </w:pBdr>
        <w:spacing w:after="240" w:line="240" w:lineRule="auto"/>
        <w:rPr>
          <w:color w:val="000000"/>
          <w:sz w:val="24"/>
          <w:szCs w:val="24"/>
        </w:rPr>
      </w:pPr>
      <w:hyperlink r:id="rId117">
        <w:r>
          <w:rPr>
            <w:color w:val="000000"/>
            <w:sz w:val="24"/>
            <w:szCs w:val="24"/>
          </w:rPr>
          <w:t xml:space="preserve">Caddy, B. P. (2008) </w:t>
        </w:r>
      </w:hyperlink>
      <w:hyperlink r:id="rId118">
        <w:r>
          <w:rPr>
            <w:i/>
            <w:color w:val="000000"/>
            <w:sz w:val="24"/>
            <w:szCs w:val="24"/>
          </w:rPr>
          <w:t>The Review of the Science of Low Template DNA Analysis</w:t>
        </w:r>
      </w:hyperlink>
      <w:hyperlink r:id="rId119">
        <w:r>
          <w:rPr>
            <w:color w:val="000000"/>
            <w:sz w:val="24"/>
            <w:szCs w:val="24"/>
          </w:rPr>
          <w:t xml:space="preserve">. UK Forensic Regulator. Available at: </w:t>
        </w:r>
      </w:hyperlink>
      <w:hyperlink r:id="rId120">
        <w:r>
          <w:rPr>
            <w:color w:val="000000"/>
            <w:sz w:val="24"/>
            <w:szCs w:val="24"/>
          </w:rPr>
          <w:t>https://www.gov.uk/government/publications/review-of-the-science-of-low-template-dna-analysis</w:t>
        </w:r>
      </w:hyperlink>
      <w:hyperlink r:id="rId121">
        <w:r>
          <w:rPr>
            <w:color w:val="000000"/>
            <w:sz w:val="24"/>
            <w:szCs w:val="24"/>
          </w:rPr>
          <w:t xml:space="preserve"> (Accessed: 24 October 2020).</w:t>
        </w:r>
      </w:hyperlink>
    </w:p>
    <w:p w14:paraId="49650971" w14:textId="77777777" w:rsidR="00C61091" w:rsidRDefault="00C61091">
      <w:pPr>
        <w:widowControl w:val="0"/>
        <w:pBdr>
          <w:top w:val="nil"/>
          <w:left w:val="nil"/>
          <w:bottom w:val="nil"/>
          <w:right w:val="nil"/>
          <w:between w:val="nil"/>
        </w:pBdr>
        <w:spacing w:after="240" w:line="240" w:lineRule="auto"/>
        <w:rPr>
          <w:color w:val="000000"/>
          <w:sz w:val="24"/>
          <w:szCs w:val="24"/>
        </w:rPr>
      </w:pPr>
      <w:hyperlink r:id="rId122">
        <w:r>
          <w:rPr>
            <w:color w:val="000000"/>
            <w:sz w:val="24"/>
            <w:szCs w:val="24"/>
          </w:rPr>
          <w:t xml:space="preserve">City Law School (2007) </w:t>
        </w:r>
      </w:hyperlink>
      <w:hyperlink r:id="rId123">
        <w:r>
          <w:rPr>
            <w:i/>
            <w:color w:val="000000"/>
            <w:sz w:val="24"/>
            <w:szCs w:val="24"/>
          </w:rPr>
          <w:t>Evidence, Civil Procedure, Criminal Procedure and Sentencing</w:t>
        </w:r>
      </w:hyperlink>
      <w:hyperlink r:id="rId124">
        <w:r>
          <w:rPr>
            <w:color w:val="000000"/>
            <w:sz w:val="24"/>
            <w:szCs w:val="24"/>
          </w:rPr>
          <w:t>. London, England: Oxford University Press.</w:t>
        </w:r>
      </w:hyperlink>
    </w:p>
    <w:p w14:paraId="44282053" w14:textId="77777777" w:rsidR="00C61091" w:rsidRDefault="00C61091">
      <w:pPr>
        <w:widowControl w:val="0"/>
        <w:pBdr>
          <w:top w:val="nil"/>
          <w:left w:val="nil"/>
          <w:bottom w:val="nil"/>
          <w:right w:val="nil"/>
          <w:between w:val="nil"/>
        </w:pBdr>
        <w:spacing w:after="240" w:line="240" w:lineRule="auto"/>
        <w:rPr>
          <w:color w:val="000000"/>
          <w:sz w:val="24"/>
          <w:szCs w:val="24"/>
        </w:rPr>
      </w:pPr>
      <w:hyperlink r:id="rId125">
        <w:r>
          <w:rPr>
            <w:color w:val="000000"/>
            <w:sz w:val="24"/>
            <w:szCs w:val="24"/>
          </w:rPr>
          <w:t xml:space="preserve">College of Policing (2016) </w:t>
        </w:r>
      </w:hyperlink>
      <w:hyperlink r:id="rId126">
        <w:r>
          <w:rPr>
            <w:i/>
            <w:color w:val="000000"/>
            <w:sz w:val="24"/>
            <w:szCs w:val="24"/>
          </w:rPr>
          <w:t>Major investigation and public protection: First Response</w:t>
        </w:r>
      </w:hyperlink>
      <w:hyperlink r:id="rId127">
        <w:r>
          <w:rPr>
            <w:color w:val="000000"/>
            <w:sz w:val="24"/>
            <w:szCs w:val="24"/>
          </w:rPr>
          <w:t xml:space="preserve">, </w:t>
        </w:r>
      </w:hyperlink>
      <w:hyperlink r:id="rId128">
        <w:r>
          <w:rPr>
            <w:i/>
            <w:color w:val="000000"/>
            <w:sz w:val="24"/>
            <w:szCs w:val="24"/>
          </w:rPr>
          <w:t>College of Policing</w:t>
        </w:r>
      </w:hyperlink>
      <w:hyperlink r:id="rId129">
        <w:r>
          <w:rPr>
            <w:color w:val="000000"/>
            <w:sz w:val="24"/>
            <w:szCs w:val="24"/>
          </w:rPr>
          <w:t xml:space="preserve">. Available at: </w:t>
        </w:r>
      </w:hyperlink>
      <w:hyperlink r:id="rId130" w:anchor="actions-on-arrival-at-the-scene">
        <w:r>
          <w:rPr>
            <w:color w:val="000000"/>
            <w:sz w:val="24"/>
            <w:szCs w:val="24"/>
          </w:rPr>
          <w:t>https://www.app.college.police.uk/app-content/major-investigation-and-public-protection/domestic-abuse/first-response/#actions-on-arrival-at-the-scene</w:t>
        </w:r>
      </w:hyperlink>
      <w:hyperlink r:id="rId131">
        <w:r>
          <w:rPr>
            <w:color w:val="000000"/>
            <w:sz w:val="24"/>
            <w:szCs w:val="24"/>
          </w:rPr>
          <w:t xml:space="preserve"> (Accessed: 16 October 2020).</w:t>
        </w:r>
      </w:hyperlink>
    </w:p>
    <w:p w14:paraId="526CECB0" w14:textId="77777777" w:rsidR="00C61091" w:rsidRDefault="00C61091">
      <w:pPr>
        <w:widowControl w:val="0"/>
        <w:pBdr>
          <w:top w:val="nil"/>
          <w:left w:val="nil"/>
          <w:bottom w:val="nil"/>
          <w:right w:val="nil"/>
          <w:between w:val="nil"/>
        </w:pBdr>
        <w:spacing w:after="240" w:line="240" w:lineRule="auto"/>
        <w:rPr>
          <w:color w:val="000000"/>
          <w:sz w:val="24"/>
          <w:szCs w:val="24"/>
        </w:rPr>
      </w:pPr>
      <w:hyperlink r:id="rId132">
        <w:r>
          <w:rPr>
            <w:color w:val="000000"/>
            <w:sz w:val="24"/>
            <w:szCs w:val="24"/>
          </w:rPr>
          <w:t xml:space="preserve">College of Policing (2019) </w:t>
        </w:r>
      </w:hyperlink>
      <w:hyperlink r:id="rId133">
        <w:r>
          <w:rPr>
            <w:i/>
            <w:color w:val="000000"/>
            <w:sz w:val="24"/>
            <w:szCs w:val="24"/>
          </w:rPr>
          <w:t>Investigation Process</w:t>
        </w:r>
      </w:hyperlink>
      <w:hyperlink r:id="rId134">
        <w:r>
          <w:rPr>
            <w:color w:val="000000"/>
            <w:sz w:val="24"/>
            <w:szCs w:val="24"/>
          </w:rPr>
          <w:t xml:space="preserve">, </w:t>
        </w:r>
      </w:hyperlink>
      <w:hyperlink r:id="rId135">
        <w:r>
          <w:rPr>
            <w:i/>
            <w:color w:val="000000"/>
            <w:sz w:val="24"/>
            <w:szCs w:val="24"/>
          </w:rPr>
          <w:t>College of Policing: Authorised Professional Practice</w:t>
        </w:r>
      </w:hyperlink>
      <w:hyperlink r:id="rId136">
        <w:r>
          <w:rPr>
            <w:color w:val="000000"/>
            <w:sz w:val="24"/>
            <w:szCs w:val="24"/>
          </w:rPr>
          <w:t xml:space="preserve">. Available at: </w:t>
        </w:r>
      </w:hyperlink>
      <w:hyperlink r:id="rId137" w:anchor=":~:text=The%20golden%20hour%20is%20the,high%20volumes%20to%20the%20police.">
        <w:r>
          <w:rPr>
            <w:color w:val="000000"/>
            <w:sz w:val="24"/>
            <w:szCs w:val="24"/>
          </w:rPr>
          <w:t>https://www.app.college.police.uk/app-content/investigations/investigation-process/#:~:text=The%20golden%20hour%20is%20the,high%20volumes%20to%20the%20police.</w:t>
        </w:r>
      </w:hyperlink>
      <w:hyperlink r:id="rId138">
        <w:r>
          <w:rPr>
            <w:color w:val="000000"/>
            <w:sz w:val="24"/>
            <w:szCs w:val="24"/>
          </w:rPr>
          <w:t xml:space="preserve"> (Accessed: 23 October 2020).</w:t>
        </w:r>
      </w:hyperlink>
    </w:p>
    <w:p w14:paraId="37C1024A" w14:textId="77777777" w:rsidR="00C61091" w:rsidRDefault="00C61091">
      <w:pPr>
        <w:widowControl w:val="0"/>
        <w:pBdr>
          <w:top w:val="nil"/>
          <w:left w:val="nil"/>
          <w:bottom w:val="nil"/>
          <w:right w:val="nil"/>
          <w:between w:val="nil"/>
        </w:pBdr>
        <w:spacing w:after="240" w:line="240" w:lineRule="auto"/>
        <w:rPr>
          <w:color w:val="000000"/>
          <w:sz w:val="24"/>
          <w:szCs w:val="24"/>
        </w:rPr>
      </w:pPr>
      <w:hyperlink r:id="rId139">
        <w:r>
          <w:rPr>
            <w:color w:val="000000"/>
            <w:sz w:val="24"/>
            <w:szCs w:val="24"/>
          </w:rPr>
          <w:t xml:space="preserve">College of Policing (2020a) </w:t>
        </w:r>
      </w:hyperlink>
      <w:hyperlink r:id="rId140">
        <w:r>
          <w:rPr>
            <w:i/>
            <w:color w:val="000000"/>
            <w:sz w:val="24"/>
            <w:szCs w:val="24"/>
          </w:rPr>
          <w:t>Investigation Forensics</w:t>
        </w:r>
      </w:hyperlink>
      <w:hyperlink r:id="rId141">
        <w:r>
          <w:rPr>
            <w:color w:val="000000"/>
            <w:sz w:val="24"/>
            <w:szCs w:val="24"/>
          </w:rPr>
          <w:t xml:space="preserve">, </w:t>
        </w:r>
      </w:hyperlink>
      <w:hyperlink r:id="rId142">
        <w:r>
          <w:rPr>
            <w:i/>
            <w:color w:val="000000"/>
            <w:sz w:val="24"/>
            <w:szCs w:val="24"/>
          </w:rPr>
          <w:t>College of Policing: Authorised Professional Practice</w:t>
        </w:r>
      </w:hyperlink>
      <w:hyperlink r:id="rId143">
        <w:r>
          <w:rPr>
            <w:color w:val="000000"/>
            <w:sz w:val="24"/>
            <w:szCs w:val="24"/>
          </w:rPr>
          <w:t xml:space="preserve">. Available at: </w:t>
        </w:r>
      </w:hyperlink>
      <w:hyperlink r:id="rId144">
        <w:r>
          <w:rPr>
            <w:color w:val="000000"/>
            <w:sz w:val="24"/>
            <w:szCs w:val="24"/>
          </w:rPr>
          <w:t>https://www.app.college.police.uk/app-content/investigations/forensics/</w:t>
        </w:r>
      </w:hyperlink>
      <w:hyperlink r:id="rId145">
        <w:r>
          <w:rPr>
            <w:color w:val="000000"/>
            <w:sz w:val="24"/>
            <w:szCs w:val="24"/>
          </w:rPr>
          <w:t xml:space="preserve"> (Accessed: 23 October 2020).</w:t>
        </w:r>
      </w:hyperlink>
    </w:p>
    <w:p w14:paraId="0281AF5F" w14:textId="77777777" w:rsidR="00C61091" w:rsidRDefault="00C61091">
      <w:pPr>
        <w:widowControl w:val="0"/>
        <w:pBdr>
          <w:top w:val="nil"/>
          <w:left w:val="nil"/>
          <w:bottom w:val="nil"/>
          <w:right w:val="nil"/>
          <w:between w:val="nil"/>
        </w:pBdr>
        <w:spacing w:after="240" w:line="240" w:lineRule="auto"/>
        <w:rPr>
          <w:color w:val="000000"/>
          <w:sz w:val="24"/>
          <w:szCs w:val="24"/>
        </w:rPr>
      </w:pPr>
      <w:hyperlink r:id="rId146">
        <w:r>
          <w:rPr>
            <w:color w:val="000000"/>
            <w:sz w:val="24"/>
            <w:szCs w:val="24"/>
          </w:rPr>
          <w:t xml:space="preserve">College of Policing (2020b) </w:t>
        </w:r>
      </w:hyperlink>
      <w:hyperlink r:id="rId147">
        <w:r>
          <w:rPr>
            <w:i/>
            <w:color w:val="000000"/>
            <w:sz w:val="24"/>
            <w:szCs w:val="24"/>
          </w:rPr>
          <w:t>Investigation: Managing investigations</w:t>
        </w:r>
      </w:hyperlink>
      <w:hyperlink r:id="rId148">
        <w:r>
          <w:rPr>
            <w:color w:val="000000"/>
            <w:sz w:val="24"/>
            <w:szCs w:val="24"/>
          </w:rPr>
          <w:t xml:space="preserve">, </w:t>
        </w:r>
      </w:hyperlink>
      <w:hyperlink r:id="rId149">
        <w:r>
          <w:rPr>
            <w:i/>
            <w:color w:val="000000"/>
            <w:sz w:val="24"/>
            <w:szCs w:val="24"/>
          </w:rPr>
          <w:t>College of Policing: Authorised Professional Practice</w:t>
        </w:r>
      </w:hyperlink>
      <w:hyperlink r:id="rId150">
        <w:r>
          <w:rPr>
            <w:color w:val="000000"/>
            <w:sz w:val="24"/>
            <w:szCs w:val="24"/>
          </w:rPr>
          <w:t xml:space="preserve">. Available at: </w:t>
        </w:r>
      </w:hyperlink>
      <w:hyperlink r:id="rId151">
        <w:r>
          <w:rPr>
            <w:color w:val="000000"/>
            <w:sz w:val="24"/>
            <w:szCs w:val="24"/>
          </w:rPr>
          <w:t>https://www.app.college.police.uk/app-content/investigations/managing-investigations/</w:t>
        </w:r>
      </w:hyperlink>
      <w:hyperlink r:id="rId152">
        <w:r>
          <w:rPr>
            <w:color w:val="000000"/>
            <w:sz w:val="24"/>
            <w:szCs w:val="24"/>
          </w:rPr>
          <w:t xml:space="preserve"> (Accessed: 30 October 2020).</w:t>
        </w:r>
      </w:hyperlink>
    </w:p>
    <w:p w14:paraId="443184DC" w14:textId="77777777" w:rsidR="00C61091" w:rsidRDefault="00C61091">
      <w:pPr>
        <w:widowControl w:val="0"/>
        <w:pBdr>
          <w:top w:val="nil"/>
          <w:left w:val="nil"/>
          <w:bottom w:val="nil"/>
          <w:right w:val="nil"/>
          <w:between w:val="nil"/>
        </w:pBdr>
        <w:spacing w:after="240" w:line="240" w:lineRule="auto"/>
        <w:rPr>
          <w:color w:val="000000"/>
          <w:sz w:val="24"/>
          <w:szCs w:val="24"/>
        </w:rPr>
      </w:pPr>
      <w:hyperlink r:id="rId153">
        <w:r>
          <w:rPr>
            <w:color w:val="000000"/>
            <w:sz w:val="24"/>
            <w:szCs w:val="24"/>
          </w:rPr>
          <w:t xml:space="preserve">CPS (2018) </w:t>
        </w:r>
      </w:hyperlink>
      <w:hyperlink r:id="rId154">
        <w:r>
          <w:rPr>
            <w:i/>
            <w:color w:val="000000"/>
            <w:sz w:val="24"/>
            <w:szCs w:val="24"/>
          </w:rPr>
          <w:t>Admitting Evidence Under Sections 9 and 10 Criminal Justice Act 1967</w:t>
        </w:r>
      </w:hyperlink>
      <w:hyperlink r:id="rId155">
        <w:r>
          <w:rPr>
            <w:color w:val="000000"/>
            <w:sz w:val="24"/>
            <w:szCs w:val="24"/>
          </w:rPr>
          <w:t xml:space="preserve">, </w:t>
        </w:r>
      </w:hyperlink>
      <w:hyperlink r:id="rId156">
        <w:r>
          <w:rPr>
            <w:i/>
            <w:color w:val="000000"/>
            <w:sz w:val="24"/>
            <w:szCs w:val="24"/>
          </w:rPr>
          <w:t>CPS</w:t>
        </w:r>
      </w:hyperlink>
      <w:hyperlink r:id="rId157">
        <w:r>
          <w:rPr>
            <w:color w:val="000000"/>
            <w:sz w:val="24"/>
            <w:szCs w:val="24"/>
          </w:rPr>
          <w:t xml:space="preserve">. Available at: </w:t>
        </w:r>
      </w:hyperlink>
      <w:hyperlink r:id="rId158">
        <w:r>
          <w:rPr>
            <w:color w:val="000000"/>
            <w:sz w:val="24"/>
            <w:szCs w:val="24"/>
          </w:rPr>
          <w:t>https://www.cps.gov.uk/legal-guidance/admitting-evidence-under-sections-9-and-10-criminal-justice-act-1967</w:t>
        </w:r>
      </w:hyperlink>
      <w:hyperlink r:id="rId159">
        <w:r>
          <w:rPr>
            <w:color w:val="000000"/>
            <w:sz w:val="24"/>
            <w:szCs w:val="24"/>
          </w:rPr>
          <w:t xml:space="preserve"> (Accessed: 23 October 2020).</w:t>
        </w:r>
      </w:hyperlink>
    </w:p>
    <w:p w14:paraId="3AC2D25A" w14:textId="77777777" w:rsidR="00C61091" w:rsidRDefault="00C61091">
      <w:pPr>
        <w:widowControl w:val="0"/>
        <w:pBdr>
          <w:top w:val="nil"/>
          <w:left w:val="nil"/>
          <w:bottom w:val="nil"/>
          <w:right w:val="nil"/>
          <w:between w:val="nil"/>
        </w:pBdr>
        <w:spacing w:after="240" w:line="240" w:lineRule="auto"/>
        <w:rPr>
          <w:color w:val="000000"/>
          <w:sz w:val="24"/>
          <w:szCs w:val="24"/>
        </w:rPr>
      </w:pPr>
      <w:hyperlink r:id="rId160">
        <w:r>
          <w:rPr>
            <w:i/>
            <w:color w:val="000000"/>
            <w:sz w:val="24"/>
            <w:szCs w:val="24"/>
          </w:rPr>
          <w:t>Criminal Justice Act</w:t>
        </w:r>
      </w:hyperlink>
      <w:hyperlink r:id="rId161">
        <w:r>
          <w:rPr>
            <w:color w:val="000000"/>
            <w:sz w:val="24"/>
            <w:szCs w:val="24"/>
          </w:rPr>
          <w:t xml:space="preserve"> (1967). Available at: </w:t>
        </w:r>
      </w:hyperlink>
      <w:hyperlink r:id="rId162">
        <w:r>
          <w:rPr>
            <w:color w:val="000000"/>
            <w:sz w:val="24"/>
            <w:szCs w:val="24"/>
          </w:rPr>
          <w:t>https://www.legislation.gov.uk/ukpga/1967/80</w:t>
        </w:r>
      </w:hyperlink>
      <w:hyperlink r:id="rId163">
        <w:r>
          <w:rPr>
            <w:color w:val="000000"/>
            <w:sz w:val="24"/>
            <w:szCs w:val="24"/>
          </w:rPr>
          <w:t>.</w:t>
        </w:r>
      </w:hyperlink>
    </w:p>
    <w:p w14:paraId="5F0C9CC9" w14:textId="77777777" w:rsidR="00C61091" w:rsidRDefault="00C61091">
      <w:pPr>
        <w:widowControl w:val="0"/>
        <w:pBdr>
          <w:top w:val="nil"/>
          <w:left w:val="nil"/>
          <w:bottom w:val="nil"/>
          <w:right w:val="nil"/>
          <w:between w:val="nil"/>
        </w:pBdr>
        <w:spacing w:after="240" w:line="240" w:lineRule="auto"/>
        <w:rPr>
          <w:color w:val="000000"/>
          <w:sz w:val="24"/>
          <w:szCs w:val="24"/>
        </w:rPr>
      </w:pPr>
      <w:hyperlink r:id="rId164">
        <w:r>
          <w:rPr>
            <w:i/>
            <w:color w:val="000000"/>
            <w:sz w:val="24"/>
            <w:szCs w:val="24"/>
          </w:rPr>
          <w:t>Criminal Justice and Police Act</w:t>
        </w:r>
      </w:hyperlink>
      <w:hyperlink r:id="rId165">
        <w:r>
          <w:rPr>
            <w:color w:val="000000"/>
            <w:sz w:val="24"/>
            <w:szCs w:val="24"/>
          </w:rPr>
          <w:t xml:space="preserve"> (2001) </w:t>
        </w:r>
      </w:hyperlink>
      <w:hyperlink r:id="rId166">
        <w:r>
          <w:rPr>
            <w:i/>
            <w:color w:val="000000"/>
            <w:sz w:val="24"/>
            <w:szCs w:val="24"/>
          </w:rPr>
          <w:t>c.16</w:t>
        </w:r>
      </w:hyperlink>
      <w:hyperlink r:id="rId167">
        <w:r>
          <w:rPr>
            <w:color w:val="000000"/>
            <w:sz w:val="24"/>
            <w:szCs w:val="24"/>
          </w:rPr>
          <w:t xml:space="preserve">. Available at: </w:t>
        </w:r>
      </w:hyperlink>
      <w:hyperlink r:id="rId168">
        <w:r>
          <w:rPr>
            <w:color w:val="000000"/>
            <w:sz w:val="24"/>
            <w:szCs w:val="24"/>
          </w:rPr>
          <w:t>https://www.legislation.gov.uk/ukpga/2001/16/contents</w:t>
        </w:r>
      </w:hyperlink>
      <w:hyperlink r:id="rId169">
        <w:r>
          <w:rPr>
            <w:color w:val="000000"/>
            <w:sz w:val="24"/>
            <w:szCs w:val="24"/>
          </w:rPr>
          <w:t xml:space="preserve"> (Accessed: 24 October 2020).</w:t>
        </w:r>
      </w:hyperlink>
    </w:p>
    <w:p w14:paraId="01E7BFE9" w14:textId="77777777" w:rsidR="00C61091" w:rsidRDefault="00C61091">
      <w:pPr>
        <w:widowControl w:val="0"/>
        <w:pBdr>
          <w:top w:val="nil"/>
          <w:left w:val="nil"/>
          <w:bottom w:val="nil"/>
          <w:right w:val="nil"/>
          <w:between w:val="nil"/>
        </w:pBdr>
        <w:spacing w:after="240" w:line="240" w:lineRule="auto"/>
        <w:rPr>
          <w:color w:val="000000"/>
          <w:sz w:val="24"/>
          <w:szCs w:val="24"/>
        </w:rPr>
      </w:pPr>
      <w:hyperlink r:id="rId170">
        <w:r>
          <w:rPr>
            <w:color w:val="000000"/>
            <w:sz w:val="24"/>
            <w:szCs w:val="24"/>
          </w:rPr>
          <w:t xml:space="preserve">Eady, D. (2009) </w:t>
        </w:r>
      </w:hyperlink>
      <w:hyperlink r:id="rId171">
        <w:r>
          <w:rPr>
            <w:i/>
            <w:color w:val="000000"/>
            <w:sz w:val="24"/>
            <w:szCs w:val="24"/>
          </w:rPr>
          <w:t>MISCARRIAGES OF JUSTICE: The Uncertainty Principle</w:t>
        </w:r>
      </w:hyperlink>
      <w:hyperlink r:id="rId172">
        <w:r>
          <w:rPr>
            <w:color w:val="000000"/>
            <w:sz w:val="24"/>
            <w:szCs w:val="24"/>
          </w:rPr>
          <w:t xml:space="preserve">. Edited by M. Maguire and L. Noaks. Doctor of Philosophy. Cardiff University. Available at: </w:t>
        </w:r>
      </w:hyperlink>
      <w:hyperlink r:id="rId173">
        <w:r>
          <w:rPr>
            <w:color w:val="000000"/>
            <w:sz w:val="24"/>
            <w:szCs w:val="24"/>
          </w:rPr>
          <w:t>https://orca.cf.ac.uk/54837/1/U585226.pdf</w:t>
        </w:r>
      </w:hyperlink>
      <w:hyperlink r:id="rId174">
        <w:r>
          <w:rPr>
            <w:color w:val="000000"/>
            <w:sz w:val="24"/>
            <w:szCs w:val="24"/>
          </w:rPr>
          <w:t xml:space="preserve"> (Accessed: 30 October 2020).</w:t>
        </w:r>
      </w:hyperlink>
    </w:p>
    <w:p w14:paraId="32BA0EE9" w14:textId="77777777" w:rsidR="00C61091" w:rsidRDefault="00C61091">
      <w:pPr>
        <w:widowControl w:val="0"/>
        <w:pBdr>
          <w:top w:val="nil"/>
          <w:left w:val="nil"/>
          <w:bottom w:val="nil"/>
          <w:right w:val="nil"/>
          <w:between w:val="nil"/>
        </w:pBdr>
        <w:spacing w:after="240" w:line="240" w:lineRule="auto"/>
        <w:rPr>
          <w:color w:val="000000"/>
          <w:sz w:val="24"/>
          <w:szCs w:val="24"/>
        </w:rPr>
      </w:pPr>
      <w:hyperlink r:id="rId175">
        <w:r>
          <w:rPr>
            <w:color w:val="000000"/>
            <w:sz w:val="24"/>
            <w:szCs w:val="24"/>
          </w:rPr>
          <w:t xml:space="preserve">Fish, J. T., Miller, L. S. and Braswell, M. C. (2010) </w:t>
        </w:r>
      </w:hyperlink>
      <w:hyperlink r:id="rId176">
        <w:r>
          <w:rPr>
            <w:i/>
            <w:color w:val="000000"/>
            <w:sz w:val="24"/>
            <w:szCs w:val="24"/>
          </w:rPr>
          <w:t>Crime Scene Investigation</w:t>
        </w:r>
      </w:hyperlink>
      <w:hyperlink r:id="rId177">
        <w:r>
          <w:rPr>
            <w:color w:val="000000"/>
            <w:sz w:val="24"/>
            <w:szCs w:val="24"/>
          </w:rPr>
          <w:t>. Routledge.</w:t>
        </w:r>
      </w:hyperlink>
    </w:p>
    <w:p w14:paraId="26DABC24" w14:textId="77777777" w:rsidR="00C61091" w:rsidRDefault="00C61091">
      <w:pPr>
        <w:widowControl w:val="0"/>
        <w:pBdr>
          <w:top w:val="nil"/>
          <w:left w:val="nil"/>
          <w:bottom w:val="nil"/>
          <w:right w:val="nil"/>
          <w:between w:val="nil"/>
        </w:pBdr>
        <w:spacing w:after="240" w:line="240" w:lineRule="auto"/>
        <w:rPr>
          <w:color w:val="000000"/>
          <w:sz w:val="24"/>
          <w:szCs w:val="24"/>
        </w:rPr>
      </w:pPr>
      <w:hyperlink r:id="rId178">
        <w:r>
          <w:rPr>
            <w:color w:val="000000"/>
            <w:sz w:val="24"/>
            <w:szCs w:val="24"/>
          </w:rPr>
          <w:t xml:space="preserve">Forensic Science Regulator (2020) </w:t>
        </w:r>
      </w:hyperlink>
      <w:hyperlink r:id="rId179">
        <w:r>
          <w:rPr>
            <w:i/>
            <w:color w:val="000000"/>
            <w:sz w:val="24"/>
            <w:szCs w:val="24"/>
          </w:rPr>
          <w:t>Forensic Science Regulator Guidance: The Control and Avoidance of Contamination in Scene Examination involving DNA Evidence Recovery</w:t>
        </w:r>
      </w:hyperlink>
      <w:hyperlink r:id="rId180">
        <w:r>
          <w:rPr>
            <w:color w:val="000000"/>
            <w:sz w:val="24"/>
            <w:szCs w:val="24"/>
          </w:rPr>
          <w:t xml:space="preserve">. FSR-G-206 Issue 2. Forensic Science Regulator. Available at: </w:t>
        </w:r>
      </w:hyperlink>
      <w:hyperlink r:id="rId181">
        <w:r>
          <w:rPr>
            <w:color w:val="000000"/>
            <w:sz w:val="24"/>
            <w:szCs w:val="24"/>
          </w:rPr>
          <w:t>https://assets.publishing.service.gov.uk/government/uploads/system/uploads/attachment_data/file/915221/FSR_G-206_Issue_2_Final.pdf</w:t>
        </w:r>
      </w:hyperlink>
      <w:hyperlink r:id="rId182">
        <w:r>
          <w:rPr>
            <w:color w:val="000000"/>
            <w:sz w:val="24"/>
            <w:szCs w:val="24"/>
          </w:rPr>
          <w:t xml:space="preserve"> (Accessed: 24 October 2020).</w:t>
        </w:r>
      </w:hyperlink>
    </w:p>
    <w:p w14:paraId="3070841A" w14:textId="77777777" w:rsidR="00C61091" w:rsidRDefault="00C61091">
      <w:pPr>
        <w:widowControl w:val="0"/>
        <w:pBdr>
          <w:top w:val="nil"/>
          <w:left w:val="nil"/>
          <w:bottom w:val="nil"/>
          <w:right w:val="nil"/>
          <w:between w:val="nil"/>
        </w:pBdr>
        <w:spacing w:after="240" w:line="240" w:lineRule="auto"/>
        <w:rPr>
          <w:color w:val="000000"/>
          <w:sz w:val="24"/>
          <w:szCs w:val="24"/>
        </w:rPr>
      </w:pPr>
      <w:hyperlink r:id="rId183">
        <w:r>
          <w:rPr>
            <w:color w:val="000000"/>
            <w:sz w:val="24"/>
            <w:szCs w:val="24"/>
          </w:rPr>
          <w:t xml:space="preserve">Fosdick, R. (1916) ‘Modus Operandi System in the Detection of Criminals’, </w:t>
        </w:r>
      </w:hyperlink>
      <w:hyperlink r:id="rId184">
        <w:r>
          <w:rPr>
            <w:i/>
            <w:color w:val="000000"/>
            <w:sz w:val="24"/>
            <w:szCs w:val="24"/>
          </w:rPr>
          <w:t>Journal of Criminal Law and Criminology</w:t>
        </w:r>
      </w:hyperlink>
      <w:hyperlink r:id="rId185">
        <w:r>
          <w:rPr>
            <w:color w:val="000000"/>
            <w:sz w:val="24"/>
            <w:szCs w:val="24"/>
          </w:rPr>
          <w:t xml:space="preserve">, 6(4). Available at: </w:t>
        </w:r>
      </w:hyperlink>
      <w:hyperlink r:id="rId186">
        <w:r>
          <w:rPr>
            <w:color w:val="000000"/>
            <w:sz w:val="24"/>
            <w:szCs w:val="24"/>
          </w:rPr>
          <w:t>https://scholarlycommons.law.northwestern.edu/cgi/viewcontent.cgi?article=1392&amp;context=jclc</w:t>
        </w:r>
      </w:hyperlink>
      <w:hyperlink r:id="rId187">
        <w:r>
          <w:rPr>
            <w:color w:val="000000"/>
            <w:sz w:val="24"/>
            <w:szCs w:val="24"/>
          </w:rPr>
          <w:t xml:space="preserve"> (Accessed: 23 October 2020).</w:t>
        </w:r>
      </w:hyperlink>
    </w:p>
    <w:p w14:paraId="678896CF" w14:textId="77777777" w:rsidR="00C61091" w:rsidRDefault="00C61091">
      <w:pPr>
        <w:widowControl w:val="0"/>
        <w:pBdr>
          <w:top w:val="nil"/>
          <w:left w:val="nil"/>
          <w:bottom w:val="nil"/>
          <w:right w:val="nil"/>
          <w:between w:val="nil"/>
        </w:pBdr>
        <w:spacing w:after="240" w:line="240" w:lineRule="auto"/>
        <w:rPr>
          <w:color w:val="000000"/>
          <w:sz w:val="24"/>
          <w:szCs w:val="24"/>
        </w:rPr>
      </w:pPr>
      <w:hyperlink r:id="rId188">
        <w:r>
          <w:rPr>
            <w:color w:val="000000"/>
            <w:sz w:val="24"/>
            <w:szCs w:val="24"/>
          </w:rPr>
          <w:t xml:space="preserve">Fraser, J. and Fraser, J. (2010) </w:t>
        </w:r>
      </w:hyperlink>
      <w:hyperlink r:id="rId189">
        <w:r>
          <w:rPr>
            <w:i/>
            <w:color w:val="000000"/>
            <w:sz w:val="24"/>
            <w:szCs w:val="24"/>
          </w:rPr>
          <w:t>Forensic Science: A Very Short Introduction</w:t>
        </w:r>
      </w:hyperlink>
      <w:hyperlink r:id="rId190">
        <w:r>
          <w:rPr>
            <w:color w:val="000000"/>
            <w:sz w:val="24"/>
            <w:szCs w:val="24"/>
          </w:rPr>
          <w:t>. Oxford: Oxford University Press.</w:t>
        </w:r>
      </w:hyperlink>
    </w:p>
    <w:p w14:paraId="7E0E7A55" w14:textId="77777777" w:rsidR="00C61091" w:rsidRDefault="00C61091">
      <w:pPr>
        <w:widowControl w:val="0"/>
        <w:pBdr>
          <w:top w:val="nil"/>
          <w:left w:val="nil"/>
          <w:bottom w:val="nil"/>
          <w:right w:val="nil"/>
          <w:between w:val="nil"/>
        </w:pBdr>
        <w:spacing w:after="240" w:line="240" w:lineRule="auto"/>
        <w:rPr>
          <w:color w:val="000000"/>
          <w:sz w:val="24"/>
          <w:szCs w:val="24"/>
        </w:rPr>
      </w:pPr>
      <w:hyperlink r:id="rId191">
        <w:r>
          <w:rPr>
            <w:color w:val="000000"/>
            <w:sz w:val="24"/>
            <w:szCs w:val="24"/>
          </w:rPr>
          <w:t xml:space="preserve">Fraser, J. and Williams, R. (2013) </w:t>
        </w:r>
      </w:hyperlink>
      <w:hyperlink r:id="rId192">
        <w:r>
          <w:rPr>
            <w:i/>
            <w:color w:val="000000"/>
            <w:sz w:val="24"/>
            <w:szCs w:val="24"/>
          </w:rPr>
          <w:t>Handbook of Forensic Science</w:t>
        </w:r>
      </w:hyperlink>
      <w:hyperlink r:id="rId193">
        <w:r>
          <w:rPr>
            <w:color w:val="000000"/>
            <w:sz w:val="24"/>
            <w:szCs w:val="24"/>
          </w:rPr>
          <w:t>. Routledge.</w:t>
        </w:r>
      </w:hyperlink>
    </w:p>
    <w:p w14:paraId="0C7807BE" w14:textId="77777777" w:rsidR="00C61091" w:rsidRDefault="00C61091">
      <w:pPr>
        <w:widowControl w:val="0"/>
        <w:pBdr>
          <w:top w:val="nil"/>
          <w:left w:val="nil"/>
          <w:bottom w:val="nil"/>
          <w:right w:val="nil"/>
          <w:between w:val="nil"/>
        </w:pBdr>
        <w:spacing w:after="240" w:line="240" w:lineRule="auto"/>
        <w:rPr>
          <w:color w:val="000000"/>
          <w:sz w:val="24"/>
          <w:szCs w:val="24"/>
        </w:rPr>
      </w:pPr>
      <w:hyperlink r:id="rId194">
        <w:proofErr w:type="spellStart"/>
        <w:r>
          <w:rPr>
            <w:color w:val="000000"/>
            <w:sz w:val="24"/>
            <w:szCs w:val="24"/>
          </w:rPr>
          <w:t>Goray</w:t>
        </w:r>
        <w:proofErr w:type="spellEnd"/>
        <w:r>
          <w:rPr>
            <w:color w:val="000000"/>
            <w:sz w:val="24"/>
            <w:szCs w:val="24"/>
          </w:rPr>
          <w:t xml:space="preserve">, M., Oorschot, R. and Mitchell, J. (2012) ‘DNA transfer within forensic exhibit packaging: Potential for DNA loss and relocation’, </w:t>
        </w:r>
      </w:hyperlink>
      <w:hyperlink r:id="rId195">
        <w:r>
          <w:rPr>
            <w:i/>
            <w:color w:val="000000"/>
            <w:sz w:val="24"/>
            <w:szCs w:val="24"/>
          </w:rPr>
          <w:t xml:space="preserve">Forensic science international. </w:t>
        </w:r>
        <w:r>
          <w:rPr>
            <w:i/>
            <w:color w:val="000000"/>
            <w:sz w:val="24"/>
            <w:szCs w:val="24"/>
          </w:rPr>
          <w:lastRenderedPageBreak/>
          <w:t>Genetics</w:t>
        </w:r>
      </w:hyperlink>
      <w:hyperlink r:id="rId196">
        <w:r>
          <w:rPr>
            <w:color w:val="000000"/>
            <w:sz w:val="24"/>
            <w:szCs w:val="24"/>
          </w:rPr>
          <w:t>, 6(2), pp. 158–166.</w:t>
        </w:r>
      </w:hyperlink>
    </w:p>
    <w:p w14:paraId="73CDB70C" w14:textId="77777777" w:rsidR="00C61091" w:rsidRDefault="00C61091">
      <w:pPr>
        <w:widowControl w:val="0"/>
        <w:pBdr>
          <w:top w:val="nil"/>
          <w:left w:val="nil"/>
          <w:bottom w:val="nil"/>
          <w:right w:val="nil"/>
          <w:between w:val="nil"/>
        </w:pBdr>
        <w:spacing w:after="240" w:line="240" w:lineRule="auto"/>
        <w:rPr>
          <w:color w:val="000000"/>
          <w:sz w:val="24"/>
          <w:szCs w:val="24"/>
        </w:rPr>
      </w:pPr>
      <w:hyperlink r:id="rId197">
        <w:r>
          <w:rPr>
            <w:color w:val="000000"/>
            <w:sz w:val="24"/>
            <w:szCs w:val="24"/>
          </w:rPr>
          <w:t xml:space="preserve">Health and Safety Executive (2003) </w:t>
        </w:r>
      </w:hyperlink>
      <w:hyperlink r:id="rId198">
        <w:r>
          <w:rPr>
            <w:i/>
            <w:color w:val="000000"/>
            <w:sz w:val="24"/>
            <w:szCs w:val="24"/>
          </w:rPr>
          <w:t>Enforcement Guide (England and Wales): Continuity</w:t>
        </w:r>
      </w:hyperlink>
      <w:hyperlink r:id="rId199">
        <w:r>
          <w:rPr>
            <w:color w:val="000000"/>
            <w:sz w:val="24"/>
            <w:szCs w:val="24"/>
          </w:rPr>
          <w:t xml:space="preserve">, </w:t>
        </w:r>
      </w:hyperlink>
      <w:hyperlink r:id="rId200">
        <w:r>
          <w:rPr>
            <w:i/>
            <w:color w:val="000000"/>
            <w:sz w:val="24"/>
            <w:szCs w:val="24"/>
          </w:rPr>
          <w:t>Health and Safety Executive</w:t>
        </w:r>
      </w:hyperlink>
      <w:hyperlink r:id="rId201">
        <w:r>
          <w:rPr>
            <w:color w:val="000000"/>
            <w:sz w:val="24"/>
            <w:szCs w:val="24"/>
          </w:rPr>
          <w:t xml:space="preserve">. Available at: </w:t>
        </w:r>
      </w:hyperlink>
      <w:hyperlink r:id="rId202" w:anchor=":~:text=1.,the%20possession%20of%20the%20investigators">
        <w:r>
          <w:rPr>
            <w:color w:val="000000"/>
            <w:sz w:val="24"/>
            <w:szCs w:val="24"/>
          </w:rPr>
          <w:t>https://www.hse.gov.uk/enforce/enforcementguide/court/physical-continuity.htm#:~:text=1.,the%20possession%20of%20the%20investigators</w:t>
        </w:r>
      </w:hyperlink>
      <w:hyperlink r:id="rId203">
        <w:r>
          <w:rPr>
            <w:color w:val="000000"/>
            <w:sz w:val="24"/>
            <w:szCs w:val="24"/>
          </w:rPr>
          <w:t xml:space="preserve"> (Accessed: 23 October 2020).</w:t>
        </w:r>
      </w:hyperlink>
    </w:p>
    <w:p w14:paraId="35F43BF3" w14:textId="77777777" w:rsidR="00C61091" w:rsidRDefault="00C61091">
      <w:pPr>
        <w:widowControl w:val="0"/>
        <w:pBdr>
          <w:top w:val="nil"/>
          <w:left w:val="nil"/>
          <w:bottom w:val="nil"/>
          <w:right w:val="nil"/>
          <w:between w:val="nil"/>
        </w:pBdr>
        <w:spacing w:after="240" w:line="240" w:lineRule="auto"/>
        <w:rPr>
          <w:color w:val="000000"/>
          <w:sz w:val="24"/>
          <w:szCs w:val="24"/>
        </w:rPr>
      </w:pPr>
      <w:hyperlink r:id="rId204">
        <w:r>
          <w:rPr>
            <w:color w:val="000000"/>
            <w:sz w:val="24"/>
            <w:szCs w:val="24"/>
          </w:rPr>
          <w:t xml:space="preserve">Hess, S. (2016) ‘Recovery of Trace DNA on Clothing: A Comparison of Mini‐tape Lifting and Three Other Forensic Evidence Collection Techniques’, </w:t>
        </w:r>
      </w:hyperlink>
      <w:hyperlink r:id="rId205">
        <w:r>
          <w:rPr>
            <w:i/>
            <w:color w:val="000000"/>
            <w:sz w:val="24"/>
            <w:szCs w:val="24"/>
          </w:rPr>
          <w:t>Journal of forensic sciences</w:t>
        </w:r>
      </w:hyperlink>
      <w:hyperlink r:id="rId206">
        <w:r>
          <w:rPr>
            <w:color w:val="000000"/>
            <w:sz w:val="24"/>
            <w:szCs w:val="24"/>
          </w:rPr>
          <w:t>, 62(1), pp. 187–191.</w:t>
        </w:r>
      </w:hyperlink>
    </w:p>
    <w:p w14:paraId="75ACA507" w14:textId="77777777" w:rsidR="00C61091" w:rsidRDefault="00C61091">
      <w:pPr>
        <w:widowControl w:val="0"/>
        <w:pBdr>
          <w:top w:val="nil"/>
          <w:left w:val="nil"/>
          <w:bottom w:val="nil"/>
          <w:right w:val="nil"/>
          <w:between w:val="nil"/>
        </w:pBdr>
        <w:spacing w:after="240" w:line="240" w:lineRule="auto"/>
        <w:rPr>
          <w:color w:val="000000"/>
          <w:sz w:val="24"/>
          <w:szCs w:val="24"/>
        </w:rPr>
      </w:pPr>
      <w:hyperlink r:id="rId207">
        <w:r>
          <w:rPr>
            <w:color w:val="000000"/>
            <w:sz w:val="24"/>
            <w:szCs w:val="24"/>
          </w:rPr>
          <w:t xml:space="preserve">Home Office (2014) </w:t>
        </w:r>
      </w:hyperlink>
      <w:hyperlink r:id="rId208">
        <w:r>
          <w:rPr>
            <w:i/>
            <w:color w:val="000000"/>
            <w:sz w:val="24"/>
            <w:szCs w:val="24"/>
          </w:rPr>
          <w:t>Revised code of practice for the exercise by: Police Officers of Statutory Powers of stop and search (PACE Code A)</w:t>
        </w:r>
      </w:hyperlink>
      <w:hyperlink r:id="rId209">
        <w:r>
          <w:rPr>
            <w:color w:val="000000"/>
            <w:sz w:val="24"/>
            <w:szCs w:val="24"/>
          </w:rPr>
          <w:t xml:space="preserve">. Home Office. Available at: </w:t>
        </w:r>
      </w:hyperlink>
      <w:hyperlink r:id="rId210">
        <w:r>
          <w:rPr>
            <w:color w:val="000000"/>
            <w:sz w:val="24"/>
            <w:szCs w:val="24"/>
          </w:rPr>
          <w:t>https://assets.publishing.service.gov.uk/government/uploads/system/uploads/attachment_data/file/384122/PaceCodeAWeb.pdf</w:t>
        </w:r>
      </w:hyperlink>
      <w:hyperlink r:id="rId211">
        <w:r>
          <w:rPr>
            <w:color w:val="000000"/>
            <w:sz w:val="24"/>
            <w:szCs w:val="24"/>
          </w:rPr>
          <w:t xml:space="preserve"> (Accessed: 24 October 2020).</w:t>
        </w:r>
      </w:hyperlink>
    </w:p>
    <w:p w14:paraId="7B43EFE1" w14:textId="77777777" w:rsidR="00C61091" w:rsidRDefault="00C61091">
      <w:pPr>
        <w:widowControl w:val="0"/>
        <w:pBdr>
          <w:top w:val="nil"/>
          <w:left w:val="nil"/>
          <w:bottom w:val="nil"/>
          <w:right w:val="nil"/>
          <w:between w:val="nil"/>
        </w:pBdr>
        <w:spacing w:after="240" w:line="240" w:lineRule="auto"/>
        <w:rPr>
          <w:color w:val="000000"/>
          <w:sz w:val="24"/>
          <w:szCs w:val="24"/>
        </w:rPr>
      </w:pPr>
      <w:hyperlink r:id="rId212">
        <w:proofErr w:type="spellStart"/>
        <w:r>
          <w:rPr>
            <w:color w:val="000000"/>
            <w:sz w:val="24"/>
            <w:szCs w:val="24"/>
          </w:rPr>
          <w:t>Horswell</w:t>
        </w:r>
        <w:proofErr w:type="spellEnd"/>
        <w:r>
          <w:rPr>
            <w:color w:val="000000"/>
            <w:sz w:val="24"/>
            <w:szCs w:val="24"/>
          </w:rPr>
          <w:t xml:space="preserve">, J. (2004) </w:t>
        </w:r>
      </w:hyperlink>
      <w:hyperlink r:id="rId213">
        <w:r>
          <w:rPr>
            <w:i/>
            <w:color w:val="000000"/>
            <w:sz w:val="24"/>
            <w:szCs w:val="24"/>
          </w:rPr>
          <w:t>The Practice of Crime Scene Investigation</w:t>
        </w:r>
      </w:hyperlink>
      <w:hyperlink r:id="rId214">
        <w:r>
          <w:rPr>
            <w:color w:val="000000"/>
            <w:sz w:val="24"/>
            <w:szCs w:val="24"/>
          </w:rPr>
          <w:t xml:space="preserve">. Edited by J. </w:t>
        </w:r>
        <w:proofErr w:type="spellStart"/>
        <w:r>
          <w:rPr>
            <w:color w:val="000000"/>
            <w:sz w:val="24"/>
            <w:szCs w:val="24"/>
          </w:rPr>
          <w:t>Horswell</w:t>
        </w:r>
        <w:proofErr w:type="spellEnd"/>
        <w:r>
          <w:rPr>
            <w:color w:val="000000"/>
            <w:sz w:val="24"/>
            <w:szCs w:val="24"/>
          </w:rPr>
          <w:t>. CRC Press (International Forensic Science and Investigation), p. 6.</w:t>
        </w:r>
      </w:hyperlink>
    </w:p>
    <w:p w14:paraId="78569221" w14:textId="77777777" w:rsidR="00C61091" w:rsidRDefault="00C61091">
      <w:pPr>
        <w:widowControl w:val="0"/>
        <w:pBdr>
          <w:top w:val="nil"/>
          <w:left w:val="nil"/>
          <w:bottom w:val="nil"/>
          <w:right w:val="nil"/>
          <w:between w:val="nil"/>
        </w:pBdr>
        <w:spacing w:after="240" w:line="240" w:lineRule="auto"/>
        <w:rPr>
          <w:color w:val="000000"/>
          <w:sz w:val="24"/>
          <w:szCs w:val="24"/>
        </w:rPr>
      </w:pPr>
      <w:hyperlink r:id="rId215">
        <w:proofErr w:type="spellStart"/>
        <w:r>
          <w:rPr>
            <w:color w:val="000000"/>
            <w:sz w:val="24"/>
            <w:szCs w:val="24"/>
          </w:rPr>
          <w:t>Horswell</w:t>
        </w:r>
        <w:proofErr w:type="spellEnd"/>
        <w:r>
          <w:rPr>
            <w:color w:val="000000"/>
            <w:sz w:val="24"/>
            <w:szCs w:val="24"/>
          </w:rPr>
          <w:t xml:space="preserve">, J. (2015) ‘Section 2: Analysis: Packaging’, in Houck, M. (ed.) </w:t>
        </w:r>
      </w:hyperlink>
      <w:hyperlink r:id="rId216">
        <w:r>
          <w:rPr>
            <w:i/>
            <w:color w:val="000000"/>
            <w:sz w:val="24"/>
            <w:szCs w:val="24"/>
          </w:rPr>
          <w:t>Professional Issues in Forensic Science</w:t>
        </w:r>
      </w:hyperlink>
      <w:hyperlink r:id="rId217">
        <w:r>
          <w:rPr>
            <w:color w:val="000000"/>
            <w:sz w:val="24"/>
            <w:szCs w:val="24"/>
          </w:rPr>
          <w:t>. Academic Press (Advanced Forensic Science Series), pp. 37–47.</w:t>
        </w:r>
      </w:hyperlink>
    </w:p>
    <w:p w14:paraId="2C3104E2" w14:textId="77777777" w:rsidR="00C61091" w:rsidRDefault="00C61091">
      <w:pPr>
        <w:widowControl w:val="0"/>
        <w:pBdr>
          <w:top w:val="nil"/>
          <w:left w:val="nil"/>
          <w:bottom w:val="nil"/>
          <w:right w:val="nil"/>
          <w:between w:val="nil"/>
        </w:pBdr>
        <w:spacing w:after="240" w:line="240" w:lineRule="auto"/>
        <w:rPr>
          <w:color w:val="000000"/>
          <w:sz w:val="24"/>
          <w:szCs w:val="24"/>
        </w:rPr>
      </w:pPr>
      <w:hyperlink r:id="rId218">
        <w:r>
          <w:rPr>
            <w:i/>
            <w:color w:val="000000"/>
            <w:sz w:val="24"/>
            <w:szCs w:val="24"/>
          </w:rPr>
          <w:t>In The Crown Court Sitting in Northern Ireland: Bill No: 341/05: The Queen v Sean Hoey</w:t>
        </w:r>
      </w:hyperlink>
      <w:hyperlink r:id="rId219">
        <w:r>
          <w:rPr>
            <w:color w:val="000000"/>
            <w:sz w:val="24"/>
            <w:szCs w:val="24"/>
          </w:rPr>
          <w:t xml:space="preserve"> (2007) </w:t>
        </w:r>
      </w:hyperlink>
      <w:hyperlink r:id="rId220">
        <w:r>
          <w:rPr>
            <w:i/>
            <w:color w:val="000000"/>
            <w:sz w:val="24"/>
            <w:szCs w:val="24"/>
          </w:rPr>
          <w:t>{The Queen v Sean Hoey}</w:t>
        </w:r>
      </w:hyperlink>
      <w:hyperlink r:id="rId221">
        <w:r>
          <w:rPr>
            <w:color w:val="000000"/>
            <w:sz w:val="24"/>
            <w:szCs w:val="24"/>
          </w:rPr>
          <w:t xml:space="preserve">. Available at: </w:t>
        </w:r>
      </w:hyperlink>
      <w:hyperlink r:id="rId222">
        <w:r>
          <w:rPr>
            <w:color w:val="000000"/>
            <w:sz w:val="24"/>
            <w:szCs w:val="24"/>
          </w:rPr>
          <w:t>http://www.bailii.org/nie/cases/NICC/2007/49.html</w:t>
        </w:r>
      </w:hyperlink>
      <w:hyperlink r:id="rId223">
        <w:r>
          <w:rPr>
            <w:color w:val="000000"/>
            <w:sz w:val="24"/>
            <w:szCs w:val="24"/>
          </w:rPr>
          <w:t>.</w:t>
        </w:r>
      </w:hyperlink>
    </w:p>
    <w:p w14:paraId="6F95268B" w14:textId="77777777" w:rsidR="00C61091" w:rsidRDefault="00C61091">
      <w:pPr>
        <w:widowControl w:val="0"/>
        <w:pBdr>
          <w:top w:val="nil"/>
          <w:left w:val="nil"/>
          <w:bottom w:val="nil"/>
          <w:right w:val="nil"/>
          <w:between w:val="nil"/>
        </w:pBdr>
        <w:spacing w:after="240" w:line="240" w:lineRule="auto"/>
        <w:rPr>
          <w:color w:val="000000"/>
          <w:sz w:val="24"/>
          <w:szCs w:val="24"/>
        </w:rPr>
      </w:pPr>
      <w:hyperlink r:id="rId224">
        <w:r>
          <w:rPr>
            <w:color w:val="000000"/>
            <w:sz w:val="24"/>
            <w:szCs w:val="24"/>
          </w:rPr>
          <w:t xml:space="preserve">Jackson, A. </w:t>
        </w:r>
      </w:hyperlink>
      <w:hyperlink r:id="rId225">
        <w:r>
          <w:rPr>
            <w:i/>
            <w:color w:val="000000"/>
            <w:sz w:val="24"/>
            <w:szCs w:val="24"/>
          </w:rPr>
          <w:t>et al.</w:t>
        </w:r>
      </w:hyperlink>
      <w:hyperlink r:id="rId226">
        <w:r>
          <w:rPr>
            <w:color w:val="000000"/>
            <w:sz w:val="24"/>
            <w:szCs w:val="24"/>
          </w:rPr>
          <w:t xml:space="preserve"> (2016) </w:t>
        </w:r>
      </w:hyperlink>
      <w:hyperlink r:id="rId227">
        <w:r>
          <w:rPr>
            <w:i/>
            <w:color w:val="000000"/>
            <w:sz w:val="24"/>
            <w:szCs w:val="24"/>
          </w:rPr>
          <w:t>Forensic Science</w:t>
        </w:r>
      </w:hyperlink>
      <w:hyperlink r:id="rId228">
        <w:r>
          <w:rPr>
            <w:color w:val="000000"/>
            <w:sz w:val="24"/>
            <w:szCs w:val="24"/>
          </w:rPr>
          <w:t>. Edited by A. Jackson and J. Jackson. Harlow, UK: Pearson Education Limited.</w:t>
        </w:r>
      </w:hyperlink>
    </w:p>
    <w:p w14:paraId="47F49789" w14:textId="77777777" w:rsidR="00C61091" w:rsidRDefault="00C61091">
      <w:pPr>
        <w:widowControl w:val="0"/>
        <w:pBdr>
          <w:top w:val="nil"/>
          <w:left w:val="nil"/>
          <w:bottom w:val="nil"/>
          <w:right w:val="nil"/>
          <w:between w:val="nil"/>
        </w:pBdr>
        <w:spacing w:after="240" w:line="240" w:lineRule="auto"/>
        <w:rPr>
          <w:color w:val="000000"/>
          <w:sz w:val="24"/>
          <w:szCs w:val="24"/>
        </w:rPr>
      </w:pPr>
      <w:hyperlink r:id="rId229">
        <w:proofErr w:type="spellStart"/>
        <w:r>
          <w:rPr>
            <w:color w:val="000000"/>
            <w:sz w:val="24"/>
            <w:szCs w:val="24"/>
          </w:rPr>
          <w:t>Kassin</w:t>
        </w:r>
        <w:proofErr w:type="spellEnd"/>
        <w:r>
          <w:rPr>
            <w:color w:val="000000"/>
            <w:sz w:val="24"/>
            <w:szCs w:val="24"/>
          </w:rPr>
          <w:t xml:space="preserve">, S., </w:t>
        </w:r>
        <w:proofErr w:type="spellStart"/>
        <w:r>
          <w:rPr>
            <w:color w:val="000000"/>
            <w:sz w:val="24"/>
            <w:szCs w:val="24"/>
          </w:rPr>
          <w:t>Dror</w:t>
        </w:r>
        <w:proofErr w:type="spellEnd"/>
        <w:r>
          <w:rPr>
            <w:color w:val="000000"/>
            <w:sz w:val="24"/>
            <w:szCs w:val="24"/>
          </w:rPr>
          <w:t xml:space="preserve">, I. and </w:t>
        </w:r>
        <w:proofErr w:type="spellStart"/>
        <w:r>
          <w:rPr>
            <w:color w:val="000000"/>
            <w:sz w:val="24"/>
            <w:szCs w:val="24"/>
          </w:rPr>
          <w:t>Kukucka</w:t>
        </w:r>
        <w:proofErr w:type="spellEnd"/>
        <w:r>
          <w:rPr>
            <w:color w:val="000000"/>
            <w:sz w:val="24"/>
            <w:szCs w:val="24"/>
          </w:rPr>
          <w:t xml:space="preserve">, J. (2013) ‘The forensic confirmation bias: Problems, perspectives, and proposed solutions’, </w:t>
        </w:r>
      </w:hyperlink>
      <w:hyperlink r:id="rId230">
        <w:r>
          <w:rPr>
            <w:i/>
            <w:color w:val="000000"/>
            <w:sz w:val="24"/>
            <w:szCs w:val="24"/>
          </w:rPr>
          <w:t>Journal of applied research in memory and cognition</w:t>
        </w:r>
      </w:hyperlink>
      <w:hyperlink r:id="rId231">
        <w:r>
          <w:rPr>
            <w:color w:val="000000"/>
            <w:sz w:val="24"/>
            <w:szCs w:val="24"/>
          </w:rPr>
          <w:t>, 2(1), pp. 42–52.</w:t>
        </w:r>
      </w:hyperlink>
    </w:p>
    <w:p w14:paraId="0D66321F" w14:textId="77777777" w:rsidR="00C61091" w:rsidRDefault="00C61091">
      <w:pPr>
        <w:widowControl w:val="0"/>
        <w:pBdr>
          <w:top w:val="nil"/>
          <w:left w:val="nil"/>
          <w:bottom w:val="nil"/>
          <w:right w:val="nil"/>
          <w:between w:val="nil"/>
        </w:pBdr>
        <w:spacing w:after="240" w:line="240" w:lineRule="auto"/>
        <w:rPr>
          <w:color w:val="000000"/>
          <w:sz w:val="24"/>
          <w:szCs w:val="24"/>
        </w:rPr>
      </w:pPr>
      <w:hyperlink r:id="rId232">
        <w:r>
          <w:rPr>
            <w:color w:val="000000"/>
            <w:sz w:val="24"/>
            <w:szCs w:val="24"/>
          </w:rPr>
          <w:t xml:space="preserve">Kennedy, R. B. (2007) </w:t>
        </w:r>
      </w:hyperlink>
      <w:hyperlink r:id="rId233">
        <w:r>
          <w:rPr>
            <w:i/>
            <w:color w:val="000000"/>
            <w:sz w:val="24"/>
            <w:szCs w:val="24"/>
          </w:rPr>
          <w:t>Forensic Medicine of the Lower Extremity</w:t>
        </w:r>
      </w:hyperlink>
      <w:hyperlink r:id="rId234">
        <w:r>
          <w:rPr>
            <w:color w:val="000000"/>
            <w:sz w:val="24"/>
            <w:szCs w:val="24"/>
          </w:rPr>
          <w:t>. Edited by J. Rich, D. E. Dean, and R. H. Powers. Springer Science &amp; Business Media (Forensic Science and Medicine).</w:t>
        </w:r>
      </w:hyperlink>
    </w:p>
    <w:p w14:paraId="249D9074" w14:textId="77777777" w:rsidR="00C61091" w:rsidRDefault="00C61091">
      <w:pPr>
        <w:widowControl w:val="0"/>
        <w:pBdr>
          <w:top w:val="nil"/>
          <w:left w:val="nil"/>
          <w:bottom w:val="nil"/>
          <w:right w:val="nil"/>
          <w:between w:val="nil"/>
        </w:pBdr>
        <w:spacing w:after="240" w:line="240" w:lineRule="auto"/>
        <w:rPr>
          <w:color w:val="000000"/>
          <w:sz w:val="24"/>
          <w:szCs w:val="24"/>
        </w:rPr>
      </w:pPr>
      <w:hyperlink r:id="rId235">
        <w:r>
          <w:rPr>
            <w:color w:val="000000"/>
            <w:sz w:val="24"/>
            <w:szCs w:val="24"/>
          </w:rPr>
          <w:t xml:space="preserve">Kirk, P. (1953) </w:t>
        </w:r>
      </w:hyperlink>
      <w:hyperlink r:id="rId236">
        <w:r>
          <w:rPr>
            <w:i/>
            <w:color w:val="000000"/>
            <w:sz w:val="24"/>
            <w:szCs w:val="24"/>
          </w:rPr>
          <w:t>Crime Investigation: Physical Evidence and the Police</w:t>
        </w:r>
      </w:hyperlink>
      <w:hyperlink r:id="rId237">
        <w:r>
          <w:rPr>
            <w:color w:val="000000"/>
            <w:sz w:val="24"/>
            <w:szCs w:val="24"/>
          </w:rPr>
          <w:t xml:space="preserve">. New York: Laboratory </w:t>
        </w:r>
        <w:proofErr w:type="spellStart"/>
        <w:r>
          <w:rPr>
            <w:color w:val="000000"/>
            <w:sz w:val="24"/>
            <w:szCs w:val="24"/>
          </w:rPr>
          <w:t>Interscience</w:t>
        </w:r>
        <w:proofErr w:type="spellEnd"/>
        <w:r>
          <w:rPr>
            <w:color w:val="000000"/>
            <w:sz w:val="24"/>
            <w:szCs w:val="24"/>
          </w:rPr>
          <w:t xml:space="preserve"> </w:t>
        </w:r>
        <w:proofErr w:type="spellStart"/>
        <w:r>
          <w:rPr>
            <w:color w:val="000000"/>
            <w:sz w:val="24"/>
            <w:szCs w:val="24"/>
          </w:rPr>
          <w:t>Publishers.Inc</w:t>
        </w:r>
        <w:proofErr w:type="spellEnd"/>
        <w:r>
          <w:rPr>
            <w:color w:val="000000"/>
            <w:sz w:val="24"/>
            <w:szCs w:val="24"/>
          </w:rPr>
          <w:t>, p. 4.</w:t>
        </w:r>
      </w:hyperlink>
    </w:p>
    <w:p w14:paraId="4BBB66AA" w14:textId="77777777" w:rsidR="00C61091" w:rsidRDefault="00C61091">
      <w:pPr>
        <w:widowControl w:val="0"/>
        <w:pBdr>
          <w:top w:val="nil"/>
          <w:left w:val="nil"/>
          <w:bottom w:val="nil"/>
          <w:right w:val="nil"/>
          <w:between w:val="nil"/>
        </w:pBdr>
        <w:spacing w:after="240" w:line="240" w:lineRule="auto"/>
        <w:rPr>
          <w:color w:val="000000"/>
          <w:sz w:val="24"/>
          <w:szCs w:val="24"/>
        </w:rPr>
      </w:pPr>
      <w:hyperlink r:id="rId238">
        <w:r>
          <w:rPr>
            <w:color w:val="000000"/>
            <w:sz w:val="24"/>
            <w:szCs w:val="24"/>
          </w:rPr>
          <w:t xml:space="preserve">Lewis, J. (2015) </w:t>
        </w:r>
      </w:hyperlink>
      <w:hyperlink r:id="rId239">
        <w:r>
          <w:rPr>
            <w:i/>
            <w:color w:val="000000"/>
            <w:sz w:val="24"/>
            <w:szCs w:val="24"/>
          </w:rPr>
          <w:t>Criminalistics for Crime Scene Investigators</w:t>
        </w:r>
      </w:hyperlink>
      <w:hyperlink r:id="rId240">
        <w:r>
          <w:rPr>
            <w:color w:val="000000"/>
            <w:sz w:val="24"/>
            <w:szCs w:val="24"/>
          </w:rPr>
          <w:t xml:space="preserve">. </w:t>
        </w:r>
        <w:proofErr w:type="spellStart"/>
        <w:r>
          <w:rPr>
            <w:color w:val="000000"/>
            <w:sz w:val="24"/>
            <w:szCs w:val="24"/>
          </w:rPr>
          <w:t>LawTech</w:t>
        </w:r>
        <w:proofErr w:type="spellEnd"/>
        <w:r>
          <w:rPr>
            <w:color w:val="000000"/>
            <w:sz w:val="24"/>
            <w:szCs w:val="24"/>
          </w:rPr>
          <w:t xml:space="preserve"> Publishing Group.</w:t>
        </w:r>
      </w:hyperlink>
    </w:p>
    <w:p w14:paraId="6F5E6E42" w14:textId="77777777" w:rsidR="00C61091" w:rsidRDefault="00C61091">
      <w:pPr>
        <w:widowControl w:val="0"/>
        <w:pBdr>
          <w:top w:val="nil"/>
          <w:left w:val="nil"/>
          <w:bottom w:val="nil"/>
          <w:right w:val="nil"/>
          <w:between w:val="nil"/>
        </w:pBdr>
        <w:spacing w:after="240" w:line="240" w:lineRule="auto"/>
        <w:rPr>
          <w:color w:val="000000"/>
          <w:sz w:val="24"/>
          <w:szCs w:val="24"/>
        </w:rPr>
      </w:pPr>
      <w:hyperlink r:id="rId241">
        <w:r>
          <w:rPr>
            <w:color w:val="000000"/>
            <w:sz w:val="24"/>
            <w:szCs w:val="24"/>
          </w:rPr>
          <w:t xml:space="preserve">MacInnis, J. and April, A. (2020) </w:t>
        </w:r>
      </w:hyperlink>
      <w:hyperlink r:id="rId242">
        <w:r>
          <w:rPr>
            <w:i/>
            <w:color w:val="000000"/>
            <w:sz w:val="24"/>
            <w:szCs w:val="24"/>
          </w:rPr>
          <w:t>‘He’s a dangerous man’: Concerns in Miramichi after serial killer Allan Legere seeks day parole</w:t>
        </w:r>
      </w:hyperlink>
      <w:hyperlink r:id="rId243">
        <w:r>
          <w:rPr>
            <w:color w:val="000000"/>
            <w:sz w:val="24"/>
            <w:szCs w:val="24"/>
          </w:rPr>
          <w:t xml:space="preserve">, </w:t>
        </w:r>
      </w:hyperlink>
      <w:hyperlink r:id="rId244">
        <w:r>
          <w:rPr>
            <w:i/>
            <w:color w:val="000000"/>
            <w:sz w:val="24"/>
            <w:szCs w:val="24"/>
          </w:rPr>
          <w:t>CTV News</w:t>
        </w:r>
      </w:hyperlink>
      <w:hyperlink r:id="rId245">
        <w:r>
          <w:rPr>
            <w:color w:val="000000"/>
            <w:sz w:val="24"/>
            <w:szCs w:val="24"/>
          </w:rPr>
          <w:t xml:space="preserve">. Available at: </w:t>
        </w:r>
      </w:hyperlink>
      <w:hyperlink r:id="rId246">
        <w:r>
          <w:rPr>
            <w:color w:val="000000"/>
            <w:sz w:val="24"/>
            <w:szCs w:val="24"/>
          </w:rPr>
          <w:t>https://atlantic.ctvnews.ca/he-s-a-dangerous-man-concerns-in-miramichi-after-serial-</w:t>
        </w:r>
        <w:r>
          <w:rPr>
            <w:color w:val="000000"/>
            <w:sz w:val="24"/>
            <w:szCs w:val="24"/>
          </w:rPr>
          <w:lastRenderedPageBreak/>
          <w:t>killer-allan-legere-seeks-day-parole-1.5054076</w:t>
        </w:r>
      </w:hyperlink>
      <w:hyperlink r:id="rId247">
        <w:r>
          <w:rPr>
            <w:color w:val="000000"/>
            <w:sz w:val="24"/>
            <w:szCs w:val="24"/>
          </w:rPr>
          <w:t xml:space="preserve"> (Accessed: 30 October 2020).</w:t>
        </w:r>
      </w:hyperlink>
    </w:p>
    <w:p w14:paraId="14B8C667" w14:textId="77777777" w:rsidR="00C61091" w:rsidRDefault="00C61091">
      <w:pPr>
        <w:widowControl w:val="0"/>
        <w:pBdr>
          <w:top w:val="nil"/>
          <w:left w:val="nil"/>
          <w:bottom w:val="nil"/>
          <w:right w:val="nil"/>
          <w:between w:val="nil"/>
        </w:pBdr>
        <w:spacing w:after="240" w:line="240" w:lineRule="auto"/>
        <w:rPr>
          <w:color w:val="000000"/>
          <w:sz w:val="24"/>
          <w:szCs w:val="24"/>
        </w:rPr>
      </w:pPr>
      <w:hyperlink r:id="rId248">
        <w:r>
          <w:rPr>
            <w:color w:val="000000"/>
            <w:sz w:val="24"/>
            <w:szCs w:val="24"/>
          </w:rPr>
          <w:t xml:space="preserve">Mnookin, J. </w:t>
        </w:r>
      </w:hyperlink>
      <w:hyperlink r:id="rId249">
        <w:r>
          <w:rPr>
            <w:i/>
            <w:color w:val="000000"/>
            <w:sz w:val="24"/>
            <w:szCs w:val="24"/>
          </w:rPr>
          <w:t>et al.</w:t>
        </w:r>
      </w:hyperlink>
      <w:hyperlink r:id="rId250">
        <w:r>
          <w:rPr>
            <w:color w:val="000000"/>
            <w:sz w:val="24"/>
            <w:szCs w:val="24"/>
          </w:rPr>
          <w:t xml:space="preserve"> (2010) ‘The need for a research culture in the forensic sciences’, </w:t>
        </w:r>
      </w:hyperlink>
      <w:hyperlink r:id="rId251">
        <w:r>
          <w:rPr>
            <w:i/>
            <w:color w:val="000000"/>
            <w:sz w:val="24"/>
            <w:szCs w:val="24"/>
          </w:rPr>
          <w:t>UCLA law review. University of California, Los Angeles. School of Law</w:t>
        </w:r>
      </w:hyperlink>
      <w:hyperlink r:id="rId252">
        <w:r>
          <w:rPr>
            <w:color w:val="000000"/>
            <w:sz w:val="24"/>
            <w:szCs w:val="24"/>
          </w:rPr>
          <w:t xml:space="preserve">, 58(725). Available at: </w:t>
        </w:r>
      </w:hyperlink>
      <w:hyperlink r:id="rId253">
        <w:r>
          <w:rPr>
            <w:color w:val="000000"/>
            <w:sz w:val="24"/>
            <w:szCs w:val="24"/>
          </w:rPr>
          <w:t>https://heinonline.org/HOL/LandingPage?handle=hein.journals/uclalr58&amp;div=20&amp;id=&amp;page=</w:t>
        </w:r>
      </w:hyperlink>
      <w:hyperlink r:id="rId254">
        <w:r>
          <w:rPr>
            <w:color w:val="000000"/>
            <w:sz w:val="24"/>
            <w:szCs w:val="24"/>
          </w:rPr>
          <w:t xml:space="preserve"> (Accessed: 24 October 2020).</w:t>
        </w:r>
      </w:hyperlink>
    </w:p>
    <w:p w14:paraId="0FA00A9A" w14:textId="77777777" w:rsidR="00C61091" w:rsidRDefault="00C61091">
      <w:pPr>
        <w:widowControl w:val="0"/>
        <w:pBdr>
          <w:top w:val="nil"/>
          <w:left w:val="nil"/>
          <w:bottom w:val="nil"/>
          <w:right w:val="nil"/>
          <w:between w:val="nil"/>
        </w:pBdr>
        <w:spacing w:after="240" w:line="240" w:lineRule="auto"/>
        <w:rPr>
          <w:color w:val="000000"/>
          <w:sz w:val="24"/>
          <w:szCs w:val="24"/>
        </w:rPr>
      </w:pPr>
      <w:hyperlink r:id="rId255">
        <w:r>
          <w:rPr>
            <w:color w:val="000000"/>
            <w:sz w:val="24"/>
            <w:szCs w:val="24"/>
          </w:rPr>
          <w:t xml:space="preserve">Nance, D. and Morris, S. (2005) ‘Juror Understanding of DNA Evidence: An Empirical Assessment of Presentation Formats for Trace Evidence with a Relatively Small Random‐Match Probability’, </w:t>
        </w:r>
      </w:hyperlink>
      <w:hyperlink r:id="rId256">
        <w:r>
          <w:rPr>
            <w:i/>
            <w:color w:val="000000"/>
            <w:sz w:val="24"/>
            <w:szCs w:val="24"/>
          </w:rPr>
          <w:t>The Journal of legal studies</w:t>
        </w:r>
      </w:hyperlink>
      <w:hyperlink r:id="rId257">
        <w:r>
          <w:rPr>
            <w:color w:val="000000"/>
            <w:sz w:val="24"/>
            <w:szCs w:val="24"/>
          </w:rPr>
          <w:t xml:space="preserve">, 34(2). </w:t>
        </w:r>
        <w:proofErr w:type="spellStart"/>
        <w:r>
          <w:rPr>
            <w:color w:val="000000"/>
            <w:sz w:val="24"/>
            <w:szCs w:val="24"/>
          </w:rPr>
          <w:t>doi</w:t>
        </w:r>
        <w:proofErr w:type="spellEnd"/>
        <w:r>
          <w:rPr>
            <w:color w:val="000000"/>
            <w:sz w:val="24"/>
            <w:szCs w:val="24"/>
          </w:rPr>
          <w:t xml:space="preserve">: </w:t>
        </w:r>
      </w:hyperlink>
      <w:hyperlink r:id="rId258">
        <w:r>
          <w:rPr>
            <w:color w:val="000000"/>
            <w:sz w:val="24"/>
            <w:szCs w:val="24"/>
          </w:rPr>
          <w:t>10.1086/428020</w:t>
        </w:r>
      </w:hyperlink>
      <w:hyperlink r:id="rId259">
        <w:r>
          <w:rPr>
            <w:color w:val="000000"/>
            <w:sz w:val="24"/>
            <w:szCs w:val="24"/>
          </w:rPr>
          <w:t>.</w:t>
        </w:r>
      </w:hyperlink>
    </w:p>
    <w:p w14:paraId="09C37DBB" w14:textId="77777777" w:rsidR="00C61091" w:rsidRDefault="00C61091">
      <w:pPr>
        <w:widowControl w:val="0"/>
        <w:pBdr>
          <w:top w:val="nil"/>
          <w:left w:val="nil"/>
          <w:bottom w:val="nil"/>
          <w:right w:val="nil"/>
          <w:between w:val="nil"/>
        </w:pBdr>
        <w:spacing w:after="240" w:line="240" w:lineRule="auto"/>
        <w:rPr>
          <w:color w:val="000000"/>
          <w:sz w:val="24"/>
          <w:szCs w:val="24"/>
        </w:rPr>
      </w:pPr>
      <w:hyperlink r:id="rId260">
        <w:r>
          <w:rPr>
            <w:color w:val="000000"/>
            <w:sz w:val="24"/>
            <w:szCs w:val="24"/>
          </w:rPr>
          <w:t xml:space="preserve">Newman, J. (2009) </w:t>
        </w:r>
      </w:hyperlink>
      <w:hyperlink r:id="rId261">
        <w:r>
          <w:rPr>
            <w:i/>
            <w:color w:val="000000"/>
            <w:sz w:val="24"/>
            <w:szCs w:val="24"/>
          </w:rPr>
          <w:t>The effectiveness of low copy number DNA in criminal investigation</w:t>
        </w:r>
      </w:hyperlink>
      <w:hyperlink r:id="rId262">
        <w:r>
          <w:rPr>
            <w:color w:val="000000"/>
            <w:sz w:val="24"/>
            <w:szCs w:val="24"/>
          </w:rPr>
          <w:t xml:space="preserve">. Edited by A. Campbell and S. Marshall. Doctoral. Teesside University. Available at: </w:t>
        </w:r>
      </w:hyperlink>
      <w:hyperlink r:id="rId263">
        <w:r>
          <w:rPr>
            <w:color w:val="000000"/>
            <w:sz w:val="24"/>
            <w:szCs w:val="24"/>
          </w:rPr>
          <w:t>https://ethos.bl.uk/OrderDetails.do?uin=uk.bl.ethos.521873</w:t>
        </w:r>
      </w:hyperlink>
      <w:hyperlink r:id="rId264">
        <w:r>
          <w:rPr>
            <w:color w:val="000000"/>
            <w:sz w:val="24"/>
            <w:szCs w:val="24"/>
          </w:rPr>
          <w:t>.</w:t>
        </w:r>
      </w:hyperlink>
    </w:p>
    <w:p w14:paraId="2BBB22DC" w14:textId="77777777" w:rsidR="00C61091" w:rsidRDefault="00C61091">
      <w:pPr>
        <w:widowControl w:val="0"/>
        <w:pBdr>
          <w:top w:val="nil"/>
          <w:left w:val="nil"/>
          <w:bottom w:val="nil"/>
          <w:right w:val="nil"/>
          <w:between w:val="nil"/>
        </w:pBdr>
        <w:spacing w:after="240" w:line="240" w:lineRule="auto"/>
        <w:rPr>
          <w:color w:val="000000"/>
          <w:sz w:val="24"/>
          <w:szCs w:val="24"/>
        </w:rPr>
      </w:pPr>
      <w:hyperlink r:id="rId265">
        <w:r>
          <w:rPr>
            <w:color w:val="000000"/>
            <w:sz w:val="24"/>
            <w:szCs w:val="24"/>
          </w:rPr>
          <w:t xml:space="preserve">OIG (2006) </w:t>
        </w:r>
      </w:hyperlink>
      <w:hyperlink r:id="rId266">
        <w:r>
          <w:rPr>
            <w:i/>
            <w:color w:val="000000"/>
            <w:sz w:val="24"/>
            <w:szCs w:val="24"/>
          </w:rPr>
          <w:t>A Review of the FBI’s Handling of the Brandon Mayfield Case</w:t>
        </w:r>
      </w:hyperlink>
      <w:hyperlink r:id="rId267">
        <w:r>
          <w:rPr>
            <w:color w:val="000000"/>
            <w:sz w:val="24"/>
            <w:szCs w:val="24"/>
          </w:rPr>
          <w:t xml:space="preserve">. (Unclassified and Redacted). U.S Department of Justice, Office of the Inspector General. Available at: </w:t>
        </w:r>
      </w:hyperlink>
      <w:hyperlink r:id="rId268">
        <w:r>
          <w:rPr>
            <w:color w:val="000000"/>
            <w:sz w:val="24"/>
            <w:szCs w:val="24"/>
          </w:rPr>
          <w:t>https://oig.justice.gov/sites/default/files/legacy/special/s0601/final.pdf</w:t>
        </w:r>
      </w:hyperlink>
      <w:hyperlink r:id="rId269">
        <w:r>
          <w:rPr>
            <w:color w:val="000000"/>
            <w:sz w:val="24"/>
            <w:szCs w:val="24"/>
          </w:rPr>
          <w:t xml:space="preserve"> (Accessed: 24 October 2020).</w:t>
        </w:r>
      </w:hyperlink>
    </w:p>
    <w:p w14:paraId="4535270A" w14:textId="77777777" w:rsidR="00C61091" w:rsidRDefault="00C61091">
      <w:pPr>
        <w:widowControl w:val="0"/>
        <w:pBdr>
          <w:top w:val="nil"/>
          <w:left w:val="nil"/>
          <w:bottom w:val="nil"/>
          <w:right w:val="nil"/>
          <w:between w:val="nil"/>
        </w:pBdr>
        <w:spacing w:after="240" w:line="240" w:lineRule="auto"/>
        <w:rPr>
          <w:color w:val="000000"/>
          <w:sz w:val="24"/>
          <w:szCs w:val="24"/>
        </w:rPr>
      </w:pPr>
      <w:hyperlink r:id="rId270">
        <w:r>
          <w:rPr>
            <w:color w:val="000000"/>
            <w:sz w:val="24"/>
            <w:szCs w:val="24"/>
          </w:rPr>
          <w:t xml:space="preserve">Pepper, I. (2010) </w:t>
        </w:r>
      </w:hyperlink>
      <w:hyperlink r:id="rId271">
        <w:r>
          <w:rPr>
            <w:i/>
            <w:color w:val="000000"/>
            <w:sz w:val="24"/>
            <w:szCs w:val="24"/>
          </w:rPr>
          <w:t>Crime Scene Investigation: Methods And Procedures: Methods and Procedures</w:t>
        </w:r>
      </w:hyperlink>
      <w:hyperlink r:id="rId272">
        <w:r>
          <w:rPr>
            <w:color w:val="000000"/>
            <w:sz w:val="24"/>
            <w:szCs w:val="24"/>
          </w:rPr>
          <w:t>. Open University Press.</w:t>
        </w:r>
      </w:hyperlink>
    </w:p>
    <w:p w14:paraId="232791A9" w14:textId="77777777" w:rsidR="00C61091" w:rsidRDefault="00C61091">
      <w:pPr>
        <w:widowControl w:val="0"/>
        <w:pBdr>
          <w:top w:val="nil"/>
          <w:left w:val="nil"/>
          <w:bottom w:val="nil"/>
          <w:right w:val="nil"/>
          <w:between w:val="nil"/>
        </w:pBdr>
        <w:spacing w:after="240" w:line="240" w:lineRule="auto"/>
        <w:rPr>
          <w:color w:val="000000"/>
          <w:sz w:val="24"/>
          <w:szCs w:val="24"/>
        </w:rPr>
      </w:pPr>
      <w:hyperlink r:id="rId273">
        <w:r>
          <w:rPr>
            <w:color w:val="000000"/>
            <w:sz w:val="24"/>
            <w:szCs w:val="24"/>
          </w:rPr>
          <w:t xml:space="preserve">Rod, G. and </w:t>
        </w:r>
        <w:proofErr w:type="spellStart"/>
        <w:r>
          <w:rPr>
            <w:color w:val="000000"/>
            <w:sz w:val="24"/>
            <w:szCs w:val="24"/>
          </w:rPr>
          <w:t>Plecas</w:t>
        </w:r>
        <w:proofErr w:type="spellEnd"/>
        <w:r>
          <w:rPr>
            <w:color w:val="000000"/>
            <w:sz w:val="24"/>
            <w:szCs w:val="24"/>
          </w:rPr>
          <w:t xml:space="preserve">, D. (2017) ‘Forensic Sciences’, in Gehl, R. and </w:t>
        </w:r>
        <w:proofErr w:type="spellStart"/>
        <w:r>
          <w:rPr>
            <w:color w:val="000000"/>
            <w:sz w:val="24"/>
            <w:szCs w:val="24"/>
          </w:rPr>
          <w:t>Plecas</w:t>
        </w:r>
        <w:proofErr w:type="spellEnd"/>
        <w:r>
          <w:rPr>
            <w:color w:val="000000"/>
            <w:sz w:val="24"/>
            <w:szCs w:val="24"/>
          </w:rPr>
          <w:t xml:space="preserve">, D. (eds) </w:t>
        </w:r>
      </w:hyperlink>
      <w:hyperlink r:id="rId274">
        <w:r>
          <w:rPr>
            <w:i/>
            <w:color w:val="000000"/>
            <w:sz w:val="24"/>
            <w:szCs w:val="24"/>
          </w:rPr>
          <w:t>Introduction to Criminal Investigation: Processes, Practices and Thinking</w:t>
        </w:r>
      </w:hyperlink>
      <w:hyperlink r:id="rId275">
        <w:r>
          <w:rPr>
            <w:color w:val="000000"/>
            <w:sz w:val="24"/>
            <w:szCs w:val="24"/>
          </w:rPr>
          <w:t>. British Columbia: Justice Institute of British Columbia.</w:t>
        </w:r>
      </w:hyperlink>
    </w:p>
    <w:p w14:paraId="400BD0DE" w14:textId="77777777" w:rsidR="00C61091" w:rsidRDefault="00C61091">
      <w:pPr>
        <w:widowControl w:val="0"/>
        <w:pBdr>
          <w:top w:val="nil"/>
          <w:left w:val="nil"/>
          <w:bottom w:val="nil"/>
          <w:right w:val="nil"/>
          <w:between w:val="nil"/>
        </w:pBdr>
        <w:spacing w:after="240" w:line="240" w:lineRule="auto"/>
        <w:rPr>
          <w:color w:val="000000"/>
          <w:sz w:val="24"/>
          <w:szCs w:val="24"/>
        </w:rPr>
      </w:pPr>
      <w:hyperlink r:id="rId276">
        <w:r>
          <w:rPr>
            <w:color w:val="000000"/>
            <w:sz w:val="24"/>
            <w:szCs w:val="24"/>
          </w:rPr>
          <w:t xml:space="preserve">Science and Technology Committee of the House of Lords (2019) </w:t>
        </w:r>
      </w:hyperlink>
      <w:hyperlink r:id="rId277">
        <w:r>
          <w:rPr>
            <w:i/>
            <w:color w:val="000000"/>
            <w:sz w:val="24"/>
            <w:szCs w:val="24"/>
          </w:rPr>
          <w:t>Forensic science and the criminal justice system: a blueprint for change</w:t>
        </w:r>
      </w:hyperlink>
      <w:hyperlink r:id="rId278">
        <w:r>
          <w:rPr>
            <w:color w:val="000000"/>
            <w:sz w:val="24"/>
            <w:szCs w:val="24"/>
          </w:rPr>
          <w:t xml:space="preserve">. HL Paper 333. House of Lords. Available at: </w:t>
        </w:r>
      </w:hyperlink>
      <w:hyperlink r:id="rId279">
        <w:r>
          <w:rPr>
            <w:color w:val="000000"/>
            <w:sz w:val="24"/>
            <w:szCs w:val="24"/>
          </w:rPr>
          <w:t>https://publications.parliament.uk/pa/ld201719/ldselect/ldsctech/333/333.pdf</w:t>
        </w:r>
      </w:hyperlink>
      <w:hyperlink r:id="rId280">
        <w:r>
          <w:rPr>
            <w:color w:val="000000"/>
            <w:sz w:val="24"/>
            <w:szCs w:val="24"/>
          </w:rPr>
          <w:t xml:space="preserve"> (Accessed: 23 October 2020).</w:t>
        </w:r>
      </w:hyperlink>
    </w:p>
    <w:p w14:paraId="2058B1A3" w14:textId="77777777" w:rsidR="00C61091" w:rsidRDefault="00C61091">
      <w:pPr>
        <w:widowControl w:val="0"/>
        <w:pBdr>
          <w:top w:val="nil"/>
          <w:left w:val="nil"/>
          <w:bottom w:val="nil"/>
          <w:right w:val="nil"/>
          <w:between w:val="nil"/>
        </w:pBdr>
        <w:spacing w:after="240" w:line="240" w:lineRule="auto"/>
        <w:rPr>
          <w:color w:val="000000"/>
          <w:sz w:val="24"/>
          <w:szCs w:val="24"/>
        </w:rPr>
      </w:pPr>
      <w:hyperlink r:id="rId281">
        <w:r>
          <w:rPr>
            <w:color w:val="000000"/>
            <w:sz w:val="24"/>
            <w:szCs w:val="24"/>
          </w:rPr>
          <w:t xml:space="preserve">Stout, D. (2004) </w:t>
        </w:r>
      </w:hyperlink>
      <w:hyperlink r:id="rId282">
        <w:r>
          <w:rPr>
            <w:i/>
            <w:color w:val="000000"/>
            <w:sz w:val="24"/>
            <w:szCs w:val="24"/>
          </w:rPr>
          <w:t>Report Faults F.B.I’s Fingerprint Scrutiny in Arrest of Lawyer</w:t>
        </w:r>
      </w:hyperlink>
      <w:hyperlink r:id="rId283">
        <w:r>
          <w:rPr>
            <w:color w:val="000000"/>
            <w:sz w:val="24"/>
            <w:szCs w:val="24"/>
          </w:rPr>
          <w:t xml:space="preserve">, </w:t>
        </w:r>
      </w:hyperlink>
      <w:hyperlink r:id="rId284">
        <w:r>
          <w:rPr>
            <w:i/>
            <w:color w:val="000000"/>
            <w:sz w:val="24"/>
            <w:szCs w:val="24"/>
          </w:rPr>
          <w:t>The New York Times</w:t>
        </w:r>
      </w:hyperlink>
      <w:hyperlink r:id="rId285">
        <w:r>
          <w:rPr>
            <w:color w:val="000000"/>
            <w:sz w:val="24"/>
            <w:szCs w:val="24"/>
          </w:rPr>
          <w:t xml:space="preserve">. Available at: </w:t>
        </w:r>
      </w:hyperlink>
      <w:hyperlink r:id="rId286">
        <w:r>
          <w:rPr>
            <w:color w:val="000000"/>
            <w:sz w:val="24"/>
            <w:szCs w:val="24"/>
          </w:rPr>
          <w:t>https://www.nytimes.com/2004/11/17/politics/report-faults-fbis-fingerprint-scrutiny-in-arrest-of-lawyer.html</w:t>
        </w:r>
      </w:hyperlink>
      <w:hyperlink r:id="rId287">
        <w:r>
          <w:rPr>
            <w:color w:val="000000"/>
            <w:sz w:val="24"/>
            <w:szCs w:val="24"/>
          </w:rPr>
          <w:t xml:space="preserve"> (Accessed: 24 October 2020).</w:t>
        </w:r>
      </w:hyperlink>
    </w:p>
    <w:p w14:paraId="05A37DA7" w14:textId="77777777" w:rsidR="00C61091" w:rsidRDefault="00C61091">
      <w:pPr>
        <w:widowControl w:val="0"/>
        <w:pBdr>
          <w:top w:val="nil"/>
          <w:left w:val="nil"/>
          <w:bottom w:val="nil"/>
          <w:right w:val="nil"/>
          <w:between w:val="nil"/>
        </w:pBdr>
        <w:spacing w:after="240" w:line="240" w:lineRule="auto"/>
        <w:rPr>
          <w:color w:val="000000"/>
          <w:sz w:val="24"/>
          <w:szCs w:val="24"/>
        </w:rPr>
      </w:pPr>
      <w:hyperlink r:id="rId288">
        <w:r>
          <w:rPr>
            <w:color w:val="000000"/>
            <w:sz w:val="24"/>
            <w:szCs w:val="24"/>
          </w:rPr>
          <w:t xml:space="preserve">Sutton, R., </w:t>
        </w:r>
        <w:proofErr w:type="spellStart"/>
        <w:r>
          <w:rPr>
            <w:color w:val="000000"/>
            <w:sz w:val="24"/>
            <w:szCs w:val="24"/>
          </w:rPr>
          <w:t>Trueman</w:t>
        </w:r>
        <w:proofErr w:type="spellEnd"/>
        <w:r>
          <w:rPr>
            <w:color w:val="000000"/>
            <w:sz w:val="24"/>
            <w:szCs w:val="24"/>
          </w:rPr>
          <w:t xml:space="preserve">, K. and Moran, C. (2016) </w:t>
        </w:r>
      </w:hyperlink>
      <w:hyperlink r:id="rId289">
        <w:r>
          <w:rPr>
            <w:i/>
            <w:color w:val="000000"/>
            <w:sz w:val="24"/>
            <w:szCs w:val="24"/>
          </w:rPr>
          <w:t>Crime Scene Management: Scene Specific Methods</w:t>
        </w:r>
      </w:hyperlink>
      <w:hyperlink r:id="rId290">
        <w:r>
          <w:rPr>
            <w:color w:val="000000"/>
            <w:sz w:val="24"/>
            <w:szCs w:val="24"/>
          </w:rPr>
          <w:t xml:space="preserve">. 2nd </w:t>
        </w:r>
        <w:proofErr w:type="gramStart"/>
        <w:r>
          <w:rPr>
            <w:color w:val="000000"/>
            <w:sz w:val="24"/>
            <w:szCs w:val="24"/>
          </w:rPr>
          <w:t>Edition .</w:t>
        </w:r>
        <w:proofErr w:type="gramEnd"/>
        <w:r>
          <w:rPr>
            <w:color w:val="000000"/>
            <w:sz w:val="24"/>
            <w:szCs w:val="24"/>
          </w:rPr>
          <w:t xml:space="preserve"> John Wiley &amp; Sons.</w:t>
        </w:r>
      </w:hyperlink>
    </w:p>
    <w:p w14:paraId="6C18356D" w14:textId="77777777" w:rsidR="00C61091" w:rsidRDefault="00C61091">
      <w:pPr>
        <w:widowControl w:val="0"/>
        <w:pBdr>
          <w:top w:val="nil"/>
          <w:left w:val="nil"/>
          <w:bottom w:val="nil"/>
          <w:right w:val="nil"/>
          <w:between w:val="nil"/>
        </w:pBdr>
        <w:spacing w:after="240" w:line="240" w:lineRule="auto"/>
        <w:rPr>
          <w:color w:val="000000"/>
          <w:sz w:val="24"/>
          <w:szCs w:val="24"/>
        </w:rPr>
      </w:pPr>
      <w:hyperlink r:id="rId291">
        <w:proofErr w:type="spellStart"/>
        <w:r>
          <w:rPr>
            <w:color w:val="000000"/>
            <w:sz w:val="24"/>
            <w:szCs w:val="24"/>
          </w:rPr>
          <w:t>Tangen</w:t>
        </w:r>
        <w:proofErr w:type="spellEnd"/>
        <w:r>
          <w:rPr>
            <w:color w:val="000000"/>
            <w:sz w:val="24"/>
            <w:szCs w:val="24"/>
          </w:rPr>
          <w:t xml:space="preserve">, J., Thompson, M. and McCarthy, D. (2011) ‘Identifying fingerprint expertise’, </w:t>
        </w:r>
      </w:hyperlink>
      <w:hyperlink r:id="rId292">
        <w:r>
          <w:rPr>
            <w:i/>
            <w:color w:val="000000"/>
            <w:sz w:val="24"/>
            <w:szCs w:val="24"/>
          </w:rPr>
          <w:t>Association for Psychology Science (SAGE)</w:t>
        </w:r>
      </w:hyperlink>
      <w:hyperlink r:id="rId293">
        <w:r>
          <w:rPr>
            <w:color w:val="000000"/>
            <w:sz w:val="24"/>
            <w:szCs w:val="24"/>
          </w:rPr>
          <w:t>, 22(8), pp. 995–997.</w:t>
        </w:r>
      </w:hyperlink>
    </w:p>
    <w:p w14:paraId="77C6748E" w14:textId="77777777" w:rsidR="00C61091" w:rsidRDefault="00C61091">
      <w:pPr>
        <w:widowControl w:val="0"/>
        <w:pBdr>
          <w:top w:val="nil"/>
          <w:left w:val="nil"/>
          <w:bottom w:val="nil"/>
          <w:right w:val="nil"/>
          <w:between w:val="nil"/>
        </w:pBdr>
        <w:spacing w:after="240" w:line="240" w:lineRule="auto"/>
        <w:rPr>
          <w:color w:val="000000"/>
          <w:sz w:val="24"/>
          <w:szCs w:val="24"/>
        </w:rPr>
      </w:pPr>
      <w:hyperlink r:id="rId294">
        <w:r>
          <w:rPr>
            <w:color w:val="000000"/>
            <w:sz w:val="24"/>
            <w:szCs w:val="24"/>
          </w:rPr>
          <w:t xml:space="preserve">The Home Affairs Committee (2010) </w:t>
        </w:r>
      </w:hyperlink>
      <w:hyperlink r:id="rId295">
        <w:r>
          <w:rPr>
            <w:i/>
            <w:color w:val="000000"/>
            <w:sz w:val="24"/>
            <w:szCs w:val="24"/>
          </w:rPr>
          <w:t>Home Affairs Committee- Eighth Report</w:t>
        </w:r>
      </w:hyperlink>
      <w:hyperlink r:id="rId296">
        <w:r>
          <w:rPr>
            <w:color w:val="000000"/>
            <w:sz w:val="24"/>
            <w:szCs w:val="24"/>
          </w:rPr>
          <w:t xml:space="preserve">. 8. House of Commons, Home Office. Available at: </w:t>
        </w:r>
      </w:hyperlink>
      <w:hyperlink r:id="rId297">
        <w:r>
          <w:rPr>
            <w:color w:val="000000"/>
            <w:sz w:val="24"/>
            <w:szCs w:val="24"/>
          </w:rPr>
          <w:t>https://publications.parliament.uk/pa/cm200910/cmselect/cmhaff/222/22202.htm</w:t>
        </w:r>
      </w:hyperlink>
      <w:hyperlink r:id="rId298">
        <w:r>
          <w:rPr>
            <w:color w:val="000000"/>
            <w:sz w:val="24"/>
            <w:szCs w:val="24"/>
          </w:rPr>
          <w:t xml:space="preserve"> (Accessed: 23 October 2020).</w:t>
        </w:r>
      </w:hyperlink>
    </w:p>
    <w:p w14:paraId="13726366" w14:textId="77777777" w:rsidR="00C61091" w:rsidRDefault="00C61091">
      <w:pPr>
        <w:widowControl w:val="0"/>
        <w:pBdr>
          <w:top w:val="nil"/>
          <w:left w:val="nil"/>
          <w:bottom w:val="nil"/>
          <w:right w:val="nil"/>
          <w:between w:val="nil"/>
        </w:pBdr>
        <w:spacing w:after="240" w:line="240" w:lineRule="auto"/>
        <w:rPr>
          <w:color w:val="000000"/>
          <w:sz w:val="24"/>
          <w:szCs w:val="24"/>
        </w:rPr>
      </w:pPr>
      <w:hyperlink r:id="rId299">
        <w:proofErr w:type="spellStart"/>
        <w:r>
          <w:rPr>
            <w:color w:val="000000"/>
            <w:sz w:val="24"/>
            <w:szCs w:val="24"/>
          </w:rPr>
          <w:t>Tilstone</w:t>
        </w:r>
        <w:proofErr w:type="spellEnd"/>
        <w:r>
          <w:rPr>
            <w:color w:val="000000"/>
            <w:sz w:val="24"/>
            <w:szCs w:val="24"/>
          </w:rPr>
          <w:t xml:space="preserve">, J. W., Savage, A. K. and Clark, A. L. (no date) </w:t>
        </w:r>
      </w:hyperlink>
      <w:hyperlink r:id="rId300">
        <w:r>
          <w:rPr>
            <w:i/>
            <w:color w:val="000000"/>
            <w:sz w:val="24"/>
            <w:szCs w:val="24"/>
          </w:rPr>
          <w:t>Forensic Science: An Encyclopedia of History, Methods and Techniques</w:t>
        </w:r>
      </w:hyperlink>
      <w:hyperlink r:id="rId301">
        <w:r>
          <w:rPr>
            <w:color w:val="000000"/>
            <w:sz w:val="24"/>
            <w:szCs w:val="24"/>
          </w:rPr>
          <w:t>. California, CA; Colorado, CO; England, UK: ABC CLIO.</w:t>
        </w:r>
      </w:hyperlink>
    </w:p>
    <w:p w14:paraId="265C049E" w14:textId="77777777" w:rsidR="00C61091" w:rsidRDefault="00C61091">
      <w:pPr>
        <w:widowControl w:val="0"/>
        <w:pBdr>
          <w:top w:val="nil"/>
          <w:left w:val="nil"/>
          <w:bottom w:val="nil"/>
          <w:right w:val="nil"/>
          <w:between w:val="nil"/>
        </w:pBdr>
        <w:spacing w:after="240" w:line="240" w:lineRule="auto"/>
        <w:rPr>
          <w:color w:val="000000"/>
          <w:sz w:val="24"/>
          <w:szCs w:val="24"/>
        </w:rPr>
      </w:pPr>
      <w:hyperlink r:id="rId302">
        <w:r>
          <w:rPr>
            <w:color w:val="000000"/>
            <w:sz w:val="24"/>
            <w:szCs w:val="24"/>
          </w:rPr>
          <w:t xml:space="preserve">UNODC (2009) </w:t>
        </w:r>
      </w:hyperlink>
      <w:hyperlink r:id="rId303">
        <w:r>
          <w:rPr>
            <w:i/>
            <w:color w:val="000000"/>
            <w:sz w:val="24"/>
            <w:szCs w:val="24"/>
          </w:rPr>
          <w:t>Crime scene and physical evidence awareness for non-forensic personnel</w:t>
        </w:r>
      </w:hyperlink>
      <w:hyperlink r:id="rId304">
        <w:r>
          <w:rPr>
            <w:color w:val="000000"/>
            <w:sz w:val="24"/>
            <w:szCs w:val="24"/>
          </w:rPr>
          <w:t xml:space="preserve">. United Nations. Available at: </w:t>
        </w:r>
      </w:hyperlink>
      <w:hyperlink r:id="rId305">
        <w:r>
          <w:rPr>
            <w:color w:val="000000"/>
            <w:sz w:val="24"/>
            <w:szCs w:val="24"/>
          </w:rPr>
          <w:t>https://www.unodc.org/documents/scientific/Crime_scene_awareness__Ebook.pdf</w:t>
        </w:r>
      </w:hyperlink>
      <w:hyperlink r:id="rId306">
        <w:r>
          <w:rPr>
            <w:color w:val="000000"/>
            <w:sz w:val="24"/>
            <w:szCs w:val="24"/>
          </w:rPr>
          <w:t xml:space="preserve"> (Accessed: 23 October 2020).</w:t>
        </w:r>
      </w:hyperlink>
    </w:p>
    <w:p w14:paraId="3329DC98" w14:textId="77777777" w:rsidR="00C61091" w:rsidRDefault="00C61091">
      <w:pPr>
        <w:widowControl w:val="0"/>
        <w:pBdr>
          <w:top w:val="nil"/>
          <w:left w:val="nil"/>
          <w:bottom w:val="nil"/>
          <w:right w:val="nil"/>
          <w:between w:val="nil"/>
        </w:pBdr>
        <w:spacing w:after="240" w:line="240" w:lineRule="auto"/>
        <w:rPr>
          <w:color w:val="000000"/>
          <w:sz w:val="24"/>
          <w:szCs w:val="24"/>
        </w:rPr>
      </w:pPr>
      <w:hyperlink r:id="rId307">
        <w:r>
          <w:rPr>
            <w:color w:val="000000"/>
            <w:sz w:val="24"/>
            <w:szCs w:val="24"/>
          </w:rPr>
          <w:t xml:space="preserve">Vernon, W. (2006) ‘The development and practice of forensic podiatry’, </w:t>
        </w:r>
      </w:hyperlink>
      <w:hyperlink r:id="rId308">
        <w:r>
          <w:rPr>
            <w:i/>
            <w:color w:val="000000"/>
            <w:sz w:val="24"/>
            <w:szCs w:val="24"/>
          </w:rPr>
          <w:t>Journal of clinical forensic medicine</w:t>
        </w:r>
      </w:hyperlink>
      <w:hyperlink r:id="rId309">
        <w:r>
          <w:rPr>
            <w:color w:val="000000"/>
            <w:sz w:val="24"/>
            <w:szCs w:val="24"/>
          </w:rPr>
          <w:t>, 13(6), pp. 284–287.</w:t>
        </w:r>
      </w:hyperlink>
    </w:p>
    <w:p w14:paraId="680079B9" w14:textId="77777777" w:rsidR="00C61091" w:rsidRDefault="00C61091">
      <w:pPr>
        <w:widowControl w:val="0"/>
        <w:pBdr>
          <w:top w:val="nil"/>
          <w:left w:val="nil"/>
          <w:bottom w:val="nil"/>
          <w:right w:val="nil"/>
          <w:between w:val="nil"/>
        </w:pBdr>
        <w:spacing w:after="240" w:line="240" w:lineRule="auto"/>
        <w:rPr>
          <w:color w:val="000000"/>
          <w:sz w:val="24"/>
          <w:szCs w:val="24"/>
        </w:rPr>
      </w:pPr>
      <w:hyperlink r:id="rId310">
        <w:r>
          <w:rPr>
            <w:color w:val="000000"/>
            <w:sz w:val="24"/>
            <w:szCs w:val="24"/>
          </w:rPr>
          <w:t xml:space="preserve">Walker, P. (2008) </w:t>
        </w:r>
      </w:hyperlink>
      <w:hyperlink r:id="rId311">
        <w:r>
          <w:rPr>
            <w:i/>
            <w:color w:val="000000"/>
            <w:sz w:val="24"/>
            <w:szCs w:val="24"/>
          </w:rPr>
          <w:t>European court rules DNA database breaches human rights</w:t>
        </w:r>
      </w:hyperlink>
      <w:hyperlink r:id="rId312">
        <w:r>
          <w:rPr>
            <w:color w:val="000000"/>
            <w:sz w:val="24"/>
            <w:szCs w:val="24"/>
          </w:rPr>
          <w:t xml:space="preserve">, </w:t>
        </w:r>
      </w:hyperlink>
      <w:hyperlink r:id="rId313">
        <w:r>
          <w:rPr>
            <w:i/>
            <w:color w:val="000000"/>
            <w:sz w:val="24"/>
            <w:szCs w:val="24"/>
          </w:rPr>
          <w:t>The Guardian</w:t>
        </w:r>
      </w:hyperlink>
      <w:hyperlink r:id="rId314">
        <w:r>
          <w:rPr>
            <w:color w:val="000000"/>
            <w:sz w:val="24"/>
            <w:szCs w:val="24"/>
          </w:rPr>
          <w:t xml:space="preserve">. Available at: </w:t>
        </w:r>
      </w:hyperlink>
      <w:hyperlink r:id="rId315">
        <w:r>
          <w:rPr>
            <w:color w:val="000000"/>
            <w:sz w:val="24"/>
            <w:szCs w:val="24"/>
          </w:rPr>
          <w:t>https://www.theguardian.com/uk/2008/dec/04/law-genetics</w:t>
        </w:r>
      </w:hyperlink>
      <w:hyperlink r:id="rId316">
        <w:r>
          <w:rPr>
            <w:color w:val="000000"/>
            <w:sz w:val="24"/>
            <w:szCs w:val="24"/>
          </w:rPr>
          <w:t xml:space="preserve"> (Accessed: 23 October 2020).</w:t>
        </w:r>
      </w:hyperlink>
    </w:p>
    <w:p w14:paraId="754AAB7C" w14:textId="77777777" w:rsidR="00C61091" w:rsidRDefault="00C61091">
      <w:pPr>
        <w:widowControl w:val="0"/>
        <w:pBdr>
          <w:top w:val="nil"/>
          <w:left w:val="nil"/>
          <w:bottom w:val="nil"/>
          <w:right w:val="nil"/>
          <w:between w:val="nil"/>
        </w:pBdr>
        <w:spacing w:after="240" w:line="240" w:lineRule="auto"/>
        <w:rPr>
          <w:color w:val="000000"/>
          <w:sz w:val="24"/>
          <w:szCs w:val="24"/>
        </w:rPr>
      </w:pPr>
      <w:hyperlink r:id="rId317">
        <w:r>
          <w:rPr>
            <w:color w:val="000000"/>
            <w:sz w:val="24"/>
            <w:szCs w:val="24"/>
          </w:rPr>
          <w:t xml:space="preserve">Wallace, E. W., Cunningham, M. J. and </w:t>
        </w:r>
        <w:proofErr w:type="spellStart"/>
        <w:r>
          <w:rPr>
            <w:color w:val="000000"/>
            <w:sz w:val="24"/>
            <w:szCs w:val="24"/>
          </w:rPr>
          <w:t>Boggiano</w:t>
        </w:r>
        <w:proofErr w:type="spellEnd"/>
        <w:r>
          <w:rPr>
            <w:color w:val="000000"/>
            <w:sz w:val="24"/>
            <w:szCs w:val="24"/>
          </w:rPr>
          <w:t xml:space="preserve">, D. (2015) </w:t>
        </w:r>
      </w:hyperlink>
      <w:hyperlink r:id="rId318">
        <w:r>
          <w:rPr>
            <w:i/>
            <w:color w:val="000000"/>
            <w:sz w:val="24"/>
            <w:szCs w:val="24"/>
          </w:rPr>
          <w:t>Crime Scene Unit Management: A Path Forward</w:t>
        </w:r>
      </w:hyperlink>
      <w:hyperlink r:id="rId319">
        <w:r>
          <w:rPr>
            <w:color w:val="000000"/>
            <w:sz w:val="24"/>
            <w:szCs w:val="24"/>
          </w:rPr>
          <w:t>. Routledge.</w:t>
        </w:r>
      </w:hyperlink>
    </w:p>
    <w:p w14:paraId="4CA1A8DC" w14:textId="77777777" w:rsidR="00C61091" w:rsidRDefault="00C61091">
      <w:pPr>
        <w:widowControl w:val="0"/>
        <w:pBdr>
          <w:top w:val="nil"/>
          <w:left w:val="nil"/>
          <w:bottom w:val="nil"/>
          <w:right w:val="nil"/>
          <w:between w:val="nil"/>
        </w:pBdr>
        <w:spacing w:after="240" w:line="240" w:lineRule="auto"/>
        <w:rPr>
          <w:color w:val="000000"/>
          <w:sz w:val="24"/>
          <w:szCs w:val="24"/>
        </w:rPr>
      </w:pPr>
      <w:hyperlink r:id="rId320">
        <w:r>
          <w:rPr>
            <w:color w:val="000000"/>
            <w:sz w:val="24"/>
            <w:szCs w:val="24"/>
          </w:rPr>
          <w:t xml:space="preserve">Wallace, H. (2006) ‘The UK National DNA Database’, </w:t>
        </w:r>
      </w:hyperlink>
      <w:hyperlink r:id="rId321">
        <w:r>
          <w:rPr>
            <w:i/>
            <w:color w:val="000000"/>
            <w:sz w:val="24"/>
            <w:szCs w:val="24"/>
          </w:rPr>
          <w:t>EMBO reports</w:t>
        </w:r>
      </w:hyperlink>
      <w:hyperlink r:id="rId322">
        <w:r>
          <w:rPr>
            <w:color w:val="000000"/>
            <w:sz w:val="24"/>
            <w:szCs w:val="24"/>
          </w:rPr>
          <w:t>, 7, pp. 26–30.</w:t>
        </w:r>
      </w:hyperlink>
    </w:p>
    <w:sectPr w:rsidR="00C61091">
      <w:headerReference w:type="default" r:id="rId323"/>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EED08F8" w14:textId="77777777" w:rsidR="008C7624" w:rsidRDefault="008C7624">
      <w:pPr>
        <w:spacing w:line="240" w:lineRule="auto"/>
      </w:pPr>
      <w:r>
        <w:separator/>
      </w:r>
    </w:p>
  </w:endnote>
  <w:endnote w:type="continuationSeparator" w:id="0">
    <w:p w14:paraId="6752872F" w14:textId="77777777" w:rsidR="008C7624" w:rsidRDefault="008C762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4C1E612" w14:textId="77777777" w:rsidR="008C7624" w:rsidRDefault="008C7624">
      <w:pPr>
        <w:spacing w:line="240" w:lineRule="auto"/>
      </w:pPr>
      <w:r>
        <w:separator/>
      </w:r>
    </w:p>
  </w:footnote>
  <w:footnote w:type="continuationSeparator" w:id="0">
    <w:p w14:paraId="34931D9C" w14:textId="77777777" w:rsidR="008C7624" w:rsidRDefault="008C762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0000B0" w14:textId="77777777" w:rsidR="00DB4DA1" w:rsidRDefault="00DB4DA1"/>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4DA1"/>
    <w:rsid w:val="00443CBE"/>
    <w:rsid w:val="00587BCA"/>
    <w:rsid w:val="005B5E6A"/>
    <w:rsid w:val="008C7624"/>
    <w:rsid w:val="00C61091"/>
    <w:rsid w:val="00DB4D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C0621E"/>
  <w15:docId w15:val="{6FA838DB-5512-4430-B1C7-EA6AA34646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paperpile.com/b/WWCWa4/5EKw" TargetMode="External"/><Relationship Id="rId299" Type="http://schemas.openxmlformats.org/officeDocument/2006/relationships/hyperlink" Target="http://paperpile.com/b/WWCWa4/hBso" TargetMode="External"/><Relationship Id="rId21" Type="http://schemas.openxmlformats.org/officeDocument/2006/relationships/hyperlink" Target="https://paperpile.com/c/WWCWa4/kR1d" TargetMode="External"/><Relationship Id="rId63" Type="http://schemas.openxmlformats.org/officeDocument/2006/relationships/hyperlink" Target="https://paperpile.com/c/WWCWa4/1WGu" TargetMode="External"/><Relationship Id="rId159" Type="http://schemas.openxmlformats.org/officeDocument/2006/relationships/hyperlink" Target="http://paperpile.com/b/WWCWa4/3Az8" TargetMode="External"/><Relationship Id="rId324" Type="http://schemas.openxmlformats.org/officeDocument/2006/relationships/fontTable" Target="fontTable.xml"/><Relationship Id="rId170" Type="http://schemas.openxmlformats.org/officeDocument/2006/relationships/hyperlink" Target="http://paperpile.com/b/WWCWa4/cDzL" TargetMode="External"/><Relationship Id="rId226" Type="http://schemas.openxmlformats.org/officeDocument/2006/relationships/hyperlink" Target="http://paperpile.com/b/WWCWa4/88N5" TargetMode="External"/><Relationship Id="rId268" Type="http://schemas.openxmlformats.org/officeDocument/2006/relationships/hyperlink" Target="https://oig.justice.gov/sites/default/files/legacy/special/s0601/final.pdf" TargetMode="External"/><Relationship Id="rId32" Type="http://schemas.openxmlformats.org/officeDocument/2006/relationships/hyperlink" Target="https://paperpile.com/c/WWCWa4/0Z3E" TargetMode="External"/><Relationship Id="rId74" Type="http://schemas.openxmlformats.org/officeDocument/2006/relationships/hyperlink" Target="https://paperpile.com/c/WWCWa4/bEhn" TargetMode="External"/><Relationship Id="rId128" Type="http://schemas.openxmlformats.org/officeDocument/2006/relationships/hyperlink" Target="http://paperpile.com/b/WWCWa4/s8OS" TargetMode="External"/><Relationship Id="rId5" Type="http://schemas.openxmlformats.org/officeDocument/2006/relationships/endnotes" Target="endnotes.xml"/><Relationship Id="rId181" Type="http://schemas.openxmlformats.org/officeDocument/2006/relationships/hyperlink" Target="https://assets.publishing.service.gov.uk/government/uploads/system/uploads/attachment_data/file/915221/FSR_G-206_Issue_2_Final.pdf" TargetMode="External"/><Relationship Id="rId237" Type="http://schemas.openxmlformats.org/officeDocument/2006/relationships/hyperlink" Target="http://paperpile.com/b/WWCWa4/GUWH" TargetMode="External"/><Relationship Id="rId279" Type="http://schemas.openxmlformats.org/officeDocument/2006/relationships/hyperlink" Target="https://publications.parliament.uk/pa/ld201719/ldselect/ldsctech/333/333.pdf" TargetMode="External"/><Relationship Id="rId43" Type="http://schemas.openxmlformats.org/officeDocument/2006/relationships/hyperlink" Target="https://paperpile.com/c/WWCWa4/mEmP" TargetMode="External"/><Relationship Id="rId139" Type="http://schemas.openxmlformats.org/officeDocument/2006/relationships/hyperlink" Target="http://paperpile.com/b/WWCWa4/RsZz" TargetMode="External"/><Relationship Id="rId290" Type="http://schemas.openxmlformats.org/officeDocument/2006/relationships/hyperlink" Target="http://paperpile.com/b/WWCWa4/GooV" TargetMode="External"/><Relationship Id="rId304" Type="http://schemas.openxmlformats.org/officeDocument/2006/relationships/hyperlink" Target="http://paperpile.com/b/WWCWa4/zHIK" TargetMode="External"/><Relationship Id="rId85" Type="http://schemas.openxmlformats.org/officeDocument/2006/relationships/hyperlink" Target="http://paperpile.com/b/WWCWa4/9659" TargetMode="External"/><Relationship Id="rId150" Type="http://schemas.openxmlformats.org/officeDocument/2006/relationships/hyperlink" Target="http://paperpile.com/b/WWCWa4/bEhn" TargetMode="External"/><Relationship Id="rId192" Type="http://schemas.openxmlformats.org/officeDocument/2006/relationships/hyperlink" Target="http://paperpile.com/b/WWCWa4/jJWI" TargetMode="External"/><Relationship Id="rId206" Type="http://schemas.openxmlformats.org/officeDocument/2006/relationships/hyperlink" Target="http://paperpile.com/b/WWCWa4/MIRp" TargetMode="External"/><Relationship Id="rId248" Type="http://schemas.openxmlformats.org/officeDocument/2006/relationships/hyperlink" Target="http://paperpile.com/b/WWCWa4/svWj" TargetMode="External"/><Relationship Id="rId12" Type="http://schemas.openxmlformats.org/officeDocument/2006/relationships/hyperlink" Target="https://paperpile.com/c/WWCWa4/s8OS" TargetMode="External"/><Relationship Id="rId108" Type="http://schemas.openxmlformats.org/officeDocument/2006/relationships/hyperlink" Target="http://paperpile.com/b/WWCWa4/1vAm" TargetMode="External"/><Relationship Id="rId315" Type="http://schemas.openxmlformats.org/officeDocument/2006/relationships/hyperlink" Target="https://www.theguardian.com/uk/2008/dec/04/law-genetics" TargetMode="External"/><Relationship Id="rId54" Type="http://schemas.openxmlformats.org/officeDocument/2006/relationships/hyperlink" Target="https://paperpile.com/c/WWCWa4/ztnu" TargetMode="External"/><Relationship Id="rId96" Type="http://schemas.openxmlformats.org/officeDocument/2006/relationships/hyperlink" Target="http://paperpile.com/b/WWCWa4/G5eN" TargetMode="External"/><Relationship Id="rId161" Type="http://schemas.openxmlformats.org/officeDocument/2006/relationships/hyperlink" Target="http://paperpile.com/b/WWCWa4/kR1d" TargetMode="External"/><Relationship Id="rId217" Type="http://schemas.openxmlformats.org/officeDocument/2006/relationships/hyperlink" Target="http://paperpile.com/b/WWCWa4/mEmP" TargetMode="External"/><Relationship Id="rId259" Type="http://schemas.openxmlformats.org/officeDocument/2006/relationships/hyperlink" Target="http://paperpile.com/b/WWCWa4/hc5d" TargetMode="External"/><Relationship Id="rId23" Type="http://schemas.openxmlformats.org/officeDocument/2006/relationships/hyperlink" Target="https://paperpile.com/c/WWCWa4/LebA" TargetMode="External"/><Relationship Id="rId119" Type="http://schemas.openxmlformats.org/officeDocument/2006/relationships/hyperlink" Target="http://paperpile.com/b/WWCWa4/5EKw" TargetMode="External"/><Relationship Id="rId270" Type="http://schemas.openxmlformats.org/officeDocument/2006/relationships/hyperlink" Target="http://paperpile.com/b/WWCWa4/z6y7" TargetMode="External"/><Relationship Id="rId65" Type="http://schemas.openxmlformats.org/officeDocument/2006/relationships/hyperlink" Target="https://paperpile.com/c/WWCWa4/Pzqi" TargetMode="External"/><Relationship Id="rId130" Type="http://schemas.openxmlformats.org/officeDocument/2006/relationships/hyperlink" Target="https://www.app.college.police.uk/app-content/major-investigation-and-public-protection/domestic-abuse/first-response/" TargetMode="External"/><Relationship Id="rId172" Type="http://schemas.openxmlformats.org/officeDocument/2006/relationships/hyperlink" Target="http://paperpile.com/b/WWCWa4/cDzL" TargetMode="External"/><Relationship Id="rId228" Type="http://schemas.openxmlformats.org/officeDocument/2006/relationships/hyperlink" Target="http://paperpile.com/b/WWCWa4/88N5" TargetMode="External"/><Relationship Id="rId281" Type="http://schemas.openxmlformats.org/officeDocument/2006/relationships/hyperlink" Target="http://paperpile.com/b/WWCWa4/Pzqi" TargetMode="External"/><Relationship Id="rId34" Type="http://schemas.openxmlformats.org/officeDocument/2006/relationships/hyperlink" Target="https://paperpile.com/c/WWCWa4/bh1y" TargetMode="External"/><Relationship Id="rId76" Type="http://schemas.openxmlformats.org/officeDocument/2006/relationships/hyperlink" Target="https://paperpile.com/c/WWCWa4/7B3m" TargetMode="External"/><Relationship Id="rId141" Type="http://schemas.openxmlformats.org/officeDocument/2006/relationships/hyperlink" Target="http://paperpile.com/b/WWCWa4/RsZz" TargetMode="External"/><Relationship Id="rId7" Type="http://schemas.openxmlformats.org/officeDocument/2006/relationships/hyperlink" Target="https://paperpile.com/c/WWCWa4/hBso" TargetMode="External"/><Relationship Id="rId162" Type="http://schemas.openxmlformats.org/officeDocument/2006/relationships/hyperlink" Target="https://www.legislation.gov.uk/ukpga/1967/80" TargetMode="External"/><Relationship Id="rId183" Type="http://schemas.openxmlformats.org/officeDocument/2006/relationships/hyperlink" Target="http://paperpile.com/b/WWCWa4/9g18" TargetMode="External"/><Relationship Id="rId218" Type="http://schemas.openxmlformats.org/officeDocument/2006/relationships/hyperlink" Target="http://paperpile.com/b/WWCWa4/0Z3E" TargetMode="External"/><Relationship Id="rId239" Type="http://schemas.openxmlformats.org/officeDocument/2006/relationships/hyperlink" Target="http://paperpile.com/b/WWCWa4/7T2c" TargetMode="External"/><Relationship Id="rId250" Type="http://schemas.openxmlformats.org/officeDocument/2006/relationships/hyperlink" Target="http://paperpile.com/b/WWCWa4/svWj" TargetMode="External"/><Relationship Id="rId271" Type="http://schemas.openxmlformats.org/officeDocument/2006/relationships/hyperlink" Target="http://paperpile.com/b/WWCWa4/z6y7" TargetMode="External"/><Relationship Id="rId292" Type="http://schemas.openxmlformats.org/officeDocument/2006/relationships/hyperlink" Target="http://paperpile.com/b/WWCWa4/txwi" TargetMode="External"/><Relationship Id="rId306" Type="http://schemas.openxmlformats.org/officeDocument/2006/relationships/hyperlink" Target="http://paperpile.com/b/WWCWa4/zHIK" TargetMode="External"/><Relationship Id="rId24" Type="http://schemas.openxmlformats.org/officeDocument/2006/relationships/hyperlink" Target="https://paperpile.com/c/WWCWa4/RsZz" TargetMode="External"/><Relationship Id="rId45" Type="http://schemas.openxmlformats.org/officeDocument/2006/relationships/hyperlink" Target="https://paperpile.com/c/WWCWa4/ztnu" TargetMode="External"/><Relationship Id="rId66" Type="http://schemas.openxmlformats.org/officeDocument/2006/relationships/hyperlink" Target="https://paperpile.com/c/WWCWa4/jbZS" TargetMode="External"/><Relationship Id="rId87" Type="http://schemas.openxmlformats.org/officeDocument/2006/relationships/hyperlink" Target="http://paperpile.com/b/WWCWa4/9659" TargetMode="External"/><Relationship Id="rId110" Type="http://schemas.openxmlformats.org/officeDocument/2006/relationships/hyperlink" Target="http://paperpile.com/b/WWCWa4/1vAm" TargetMode="External"/><Relationship Id="rId131" Type="http://schemas.openxmlformats.org/officeDocument/2006/relationships/hyperlink" Target="http://paperpile.com/b/WWCWa4/s8OS" TargetMode="External"/><Relationship Id="rId152" Type="http://schemas.openxmlformats.org/officeDocument/2006/relationships/hyperlink" Target="http://paperpile.com/b/WWCWa4/bEhn" TargetMode="External"/><Relationship Id="rId173" Type="http://schemas.openxmlformats.org/officeDocument/2006/relationships/hyperlink" Target="https://orca.cf.ac.uk/54837/1/U585226.pdf" TargetMode="External"/><Relationship Id="rId194" Type="http://schemas.openxmlformats.org/officeDocument/2006/relationships/hyperlink" Target="http://paperpile.com/b/WWCWa4/7B3m" TargetMode="External"/><Relationship Id="rId208" Type="http://schemas.openxmlformats.org/officeDocument/2006/relationships/hyperlink" Target="http://paperpile.com/b/WWCWa4/94cD" TargetMode="External"/><Relationship Id="rId229" Type="http://schemas.openxmlformats.org/officeDocument/2006/relationships/hyperlink" Target="http://paperpile.com/b/WWCWa4/jbZS" TargetMode="External"/><Relationship Id="rId240" Type="http://schemas.openxmlformats.org/officeDocument/2006/relationships/hyperlink" Target="http://paperpile.com/b/WWCWa4/7T2c" TargetMode="External"/><Relationship Id="rId261" Type="http://schemas.openxmlformats.org/officeDocument/2006/relationships/hyperlink" Target="http://paperpile.com/b/WWCWa4/yHm8" TargetMode="External"/><Relationship Id="rId14" Type="http://schemas.openxmlformats.org/officeDocument/2006/relationships/hyperlink" Target="https://paperpile.com/c/WWCWa4/G5eN" TargetMode="External"/><Relationship Id="rId35" Type="http://schemas.openxmlformats.org/officeDocument/2006/relationships/hyperlink" Target="https://paperpile.com/c/WWCWa4/GUWH" TargetMode="External"/><Relationship Id="rId56" Type="http://schemas.openxmlformats.org/officeDocument/2006/relationships/hyperlink" Target="https://paperpile.com/c/WWCWa4/yiys" TargetMode="External"/><Relationship Id="rId77" Type="http://schemas.openxmlformats.org/officeDocument/2006/relationships/hyperlink" Target="http://paperpile.com/b/WWCWa4/8YtU" TargetMode="External"/><Relationship Id="rId100" Type="http://schemas.openxmlformats.org/officeDocument/2006/relationships/hyperlink" Target="http://dx.doi.org/%20https://doi.org/10.1117/12.2194436" TargetMode="External"/><Relationship Id="rId282" Type="http://schemas.openxmlformats.org/officeDocument/2006/relationships/hyperlink" Target="http://paperpile.com/b/WWCWa4/Pzqi" TargetMode="External"/><Relationship Id="rId317" Type="http://schemas.openxmlformats.org/officeDocument/2006/relationships/hyperlink" Target="http://paperpile.com/b/WWCWa4/LoLy" TargetMode="External"/><Relationship Id="rId8" Type="http://schemas.openxmlformats.org/officeDocument/2006/relationships/hyperlink" Target="https://paperpile.com/c/WWCWa4/88N5" TargetMode="External"/><Relationship Id="rId98" Type="http://schemas.openxmlformats.org/officeDocument/2006/relationships/hyperlink" Target="http://paperpile.com/b/WWCWa4/G5eN" TargetMode="External"/><Relationship Id="rId121" Type="http://schemas.openxmlformats.org/officeDocument/2006/relationships/hyperlink" Target="http://paperpile.com/b/WWCWa4/5EKw" TargetMode="External"/><Relationship Id="rId142" Type="http://schemas.openxmlformats.org/officeDocument/2006/relationships/hyperlink" Target="http://paperpile.com/b/WWCWa4/RsZz" TargetMode="External"/><Relationship Id="rId163" Type="http://schemas.openxmlformats.org/officeDocument/2006/relationships/hyperlink" Target="http://paperpile.com/b/WWCWa4/kR1d" TargetMode="External"/><Relationship Id="rId184" Type="http://schemas.openxmlformats.org/officeDocument/2006/relationships/hyperlink" Target="http://paperpile.com/b/WWCWa4/9g18" TargetMode="External"/><Relationship Id="rId219" Type="http://schemas.openxmlformats.org/officeDocument/2006/relationships/hyperlink" Target="http://paperpile.com/b/WWCWa4/0Z3E" TargetMode="External"/><Relationship Id="rId230" Type="http://schemas.openxmlformats.org/officeDocument/2006/relationships/hyperlink" Target="http://paperpile.com/b/WWCWa4/jbZS" TargetMode="External"/><Relationship Id="rId251" Type="http://schemas.openxmlformats.org/officeDocument/2006/relationships/hyperlink" Target="http://paperpile.com/b/WWCWa4/svWj" TargetMode="External"/><Relationship Id="rId25" Type="http://schemas.openxmlformats.org/officeDocument/2006/relationships/hyperlink" Target="https://paperpile.com/c/WWCWa4/9g18" TargetMode="External"/><Relationship Id="rId46" Type="http://schemas.openxmlformats.org/officeDocument/2006/relationships/hyperlink" Target="https://paperpile.com/c/WWCWa4/MIRp" TargetMode="External"/><Relationship Id="rId67" Type="http://schemas.openxmlformats.org/officeDocument/2006/relationships/hyperlink" Target="https://paperpile.com/c/WWCWa4/hiIv" TargetMode="External"/><Relationship Id="rId272" Type="http://schemas.openxmlformats.org/officeDocument/2006/relationships/hyperlink" Target="http://paperpile.com/b/WWCWa4/z6y7" TargetMode="External"/><Relationship Id="rId293" Type="http://schemas.openxmlformats.org/officeDocument/2006/relationships/hyperlink" Target="http://paperpile.com/b/WWCWa4/txwi" TargetMode="External"/><Relationship Id="rId307" Type="http://schemas.openxmlformats.org/officeDocument/2006/relationships/hyperlink" Target="http://paperpile.com/b/WWCWa4/w8wj" TargetMode="External"/><Relationship Id="rId88" Type="http://schemas.openxmlformats.org/officeDocument/2006/relationships/hyperlink" Target="http://paperpile.com/b/WWCWa4/9659" TargetMode="External"/><Relationship Id="rId111" Type="http://schemas.openxmlformats.org/officeDocument/2006/relationships/hyperlink" Target="http://paperpile.com/b/WWCWa4/1vAm" TargetMode="External"/><Relationship Id="rId132" Type="http://schemas.openxmlformats.org/officeDocument/2006/relationships/hyperlink" Target="http://paperpile.com/b/WWCWa4/JguH" TargetMode="External"/><Relationship Id="rId153" Type="http://schemas.openxmlformats.org/officeDocument/2006/relationships/hyperlink" Target="http://paperpile.com/b/WWCWa4/3Az8" TargetMode="External"/><Relationship Id="rId174" Type="http://schemas.openxmlformats.org/officeDocument/2006/relationships/hyperlink" Target="http://paperpile.com/b/WWCWa4/cDzL" TargetMode="External"/><Relationship Id="rId195" Type="http://schemas.openxmlformats.org/officeDocument/2006/relationships/hyperlink" Target="http://paperpile.com/b/WWCWa4/7B3m" TargetMode="External"/><Relationship Id="rId209" Type="http://schemas.openxmlformats.org/officeDocument/2006/relationships/hyperlink" Target="http://paperpile.com/b/WWCWa4/94cD" TargetMode="External"/><Relationship Id="rId220" Type="http://schemas.openxmlformats.org/officeDocument/2006/relationships/hyperlink" Target="http://paperpile.com/b/WWCWa4/0Z3E" TargetMode="External"/><Relationship Id="rId241" Type="http://schemas.openxmlformats.org/officeDocument/2006/relationships/hyperlink" Target="http://paperpile.com/b/WWCWa4/dPqw" TargetMode="External"/><Relationship Id="rId15" Type="http://schemas.openxmlformats.org/officeDocument/2006/relationships/hyperlink" Target="https://paperpile.com/c/WWCWa4/G5eN" TargetMode="External"/><Relationship Id="rId36" Type="http://schemas.openxmlformats.org/officeDocument/2006/relationships/hyperlink" Target="https://paperpile.com/c/WWCWa4/5EKw" TargetMode="External"/><Relationship Id="rId57" Type="http://schemas.openxmlformats.org/officeDocument/2006/relationships/hyperlink" Target="https://paperpile.com/c/WWCWa4/yiys" TargetMode="External"/><Relationship Id="rId262" Type="http://schemas.openxmlformats.org/officeDocument/2006/relationships/hyperlink" Target="http://paperpile.com/b/WWCWa4/yHm8" TargetMode="External"/><Relationship Id="rId283" Type="http://schemas.openxmlformats.org/officeDocument/2006/relationships/hyperlink" Target="http://paperpile.com/b/WWCWa4/Pzqi" TargetMode="External"/><Relationship Id="rId318" Type="http://schemas.openxmlformats.org/officeDocument/2006/relationships/hyperlink" Target="http://paperpile.com/b/WWCWa4/LoLy" TargetMode="External"/><Relationship Id="rId78" Type="http://schemas.openxmlformats.org/officeDocument/2006/relationships/hyperlink" Target="http://paperpile.com/b/WWCWa4/8YtU" TargetMode="External"/><Relationship Id="rId99" Type="http://schemas.openxmlformats.org/officeDocument/2006/relationships/hyperlink" Target="http://paperpile.com/b/WWCWa4/G5eN" TargetMode="External"/><Relationship Id="rId101" Type="http://schemas.openxmlformats.org/officeDocument/2006/relationships/hyperlink" Target="http://paperpile.com/b/WWCWa4/G5eN" TargetMode="External"/><Relationship Id="rId122" Type="http://schemas.openxmlformats.org/officeDocument/2006/relationships/hyperlink" Target="http://paperpile.com/b/WWCWa4/2Hsy" TargetMode="External"/><Relationship Id="rId143" Type="http://schemas.openxmlformats.org/officeDocument/2006/relationships/hyperlink" Target="http://paperpile.com/b/WWCWa4/RsZz" TargetMode="External"/><Relationship Id="rId164" Type="http://schemas.openxmlformats.org/officeDocument/2006/relationships/hyperlink" Target="http://paperpile.com/b/WWCWa4/yiys" TargetMode="External"/><Relationship Id="rId185" Type="http://schemas.openxmlformats.org/officeDocument/2006/relationships/hyperlink" Target="http://paperpile.com/b/WWCWa4/9g18" TargetMode="External"/><Relationship Id="rId9" Type="http://schemas.openxmlformats.org/officeDocument/2006/relationships/hyperlink" Target="https://paperpile.com/c/WWCWa4/88N5" TargetMode="External"/><Relationship Id="rId210" Type="http://schemas.openxmlformats.org/officeDocument/2006/relationships/hyperlink" Target="https://assets.publishing.service.gov.uk/government/uploads/system/uploads/attachment_data/file/384122/PaceCodeAWeb.pdf" TargetMode="External"/><Relationship Id="rId26" Type="http://schemas.openxmlformats.org/officeDocument/2006/relationships/hyperlink" Target="https://paperpile.com/c/WWCWa4/3Az8" TargetMode="External"/><Relationship Id="rId231" Type="http://schemas.openxmlformats.org/officeDocument/2006/relationships/hyperlink" Target="http://paperpile.com/b/WWCWa4/jbZS" TargetMode="External"/><Relationship Id="rId252" Type="http://schemas.openxmlformats.org/officeDocument/2006/relationships/hyperlink" Target="http://paperpile.com/b/WWCWa4/svWj" TargetMode="External"/><Relationship Id="rId273" Type="http://schemas.openxmlformats.org/officeDocument/2006/relationships/hyperlink" Target="http://paperpile.com/b/WWCWa4/hEvK" TargetMode="External"/><Relationship Id="rId294" Type="http://schemas.openxmlformats.org/officeDocument/2006/relationships/hyperlink" Target="http://paperpile.com/b/WWCWa4/bLXb" TargetMode="External"/><Relationship Id="rId308" Type="http://schemas.openxmlformats.org/officeDocument/2006/relationships/hyperlink" Target="http://paperpile.com/b/WWCWa4/w8wj" TargetMode="External"/><Relationship Id="rId47" Type="http://schemas.openxmlformats.org/officeDocument/2006/relationships/hyperlink" Target="https://paperpile.com/c/WWCWa4/z6y7" TargetMode="External"/><Relationship Id="rId68" Type="http://schemas.openxmlformats.org/officeDocument/2006/relationships/hyperlink" Target="https://paperpile.com/c/WWCWa4/txwi" TargetMode="External"/><Relationship Id="rId89" Type="http://schemas.openxmlformats.org/officeDocument/2006/relationships/hyperlink" Target="http://paperpile.com/b/WWCWa4/9659" TargetMode="External"/><Relationship Id="rId112" Type="http://schemas.openxmlformats.org/officeDocument/2006/relationships/hyperlink" Target="https://www.thecanadianencyclopedia.ca/en/article/allan-legere-case" TargetMode="External"/><Relationship Id="rId133" Type="http://schemas.openxmlformats.org/officeDocument/2006/relationships/hyperlink" Target="http://paperpile.com/b/WWCWa4/JguH" TargetMode="External"/><Relationship Id="rId154" Type="http://schemas.openxmlformats.org/officeDocument/2006/relationships/hyperlink" Target="http://paperpile.com/b/WWCWa4/3Az8" TargetMode="External"/><Relationship Id="rId175" Type="http://schemas.openxmlformats.org/officeDocument/2006/relationships/hyperlink" Target="http://paperpile.com/b/WWCWa4/IIYB" TargetMode="External"/><Relationship Id="rId196" Type="http://schemas.openxmlformats.org/officeDocument/2006/relationships/hyperlink" Target="http://paperpile.com/b/WWCWa4/7B3m" TargetMode="External"/><Relationship Id="rId200" Type="http://schemas.openxmlformats.org/officeDocument/2006/relationships/hyperlink" Target="http://paperpile.com/b/WWCWa4/LebA" TargetMode="External"/><Relationship Id="rId16" Type="http://schemas.openxmlformats.org/officeDocument/2006/relationships/hyperlink" Target="https://paperpile.com/c/WWCWa4/94cD" TargetMode="External"/><Relationship Id="rId221" Type="http://schemas.openxmlformats.org/officeDocument/2006/relationships/hyperlink" Target="http://paperpile.com/b/WWCWa4/0Z3E" TargetMode="External"/><Relationship Id="rId242" Type="http://schemas.openxmlformats.org/officeDocument/2006/relationships/hyperlink" Target="http://paperpile.com/b/WWCWa4/dPqw" TargetMode="External"/><Relationship Id="rId263" Type="http://schemas.openxmlformats.org/officeDocument/2006/relationships/hyperlink" Target="https://ethos.bl.uk/OrderDetails.do?uin=uk.bl.ethos.521873" TargetMode="External"/><Relationship Id="rId284" Type="http://schemas.openxmlformats.org/officeDocument/2006/relationships/hyperlink" Target="http://paperpile.com/b/WWCWa4/Pzqi" TargetMode="External"/><Relationship Id="rId319" Type="http://schemas.openxmlformats.org/officeDocument/2006/relationships/hyperlink" Target="http://paperpile.com/b/WWCWa4/LoLy" TargetMode="External"/><Relationship Id="rId37" Type="http://schemas.openxmlformats.org/officeDocument/2006/relationships/hyperlink" Target="https://paperpile.com/c/WWCWa4/yHm8" TargetMode="External"/><Relationship Id="rId58" Type="http://schemas.openxmlformats.org/officeDocument/2006/relationships/hyperlink" Target="https://paperpile.com/c/WWCWa4/jJWI" TargetMode="External"/><Relationship Id="rId79" Type="http://schemas.openxmlformats.org/officeDocument/2006/relationships/hyperlink" Target="http://paperpile.com/b/WWCWa4/8YtU" TargetMode="External"/><Relationship Id="rId102" Type="http://schemas.openxmlformats.org/officeDocument/2006/relationships/hyperlink" Target="http://paperpile.com/b/WWCWa4/UGoa" TargetMode="External"/><Relationship Id="rId123" Type="http://schemas.openxmlformats.org/officeDocument/2006/relationships/hyperlink" Target="http://paperpile.com/b/WWCWa4/2Hsy" TargetMode="External"/><Relationship Id="rId144" Type="http://schemas.openxmlformats.org/officeDocument/2006/relationships/hyperlink" Target="https://www.app.college.police.uk/app-content/investigations/forensics/" TargetMode="External"/><Relationship Id="rId90" Type="http://schemas.openxmlformats.org/officeDocument/2006/relationships/hyperlink" Target="http://news.bbc.co.uk/1/hi/northern_ireland/7154221.stm" TargetMode="External"/><Relationship Id="rId165" Type="http://schemas.openxmlformats.org/officeDocument/2006/relationships/hyperlink" Target="http://paperpile.com/b/WWCWa4/yiys" TargetMode="External"/><Relationship Id="rId186" Type="http://schemas.openxmlformats.org/officeDocument/2006/relationships/hyperlink" Target="https://scholarlycommons.law.northwestern.edu/cgi/viewcontent.cgi?article=1392&amp;context=jclc" TargetMode="External"/><Relationship Id="rId211" Type="http://schemas.openxmlformats.org/officeDocument/2006/relationships/hyperlink" Target="http://paperpile.com/b/WWCWa4/94cD" TargetMode="External"/><Relationship Id="rId232" Type="http://schemas.openxmlformats.org/officeDocument/2006/relationships/hyperlink" Target="http://paperpile.com/b/WWCWa4/1WJ6" TargetMode="External"/><Relationship Id="rId253" Type="http://schemas.openxmlformats.org/officeDocument/2006/relationships/hyperlink" Target="https://heinonline.org/HOL/LandingPage?handle=hein.journals/uclalr58&amp;div=20&amp;id=&amp;page=" TargetMode="External"/><Relationship Id="rId274" Type="http://schemas.openxmlformats.org/officeDocument/2006/relationships/hyperlink" Target="http://paperpile.com/b/WWCWa4/hEvK" TargetMode="External"/><Relationship Id="rId295" Type="http://schemas.openxmlformats.org/officeDocument/2006/relationships/hyperlink" Target="http://paperpile.com/b/WWCWa4/bLXb" TargetMode="External"/><Relationship Id="rId309" Type="http://schemas.openxmlformats.org/officeDocument/2006/relationships/hyperlink" Target="http://paperpile.com/b/WWCWa4/w8wj" TargetMode="External"/><Relationship Id="rId27" Type="http://schemas.openxmlformats.org/officeDocument/2006/relationships/hyperlink" Target="https://paperpile.com/c/WWCWa4/GooV" TargetMode="External"/><Relationship Id="rId48" Type="http://schemas.openxmlformats.org/officeDocument/2006/relationships/hyperlink" Target="https://paperpile.com/c/WWCWa4/z6y7" TargetMode="External"/><Relationship Id="rId69" Type="http://schemas.openxmlformats.org/officeDocument/2006/relationships/hyperlink" Target="https://paperpile.com/c/WWCWa4/jbZS" TargetMode="External"/><Relationship Id="rId113" Type="http://schemas.openxmlformats.org/officeDocument/2006/relationships/hyperlink" Target="http://paperpile.com/b/WWCWa4/1vAm" TargetMode="External"/><Relationship Id="rId134" Type="http://schemas.openxmlformats.org/officeDocument/2006/relationships/hyperlink" Target="http://paperpile.com/b/WWCWa4/JguH" TargetMode="External"/><Relationship Id="rId320" Type="http://schemas.openxmlformats.org/officeDocument/2006/relationships/hyperlink" Target="http://paperpile.com/b/WWCWa4/1WGu" TargetMode="External"/><Relationship Id="rId80" Type="http://schemas.openxmlformats.org/officeDocument/2006/relationships/hyperlink" Target="http://paperpile.com/b/WWCWa4/bnmG" TargetMode="External"/><Relationship Id="rId155" Type="http://schemas.openxmlformats.org/officeDocument/2006/relationships/hyperlink" Target="http://paperpile.com/b/WWCWa4/3Az8" TargetMode="External"/><Relationship Id="rId176" Type="http://schemas.openxmlformats.org/officeDocument/2006/relationships/hyperlink" Target="http://paperpile.com/b/WWCWa4/IIYB" TargetMode="External"/><Relationship Id="rId197" Type="http://schemas.openxmlformats.org/officeDocument/2006/relationships/hyperlink" Target="http://paperpile.com/b/WWCWa4/LebA" TargetMode="External"/><Relationship Id="rId201" Type="http://schemas.openxmlformats.org/officeDocument/2006/relationships/hyperlink" Target="http://paperpile.com/b/WWCWa4/LebA" TargetMode="External"/><Relationship Id="rId222" Type="http://schemas.openxmlformats.org/officeDocument/2006/relationships/hyperlink" Target="http://www.bailii.org/nie/cases/NICC/2007/49.html" TargetMode="External"/><Relationship Id="rId243" Type="http://schemas.openxmlformats.org/officeDocument/2006/relationships/hyperlink" Target="http://paperpile.com/b/WWCWa4/dPqw" TargetMode="External"/><Relationship Id="rId264" Type="http://schemas.openxmlformats.org/officeDocument/2006/relationships/hyperlink" Target="http://paperpile.com/b/WWCWa4/yHm8" TargetMode="External"/><Relationship Id="rId285" Type="http://schemas.openxmlformats.org/officeDocument/2006/relationships/hyperlink" Target="http://paperpile.com/b/WWCWa4/Pzqi" TargetMode="External"/><Relationship Id="rId17" Type="http://schemas.openxmlformats.org/officeDocument/2006/relationships/hyperlink" Target="https://paperpile.com/c/WWCWa4/hEvK" TargetMode="External"/><Relationship Id="rId38" Type="http://schemas.openxmlformats.org/officeDocument/2006/relationships/hyperlink" Target="https://paperpile.com/c/WWCWa4/8YtU" TargetMode="External"/><Relationship Id="rId59" Type="http://schemas.openxmlformats.org/officeDocument/2006/relationships/hyperlink" Target="https://paperpile.com/c/WWCWa4/lZz5" TargetMode="External"/><Relationship Id="rId103" Type="http://schemas.openxmlformats.org/officeDocument/2006/relationships/hyperlink" Target="http://paperpile.com/b/WWCWa4/UGoa" TargetMode="External"/><Relationship Id="rId124" Type="http://schemas.openxmlformats.org/officeDocument/2006/relationships/hyperlink" Target="http://paperpile.com/b/WWCWa4/2Hsy" TargetMode="External"/><Relationship Id="rId310" Type="http://schemas.openxmlformats.org/officeDocument/2006/relationships/hyperlink" Target="http://paperpile.com/b/WWCWa4/lZz5" TargetMode="External"/><Relationship Id="rId70" Type="http://schemas.openxmlformats.org/officeDocument/2006/relationships/hyperlink" Target="https://paperpile.com/c/WWCWa4/svWj" TargetMode="External"/><Relationship Id="rId91" Type="http://schemas.openxmlformats.org/officeDocument/2006/relationships/hyperlink" Target="http://paperpile.com/b/WWCWa4/9659" TargetMode="External"/><Relationship Id="rId145" Type="http://schemas.openxmlformats.org/officeDocument/2006/relationships/hyperlink" Target="http://paperpile.com/b/WWCWa4/RsZz" TargetMode="External"/><Relationship Id="rId166" Type="http://schemas.openxmlformats.org/officeDocument/2006/relationships/hyperlink" Target="http://paperpile.com/b/WWCWa4/yiys" TargetMode="External"/><Relationship Id="rId187" Type="http://schemas.openxmlformats.org/officeDocument/2006/relationships/hyperlink" Target="http://paperpile.com/b/WWCWa4/9g18" TargetMode="External"/><Relationship Id="rId1" Type="http://schemas.openxmlformats.org/officeDocument/2006/relationships/styles" Target="styles.xml"/><Relationship Id="rId212" Type="http://schemas.openxmlformats.org/officeDocument/2006/relationships/hyperlink" Target="http://paperpile.com/b/WWCWa4/bh1y" TargetMode="External"/><Relationship Id="rId233" Type="http://schemas.openxmlformats.org/officeDocument/2006/relationships/hyperlink" Target="http://paperpile.com/b/WWCWa4/1WJ6" TargetMode="External"/><Relationship Id="rId254" Type="http://schemas.openxmlformats.org/officeDocument/2006/relationships/hyperlink" Target="http://paperpile.com/b/WWCWa4/svWj" TargetMode="External"/><Relationship Id="rId28" Type="http://schemas.openxmlformats.org/officeDocument/2006/relationships/hyperlink" Target="https://paperpile.com/c/WWCWa4/bnmG" TargetMode="External"/><Relationship Id="rId49" Type="http://schemas.openxmlformats.org/officeDocument/2006/relationships/hyperlink" Target="https://paperpile.com/c/WWCWa4/ztnu" TargetMode="External"/><Relationship Id="rId114" Type="http://schemas.openxmlformats.org/officeDocument/2006/relationships/hyperlink" Target="http://paperpile.com/b/WWCWa4/4VUh" TargetMode="External"/><Relationship Id="rId275" Type="http://schemas.openxmlformats.org/officeDocument/2006/relationships/hyperlink" Target="http://paperpile.com/b/WWCWa4/hEvK" TargetMode="External"/><Relationship Id="rId296" Type="http://schemas.openxmlformats.org/officeDocument/2006/relationships/hyperlink" Target="http://paperpile.com/b/WWCWa4/bLXb" TargetMode="External"/><Relationship Id="rId300" Type="http://schemas.openxmlformats.org/officeDocument/2006/relationships/hyperlink" Target="http://paperpile.com/b/WWCWa4/hBso" TargetMode="External"/><Relationship Id="rId60" Type="http://schemas.openxmlformats.org/officeDocument/2006/relationships/hyperlink" Target="https://paperpile.com/c/WWCWa4/bLXb" TargetMode="External"/><Relationship Id="rId81" Type="http://schemas.openxmlformats.org/officeDocument/2006/relationships/hyperlink" Target="http://paperpile.com/b/WWCWa4/bnmG" TargetMode="External"/><Relationship Id="rId135" Type="http://schemas.openxmlformats.org/officeDocument/2006/relationships/hyperlink" Target="http://paperpile.com/b/WWCWa4/JguH" TargetMode="External"/><Relationship Id="rId156" Type="http://schemas.openxmlformats.org/officeDocument/2006/relationships/hyperlink" Target="http://paperpile.com/b/WWCWa4/3Az8" TargetMode="External"/><Relationship Id="rId177" Type="http://schemas.openxmlformats.org/officeDocument/2006/relationships/hyperlink" Target="http://paperpile.com/b/WWCWa4/IIYB" TargetMode="External"/><Relationship Id="rId198" Type="http://schemas.openxmlformats.org/officeDocument/2006/relationships/hyperlink" Target="http://paperpile.com/b/WWCWa4/LebA" TargetMode="External"/><Relationship Id="rId321" Type="http://schemas.openxmlformats.org/officeDocument/2006/relationships/hyperlink" Target="http://paperpile.com/b/WWCWa4/1WGu" TargetMode="External"/><Relationship Id="rId202" Type="http://schemas.openxmlformats.org/officeDocument/2006/relationships/hyperlink" Target="https://www.hse.gov.uk/enforce/enforcementguide/court/physical-continuity.htm" TargetMode="External"/><Relationship Id="rId223" Type="http://schemas.openxmlformats.org/officeDocument/2006/relationships/hyperlink" Target="http://paperpile.com/b/WWCWa4/0Z3E" TargetMode="External"/><Relationship Id="rId244" Type="http://schemas.openxmlformats.org/officeDocument/2006/relationships/hyperlink" Target="http://paperpile.com/b/WWCWa4/dPqw" TargetMode="External"/><Relationship Id="rId18" Type="http://schemas.openxmlformats.org/officeDocument/2006/relationships/hyperlink" Target="https://paperpile.com/c/WWCWa4/s8OS" TargetMode="External"/><Relationship Id="rId39" Type="http://schemas.openxmlformats.org/officeDocument/2006/relationships/hyperlink" Target="https://paperpile.com/c/WWCWa4/2Hsy" TargetMode="External"/><Relationship Id="rId265" Type="http://schemas.openxmlformats.org/officeDocument/2006/relationships/hyperlink" Target="http://paperpile.com/b/WWCWa4/hiIv" TargetMode="External"/><Relationship Id="rId286" Type="http://schemas.openxmlformats.org/officeDocument/2006/relationships/hyperlink" Target="https://www.nytimes.com/2004/11/17/politics/report-faults-fbis-fingerprint-scrutiny-in-arrest-of-lawyer.html" TargetMode="External"/><Relationship Id="rId50" Type="http://schemas.openxmlformats.org/officeDocument/2006/relationships/hyperlink" Target="https://paperpile.com/c/WWCWa4/dPqw" TargetMode="External"/><Relationship Id="rId104" Type="http://schemas.openxmlformats.org/officeDocument/2006/relationships/hyperlink" Target="http://paperpile.com/b/WWCWa4/UGoa" TargetMode="External"/><Relationship Id="rId125" Type="http://schemas.openxmlformats.org/officeDocument/2006/relationships/hyperlink" Target="http://paperpile.com/b/WWCWa4/s8OS" TargetMode="External"/><Relationship Id="rId146" Type="http://schemas.openxmlformats.org/officeDocument/2006/relationships/hyperlink" Target="http://paperpile.com/b/WWCWa4/bEhn" TargetMode="External"/><Relationship Id="rId167" Type="http://schemas.openxmlformats.org/officeDocument/2006/relationships/hyperlink" Target="http://paperpile.com/b/WWCWa4/yiys" TargetMode="External"/><Relationship Id="rId188" Type="http://schemas.openxmlformats.org/officeDocument/2006/relationships/hyperlink" Target="http://paperpile.com/b/WWCWa4/FTwf" TargetMode="External"/><Relationship Id="rId311" Type="http://schemas.openxmlformats.org/officeDocument/2006/relationships/hyperlink" Target="http://paperpile.com/b/WWCWa4/lZz5" TargetMode="External"/><Relationship Id="rId71" Type="http://schemas.openxmlformats.org/officeDocument/2006/relationships/hyperlink" Target="https://paperpile.com/c/WWCWa4/svWj" TargetMode="External"/><Relationship Id="rId92" Type="http://schemas.openxmlformats.org/officeDocument/2006/relationships/hyperlink" Target="http://paperpile.com/b/WWCWa4/ztnu" TargetMode="External"/><Relationship Id="rId213" Type="http://schemas.openxmlformats.org/officeDocument/2006/relationships/hyperlink" Target="http://paperpile.com/b/WWCWa4/bh1y" TargetMode="External"/><Relationship Id="rId234" Type="http://schemas.openxmlformats.org/officeDocument/2006/relationships/hyperlink" Target="http://paperpile.com/b/WWCWa4/1WJ6" TargetMode="External"/><Relationship Id="rId2" Type="http://schemas.openxmlformats.org/officeDocument/2006/relationships/settings" Target="settings.xml"/><Relationship Id="rId29" Type="http://schemas.openxmlformats.org/officeDocument/2006/relationships/hyperlink" Target="https://paperpile.com/c/WWCWa4/JguH" TargetMode="External"/><Relationship Id="rId255" Type="http://schemas.openxmlformats.org/officeDocument/2006/relationships/hyperlink" Target="http://paperpile.com/b/WWCWa4/hc5d" TargetMode="External"/><Relationship Id="rId276" Type="http://schemas.openxmlformats.org/officeDocument/2006/relationships/hyperlink" Target="http://paperpile.com/b/WWCWa4/7qb3" TargetMode="External"/><Relationship Id="rId297" Type="http://schemas.openxmlformats.org/officeDocument/2006/relationships/hyperlink" Target="https://publications.parliament.uk/pa/cm200910/cmselect/cmhaff/222/22202.htm" TargetMode="External"/><Relationship Id="rId40" Type="http://schemas.openxmlformats.org/officeDocument/2006/relationships/hyperlink" Target="https://paperpile.com/c/WWCWa4/GooV" TargetMode="External"/><Relationship Id="rId115" Type="http://schemas.openxmlformats.org/officeDocument/2006/relationships/hyperlink" Target="http://paperpile.com/b/WWCWa4/4VUh" TargetMode="External"/><Relationship Id="rId136" Type="http://schemas.openxmlformats.org/officeDocument/2006/relationships/hyperlink" Target="http://paperpile.com/b/WWCWa4/JguH" TargetMode="External"/><Relationship Id="rId157" Type="http://schemas.openxmlformats.org/officeDocument/2006/relationships/hyperlink" Target="http://paperpile.com/b/WWCWa4/3Az8" TargetMode="External"/><Relationship Id="rId178" Type="http://schemas.openxmlformats.org/officeDocument/2006/relationships/hyperlink" Target="http://paperpile.com/b/WWCWa4/DWnL" TargetMode="External"/><Relationship Id="rId301" Type="http://schemas.openxmlformats.org/officeDocument/2006/relationships/hyperlink" Target="http://paperpile.com/b/WWCWa4/hBso" TargetMode="External"/><Relationship Id="rId322" Type="http://schemas.openxmlformats.org/officeDocument/2006/relationships/hyperlink" Target="http://paperpile.com/b/WWCWa4/1WGu" TargetMode="External"/><Relationship Id="rId61" Type="http://schemas.openxmlformats.org/officeDocument/2006/relationships/hyperlink" Target="https://paperpile.com/c/WWCWa4/FTwf" TargetMode="External"/><Relationship Id="rId82" Type="http://schemas.openxmlformats.org/officeDocument/2006/relationships/hyperlink" Target="http://paperpile.com/b/WWCWa4/bnmG" TargetMode="External"/><Relationship Id="rId199" Type="http://schemas.openxmlformats.org/officeDocument/2006/relationships/hyperlink" Target="http://paperpile.com/b/WWCWa4/LebA" TargetMode="External"/><Relationship Id="rId203" Type="http://schemas.openxmlformats.org/officeDocument/2006/relationships/hyperlink" Target="http://paperpile.com/b/WWCWa4/LebA" TargetMode="External"/><Relationship Id="rId19" Type="http://schemas.openxmlformats.org/officeDocument/2006/relationships/hyperlink" Target="https://paperpile.com/c/WWCWa4/kR1d" TargetMode="External"/><Relationship Id="rId224" Type="http://schemas.openxmlformats.org/officeDocument/2006/relationships/hyperlink" Target="http://paperpile.com/b/WWCWa4/88N5" TargetMode="External"/><Relationship Id="rId245" Type="http://schemas.openxmlformats.org/officeDocument/2006/relationships/hyperlink" Target="http://paperpile.com/b/WWCWa4/dPqw" TargetMode="External"/><Relationship Id="rId266" Type="http://schemas.openxmlformats.org/officeDocument/2006/relationships/hyperlink" Target="http://paperpile.com/b/WWCWa4/hiIv" TargetMode="External"/><Relationship Id="rId287" Type="http://schemas.openxmlformats.org/officeDocument/2006/relationships/hyperlink" Target="http://paperpile.com/b/WWCWa4/Pzqi" TargetMode="External"/><Relationship Id="rId30" Type="http://schemas.openxmlformats.org/officeDocument/2006/relationships/hyperlink" Target="https://paperpile.com/c/WWCWa4/9659" TargetMode="External"/><Relationship Id="rId105" Type="http://schemas.openxmlformats.org/officeDocument/2006/relationships/hyperlink" Target="http://dx.doi.org/10.1098/rstb.2014.0252" TargetMode="External"/><Relationship Id="rId126" Type="http://schemas.openxmlformats.org/officeDocument/2006/relationships/hyperlink" Target="http://paperpile.com/b/WWCWa4/s8OS" TargetMode="External"/><Relationship Id="rId147" Type="http://schemas.openxmlformats.org/officeDocument/2006/relationships/hyperlink" Target="http://paperpile.com/b/WWCWa4/bEhn" TargetMode="External"/><Relationship Id="rId168" Type="http://schemas.openxmlformats.org/officeDocument/2006/relationships/hyperlink" Target="https://www.legislation.gov.uk/ukpga/2001/16/contents" TargetMode="External"/><Relationship Id="rId312" Type="http://schemas.openxmlformats.org/officeDocument/2006/relationships/hyperlink" Target="http://paperpile.com/b/WWCWa4/lZz5" TargetMode="External"/><Relationship Id="rId51" Type="http://schemas.openxmlformats.org/officeDocument/2006/relationships/hyperlink" Target="https://paperpile.com/c/WWCWa4/1vAm" TargetMode="External"/><Relationship Id="rId72" Type="http://schemas.openxmlformats.org/officeDocument/2006/relationships/hyperlink" Target="https://paperpile.com/c/WWCWa4/svWj" TargetMode="External"/><Relationship Id="rId93" Type="http://schemas.openxmlformats.org/officeDocument/2006/relationships/hyperlink" Target="http://paperpile.com/b/WWCWa4/ztnu" TargetMode="External"/><Relationship Id="rId189" Type="http://schemas.openxmlformats.org/officeDocument/2006/relationships/hyperlink" Target="http://paperpile.com/b/WWCWa4/FTwf" TargetMode="External"/><Relationship Id="rId3" Type="http://schemas.openxmlformats.org/officeDocument/2006/relationships/webSettings" Target="webSettings.xml"/><Relationship Id="rId214" Type="http://schemas.openxmlformats.org/officeDocument/2006/relationships/hyperlink" Target="http://paperpile.com/b/WWCWa4/bh1y" TargetMode="External"/><Relationship Id="rId235" Type="http://schemas.openxmlformats.org/officeDocument/2006/relationships/hyperlink" Target="http://paperpile.com/b/WWCWa4/GUWH" TargetMode="External"/><Relationship Id="rId256" Type="http://schemas.openxmlformats.org/officeDocument/2006/relationships/hyperlink" Target="http://paperpile.com/b/WWCWa4/hc5d" TargetMode="External"/><Relationship Id="rId277" Type="http://schemas.openxmlformats.org/officeDocument/2006/relationships/hyperlink" Target="http://paperpile.com/b/WWCWa4/7qb3" TargetMode="External"/><Relationship Id="rId298" Type="http://schemas.openxmlformats.org/officeDocument/2006/relationships/hyperlink" Target="http://paperpile.com/b/WWCWa4/bLXb" TargetMode="External"/><Relationship Id="rId116" Type="http://schemas.openxmlformats.org/officeDocument/2006/relationships/hyperlink" Target="http://paperpile.com/b/WWCWa4/4VUh" TargetMode="External"/><Relationship Id="rId137" Type="http://schemas.openxmlformats.org/officeDocument/2006/relationships/hyperlink" Target="https://www.app.college.police.uk/app-content/investigations/investigation-process/" TargetMode="External"/><Relationship Id="rId158" Type="http://schemas.openxmlformats.org/officeDocument/2006/relationships/hyperlink" Target="https://www.cps.gov.uk/legal-guidance/admitting-evidence-under-sections-9-and-10-criminal-justice-act-1967" TargetMode="External"/><Relationship Id="rId302" Type="http://schemas.openxmlformats.org/officeDocument/2006/relationships/hyperlink" Target="http://paperpile.com/b/WWCWa4/zHIK" TargetMode="External"/><Relationship Id="rId323" Type="http://schemas.openxmlformats.org/officeDocument/2006/relationships/header" Target="header1.xml"/><Relationship Id="rId20" Type="http://schemas.openxmlformats.org/officeDocument/2006/relationships/hyperlink" Target="https://paperpile.com/c/WWCWa4/kR1d" TargetMode="External"/><Relationship Id="rId41" Type="http://schemas.openxmlformats.org/officeDocument/2006/relationships/hyperlink" Target="https://paperpile.com/c/WWCWa4/IIYB" TargetMode="External"/><Relationship Id="rId62" Type="http://schemas.openxmlformats.org/officeDocument/2006/relationships/hyperlink" Target="https://paperpile.com/c/WWCWa4/UGoa" TargetMode="External"/><Relationship Id="rId83" Type="http://schemas.openxmlformats.org/officeDocument/2006/relationships/hyperlink" Target="https://scholarworks.sjsu.edu/themis/vol3/iss1/12" TargetMode="External"/><Relationship Id="rId179" Type="http://schemas.openxmlformats.org/officeDocument/2006/relationships/hyperlink" Target="http://paperpile.com/b/WWCWa4/DWnL" TargetMode="External"/><Relationship Id="rId190" Type="http://schemas.openxmlformats.org/officeDocument/2006/relationships/hyperlink" Target="http://paperpile.com/b/WWCWa4/FTwf" TargetMode="External"/><Relationship Id="rId204" Type="http://schemas.openxmlformats.org/officeDocument/2006/relationships/hyperlink" Target="http://paperpile.com/b/WWCWa4/MIRp" TargetMode="External"/><Relationship Id="rId225" Type="http://schemas.openxmlformats.org/officeDocument/2006/relationships/hyperlink" Target="http://paperpile.com/b/WWCWa4/88N5" TargetMode="External"/><Relationship Id="rId246" Type="http://schemas.openxmlformats.org/officeDocument/2006/relationships/hyperlink" Target="https://atlantic.ctvnews.ca/he-s-a-dangerous-man-concerns-in-miramichi-after-serial-killer-allan-legere-seeks-day-parole-1.5054076" TargetMode="External"/><Relationship Id="rId267" Type="http://schemas.openxmlformats.org/officeDocument/2006/relationships/hyperlink" Target="http://paperpile.com/b/WWCWa4/hiIv" TargetMode="External"/><Relationship Id="rId288" Type="http://schemas.openxmlformats.org/officeDocument/2006/relationships/hyperlink" Target="http://paperpile.com/b/WWCWa4/GooV" TargetMode="External"/><Relationship Id="rId106" Type="http://schemas.openxmlformats.org/officeDocument/2006/relationships/hyperlink" Target="http://paperpile.com/b/WWCWa4/UGoa" TargetMode="External"/><Relationship Id="rId127" Type="http://schemas.openxmlformats.org/officeDocument/2006/relationships/hyperlink" Target="http://paperpile.com/b/WWCWa4/s8OS" TargetMode="External"/><Relationship Id="rId313" Type="http://schemas.openxmlformats.org/officeDocument/2006/relationships/hyperlink" Target="http://paperpile.com/b/WWCWa4/lZz5" TargetMode="External"/><Relationship Id="rId10" Type="http://schemas.openxmlformats.org/officeDocument/2006/relationships/hyperlink" Target="https://paperpile.com/c/WWCWa4/88N5" TargetMode="External"/><Relationship Id="rId31" Type="http://schemas.openxmlformats.org/officeDocument/2006/relationships/hyperlink" Target="https://paperpile.com/c/WWCWa4/0Z3E" TargetMode="External"/><Relationship Id="rId52" Type="http://schemas.openxmlformats.org/officeDocument/2006/relationships/hyperlink" Target="https://paperpile.com/c/WWCWa4/1WJ6" TargetMode="External"/><Relationship Id="rId73" Type="http://schemas.openxmlformats.org/officeDocument/2006/relationships/hyperlink" Target="https://paperpile.com/c/WWCWa4/cDzL" TargetMode="External"/><Relationship Id="rId94" Type="http://schemas.openxmlformats.org/officeDocument/2006/relationships/hyperlink" Target="http://paperpile.com/b/WWCWa4/ztnu" TargetMode="External"/><Relationship Id="rId148" Type="http://schemas.openxmlformats.org/officeDocument/2006/relationships/hyperlink" Target="http://paperpile.com/b/WWCWa4/bEhn" TargetMode="External"/><Relationship Id="rId169" Type="http://schemas.openxmlformats.org/officeDocument/2006/relationships/hyperlink" Target="http://paperpile.com/b/WWCWa4/yiys" TargetMode="External"/><Relationship Id="rId4" Type="http://schemas.openxmlformats.org/officeDocument/2006/relationships/footnotes" Target="footnotes.xml"/><Relationship Id="rId180" Type="http://schemas.openxmlformats.org/officeDocument/2006/relationships/hyperlink" Target="http://paperpile.com/b/WWCWa4/DWnL" TargetMode="External"/><Relationship Id="rId215" Type="http://schemas.openxmlformats.org/officeDocument/2006/relationships/hyperlink" Target="http://paperpile.com/b/WWCWa4/mEmP" TargetMode="External"/><Relationship Id="rId236" Type="http://schemas.openxmlformats.org/officeDocument/2006/relationships/hyperlink" Target="http://paperpile.com/b/WWCWa4/GUWH" TargetMode="External"/><Relationship Id="rId257" Type="http://schemas.openxmlformats.org/officeDocument/2006/relationships/hyperlink" Target="http://paperpile.com/b/WWCWa4/hc5d" TargetMode="External"/><Relationship Id="rId278" Type="http://schemas.openxmlformats.org/officeDocument/2006/relationships/hyperlink" Target="http://paperpile.com/b/WWCWa4/7qb3" TargetMode="External"/><Relationship Id="rId303" Type="http://schemas.openxmlformats.org/officeDocument/2006/relationships/hyperlink" Target="http://paperpile.com/b/WWCWa4/zHIK" TargetMode="External"/><Relationship Id="rId42" Type="http://schemas.openxmlformats.org/officeDocument/2006/relationships/hyperlink" Target="https://paperpile.com/c/WWCWa4/7T2c" TargetMode="External"/><Relationship Id="rId84" Type="http://schemas.openxmlformats.org/officeDocument/2006/relationships/hyperlink" Target="http://paperpile.com/b/WWCWa4/bnmG" TargetMode="External"/><Relationship Id="rId138" Type="http://schemas.openxmlformats.org/officeDocument/2006/relationships/hyperlink" Target="http://paperpile.com/b/WWCWa4/JguH" TargetMode="External"/><Relationship Id="rId191" Type="http://schemas.openxmlformats.org/officeDocument/2006/relationships/hyperlink" Target="http://paperpile.com/b/WWCWa4/jJWI" TargetMode="External"/><Relationship Id="rId205" Type="http://schemas.openxmlformats.org/officeDocument/2006/relationships/hyperlink" Target="http://paperpile.com/b/WWCWa4/MIRp" TargetMode="External"/><Relationship Id="rId247" Type="http://schemas.openxmlformats.org/officeDocument/2006/relationships/hyperlink" Target="http://paperpile.com/b/WWCWa4/dPqw" TargetMode="External"/><Relationship Id="rId107" Type="http://schemas.openxmlformats.org/officeDocument/2006/relationships/hyperlink" Target="http://paperpile.com/b/WWCWa4/1vAm" TargetMode="External"/><Relationship Id="rId289" Type="http://schemas.openxmlformats.org/officeDocument/2006/relationships/hyperlink" Target="http://paperpile.com/b/WWCWa4/GooV" TargetMode="External"/><Relationship Id="rId11" Type="http://schemas.openxmlformats.org/officeDocument/2006/relationships/hyperlink" Target="https://paperpile.com/c/WWCWa4/zHIK" TargetMode="External"/><Relationship Id="rId53" Type="http://schemas.openxmlformats.org/officeDocument/2006/relationships/hyperlink" Target="https://paperpile.com/c/WWCWa4/w8wj" TargetMode="External"/><Relationship Id="rId149" Type="http://schemas.openxmlformats.org/officeDocument/2006/relationships/hyperlink" Target="http://paperpile.com/b/WWCWa4/bEhn" TargetMode="External"/><Relationship Id="rId314" Type="http://schemas.openxmlformats.org/officeDocument/2006/relationships/hyperlink" Target="http://paperpile.com/b/WWCWa4/lZz5" TargetMode="External"/><Relationship Id="rId95" Type="http://schemas.openxmlformats.org/officeDocument/2006/relationships/hyperlink" Target="http://paperpile.com/b/WWCWa4/G5eN" TargetMode="External"/><Relationship Id="rId160" Type="http://schemas.openxmlformats.org/officeDocument/2006/relationships/hyperlink" Target="http://paperpile.com/b/WWCWa4/kR1d" TargetMode="External"/><Relationship Id="rId216" Type="http://schemas.openxmlformats.org/officeDocument/2006/relationships/hyperlink" Target="http://paperpile.com/b/WWCWa4/mEmP" TargetMode="External"/><Relationship Id="rId258" Type="http://schemas.openxmlformats.org/officeDocument/2006/relationships/hyperlink" Target="http://dx.doi.org/10.1086/428020" TargetMode="External"/><Relationship Id="rId22" Type="http://schemas.openxmlformats.org/officeDocument/2006/relationships/hyperlink" Target="https://paperpile.com/c/WWCWa4/DWnL" TargetMode="External"/><Relationship Id="rId64" Type="http://schemas.openxmlformats.org/officeDocument/2006/relationships/hyperlink" Target="https://paperpile.com/c/WWCWa4/7qb3" TargetMode="External"/><Relationship Id="rId118" Type="http://schemas.openxmlformats.org/officeDocument/2006/relationships/hyperlink" Target="http://paperpile.com/b/WWCWa4/5EKw" TargetMode="External"/><Relationship Id="rId325" Type="http://schemas.openxmlformats.org/officeDocument/2006/relationships/theme" Target="theme/theme1.xml"/><Relationship Id="rId171" Type="http://schemas.openxmlformats.org/officeDocument/2006/relationships/hyperlink" Target="http://paperpile.com/b/WWCWa4/cDzL" TargetMode="External"/><Relationship Id="rId227" Type="http://schemas.openxmlformats.org/officeDocument/2006/relationships/hyperlink" Target="http://paperpile.com/b/WWCWa4/88N5" TargetMode="External"/><Relationship Id="rId269" Type="http://schemas.openxmlformats.org/officeDocument/2006/relationships/hyperlink" Target="http://paperpile.com/b/WWCWa4/hiIv" TargetMode="External"/><Relationship Id="rId33" Type="http://schemas.openxmlformats.org/officeDocument/2006/relationships/hyperlink" Target="https://paperpile.com/c/WWCWa4/0Z3E" TargetMode="External"/><Relationship Id="rId129" Type="http://schemas.openxmlformats.org/officeDocument/2006/relationships/hyperlink" Target="http://paperpile.com/b/WWCWa4/s8OS" TargetMode="External"/><Relationship Id="rId280" Type="http://schemas.openxmlformats.org/officeDocument/2006/relationships/hyperlink" Target="http://paperpile.com/b/WWCWa4/7qb3" TargetMode="External"/><Relationship Id="rId75" Type="http://schemas.openxmlformats.org/officeDocument/2006/relationships/hyperlink" Target="https://paperpile.com/c/WWCWa4/hc5d" TargetMode="External"/><Relationship Id="rId140" Type="http://schemas.openxmlformats.org/officeDocument/2006/relationships/hyperlink" Target="http://paperpile.com/b/WWCWa4/RsZz" TargetMode="External"/><Relationship Id="rId182" Type="http://schemas.openxmlformats.org/officeDocument/2006/relationships/hyperlink" Target="http://paperpile.com/b/WWCWa4/DWnL" TargetMode="External"/><Relationship Id="rId6" Type="http://schemas.openxmlformats.org/officeDocument/2006/relationships/hyperlink" Target="https://paperpile.com/c/WWCWa4/LoLy" TargetMode="External"/><Relationship Id="rId238" Type="http://schemas.openxmlformats.org/officeDocument/2006/relationships/hyperlink" Target="http://paperpile.com/b/WWCWa4/7T2c" TargetMode="External"/><Relationship Id="rId291" Type="http://schemas.openxmlformats.org/officeDocument/2006/relationships/hyperlink" Target="http://paperpile.com/b/WWCWa4/txwi" TargetMode="External"/><Relationship Id="rId305" Type="http://schemas.openxmlformats.org/officeDocument/2006/relationships/hyperlink" Target="https://www.unodc.org/documents/scientific/Crime_scene_awareness__Ebook.pdf" TargetMode="External"/><Relationship Id="rId44" Type="http://schemas.openxmlformats.org/officeDocument/2006/relationships/hyperlink" Target="https://paperpile.com/c/WWCWa4/FTwf" TargetMode="External"/><Relationship Id="rId86" Type="http://schemas.openxmlformats.org/officeDocument/2006/relationships/hyperlink" Target="http://paperpile.com/b/WWCWa4/9659" TargetMode="External"/><Relationship Id="rId151" Type="http://schemas.openxmlformats.org/officeDocument/2006/relationships/hyperlink" Target="https://www.app.college.police.uk/app-content/investigations/managing-investigations/" TargetMode="External"/><Relationship Id="rId193" Type="http://schemas.openxmlformats.org/officeDocument/2006/relationships/hyperlink" Target="http://paperpile.com/b/WWCWa4/jJWI" TargetMode="External"/><Relationship Id="rId207" Type="http://schemas.openxmlformats.org/officeDocument/2006/relationships/hyperlink" Target="http://paperpile.com/b/WWCWa4/94cD" TargetMode="External"/><Relationship Id="rId249" Type="http://schemas.openxmlformats.org/officeDocument/2006/relationships/hyperlink" Target="http://paperpile.com/b/WWCWa4/svWj" TargetMode="External"/><Relationship Id="rId13" Type="http://schemas.openxmlformats.org/officeDocument/2006/relationships/hyperlink" Target="https://paperpile.com/c/WWCWa4/G5eN" TargetMode="External"/><Relationship Id="rId109" Type="http://schemas.openxmlformats.org/officeDocument/2006/relationships/hyperlink" Target="http://paperpile.com/b/WWCWa4/1vAm" TargetMode="External"/><Relationship Id="rId260" Type="http://schemas.openxmlformats.org/officeDocument/2006/relationships/hyperlink" Target="http://paperpile.com/b/WWCWa4/yHm8" TargetMode="External"/><Relationship Id="rId316" Type="http://schemas.openxmlformats.org/officeDocument/2006/relationships/hyperlink" Target="http://paperpile.com/b/WWCWa4/lZz5" TargetMode="External"/><Relationship Id="rId55" Type="http://schemas.openxmlformats.org/officeDocument/2006/relationships/hyperlink" Target="https://paperpile.com/c/WWCWa4/yiys" TargetMode="External"/><Relationship Id="rId97" Type="http://schemas.openxmlformats.org/officeDocument/2006/relationships/hyperlink" Target="http://paperpile.com/b/WWCWa4/G5eN" TargetMode="External"/><Relationship Id="rId120" Type="http://schemas.openxmlformats.org/officeDocument/2006/relationships/hyperlink" Target="https://www.gov.uk/government/publications/review-of-the-science-of-low-template-dna-analysi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20</Pages>
  <Words>7496</Words>
  <Characters>42732</Characters>
  <Application>Microsoft Office Word</Application>
  <DocSecurity>0</DocSecurity>
  <Lines>356</Lines>
  <Paragraphs>100</Paragraphs>
  <ScaleCrop>false</ScaleCrop>
  <Company/>
  <LinksUpToDate>false</LinksUpToDate>
  <CharactersWithSpaces>50128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kyleedwards0608@gmail.com</cp:lastModifiedBy>
  <cp:revision>2</cp:revision>
  <dcterms:created xsi:type="dcterms:W3CDTF">2020-11-05T14:32:00Z</dcterms:created>
  <dcterms:modified xsi:type="dcterms:W3CDTF">2020-11-05T14:32:00Z</dcterms:modified>
</cp:coreProperties>
</file>