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1DD20" w14:textId="77777777" w:rsidR="00BF6F90" w:rsidRPr="00E27F84" w:rsidRDefault="00BF6F90" w:rsidP="00BF6F90">
      <w:pPr>
        <w:spacing w:line="360" w:lineRule="auto"/>
        <w:jc w:val="both"/>
        <w:rPr>
          <w:rFonts w:ascii="Arial" w:hAnsi="Arial" w:cs="Arial"/>
          <w:b/>
          <w:bCs/>
          <w:sz w:val="22"/>
          <w:szCs w:val="22"/>
        </w:rPr>
      </w:pPr>
      <w:r>
        <w:rPr>
          <w:noProof/>
        </w:rPr>
        <w:drawing>
          <wp:inline distT="0" distB="0" distL="0" distR="0" wp14:anchorId="05805A05" wp14:editId="280A3015">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p>
    <w:p w14:paraId="2FCCDB22" w14:textId="77777777" w:rsidR="00BF6F90" w:rsidRPr="00E27F84" w:rsidRDefault="00BF6F90" w:rsidP="00BF6F90">
      <w:pPr>
        <w:spacing w:line="360" w:lineRule="auto"/>
        <w:jc w:val="both"/>
        <w:rPr>
          <w:rFonts w:ascii="Arial" w:hAnsi="Arial" w:cs="Arial"/>
          <w:b/>
          <w:bCs/>
          <w:sz w:val="22"/>
          <w:szCs w:val="22"/>
        </w:rPr>
      </w:pPr>
    </w:p>
    <w:p w14:paraId="0C49D10B" w14:textId="77777777" w:rsidR="006E14EC" w:rsidRDefault="00BF6F90" w:rsidP="006E14EC">
      <w:pPr>
        <w:spacing w:line="276" w:lineRule="auto"/>
        <w:jc w:val="center"/>
        <w:rPr>
          <w:rFonts w:ascii="Georgia" w:hAnsi="Georgia" w:cs="Arial"/>
          <w:b/>
          <w:bCs/>
          <w:sz w:val="40"/>
          <w:szCs w:val="40"/>
        </w:rPr>
      </w:pPr>
      <w:r w:rsidRPr="00E27F84">
        <w:rPr>
          <w:rFonts w:ascii="Georgia" w:hAnsi="Georgia" w:cs="Arial"/>
          <w:b/>
          <w:bCs/>
          <w:sz w:val="40"/>
          <w:szCs w:val="40"/>
        </w:rPr>
        <w:t>BMHP5016</w:t>
      </w:r>
    </w:p>
    <w:p w14:paraId="60FF7E44" w14:textId="790D3F7F" w:rsidR="00BF6F90" w:rsidRPr="00E27F84" w:rsidRDefault="00BF6F90" w:rsidP="006E14EC">
      <w:pPr>
        <w:spacing w:line="276" w:lineRule="auto"/>
        <w:jc w:val="center"/>
        <w:rPr>
          <w:rFonts w:ascii="Georgia" w:hAnsi="Georgia" w:cs="Arial"/>
          <w:b/>
          <w:bCs/>
          <w:sz w:val="40"/>
          <w:szCs w:val="40"/>
        </w:rPr>
      </w:pPr>
      <w:r w:rsidRPr="00E27F84">
        <w:rPr>
          <w:rFonts w:ascii="Georgia" w:hAnsi="Georgia" w:cs="Arial"/>
          <w:b/>
          <w:bCs/>
          <w:sz w:val="40"/>
          <w:szCs w:val="40"/>
        </w:rPr>
        <w:t>Principles of Health and Social Care Practice</w:t>
      </w:r>
    </w:p>
    <w:p w14:paraId="449BEB84" w14:textId="77777777" w:rsidR="00BF6F90" w:rsidRPr="006E14EC" w:rsidRDefault="00BF6F90" w:rsidP="006E14EC">
      <w:pPr>
        <w:spacing w:line="276" w:lineRule="auto"/>
        <w:jc w:val="center"/>
        <w:rPr>
          <w:rFonts w:ascii="Palatino Linotype" w:hAnsi="Palatino Linotype" w:cs="Arial"/>
          <w:b/>
          <w:bCs/>
          <w:sz w:val="40"/>
          <w:szCs w:val="40"/>
        </w:rPr>
      </w:pPr>
      <w:r w:rsidRPr="006E14EC">
        <w:rPr>
          <w:rFonts w:ascii="Palatino Linotype" w:hAnsi="Palatino Linotype" w:cs="Arial"/>
          <w:b/>
          <w:bCs/>
          <w:sz w:val="40"/>
          <w:szCs w:val="40"/>
        </w:rPr>
        <w:t>Component 2</w:t>
      </w:r>
    </w:p>
    <w:p w14:paraId="40DB37C0" w14:textId="77777777" w:rsidR="006E14EC" w:rsidRDefault="006E14EC" w:rsidP="00C63F82">
      <w:pPr>
        <w:spacing w:line="360" w:lineRule="auto"/>
        <w:jc w:val="both"/>
        <w:rPr>
          <w:rFonts w:ascii="Georgia" w:hAnsi="Georgia" w:cs="Arial"/>
          <w:b/>
          <w:bCs/>
          <w:sz w:val="28"/>
          <w:szCs w:val="28"/>
        </w:rPr>
      </w:pPr>
    </w:p>
    <w:p w14:paraId="4CCFA6A9" w14:textId="58188CB7" w:rsidR="00C63F82" w:rsidRPr="00505DFF" w:rsidRDefault="00C63F82" w:rsidP="006E14EC">
      <w:pPr>
        <w:spacing w:line="360" w:lineRule="auto"/>
        <w:jc w:val="center"/>
        <w:rPr>
          <w:rFonts w:ascii="Tahoma" w:hAnsi="Tahoma" w:cs="Tahoma"/>
          <w:b/>
          <w:bCs/>
          <w:sz w:val="28"/>
          <w:szCs w:val="28"/>
        </w:rPr>
      </w:pPr>
      <w:r w:rsidRPr="00505DFF">
        <w:rPr>
          <w:rFonts w:ascii="Tahoma" w:hAnsi="Tahoma" w:cs="Tahoma"/>
          <w:b/>
          <w:bCs/>
          <w:sz w:val="28"/>
          <w:szCs w:val="28"/>
        </w:rPr>
        <w:t>Person-Centred Care and Partnership Working in Mental Health Services</w:t>
      </w:r>
    </w:p>
    <w:p w14:paraId="05168A98" w14:textId="77777777" w:rsidR="00C63F82" w:rsidRDefault="00C63F82" w:rsidP="00BF6F90">
      <w:pPr>
        <w:spacing w:line="360" w:lineRule="auto"/>
        <w:jc w:val="both"/>
        <w:rPr>
          <w:rFonts w:ascii="Arial" w:hAnsi="Arial" w:cs="Arial"/>
          <w:b/>
          <w:bCs/>
          <w:sz w:val="22"/>
          <w:szCs w:val="22"/>
        </w:rPr>
      </w:pPr>
    </w:p>
    <w:p w14:paraId="652A10AF" w14:textId="77777777" w:rsidR="00866C78" w:rsidRPr="00866C78" w:rsidRDefault="00866C78" w:rsidP="00866C78">
      <w:pPr>
        <w:spacing w:line="360" w:lineRule="auto"/>
        <w:jc w:val="center"/>
        <w:rPr>
          <w:rFonts w:ascii="Arial" w:hAnsi="Arial" w:cs="Arial"/>
          <w:b/>
          <w:bCs/>
          <w:sz w:val="22"/>
          <w:szCs w:val="22"/>
        </w:rPr>
      </w:pPr>
      <w:r w:rsidRPr="00866C78">
        <w:rPr>
          <w:rFonts w:ascii="Arial" w:hAnsi="Arial" w:cs="Arial"/>
          <w:b/>
          <w:bCs/>
          <w:sz w:val="22"/>
          <w:szCs w:val="22"/>
        </w:rPr>
        <w:t xml:space="preserve">Student Name: </w:t>
      </w:r>
      <w:proofErr w:type="spellStart"/>
      <w:r w:rsidRPr="00866C78">
        <w:rPr>
          <w:rFonts w:ascii="Arial" w:hAnsi="Arial" w:cs="Arial"/>
          <w:b/>
          <w:bCs/>
          <w:sz w:val="22"/>
          <w:szCs w:val="22"/>
        </w:rPr>
        <w:t>Maminata</w:t>
      </w:r>
      <w:proofErr w:type="spellEnd"/>
      <w:r w:rsidRPr="00866C78">
        <w:rPr>
          <w:rFonts w:ascii="Arial" w:hAnsi="Arial" w:cs="Arial"/>
          <w:b/>
          <w:bCs/>
          <w:sz w:val="22"/>
          <w:szCs w:val="22"/>
        </w:rPr>
        <w:t xml:space="preserve"> Dembele</w:t>
      </w:r>
    </w:p>
    <w:p w14:paraId="721155FC" w14:textId="77777777" w:rsidR="006E14EC" w:rsidRDefault="006E14EC" w:rsidP="00BF6F90">
      <w:pPr>
        <w:spacing w:line="360" w:lineRule="auto"/>
        <w:jc w:val="both"/>
        <w:rPr>
          <w:rFonts w:ascii="Arial" w:hAnsi="Arial" w:cs="Arial"/>
          <w:b/>
          <w:bCs/>
          <w:sz w:val="22"/>
          <w:szCs w:val="22"/>
        </w:rPr>
      </w:pPr>
    </w:p>
    <w:p w14:paraId="48FAED53" w14:textId="77777777" w:rsidR="006E14EC" w:rsidRDefault="006E14EC" w:rsidP="00BF6F90">
      <w:pPr>
        <w:spacing w:line="360" w:lineRule="auto"/>
        <w:jc w:val="both"/>
        <w:rPr>
          <w:rFonts w:ascii="Arial" w:hAnsi="Arial" w:cs="Arial"/>
          <w:b/>
          <w:bCs/>
          <w:sz w:val="22"/>
          <w:szCs w:val="22"/>
        </w:rPr>
      </w:pPr>
    </w:p>
    <w:p w14:paraId="17718236" w14:textId="77777777" w:rsidR="006E14EC" w:rsidRDefault="006E14EC" w:rsidP="00BF6F90">
      <w:pPr>
        <w:spacing w:line="360" w:lineRule="auto"/>
        <w:jc w:val="both"/>
        <w:rPr>
          <w:rFonts w:ascii="Arial" w:hAnsi="Arial" w:cs="Arial"/>
          <w:b/>
          <w:bCs/>
          <w:sz w:val="22"/>
          <w:szCs w:val="22"/>
        </w:rPr>
      </w:pPr>
    </w:p>
    <w:p w14:paraId="3E5CF2E9" w14:textId="77777777" w:rsidR="006E14EC" w:rsidRDefault="006E14EC" w:rsidP="00BF6F90">
      <w:pPr>
        <w:spacing w:line="360" w:lineRule="auto"/>
        <w:jc w:val="both"/>
        <w:rPr>
          <w:rFonts w:ascii="Arial" w:hAnsi="Arial" w:cs="Arial"/>
          <w:b/>
          <w:bCs/>
          <w:sz w:val="22"/>
          <w:szCs w:val="22"/>
        </w:rPr>
      </w:pPr>
    </w:p>
    <w:p w14:paraId="38520468" w14:textId="77777777" w:rsidR="006E14EC" w:rsidRDefault="006E14EC" w:rsidP="00BF6F90">
      <w:pPr>
        <w:spacing w:line="360" w:lineRule="auto"/>
        <w:jc w:val="both"/>
        <w:rPr>
          <w:rFonts w:ascii="Arial" w:hAnsi="Arial" w:cs="Arial"/>
          <w:b/>
          <w:bCs/>
          <w:sz w:val="22"/>
          <w:szCs w:val="22"/>
        </w:rPr>
      </w:pPr>
    </w:p>
    <w:p w14:paraId="6D1B6A24" w14:textId="77777777" w:rsidR="006E14EC" w:rsidRDefault="006E14EC" w:rsidP="00BF6F90">
      <w:pPr>
        <w:spacing w:line="360" w:lineRule="auto"/>
        <w:jc w:val="both"/>
        <w:rPr>
          <w:rFonts w:ascii="Arial" w:hAnsi="Arial" w:cs="Arial"/>
          <w:b/>
          <w:bCs/>
          <w:sz w:val="22"/>
          <w:szCs w:val="22"/>
        </w:rPr>
      </w:pPr>
    </w:p>
    <w:p w14:paraId="40EB2903" w14:textId="77777777" w:rsidR="006E14EC" w:rsidRDefault="006E14EC" w:rsidP="00BF6F90">
      <w:pPr>
        <w:spacing w:line="360" w:lineRule="auto"/>
        <w:jc w:val="both"/>
        <w:rPr>
          <w:rFonts w:ascii="Arial" w:hAnsi="Arial" w:cs="Arial"/>
          <w:b/>
          <w:bCs/>
          <w:sz w:val="22"/>
          <w:szCs w:val="22"/>
        </w:rPr>
      </w:pPr>
    </w:p>
    <w:p w14:paraId="154F27F9" w14:textId="77777777" w:rsidR="006E14EC" w:rsidRDefault="006E14EC" w:rsidP="00BF6F90">
      <w:pPr>
        <w:spacing w:line="360" w:lineRule="auto"/>
        <w:jc w:val="both"/>
        <w:rPr>
          <w:rFonts w:ascii="Arial" w:hAnsi="Arial" w:cs="Arial"/>
          <w:b/>
          <w:bCs/>
          <w:sz w:val="22"/>
          <w:szCs w:val="22"/>
        </w:rPr>
      </w:pPr>
    </w:p>
    <w:p w14:paraId="2CDDF713" w14:textId="77777777" w:rsidR="006E14EC" w:rsidRDefault="006E14EC" w:rsidP="00BF6F90">
      <w:pPr>
        <w:spacing w:line="360" w:lineRule="auto"/>
        <w:jc w:val="both"/>
        <w:rPr>
          <w:rFonts w:ascii="Arial" w:hAnsi="Arial" w:cs="Arial"/>
          <w:b/>
          <w:bCs/>
          <w:sz w:val="22"/>
          <w:szCs w:val="22"/>
        </w:rPr>
      </w:pPr>
    </w:p>
    <w:p w14:paraId="25CE5080" w14:textId="77777777" w:rsidR="006E14EC" w:rsidRPr="00E27F84" w:rsidRDefault="006E14EC" w:rsidP="00BF6F90">
      <w:pPr>
        <w:spacing w:line="360" w:lineRule="auto"/>
        <w:jc w:val="both"/>
        <w:rPr>
          <w:rFonts w:ascii="Arial" w:hAnsi="Arial" w:cs="Arial"/>
          <w:b/>
          <w:bCs/>
          <w:sz w:val="22"/>
          <w:szCs w:val="22"/>
        </w:rPr>
      </w:pPr>
    </w:p>
    <w:p w14:paraId="1EDBD1A7" w14:textId="77777777" w:rsidR="00BF6F90" w:rsidRPr="00E27F84" w:rsidRDefault="00BF6F90" w:rsidP="00BF6F90">
      <w:pPr>
        <w:spacing w:line="360" w:lineRule="auto"/>
        <w:rPr>
          <w:rFonts w:ascii="Arial" w:hAnsi="Arial" w:cs="Arial"/>
          <w:b/>
          <w:bCs/>
          <w:sz w:val="22"/>
          <w:szCs w:val="22"/>
        </w:rPr>
      </w:pPr>
    </w:p>
    <w:p w14:paraId="7206AF4F" w14:textId="67264706" w:rsidR="00BF6F90" w:rsidRDefault="00BF6F90" w:rsidP="00BF6F90">
      <w:pPr>
        <w:spacing w:line="360" w:lineRule="auto"/>
        <w:rPr>
          <w:rFonts w:ascii="Arial" w:hAnsi="Arial" w:cs="Arial"/>
          <w:b/>
          <w:bCs/>
          <w:sz w:val="22"/>
          <w:szCs w:val="22"/>
        </w:rPr>
      </w:pPr>
      <w:r w:rsidRPr="00494C35">
        <w:rPr>
          <w:rFonts w:ascii="Arial" w:hAnsi="Arial" w:cs="Arial"/>
          <w:b/>
          <w:bCs/>
          <w:sz w:val="22"/>
          <w:szCs w:val="22"/>
        </w:rPr>
        <w:t>Word Count:</w:t>
      </w:r>
      <w:r w:rsidRPr="00E27F84">
        <w:rPr>
          <w:rFonts w:ascii="Arial" w:hAnsi="Arial" w:cs="Arial"/>
          <w:b/>
          <w:bCs/>
          <w:sz w:val="22"/>
          <w:szCs w:val="22"/>
        </w:rPr>
        <w:t xml:space="preserve"> </w:t>
      </w:r>
      <w:r w:rsidR="006E14EC">
        <w:rPr>
          <w:rFonts w:ascii="Arial" w:hAnsi="Arial" w:cs="Arial"/>
          <w:b/>
          <w:bCs/>
          <w:sz w:val="22"/>
          <w:szCs w:val="22"/>
        </w:rPr>
        <w:t>2129</w:t>
      </w:r>
    </w:p>
    <w:sdt>
      <w:sdtPr>
        <w:rPr>
          <w:rFonts w:ascii="Arial" w:hAnsi="Arial" w:cs="Arial"/>
          <w:b/>
          <w:bCs/>
          <w:color w:val="auto"/>
          <w:sz w:val="28"/>
          <w:szCs w:val="28"/>
          <w:u w:val="single"/>
        </w:rPr>
        <w:id w:val="-542676179"/>
        <w:docPartObj>
          <w:docPartGallery w:val="Table of Contents"/>
          <w:docPartUnique/>
        </w:docPartObj>
      </w:sdtPr>
      <w:sdtEndPr>
        <w:rPr>
          <w:rFonts w:asciiTheme="minorHAnsi" w:eastAsiaTheme="minorHAnsi" w:hAnsiTheme="minorHAnsi" w:cstheme="minorBidi"/>
          <w:noProof/>
          <w:sz w:val="22"/>
          <w:szCs w:val="22"/>
          <w:u w:val="none"/>
          <w:lang w:val="en-GB"/>
          <w14:ligatures w14:val="standardContextual"/>
        </w:rPr>
      </w:sdtEndPr>
      <w:sdtContent>
        <w:p w14:paraId="66550BB2" w14:textId="5B192CAF" w:rsidR="00866C78" w:rsidRPr="00866C78" w:rsidRDefault="00866C78" w:rsidP="00866C78">
          <w:pPr>
            <w:pStyle w:val="TOCHeading"/>
            <w:spacing w:line="360" w:lineRule="auto"/>
            <w:rPr>
              <w:rFonts w:ascii="Arial" w:hAnsi="Arial" w:cs="Arial"/>
              <w:b/>
              <w:bCs/>
              <w:color w:val="auto"/>
              <w:sz w:val="28"/>
              <w:szCs w:val="28"/>
              <w:u w:val="single"/>
            </w:rPr>
          </w:pPr>
          <w:r w:rsidRPr="00866C78">
            <w:rPr>
              <w:rFonts w:ascii="Arial" w:hAnsi="Arial" w:cs="Arial"/>
              <w:b/>
              <w:bCs/>
              <w:color w:val="auto"/>
              <w:sz w:val="28"/>
              <w:szCs w:val="28"/>
              <w:u w:val="single"/>
            </w:rPr>
            <w:t>Table of Contents</w:t>
          </w:r>
        </w:p>
        <w:p w14:paraId="20599B64" w14:textId="1B98814A" w:rsidR="00866C78" w:rsidRPr="00866C78" w:rsidRDefault="00866C78" w:rsidP="00866C78">
          <w:pPr>
            <w:pStyle w:val="TOC1"/>
            <w:tabs>
              <w:tab w:val="right" w:leader="dot" w:pos="9016"/>
            </w:tabs>
            <w:spacing w:line="360" w:lineRule="auto"/>
            <w:rPr>
              <w:rFonts w:ascii="Arial" w:hAnsi="Arial" w:cs="Arial"/>
              <w:noProof/>
              <w:sz w:val="22"/>
              <w:szCs w:val="22"/>
            </w:rPr>
          </w:pPr>
          <w:r w:rsidRPr="00866C78">
            <w:rPr>
              <w:rFonts w:ascii="Arial" w:hAnsi="Arial" w:cs="Arial"/>
              <w:sz w:val="22"/>
              <w:szCs w:val="22"/>
            </w:rPr>
            <w:fldChar w:fldCharType="begin"/>
          </w:r>
          <w:r w:rsidRPr="00866C78">
            <w:rPr>
              <w:rFonts w:ascii="Arial" w:hAnsi="Arial" w:cs="Arial"/>
              <w:sz w:val="22"/>
              <w:szCs w:val="22"/>
            </w:rPr>
            <w:instrText xml:space="preserve"> TOC \o "1-3" \h \z \u </w:instrText>
          </w:r>
          <w:r w:rsidRPr="00866C78">
            <w:rPr>
              <w:rFonts w:ascii="Arial" w:hAnsi="Arial" w:cs="Arial"/>
              <w:sz w:val="22"/>
              <w:szCs w:val="22"/>
            </w:rPr>
            <w:fldChar w:fldCharType="separate"/>
          </w:r>
          <w:hyperlink w:anchor="_Toc214198773" w:history="1">
            <w:r w:rsidRPr="00866C78">
              <w:rPr>
                <w:rStyle w:val="Hyperlink"/>
                <w:rFonts w:ascii="Arial" w:hAnsi="Arial" w:cs="Arial"/>
                <w:noProof/>
                <w:color w:val="auto"/>
                <w:sz w:val="22"/>
                <w:szCs w:val="22"/>
              </w:rPr>
              <w:t>Abstract</w:t>
            </w:r>
            <w:r w:rsidRPr="00866C78">
              <w:rPr>
                <w:rFonts w:ascii="Arial" w:hAnsi="Arial" w:cs="Arial"/>
                <w:noProof/>
                <w:webHidden/>
                <w:sz w:val="22"/>
                <w:szCs w:val="22"/>
              </w:rPr>
              <w:tab/>
            </w:r>
            <w:r w:rsidRPr="00866C78">
              <w:rPr>
                <w:rFonts w:ascii="Arial" w:hAnsi="Arial" w:cs="Arial"/>
                <w:noProof/>
                <w:webHidden/>
                <w:sz w:val="22"/>
                <w:szCs w:val="22"/>
              </w:rPr>
              <w:fldChar w:fldCharType="begin"/>
            </w:r>
            <w:r w:rsidRPr="00866C78">
              <w:rPr>
                <w:rFonts w:ascii="Arial" w:hAnsi="Arial" w:cs="Arial"/>
                <w:noProof/>
                <w:webHidden/>
                <w:sz w:val="22"/>
                <w:szCs w:val="22"/>
              </w:rPr>
              <w:instrText xml:space="preserve"> PAGEREF _Toc214198773 \h </w:instrText>
            </w:r>
            <w:r w:rsidRPr="00866C78">
              <w:rPr>
                <w:rFonts w:ascii="Arial" w:hAnsi="Arial" w:cs="Arial"/>
                <w:noProof/>
                <w:webHidden/>
                <w:sz w:val="22"/>
                <w:szCs w:val="22"/>
              </w:rPr>
            </w:r>
            <w:r w:rsidRPr="00866C78">
              <w:rPr>
                <w:rFonts w:ascii="Arial" w:hAnsi="Arial" w:cs="Arial"/>
                <w:noProof/>
                <w:webHidden/>
                <w:sz w:val="22"/>
                <w:szCs w:val="22"/>
              </w:rPr>
              <w:fldChar w:fldCharType="separate"/>
            </w:r>
            <w:r w:rsidRPr="00866C78">
              <w:rPr>
                <w:rFonts w:ascii="Arial" w:hAnsi="Arial" w:cs="Arial"/>
                <w:noProof/>
                <w:webHidden/>
                <w:sz w:val="22"/>
                <w:szCs w:val="22"/>
              </w:rPr>
              <w:t>2</w:t>
            </w:r>
            <w:r w:rsidRPr="00866C78">
              <w:rPr>
                <w:rFonts w:ascii="Arial" w:hAnsi="Arial" w:cs="Arial"/>
                <w:noProof/>
                <w:webHidden/>
                <w:sz w:val="22"/>
                <w:szCs w:val="22"/>
              </w:rPr>
              <w:fldChar w:fldCharType="end"/>
            </w:r>
          </w:hyperlink>
        </w:p>
        <w:p w14:paraId="28AB0446" w14:textId="7B0BADB8" w:rsidR="00866C78" w:rsidRPr="00866C78" w:rsidRDefault="00866C78" w:rsidP="00866C78">
          <w:pPr>
            <w:pStyle w:val="TOC1"/>
            <w:tabs>
              <w:tab w:val="right" w:leader="dot" w:pos="9016"/>
            </w:tabs>
            <w:spacing w:line="360" w:lineRule="auto"/>
            <w:rPr>
              <w:rFonts w:ascii="Arial" w:hAnsi="Arial" w:cs="Arial"/>
              <w:noProof/>
              <w:sz w:val="22"/>
              <w:szCs w:val="22"/>
            </w:rPr>
          </w:pPr>
          <w:hyperlink w:anchor="_Toc214198774" w:history="1">
            <w:r w:rsidRPr="00866C78">
              <w:rPr>
                <w:rStyle w:val="Hyperlink"/>
                <w:rFonts w:ascii="Arial" w:hAnsi="Arial" w:cs="Arial"/>
                <w:noProof/>
                <w:color w:val="auto"/>
                <w:sz w:val="22"/>
                <w:szCs w:val="22"/>
              </w:rPr>
              <w:t>Introduction</w:t>
            </w:r>
            <w:r w:rsidRPr="00866C78">
              <w:rPr>
                <w:rFonts w:ascii="Arial" w:hAnsi="Arial" w:cs="Arial"/>
                <w:noProof/>
                <w:webHidden/>
                <w:sz w:val="22"/>
                <w:szCs w:val="22"/>
              </w:rPr>
              <w:tab/>
            </w:r>
            <w:r w:rsidRPr="00866C78">
              <w:rPr>
                <w:rFonts w:ascii="Arial" w:hAnsi="Arial" w:cs="Arial"/>
                <w:noProof/>
                <w:webHidden/>
                <w:sz w:val="22"/>
                <w:szCs w:val="22"/>
              </w:rPr>
              <w:fldChar w:fldCharType="begin"/>
            </w:r>
            <w:r w:rsidRPr="00866C78">
              <w:rPr>
                <w:rFonts w:ascii="Arial" w:hAnsi="Arial" w:cs="Arial"/>
                <w:noProof/>
                <w:webHidden/>
                <w:sz w:val="22"/>
                <w:szCs w:val="22"/>
              </w:rPr>
              <w:instrText xml:space="preserve"> PAGEREF _Toc214198774 \h </w:instrText>
            </w:r>
            <w:r w:rsidRPr="00866C78">
              <w:rPr>
                <w:rFonts w:ascii="Arial" w:hAnsi="Arial" w:cs="Arial"/>
                <w:noProof/>
                <w:webHidden/>
                <w:sz w:val="22"/>
                <w:szCs w:val="22"/>
              </w:rPr>
            </w:r>
            <w:r w:rsidRPr="00866C78">
              <w:rPr>
                <w:rFonts w:ascii="Arial" w:hAnsi="Arial" w:cs="Arial"/>
                <w:noProof/>
                <w:webHidden/>
                <w:sz w:val="22"/>
                <w:szCs w:val="22"/>
              </w:rPr>
              <w:fldChar w:fldCharType="separate"/>
            </w:r>
            <w:r w:rsidRPr="00866C78">
              <w:rPr>
                <w:rFonts w:ascii="Arial" w:hAnsi="Arial" w:cs="Arial"/>
                <w:noProof/>
                <w:webHidden/>
                <w:sz w:val="22"/>
                <w:szCs w:val="22"/>
              </w:rPr>
              <w:t>3</w:t>
            </w:r>
            <w:r w:rsidRPr="00866C78">
              <w:rPr>
                <w:rFonts w:ascii="Arial" w:hAnsi="Arial" w:cs="Arial"/>
                <w:noProof/>
                <w:webHidden/>
                <w:sz w:val="22"/>
                <w:szCs w:val="22"/>
              </w:rPr>
              <w:fldChar w:fldCharType="end"/>
            </w:r>
          </w:hyperlink>
        </w:p>
        <w:p w14:paraId="43CFCD11" w14:textId="4E61E495" w:rsidR="00866C78" w:rsidRPr="00866C78" w:rsidRDefault="00866C78" w:rsidP="00866C78">
          <w:pPr>
            <w:pStyle w:val="TOC1"/>
            <w:tabs>
              <w:tab w:val="right" w:leader="dot" w:pos="9016"/>
            </w:tabs>
            <w:spacing w:line="360" w:lineRule="auto"/>
            <w:rPr>
              <w:rFonts w:ascii="Arial" w:hAnsi="Arial" w:cs="Arial"/>
              <w:noProof/>
              <w:sz w:val="22"/>
              <w:szCs w:val="22"/>
            </w:rPr>
          </w:pPr>
          <w:hyperlink w:anchor="_Toc214198775" w:history="1">
            <w:r w:rsidRPr="00866C78">
              <w:rPr>
                <w:rStyle w:val="Hyperlink"/>
                <w:rFonts w:ascii="Arial" w:hAnsi="Arial" w:cs="Arial"/>
                <w:noProof/>
                <w:color w:val="auto"/>
                <w:sz w:val="22"/>
                <w:szCs w:val="22"/>
              </w:rPr>
              <w:t>Defining Person-Centred Care: Benefits and Limitations</w:t>
            </w:r>
            <w:r w:rsidRPr="00866C78">
              <w:rPr>
                <w:rFonts w:ascii="Arial" w:hAnsi="Arial" w:cs="Arial"/>
                <w:noProof/>
                <w:webHidden/>
                <w:sz w:val="22"/>
                <w:szCs w:val="22"/>
              </w:rPr>
              <w:tab/>
            </w:r>
            <w:r w:rsidRPr="00866C78">
              <w:rPr>
                <w:rFonts w:ascii="Arial" w:hAnsi="Arial" w:cs="Arial"/>
                <w:noProof/>
                <w:webHidden/>
                <w:sz w:val="22"/>
                <w:szCs w:val="22"/>
              </w:rPr>
              <w:fldChar w:fldCharType="begin"/>
            </w:r>
            <w:r w:rsidRPr="00866C78">
              <w:rPr>
                <w:rFonts w:ascii="Arial" w:hAnsi="Arial" w:cs="Arial"/>
                <w:noProof/>
                <w:webHidden/>
                <w:sz w:val="22"/>
                <w:szCs w:val="22"/>
              </w:rPr>
              <w:instrText xml:space="preserve"> PAGEREF _Toc214198775 \h </w:instrText>
            </w:r>
            <w:r w:rsidRPr="00866C78">
              <w:rPr>
                <w:rFonts w:ascii="Arial" w:hAnsi="Arial" w:cs="Arial"/>
                <w:noProof/>
                <w:webHidden/>
                <w:sz w:val="22"/>
                <w:szCs w:val="22"/>
              </w:rPr>
            </w:r>
            <w:r w:rsidRPr="00866C78">
              <w:rPr>
                <w:rFonts w:ascii="Arial" w:hAnsi="Arial" w:cs="Arial"/>
                <w:noProof/>
                <w:webHidden/>
                <w:sz w:val="22"/>
                <w:szCs w:val="22"/>
              </w:rPr>
              <w:fldChar w:fldCharType="separate"/>
            </w:r>
            <w:r w:rsidRPr="00866C78">
              <w:rPr>
                <w:rFonts w:ascii="Arial" w:hAnsi="Arial" w:cs="Arial"/>
                <w:noProof/>
                <w:webHidden/>
                <w:sz w:val="22"/>
                <w:szCs w:val="22"/>
              </w:rPr>
              <w:t>3</w:t>
            </w:r>
            <w:r w:rsidRPr="00866C78">
              <w:rPr>
                <w:rFonts w:ascii="Arial" w:hAnsi="Arial" w:cs="Arial"/>
                <w:noProof/>
                <w:webHidden/>
                <w:sz w:val="22"/>
                <w:szCs w:val="22"/>
              </w:rPr>
              <w:fldChar w:fldCharType="end"/>
            </w:r>
          </w:hyperlink>
        </w:p>
        <w:p w14:paraId="15FAE4A3" w14:textId="1E35DD7B" w:rsidR="00866C78" w:rsidRPr="00866C78" w:rsidRDefault="00866C78" w:rsidP="00866C78">
          <w:pPr>
            <w:pStyle w:val="TOC1"/>
            <w:tabs>
              <w:tab w:val="right" w:leader="dot" w:pos="9016"/>
            </w:tabs>
            <w:spacing w:line="360" w:lineRule="auto"/>
            <w:rPr>
              <w:rFonts w:ascii="Arial" w:hAnsi="Arial" w:cs="Arial"/>
              <w:noProof/>
              <w:sz w:val="22"/>
              <w:szCs w:val="22"/>
            </w:rPr>
          </w:pPr>
          <w:hyperlink w:anchor="_Toc214198776" w:history="1">
            <w:r w:rsidRPr="00866C78">
              <w:rPr>
                <w:rStyle w:val="Hyperlink"/>
                <w:rFonts w:ascii="Arial" w:hAnsi="Arial" w:cs="Arial"/>
                <w:noProof/>
                <w:color w:val="auto"/>
                <w:sz w:val="22"/>
                <w:szCs w:val="22"/>
              </w:rPr>
              <w:t>Theoretical Frameworks Underpinning PCC in Mental Health</w:t>
            </w:r>
            <w:r w:rsidRPr="00866C78">
              <w:rPr>
                <w:rFonts w:ascii="Arial" w:hAnsi="Arial" w:cs="Arial"/>
                <w:noProof/>
                <w:webHidden/>
                <w:sz w:val="22"/>
                <w:szCs w:val="22"/>
              </w:rPr>
              <w:tab/>
            </w:r>
            <w:r w:rsidRPr="00866C78">
              <w:rPr>
                <w:rFonts w:ascii="Arial" w:hAnsi="Arial" w:cs="Arial"/>
                <w:noProof/>
                <w:webHidden/>
                <w:sz w:val="22"/>
                <w:szCs w:val="22"/>
              </w:rPr>
              <w:fldChar w:fldCharType="begin"/>
            </w:r>
            <w:r w:rsidRPr="00866C78">
              <w:rPr>
                <w:rFonts w:ascii="Arial" w:hAnsi="Arial" w:cs="Arial"/>
                <w:noProof/>
                <w:webHidden/>
                <w:sz w:val="22"/>
                <w:szCs w:val="22"/>
              </w:rPr>
              <w:instrText xml:space="preserve"> PAGEREF _Toc214198776 \h </w:instrText>
            </w:r>
            <w:r w:rsidRPr="00866C78">
              <w:rPr>
                <w:rFonts w:ascii="Arial" w:hAnsi="Arial" w:cs="Arial"/>
                <w:noProof/>
                <w:webHidden/>
                <w:sz w:val="22"/>
                <w:szCs w:val="22"/>
              </w:rPr>
            </w:r>
            <w:r w:rsidRPr="00866C78">
              <w:rPr>
                <w:rFonts w:ascii="Arial" w:hAnsi="Arial" w:cs="Arial"/>
                <w:noProof/>
                <w:webHidden/>
                <w:sz w:val="22"/>
                <w:szCs w:val="22"/>
              </w:rPr>
              <w:fldChar w:fldCharType="separate"/>
            </w:r>
            <w:r w:rsidRPr="00866C78">
              <w:rPr>
                <w:rFonts w:ascii="Arial" w:hAnsi="Arial" w:cs="Arial"/>
                <w:noProof/>
                <w:webHidden/>
                <w:sz w:val="22"/>
                <w:szCs w:val="22"/>
              </w:rPr>
              <w:t>4</w:t>
            </w:r>
            <w:r w:rsidRPr="00866C78">
              <w:rPr>
                <w:rFonts w:ascii="Arial" w:hAnsi="Arial" w:cs="Arial"/>
                <w:noProof/>
                <w:webHidden/>
                <w:sz w:val="22"/>
                <w:szCs w:val="22"/>
              </w:rPr>
              <w:fldChar w:fldCharType="end"/>
            </w:r>
          </w:hyperlink>
        </w:p>
        <w:p w14:paraId="5522046D" w14:textId="75BC203A" w:rsidR="00866C78" w:rsidRPr="00866C78" w:rsidRDefault="00866C78" w:rsidP="00866C78">
          <w:pPr>
            <w:pStyle w:val="TOC1"/>
            <w:tabs>
              <w:tab w:val="right" w:leader="dot" w:pos="9016"/>
            </w:tabs>
            <w:spacing w:line="360" w:lineRule="auto"/>
            <w:rPr>
              <w:rFonts w:ascii="Arial" w:hAnsi="Arial" w:cs="Arial"/>
              <w:noProof/>
              <w:sz w:val="22"/>
              <w:szCs w:val="22"/>
            </w:rPr>
          </w:pPr>
          <w:hyperlink w:anchor="_Toc214198777" w:history="1">
            <w:r w:rsidRPr="00866C78">
              <w:rPr>
                <w:rStyle w:val="Hyperlink"/>
                <w:rFonts w:ascii="Arial" w:hAnsi="Arial" w:cs="Arial"/>
                <w:noProof/>
                <w:color w:val="auto"/>
                <w:sz w:val="22"/>
                <w:szCs w:val="22"/>
              </w:rPr>
              <w:t>Ethical Fundamentals in PCC and Mental Health Care</w:t>
            </w:r>
            <w:r w:rsidRPr="00866C78">
              <w:rPr>
                <w:rFonts w:ascii="Arial" w:hAnsi="Arial" w:cs="Arial"/>
                <w:noProof/>
                <w:webHidden/>
                <w:sz w:val="22"/>
                <w:szCs w:val="22"/>
              </w:rPr>
              <w:tab/>
            </w:r>
            <w:r w:rsidRPr="00866C78">
              <w:rPr>
                <w:rFonts w:ascii="Arial" w:hAnsi="Arial" w:cs="Arial"/>
                <w:noProof/>
                <w:webHidden/>
                <w:sz w:val="22"/>
                <w:szCs w:val="22"/>
              </w:rPr>
              <w:fldChar w:fldCharType="begin"/>
            </w:r>
            <w:r w:rsidRPr="00866C78">
              <w:rPr>
                <w:rFonts w:ascii="Arial" w:hAnsi="Arial" w:cs="Arial"/>
                <w:noProof/>
                <w:webHidden/>
                <w:sz w:val="22"/>
                <w:szCs w:val="22"/>
              </w:rPr>
              <w:instrText xml:space="preserve"> PAGEREF _Toc214198777 \h </w:instrText>
            </w:r>
            <w:r w:rsidRPr="00866C78">
              <w:rPr>
                <w:rFonts w:ascii="Arial" w:hAnsi="Arial" w:cs="Arial"/>
                <w:noProof/>
                <w:webHidden/>
                <w:sz w:val="22"/>
                <w:szCs w:val="22"/>
              </w:rPr>
            </w:r>
            <w:r w:rsidRPr="00866C78">
              <w:rPr>
                <w:rFonts w:ascii="Arial" w:hAnsi="Arial" w:cs="Arial"/>
                <w:noProof/>
                <w:webHidden/>
                <w:sz w:val="22"/>
                <w:szCs w:val="22"/>
              </w:rPr>
              <w:fldChar w:fldCharType="separate"/>
            </w:r>
            <w:r w:rsidRPr="00866C78">
              <w:rPr>
                <w:rFonts w:ascii="Arial" w:hAnsi="Arial" w:cs="Arial"/>
                <w:noProof/>
                <w:webHidden/>
                <w:sz w:val="22"/>
                <w:szCs w:val="22"/>
              </w:rPr>
              <w:t>5</w:t>
            </w:r>
            <w:r w:rsidRPr="00866C78">
              <w:rPr>
                <w:rFonts w:ascii="Arial" w:hAnsi="Arial" w:cs="Arial"/>
                <w:noProof/>
                <w:webHidden/>
                <w:sz w:val="22"/>
                <w:szCs w:val="22"/>
              </w:rPr>
              <w:fldChar w:fldCharType="end"/>
            </w:r>
          </w:hyperlink>
        </w:p>
        <w:p w14:paraId="1510A0D1" w14:textId="5A580D02" w:rsidR="00866C78" w:rsidRPr="00866C78" w:rsidRDefault="00866C78" w:rsidP="00866C78">
          <w:pPr>
            <w:pStyle w:val="TOC1"/>
            <w:tabs>
              <w:tab w:val="right" w:leader="dot" w:pos="9016"/>
            </w:tabs>
            <w:spacing w:line="360" w:lineRule="auto"/>
            <w:rPr>
              <w:rFonts w:ascii="Arial" w:hAnsi="Arial" w:cs="Arial"/>
              <w:noProof/>
              <w:sz w:val="22"/>
              <w:szCs w:val="22"/>
            </w:rPr>
          </w:pPr>
          <w:hyperlink w:anchor="_Toc214198778" w:history="1">
            <w:r w:rsidRPr="00866C78">
              <w:rPr>
                <w:rStyle w:val="Hyperlink"/>
                <w:rFonts w:ascii="Arial" w:hAnsi="Arial" w:cs="Arial"/>
                <w:noProof/>
                <w:color w:val="auto"/>
                <w:sz w:val="22"/>
                <w:szCs w:val="22"/>
              </w:rPr>
              <w:t>Evaluation of Partnership Working in Mental Health</w:t>
            </w:r>
            <w:r w:rsidRPr="00866C78">
              <w:rPr>
                <w:rFonts w:ascii="Arial" w:hAnsi="Arial" w:cs="Arial"/>
                <w:noProof/>
                <w:webHidden/>
                <w:sz w:val="22"/>
                <w:szCs w:val="22"/>
              </w:rPr>
              <w:tab/>
            </w:r>
            <w:r w:rsidRPr="00866C78">
              <w:rPr>
                <w:rFonts w:ascii="Arial" w:hAnsi="Arial" w:cs="Arial"/>
                <w:noProof/>
                <w:webHidden/>
                <w:sz w:val="22"/>
                <w:szCs w:val="22"/>
              </w:rPr>
              <w:fldChar w:fldCharType="begin"/>
            </w:r>
            <w:r w:rsidRPr="00866C78">
              <w:rPr>
                <w:rFonts w:ascii="Arial" w:hAnsi="Arial" w:cs="Arial"/>
                <w:noProof/>
                <w:webHidden/>
                <w:sz w:val="22"/>
                <w:szCs w:val="22"/>
              </w:rPr>
              <w:instrText xml:space="preserve"> PAGEREF _Toc214198778 \h </w:instrText>
            </w:r>
            <w:r w:rsidRPr="00866C78">
              <w:rPr>
                <w:rFonts w:ascii="Arial" w:hAnsi="Arial" w:cs="Arial"/>
                <w:noProof/>
                <w:webHidden/>
                <w:sz w:val="22"/>
                <w:szCs w:val="22"/>
              </w:rPr>
            </w:r>
            <w:r w:rsidRPr="00866C78">
              <w:rPr>
                <w:rFonts w:ascii="Arial" w:hAnsi="Arial" w:cs="Arial"/>
                <w:noProof/>
                <w:webHidden/>
                <w:sz w:val="22"/>
                <w:szCs w:val="22"/>
              </w:rPr>
              <w:fldChar w:fldCharType="separate"/>
            </w:r>
            <w:r w:rsidRPr="00866C78">
              <w:rPr>
                <w:rFonts w:ascii="Arial" w:hAnsi="Arial" w:cs="Arial"/>
                <w:noProof/>
                <w:webHidden/>
                <w:sz w:val="22"/>
                <w:szCs w:val="22"/>
              </w:rPr>
              <w:t>5</w:t>
            </w:r>
            <w:r w:rsidRPr="00866C78">
              <w:rPr>
                <w:rFonts w:ascii="Arial" w:hAnsi="Arial" w:cs="Arial"/>
                <w:noProof/>
                <w:webHidden/>
                <w:sz w:val="22"/>
                <w:szCs w:val="22"/>
              </w:rPr>
              <w:fldChar w:fldCharType="end"/>
            </w:r>
          </w:hyperlink>
        </w:p>
        <w:p w14:paraId="39F635E3" w14:textId="056B394F" w:rsidR="00866C78" w:rsidRPr="00866C78" w:rsidRDefault="00866C78" w:rsidP="00866C78">
          <w:pPr>
            <w:pStyle w:val="TOC1"/>
            <w:tabs>
              <w:tab w:val="right" w:leader="dot" w:pos="9016"/>
            </w:tabs>
            <w:spacing w:line="360" w:lineRule="auto"/>
            <w:rPr>
              <w:rFonts w:ascii="Arial" w:hAnsi="Arial" w:cs="Arial"/>
              <w:noProof/>
              <w:sz w:val="22"/>
              <w:szCs w:val="22"/>
            </w:rPr>
          </w:pPr>
          <w:hyperlink w:anchor="_Toc214198779" w:history="1">
            <w:r w:rsidRPr="00866C78">
              <w:rPr>
                <w:rStyle w:val="Hyperlink"/>
                <w:rFonts w:ascii="Arial" w:hAnsi="Arial" w:cs="Arial"/>
                <w:noProof/>
                <w:color w:val="auto"/>
                <w:sz w:val="22"/>
                <w:szCs w:val="22"/>
              </w:rPr>
              <w:t>Policy and Legislation Shaping PCC and PW in Mental Health</w:t>
            </w:r>
            <w:r w:rsidRPr="00866C78">
              <w:rPr>
                <w:rFonts w:ascii="Arial" w:hAnsi="Arial" w:cs="Arial"/>
                <w:noProof/>
                <w:webHidden/>
                <w:sz w:val="22"/>
                <w:szCs w:val="22"/>
              </w:rPr>
              <w:tab/>
            </w:r>
            <w:r w:rsidRPr="00866C78">
              <w:rPr>
                <w:rFonts w:ascii="Arial" w:hAnsi="Arial" w:cs="Arial"/>
                <w:noProof/>
                <w:webHidden/>
                <w:sz w:val="22"/>
                <w:szCs w:val="22"/>
              </w:rPr>
              <w:fldChar w:fldCharType="begin"/>
            </w:r>
            <w:r w:rsidRPr="00866C78">
              <w:rPr>
                <w:rFonts w:ascii="Arial" w:hAnsi="Arial" w:cs="Arial"/>
                <w:noProof/>
                <w:webHidden/>
                <w:sz w:val="22"/>
                <w:szCs w:val="22"/>
              </w:rPr>
              <w:instrText xml:space="preserve"> PAGEREF _Toc214198779 \h </w:instrText>
            </w:r>
            <w:r w:rsidRPr="00866C78">
              <w:rPr>
                <w:rFonts w:ascii="Arial" w:hAnsi="Arial" w:cs="Arial"/>
                <w:noProof/>
                <w:webHidden/>
                <w:sz w:val="22"/>
                <w:szCs w:val="22"/>
              </w:rPr>
            </w:r>
            <w:r w:rsidRPr="00866C78">
              <w:rPr>
                <w:rFonts w:ascii="Arial" w:hAnsi="Arial" w:cs="Arial"/>
                <w:noProof/>
                <w:webHidden/>
                <w:sz w:val="22"/>
                <w:szCs w:val="22"/>
              </w:rPr>
              <w:fldChar w:fldCharType="separate"/>
            </w:r>
            <w:r w:rsidRPr="00866C78">
              <w:rPr>
                <w:rFonts w:ascii="Arial" w:hAnsi="Arial" w:cs="Arial"/>
                <w:noProof/>
                <w:webHidden/>
                <w:sz w:val="22"/>
                <w:szCs w:val="22"/>
              </w:rPr>
              <w:t>6</w:t>
            </w:r>
            <w:r w:rsidRPr="00866C78">
              <w:rPr>
                <w:rFonts w:ascii="Arial" w:hAnsi="Arial" w:cs="Arial"/>
                <w:noProof/>
                <w:webHidden/>
                <w:sz w:val="22"/>
                <w:szCs w:val="22"/>
              </w:rPr>
              <w:fldChar w:fldCharType="end"/>
            </w:r>
          </w:hyperlink>
        </w:p>
        <w:p w14:paraId="357E15A4" w14:textId="0A3FA1B2" w:rsidR="00866C78" w:rsidRPr="00866C78" w:rsidRDefault="00866C78" w:rsidP="00866C78">
          <w:pPr>
            <w:pStyle w:val="TOC1"/>
            <w:tabs>
              <w:tab w:val="right" w:leader="dot" w:pos="9016"/>
            </w:tabs>
            <w:spacing w:line="360" w:lineRule="auto"/>
            <w:rPr>
              <w:rFonts w:ascii="Arial" w:hAnsi="Arial" w:cs="Arial"/>
              <w:noProof/>
              <w:sz w:val="22"/>
              <w:szCs w:val="22"/>
            </w:rPr>
          </w:pPr>
          <w:hyperlink w:anchor="_Toc214198780" w:history="1">
            <w:r w:rsidRPr="00866C78">
              <w:rPr>
                <w:rStyle w:val="Hyperlink"/>
                <w:rFonts w:ascii="Arial" w:hAnsi="Arial" w:cs="Arial"/>
                <w:noProof/>
                <w:color w:val="auto"/>
                <w:sz w:val="22"/>
                <w:szCs w:val="22"/>
              </w:rPr>
              <w:t>Recommendations for Strengthening PCC and PW in Mental Health Services</w:t>
            </w:r>
            <w:r w:rsidRPr="00866C78">
              <w:rPr>
                <w:rFonts w:ascii="Arial" w:hAnsi="Arial" w:cs="Arial"/>
                <w:noProof/>
                <w:webHidden/>
                <w:sz w:val="22"/>
                <w:szCs w:val="22"/>
              </w:rPr>
              <w:tab/>
            </w:r>
            <w:r w:rsidRPr="00866C78">
              <w:rPr>
                <w:rFonts w:ascii="Arial" w:hAnsi="Arial" w:cs="Arial"/>
                <w:noProof/>
                <w:webHidden/>
                <w:sz w:val="22"/>
                <w:szCs w:val="22"/>
              </w:rPr>
              <w:fldChar w:fldCharType="begin"/>
            </w:r>
            <w:r w:rsidRPr="00866C78">
              <w:rPr>
                <w:rFonts w:ascii="Arial" w:hAnsi="Arial" w:cs="Arial"/>
                <w:noProof/>
                <w:webHidden/>
                <w:sz w:val="22"/>
                <w:szCs w:val="22"/>
              </w:rPr>
              <w:instrText xml:space="preserve"> PAGEREF _Toc214198780 \h </w:instrText>
            </w:r>
            <w:r w:rsidRPr="00866C78">
              <w:rPr>
                <w:rFonts w:ascii="Arial" w:hAnsi="Arial" w:cs="Arial"/>
                <w:noProof/>
                <w:webHidden/>
                <w:sz w:val="22"/>
                <w:szCs w:val="22"/>
              </w:rPr>
            </w:r>
            <w:r w:rsidRPr="00866C78">
              <w:rPr>
                <w:rFonts w:ascii="Arial" w:hAnsi="Arial" w:cs="Arial"/>
                <w:noProof/>
                <w:webHidden/>
                <w:sz w:val="22"/>
                <w:szCs w:val="22"/>
              </w:rPr>
              <w:fldChar w:fldCharType="separate"/>
            </w:r>
            <w:r w:rsidRPr="00866C78">
              <w:rPr>
                <w:rFonts w:ascii="Arial" w:hAnsi="Arial" w:cs="Arial"/>
                <w:noProof/>
                <w:webHidden/>
                <w:sz w:val="22"/>
                <w:szCs w:val="22"/>
              </w:rPr>
              <w:t>7</w:t>
            </w:r>
            <w:r w:rsidRPr="00866C78">
              <w:rPr>
                <w:rFonts w:ascii="Arial" w:hAnsi="Arial" w:cs="Arial"/>
                <w:noProof/>
                <w:webHidden/>
                <w:sz w:val="22"/>
                <w:szCs w:val="22"/>
              </w:rPr>
              <w:fldChar w:fldCharType="end"/>
            </w:r>
          </w:hyperlink>
        </w:p>
        <w:p w14:paraId="4110F5B1" w14:textId="731C9AA6" w:rsidR="00866C78" w:rsidRPr="00866C78" w:rsidRDefault="00866C78" w:rsidP="00866C78">
          <w:pPr>
            <w:pStyle w:val="TOC1"/>
            <w:tabs>
              <w:tab w:val="right" w:leader="dot" w:pos="9016"/>
            </w:tabs>
            <w:spacing w:line="360" w:lineRule="auto"/>
            <w:rPr>
              <w:rFonts w:ascii="Arial" w:hAnsi="Arial" w:cs="Arial"/>
              <w:noProof/>
              <w:sz w:val="22"/>
              <w:szCs w:val="22"/>
            </w:rPr>
          </w:pPr>
          <w:hyperlink w:anchor="_Toc214198781" w:history="1">
            <w:r w:rsidRPr="00866C78">
              <w:rPr>
                <w:rStyle w:val="Hyperlink"/>
                <w:rFonts w:ascii="Arial" w:hAnsi="Arial" w:cs="Arial"/>
                <w:noProof/>
                <w:color w:val="auto"/>
                <w:sz w:val="22"/>
                <w:szCs w:val="22"/>
              </w:rPr>
              <w:t>Conclusion</w:t>
            </w:r>
            <w:r w:rsidRPr="00866C78">
              <w:rPr>
                <w:rFonts w:ascii="Arial" w:hAnsi="Arial" w:cs="Arial"/>
                <w:noProof/>
                <w:webHidden/>
                <w:sz w:val="22"/>
                <w:szCs w:val="22"/>
              </w:rPr>
              <w:tab/>
            </w:r>
            <w:r w:rsidRPr="00866C78">
              <w:rPr>
                <w:rFonts w:ascii="Arial" w:hAnsi="Arial" w:cs="Arial"/>
                <w:noProof/>
                <w:webHidden/>
                <w:sz w:val="22"/>
                <w:szCs w:val="22"/>
              </w:rPr>
              <w:fldChar w:fldCharType="begin"/>
            </w:r>
            <w:r w:rsidRPr="00866C78">
              <w:rPr>
                <w:rFonts w:ascii="Arial" w:hAnsi="Arial" w:cs="Arial"/>
                <w:noProof/>
                <w:webHidden/>
                <w:sz w:val="22"/>
                <w:szCs w:val="22"/>
              </w:rPr>
              <w:instrText xml:space="preserve"> PAGEREF _Toc214198781 \h </w:instrText>
            </w:r>
            <w:r w:rsidRPr="00866C78">
              <w:rPr>
                <w:rFonts w:ascii="Arial" w:hAnsi="Arial" w:cs="Arial"/>
                <w:noProof/>
                <w:webHidden/>
                <w:sz w:val="22"/>
                <w:szCs w:val="22"/>
              </w:rPr>
            </w:r>
            <w:r w:rsidRPr="00866C78">
              <w:rPr>
                <w:rFonts w:ascii="Arial" w:hAnsi="Arial" w:cs="Arial"/>
                <w:noProof/>
                <w:webHidden/>
                <w:sz w:val="22"/>
                <w:szCs w:val="22"/>
              </w:rPr>
              <w:fldChar w:fldCharType="separate"/>
            </w:r>
            <w:r w:rsidRPr="00866C78">
              <w:rPr>
                <w:rFonts w:ascii="Arial" w:hAnsi="Arial" w:cs="Arial"/>
                <w:noProof/>
                <w:webHidden/>
                <w:sz w:val="22"/>
                <w:szCs w:val="22"/>
              </w:rPr>
              <w:t>8</w:t>
            </w:r>
            <w:r w:rsidRPr="00866C78">
              <w:rPr>
                <w:rFonts w:ascii="Arial" w:hAnsi="Arial" w:cs="Arial"/>
                <w:noProof/>
                <w:webHidden/>
                <w:sz w:val="22"/>
                <w:szCs w:val="22"/>
              </w:rPr>
              <w:fldChar w:fldCharType="end"/>
            </w:r>
          </w:hyperlink>
        </w:p>
        <w:p w14:paraId="42AE5B38" w14:textId="78728333" w:rsidR="00866C78" w:rsidRPr="00866C78" w:rsidRDefault="00866C78" w:rsidP="00866C78">
          <w:pPr>
            <w:pStyle w:val="TOC1"/>
            <w:tabs>
              <w:tab w:val="right" w:leader="dot" w:pos="9016"/>
            </w:tabs>
            <w:spacing w:line="360" w:lineRule="auto"/>
            <w:rPr>
              <w:rFonts w:ascii="Arial" w:hAnsi="Arial" w:cs="Arial"/>
              <w:noProof/>
              <w:sz w:val="22"/>
              <w:szCs w:val="22"/>
            </w:rPr>
          </w:pPr>
          <w:hyperlink w:anchor="_Toc214198782" w:history="1">
            <w:r w:rsidRPr="00866C78">
              <w:rPr>
                <w:rStyle w:val="Hyperlink"/>
                <w:rFonts w:ascii="Arial" w:hAnsi="Arial" w:cs="Arial"/>
                <w:noProof/>
                <w:color w:val="auto"/>
                <w:sz w:val="22"/>
                <w:szCs w:val="22"/>
              </w:rPr>
              <w:t>References</w:t>
            </w:r>
            <w:r w:rsidRPr="00866C78">
              <w:rPr>
                <w:rFonts w:ascii="Arial" w:hAnsi="Arial" w:cs="Arial"/>
                <w:noProof/>
                <w:webHidden/>
                <w:sz w:val="22"/>
                <w:szCs w:val="22"/>
              </w:rPr>
              <w:tab/>
            </w:r>
            <w:r w:rsidRPr="00866C78">
              <w:rPr>
                <w:rFonts w:ascii="Arial" w:hAnsi="Arial" w:cs="Arial"/>
                <w:noProof/>
                <w:webHidden/>
                <w:sz w:val="22"/>
                <w:szCs w:val="22"/>
              </w:rPr>
              <w:fldChar w:fldCharType="begin"/>
            </w:r>
            <w:r w:rsidRPr="00866C78">
              <w:rPr>
                <w:rFonts w:ascii="Arial" w:hAnsi="Arial" w:cs="Arial"/>
                <w:noProof/>
                <w:webHidden/>
                <w:sz w:val="22"/>
                <w:szCs w:val="22"/>
              </w:rPr>
              <w:instrText xml:space="preserve"> PAGEREF _Toc214198782 \h </w:instrText>
            </w:r>
            <w:r w:rsidRPr="00866C78">
              <w:rPr>
                <w:rFonts w:ascii="Arial" w:hAnsi="Arial" w:cs="Arial"/>
                <w:noProof/>
                <w:webHidden/>
                <w:sz w:val="22"/>
                <w:szCs w:val="22"/>
              </w:rPr>
            </w:r>
            <w:r w:rsidRPr="00866C78">
              <w:rPr>
                <w:rFonts w:ascii="Arial" w:hAnsi="Arial" w:cs="Arial"/>
                <w:noProof/>
                <w:webHidden/>
                <w:sz w:val="22"/>
                <w:szCs w:val="22"/>
              </w:rPr>
              <w:fldChar w:fldCharType="separate"/>
            </w:r>
            <w:r w:rsidRPr="00866C78">
              <w:rPr>
                <w:rFonts w:ascii="Arial" w:hAnsi="Arial" w:cs="Arial"/>
                <w:noProof/>
                <w:webHidden/>
                <w:sz w:val="22"/>
                <w:szCs w:val="22"/>
              </w:rPr>
              <w:t>8</w:t>
            </w:r>
            <w:r w:rsidRPr="00866C78">
              <w:rPr>
                <w:rFonts w:ascii="Arial" w:hAnsi="Arial" w:cs="Arial"/>
                <w:noProof/>
                <w:webHidden/>
                <w:sz w:val="22"/>
                <w:szCs w:val="22"/>
              </w:rPr>
              <w:fldChar w:fldCharType="end"/>
            </w:r>
          </w:hyperlink>
        </w:p>
        <w:p w14:paraId="67AE97A2" w14:textId="5C203835" w:rsidR="00866C78" w:rsidRPr="00866C78" w:rsidRDefault="00866C78" w:rsidP="00866C78">
          <w:pPr>
            <w:spacing w:line="360" w:lineRule="auto"/>
            <w:rPr>
              <w:sz w:val="22"/>
              <w:szCs w:val="22"/>
            </w:rPr>
          </w:pPr>
          <w:r w:rsidRPr="00866C78">
            <w:rPr>
              <w:rFonts w:ascii="Arial" w:hAnsi="Arial" w:cs="Arial"/>
              <w:b/>
              <w:bCs/>
              <w:noProof/>
              <w:sz w:val="22"/>
              <w:szCs w:val="22"/>
            </w:rPr>
            <w:fldChar w:fldCharType="end"/>
          </w:r>
        </w:p>
      </w:sdtContent>
    </w:sdt>
    <w:p w14:paraId="77ED57A8" w14:textId="77777777" w:rsidR="00505DFF" w:rsidRDefault="00505DFF" w:rsidP="00BF6F90">
      <w:pPr>
        <w:spacing w:line="360" w:lineRule="auto"/>
        <w:rPr>
          <w:rFonts w:ascii="Arial" w:hAnsi="Arial" w:cs="Arial"/>
          <w:b/>
          <w:bCs/>
          <w:sz w:val="22"/>
          <w:szCs w:val="22"/>
        </w:rPr>
      </w:pPr>
    </w:p>
    <w:p w14:paraId="6F6449E3" w14:textId="77777777" w:rsidR="00505DFF" w:rsidRDefault="00505DFF" w:rsidP="00BF6F90">
      <w:pPr>
        <w:spacing w:line="360" w:lineRule="auto"/>
        <w:rPr>
          <w:rFonts w:ascii="Arial" w:hAnsi="Arial" w:cs="Arial"/>
          <w:b/>
          <w:bCs/>
          <w:sz w:val="22"/>
          <w:szCs w:val="22"/>
        </w:rPr>
      </w:pPr>
    </w:p>
    <w:p w14:paraId="6AC8EA36" w14:textId="77777777" w:rsidR="00505DFF" w:rsidRDefault="00505DFF" w:rsidP="00BF6F90">
      <w:pPr>
        <w:spacing w:line="360" w:lineRule="auto"/>
        <w:rPr>
          <w:rFonts w:ascii="Arial" w:hAnsi="Arial" w:cs="Arial"/>
          <w:b/>
          <w:bCs/>
          <w:sz w:val="22"/>
          <w:szCs w:val="22"/>
        </w:rPr>
      </w:pPr>
    </w:p>
    <w:p w14:paraId="52128974" w14:textId="77777777" w:rsidR="00505DFF" w:rsidRDefault="00505DFF" w:rsidP="00BF6F90">
      <w:pPr>
        <w:spacing w:line="360" w:lineRule="auto"/>
        <w:rPr>
          <w:rFonts w:ascii="Arial" w:hAnsi="Arial" w:cs="Arial"/>
          <w:b/>
          <w:bCs/>
          <w:sz w:val="22"/>
          <w:szCs w:val="22"/>
        </w:rPr>
      </w:pPr>
    </w:p>
    <w:p w14:paraId="4AF57416" w14:textId="77777777" w:rsidR="00505DFF" w:rsidRDefault="00505DFF" w:rsidP="00BF6F90">
      <w:pPr>
        <w:spacing w:line="360" w:lineRule="auto"/>
        <w:rPr>
          <w:rFonts w:ascii="Arial" w:hAnsi="Arial" w:cs="Arial"/>
          <w:b/>
          <w:bCs/>
          <w:sz w:val="22"/>
          <w:szCs w:val="22"/>
        </w:rPr>
      </w:pPr>
    </w:p>
    <w:p w14:paraId="71773279" w14:textId="77777777" w:rsidR="00505DFF" w:rsidRDefault="00505DFF" w:rsidP="00BF6F90">
      <w:pPr>
        <w:spacing w:line="360" w:lineRule="auto"/>
        <w:rPr>
          <w:rFonts w:ascii="Arial" w:hAnsi="Arial" w:cs="Arial"/>
          <w:b/>
          <w:bCs/>
          <w:sz w:val="22"/>
          <w:szCs w:val="22"/>
        </w:rPr>
      </w:pPr>
    </w:p>
    <w:p w14:paraId="76CF4B28" w14:textId="77777777" w:rsidR="00505DFF" w:rsidRDefault="00505DFF" w:rsidP="00BF6F90">
      <w:pPr>
        <w:spacing w:line="360" w:lineRule="auto"/>
        <w:rPr>
          <w:rFonts w:ascii="Arial" w:hAnsi="Arial" w:cs="Arial"/>
          <w:sz w:val="22"/>
          <w:szCs w:val="22"/>
        </w:rPr>
      </w:pPr>
    </w:p>
    <w:p w14:paraId="08E75E03" w14:textId="77777777" w:rsidR="00505DFF" w:rsidRDefault="00505DFF" w:rsidP="00BF6F90">
      <w:pPr>
        <w:spacing w:line="360" w:lineRule="auto"/>
        <w:rPr>
          <w:rFonts w:ascii="Arial" w:hAnsi="Arial" w:cs="Arial"/>
          <w:sz w:val="22"/>
          <w:szCs w:val="22"/>
        </w:rPr>
      </w:pPr>
    </w:p>
    <w:p w14:paraId="54B5B02A" w14:textId="77777777" w:rsidR="00505DFF" w:rsidRDefault="00505DFF" w:rsidP="00BF6F90">
      <w:pPr>
        <w:spacing w:line="360" w:lineRule="auto"/>
        <w:rPr>
          <w:rFonts w:ascii="Arial" w:hAnsi="Arial" w:cs="Arial"/>
          <w:sz w:val="22"/>
          <w:szCs w:val="22"/>
        </w:rPr>
      </w:pPr>
    </w:p>
    <w:p w14:paraId="3D87985A" w14:textId="77777777" w:rsidR="00505DFF" w:rsidRDefault="00505DFF" w:rsidP="00BF6F90">
      <w:pPr>
        <w:spacing w:line="360" w:lineRule="auto"/>
        <w:rPr>
          <w:rFonts w:ascii="Arial" w:hAnsi="Arial" w:cs="Arial"/>
          <w:sz w:val="22"/>
          <w:szCs w:val="22"/>
        </w:rPr>
      </w:pPr>
    </w:p>
    <w:p w14:paraId="2C1432C0" w14:textId="77777777" w:rsidR="00505DFF" w:rsidRDefault="00505DFF" w:rsidP="00BF6F90">
      <w:pPr>
        <w:spacing w:line="360" w:lineRule="auto"/>
        <w:rPr>
          <w:rFonts w:ascii="Arial" w:hAnsi="Arial" w:cs="Arial"/>
          <w:sz w:val="22"/>
          <w:szCs w:val="22"/>
        </w:rPr>
      </w:pPr>
    </w:p>
    <w:p w14:paraId="75B084EB" w14:textId="77777777" w:rsidR="00505DFF" w:rsidRDefault="00505DFF" w:rsidP="00BF6F90">
      <w:pPr>
        <w:spacing w:line="360" w:lineRule="auto"/>
        <w:rPr>
          <w:rFonts w:ascii="Arial" w:hAnsi="Arial" w:cs="Arial"/>
          <w:sz w:val="22"/>
          <w:szCs w:val="22"/>
        </w:rPr>
      </w:pPr>
    </w:p>
    <w:p w14:paraId="57192C87" w14:textId="77777777" w:rsidR="00505DFF" w:rsidRDefault="00505DFF" w:rsidP="00BF6F90">
      <w:pPr>
        <w:spacing w:line="360" w:lineRule="auto"/>
        <w:rPr>
          <w:rFonts w:ascii="Arial" w:hAnsi="Arial" w:cs="Arial"/>
          <w:sz w:val="22"/>
          <w:szCs w:val="22"/>
        </w:rPr>
      </w:pPr>
    </w:p>
    <w:p w14:paraId="45916432" w14:textId="77777777" w:rsidR="00260E38" w:rsidRDefault="00260E38" w:rsidP="00BF6F90">
      <w:pPr>
        <w:spacing w:line="360" w:lineRule="auto"/>
        <w:rPr>
          <w:rFonts w:ascii="Arial" w:hAnsi="Arial" w:cs="Arial"/>
          <w:sz w:val="22"/>
          <w:szCs w:val="22"/>
        </w:rPr>
      </w:pPr>
    </w:p>
    <w:p w14:paraId="3E7346C6" w14:textId="77777777" w:rsidR="00866C78" w:rsidRDefault="00866C78" w:rsidP="00BF6F90">
      <w:pPr>
        <w:spacing w:line="360" w:lineRule="auto"/>
        <w:rPr>
          <w:rFonts w:ascii="Arial" w:hAnsi="Arial" w:cs="Arial"/>
          <w:sz w:val="22"/>
          <w:szCs w:val="22"/>
        </w:rPr>
      </w:pPr>
    </w:p>
    <w:p w14:paraId="04A27805" w14:textId="77777777" w:rsidR="00505DFF" w:rsidRPr="00505DFF" w:rsidRDefault="00505DFF" w:rsidP="00260E38">
      <w:pPr>
        <w:pStyle w:val="Heading1"/>
      </w:pPr>
      <w:bookmarkStart w:id="0" w:name="_Toc214198773"/>
      <w:r w:rsidRPr="00505DFF">
        <w:lastRenderedPageBreak/>
        <w:t>Abstract</w:t>
      </w:r>
      <w:bookmarkEnd w:id="0"/>
    </w:p>
    <w:p w14:paraId="5BB5862E" w14:textId="287D8AA9"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Person-centred care (PCC) and partnership working (PW) constitute two key principles supporting contemporary UK mental health services. PCC is about supporting dignity, autonomy and self-management, including actively involving users lived experiences in their own care. PW can help in managing the complexity and interrelatedness of many mental health </w:t>
      </w:r>
      <w:r w:rsidRPr="00260E38">
        <w:rPr>
          <w:rFonts w:ascii="Arial" w:hAnsi="Arial" w:cs="Arial"/>
          <w:sz w:val="22"/>
          <w:szCs w:val="22"/>
        </w:rPr>
        <w:t>problems and</w:t>
      </w:r>
      <w:r w:rsidRPr="00260E38">
        <w:rPr>
          <w:rFonts w:ascii="Arial" w:hAnsi="Arial" w:cs="Arial"/>
          <w:sz w:val="22"/>
          <w:szCs w:val="22"/>
        </w:rPr>
        <w:t xml:space="preserve"> pursuing inter-agency collaboration. This report also considers both the positive and negative aspects of PCC used in CMHTs, crisis teams and inpatient wards, in particular the tension between autonomy and risk management which is sometimes more pronounced in mental health work than in other areas. Theories related to collaborative and whole-person approaches are discussed, such as the Recovery Model and humanistic approaches. Principles of ethics such as autonomy, beneficence, non-maleficence and justice are discussed in relation to the field of mental health care, including ethical considerations related to coercive treatment </w:t>
      </w:r>
      <w:r w:rsidRPr="00260E38">
        <w:rPr>
          <w:rFonts w:ascii="Arial" w:hAnsi="Arial" w:cs="Arial"/>
          <w:sz w:val="22"/>
          <w:szCs w:val="22"/>
        </w:rPr>
        <w:t>were</w:t>
      </w:r>
      <w:r w:rsidRPr="00260E38">
        <w:rPr>
          <w:rFonts w:ascii="Arial" w:hAnsi="Arial" w:cs="Arial"/>
          <w:sz w:val="22"/>
          <w:szCs w:val="22"/>
        </w:rPr>
        <w:t xml:space="preserve"> permitted by the law. The report includes consideration of integrated care systems, multidisciplinary approaches to care and the Care Programme Approach. The Mental Health Act 1983 and Care Act 2014 are named as key legislation </w:t>
      </w:r>
      <w:proofErr w:type="gramStart"/>
      <w:r w:rsidRPr="00260E38">
        <w:rPr>
          <w:rFonts w:ascii="Arial" w:hAnsi="Arial" w:cs="Arial"/>
          <w:sz w:val="22"/>
          <w:szCs w:val="22"/>
        </w:rPr>
        <w:t>in regard to</w:t>
      </w:r>
      <w:proofErr w:type="gramEnd"/>
      <w:r w:rsidRPr="00260E38">
        <w:rPr>
          <w:rFonts w:ascii="Arial" w:hAnsi="Arial" w:cs="Arial"/>
          <w:sz w:val="22"/>
          <w:szCs w:val="22"/>
        </w:rPr>
        <w:t xml:space="preserve"> these issues. Evidence-based recommendations are made to strengthen person-centred and collaborative mental health care.</w:t>
      </w:r>
    </w:p>
    <w:p w14:paraId="127AACA7" w14:textId="77777777" w:rsidR="00C63F82" w:rsidRDefault="00C63F82" w:rsidP="00505DFF">
      <w:pPr>
        <w:spacing w:line="360" w:lineRule="auto"/>
        <w:jc w:val="both"/>
        <w:rPr>
          <w:rFonts w:ascii="Arial" w:hAnsi="Arial" w:cs="Arial"/>
          <w:b/>
          <w:bCs/>
          <w:sz w:val="22"/>
          <w:szCs w:val="22"/>
        </w:rPr>
      </w:pPr>
    </w:p>
    <w:p w14:paraId="2320C58E" w14:textId="77777777" w:rsidR="00866C78" w:rsidRDefault="00866C78" w:rsidP="00505DFF">
      <w:pPr>
        <w:spacing w:line="360" w:lineRule="auto"/>
        <w:jc w:val="both"/>
        <w:rPr>
          <w:rFonts w:ascii="Arial" w:hAnsi="Arial" w:cs="Arial"/>
          <w:b/>
          <w:bCs/>
          <w:sz w:val="22"/>
          <w:szCs w:val="22"/>
        </w:rPr>
      </w:pPr>
    </w:p>
    <w:p w14:paraId="253C8358" w14:textId="77777777" w:rsidR="00866C78" w:rsidRDefault="00866C78" w:rsidP="00505DFF">
      <w:pPr>
        <w:spacing w:line="360" w:lineRule="auto"/>
        <w:jc w:val="both"/>
        <w:rPr>
          <w:rFonts w:ascii="Arial" w:hAnsi="Arial" w:cs="Arial"/>
          <w:b/>
          <w:bCs/>
          <w:sz w:val="22"/>
          <w:szCs w:val="22"/>
        </w:rPr>
      </w:pPr>
    </w:p>
    <w:p w14:paraId="31298E23" w14:textId="77777777" w:rsidR="00866C78" w:rsidRDefault="00866C78" w:rsidP="00505DFF">
      <w:pPr>
        <w:spacing w:line="360" w:lineRule="auto"/>
        <w:jc w:val="both"/>
        <w:rPr>
          <w:rFonts w:ascii="Arial" w:hAnsi="Arial" w:cs="Arial"/>
          <w:b/>
          <w:bCs/>
          <w:sz w:val="22"/>
          <w:szCs w:val="22"/>
        </w:rPr>
      </w:pPr>
    </w:p>
    <w:p w14:paraId="47A13A3A" w14:textId="77777777" w:rsidR="00866C78" w:rsidRDefault="00866C78" w:rsidP="00505DFF">
      <w:pPr>
        <w:spacing w:line="360" w:lineRule="auto"/>
        <w:jc w:val="both"/>
        <w:rPr>
          <w:rFonts w:ascii="Arial" w:hAnsi="Arial" w:cs="Arial"/>
          <w:b/>
          <w:bCs/>
          <w:sz w:val="22"/>
          <w:szCs w:val="22"/>
        </w:rPr>
      </w:pPr>
    </w:p>
    <w:p w14:paraId="5DDD8C9E" w14:textId="77777777" w:rsidR="00866C78" w:rsidRDefault="00866C78" w:rsidP="00505DFF">
      <w:pPr>
        <w:spacing w:line="360" w:lineRule="auto"/>
        <w:jc w:val="both"/>
        <w:rPr>
          <w:rFonts w:ascii="Arial" w:hAnsi="Arial" w:cs="Arial"/>
          <w:b/>
          <w:bCs/>
          <w:sz w:val="22"/>
          <w:szCs w:val="22"/>
        </w:rPr>
      </w:pPr>
    </w:p>
    <w:p w14:paraId="65E96D1A" w14:textId="77777777" w:rsidR="00866C78" w:rsidRDefault="00866C78" w:rsidP="00505DFF">
      <w:pPr>
        <w:spacing w:line="360" w:lineRule="auto"/>
        <w:jc w:val="both"/>
        <w:rPr>
          <w:rFonts w:ascii="Arial" w:hAnsi="Arial" w:cs="Arial"/>
          <w:b/>
          <w:bCs/>
          <w:sz w:val="22"/>
          <w:szCs w:val="22"/>
        </w:rPr>
      </w:pPr>
    </w:p>
    <w:p w14:paraId="1F3EFE17" w14:textId="77777777" w:rsidR="00866C78" w:rsidRDefault="00866C78" w:rsidP="00505DFF">
      <w:pPr>
        <w:spacing w:line="360" w:lineRule="auto"/>
        <w:jc w:val="both"/>
        <w:rPr>
          <w:rFonts w:ascii="Arial" w:hAnsi="Arial" w:cs="Arial"/>
          <w:b/>
          <w:bCs/>
          <w:sz w:val="22"/>
          <w:szCs w:val="22"/>
        </w:rPr>
      </w:pPr>
    </w:p>
    <w:p w14:paraId="7FDC01E5" w14:textId="77777777" w:rsidR="00866C78" w:rsidRDefault="00866C78" w:rsidP="00505DFF">
      <w:pPr>
        <w:spacing w:line="360" w:lineRule="auto"/>
        <w:jc w:val="both"/>
        <w:rPr>
          <w:rFonts w:ascii="Arial" w:hAnsi="Arial" w:cs="Arial"/>
          <w:b/>
          <w:bCs/>
          <w:sz w:val="22"/>
          <w:szCs w:val="22"/>
        </w:rPr>
      </w:pPr>
    </w:p>
    <w:p w14:paraId="1519F90C" w14:textId="77777777" w:rsidR="00866C78" w:rsidRDefault="00866C78" w:rsidP="00505DFF">
      <w:pPr>
        <w:spacing w:line="360" w:lineRule="auto"/>
        <w:jc w:val="both"/>
        <w:rPr>
          <w:rFonts w:ascii="Arial" w:hAnsi="Arial" w:cs="Arial"/>
          <w:b/>
          <w:bCs/>
          <w:sz w:val="22"/>
          <w:szCs w:val="22"/>
        </w:rPr>
      </w:pPr>
    </w:p>
    <w:p w14:paraId="789489AB" w14:textId="77777777" w:rsidR="00866C78" w:rsidRDefault="00866C78" w:rsidP="00505DFF">
      <w:pPr>
        <w:spacing w:line="360" w:lineRule="auto"/>
        <w:jc w:val="both"/>
        <w:rPr>
          <w:rFonts w:ascii="Arial" w:hAnsi="Arial" w:cs="Arial"/>
          <w:b/>
          <w:bCs/>
          <w:sz w:val="22"/>
          <w:szCs w:val="22"/>
        </w:rPr>
      </w:pPr>
    </w:p>
    <w:p w14:paraId="4DB7B8C2" w14:textId="77777777" w:rsidR="00866C78" w:rsidRDefault="00866C78" w:rsidP="00505DFF">
      <w:pPr>
        <w:spacing w:line="360" w:lineRule="auto"/>
        <w:jc w:val="both"/>
        <w:rPr>
          <w:rFonts w:ascii="Arial" w:hAnsi="Arial" w:cs="Arial"/>
          <w:b/>
          <w:bCs/>
          <w:sz w:val="22"/>
          <w:szCs w:val="22"/>
        </w:rPr>
      </w:pPr>
    </w:p>
    <w:p w14:paraId="5FC5CAE6" w14:textId="77777777" w:rsidR="00866C78" w:rsidRDefault="00866C78" w:rsidP="00505DFF">
      <w:pPr>
        <w:spacing w:line="360" w:lineRule="auto"/>
        <w:jc w:val="both"/>
        <w:rPr>
          <w:rFonts w:ascii="Arial" w:hAnsi="Arial" w:cs="Arial"/>
          <w:b/>
          <w:bCs/>
          <w:sz w:val="22"/>
          <w:szCs w:val="22"/>
        </w:rPr>
      </w:pPr>
    </w:p>
    <w:p w14:paraId="7962E5D6" w14:textId="77777777" w:rsidR="00866C78" w:rsidRDefault="00866C78" w:rsidP="00505DFF">
      <w:pPr>
        <w:spacing w:line="360" w:lineRule="auto"/>
        <w:jc w:val="both"/>
        <w:rPr>
          <w:rFonts w:ascii="Arial" w:hAnsi="Arial" w:cs="Arial"/>
          <w:b/>
          <w:bCs/>
          <w:sz w:val="22"/>
          <w:szCs w:val="22"/>
        </w:rPr>
      </w:pPr>
    </w:p>
    <w:p w14:paraId="082249CB" w14:textId="0DABCA40" w:rsidR="00505DFF" w:rsidRPr="00505DFF" w:rsidRDefault="00505DFF" w:rsidP="00260E38">
      <w:pPr>
        <w:pStyle w:val="Heading1"/>
      </w:pPr>
      <w:bookmarkStart w:id="1" w:name="_Toc214198774"/>
      <w:r w:rsidRPr="00505DFF">
        <w:lastRenderedPageBreak/>
        <w:t>Introduction</w:t>
      </w:r>
      <w:bookmarkEnd w:id="1"/>
    </w:p>
    <w:p w14:paraId="46FB1DEB"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PCC and PW are important for the provision of other elements of good MH service, including outcomes, human rights, and supported recovery. They are closely associated with these issues. This requires MH professionals to consider the needs, preferences and values of the people for whom they provide services, and to act with dignity, compassion and respect (Health Foundation, 2016). PCC is particularly important in mental health services given the paternalistic roots of practice, the long history of stigma and coercive treatment, and the resulting lack of trust between service users and professionals.</w:t>
      </w:r>
    </w:p>
    <w:p w14:paraId="2AB7A048"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PW is at least as important. Mental health needs do not generally occur in isolation. An individual may present with a range of psychological, physical, emotional and social needs which will need the involvement of social care professionals, housing associations, community groups, NHS mental health teams and others. According to Glasby and Dickinson (2014), effective PW can reduce fragmentation, improve continuity of care, and allow integrated services to address complex needs.</w:t>
      </w:r>
    </w:p>
    <w:p w14:paraId="618CB0D0"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This report examines PCC and PW first from a conceptual perspective and then outlines their advantages and limitations. The report finally situates the range of PCC models and frameworks within various theoretical perspectives, such as the Recovery Model, which makes a strong philosophical case for person-centred and co-operative models of care and support in mental health services. Ethical issues of capacity and coercion that are more difficult in mental health are also discussed. The concluding two chapters explore the organization of partnership working and the impact of UK legislation on practice, before the final chapter sets out recommendations for the strengthening of PCC and PW in the contemporary mental health system.</w:t>
      </w:r>
    </w:p>
    <w:p w14:paraId="67CF1229" w14:textId="77777777" w:rsidR="00C63F82" w:rsidRDefault="00C63F82" w:rsidP="00505DFF">
      <w:pPr>
        <w:spacing w:line="360" w:lineRule="auto"/>
        <w:jc w:val="both"/>
        <w:rPr>
          <w:rFonts w:ascii="Arial" w:hAnsi="Arial" w:cs="Arial"/>
          <w:b/>
          <w:bCs/>
          <w:sz w:val="22"/>
          <w:szCs w:val="22"/>
        </w:rPr>
      </w:pPr>
    </w:p>
    <w:p w14:paraId="57CFF204" w14:textId="6F995141" w:rsidR="00505DFF" w:rsidRPr="00505DFF" w:rsidRDefault="00505DFF" w:rsidP="00260E38">
      <w:pPr>
        <w:pStyle w:val="Heading1"/>
      </w:pPr>
      <w:bookmarkStart w:id="2" w:name="_Toc214198775"/>
      <w:r w:rsidRPr="00505DFF">
        <w:t>Defining Person-Centred Care: Benefits and Limitations</w:t>
      </w:r>
      <w:bookmarkEnd w:id="2"/>
    </w:p>
    <w:p w14:paraId="4B7F2C67"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The Health Foundation (2016) writes that PCC in mental health and elsewhere goes beyond a focus on symptoms to include an understanding of individuals lived experiences, values, identities, and aspirations, and a variety of other constructs, including being treated with respect, coordination of care, shared decision-making and personalisation. In mental health, PCC is often delivered through recovery-oriented conversations, co-produced risk and safety plans, or personalised crisis management and relapse prevention plans. This variation is partly because the recovery experience of individual service users can be unique and recovery can be a non-linear process.</w:t>
      </w:r>
    </w:p>
    <w:p w14:paraId="68D74674"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The advantages of PCC within mental health care include findings that involvement is associated with increased engagement with treatment, stronger therapeutic relationships and </w:t>
      </w:r>
      <w:r w:rsidRPr="00260E38">
        <w:rPr>
          <w:rFonts w:ascii="Arial" w:hAnsi="Arial" w:cs="Arial"/>
          <w:sz w:val="22"/>
          <w:szCs w:val="22"/>
        </w:rPr>
        <w:lastRenderedPageBreak/>
        <w:t>reduced relapse (Slade, 2009). PCC supports autonomy and identity, countering the disempowerment of psychiatric diagnosis and hospitalisation. Recovery-oriented models of mental healthcare based on PCC principles have been positively associated, when delivered in practice, with hope, service satisfaction and improved long-term outcomes for people with lived experience of mental distress (Repper and Perkins, 2003). PCC is closely associated with trauma-informed care; a history of trauma is common among people using mental health services so practices to promote safety, choice, and empowerment appear to help (NICE, 2022).</w:t>
      </w:r>
    </w:p>
    <w:p w14:paraId="2CA97429" w14:textId="0AF22DED" w:rsidR="00C63F82" w:rsidRDefault="00260E38" w:rsidP="00260E38">
      <w:pPr>
        <w:spacing w:line="360" w:lineRule="auto"/>
        <w:jc w:val="both"/>
        <w:rPr>
          <w:rFonts w:ascii="Arial" w:hAnsi="Arial" w:cs="Arial"/>
          <w:b/>
          <w:bCs/>
          <w:sz w:val="22"/>
          <w:szCs w:val="22"/>
        </w:rPr>
      </w:pPr>
      <w:r w:rsidRPr="00260E38">
        <w:rPr>
          <w:rFonts w:ascii="Arial" w:hAnsi="Arial" w:cs="Arial"/>
          <w:sz w:val="22"/>
          <w:szCs w:val="22"/>
        </w:rPr>
        <w:t xml:space="preserve">Nonetheless, there are barriers to delivering PCC in mental health, such as staff shortages, funding cuts and high staff caseloads, which reduce practitioners' ability to offer customised support (NHS Confederation, 2022). Mental capacity can also fluctuate. At times, people using services may lack capacity to consent, for example, during an episode of acute psychosis, mania or severe depression. In these </w:t>
      </w:r>
      <w:r w:rsidRPr="00260E38">
        <w:rPr>
          <w:rFonts w:ascii="Arial" w:hAnsi="Arial" w:cs="Arial"/>
          <w:sz w:val="22"/>
          <w:szCs w:val="22"/>
        </w:rPr>
        <w:t>cases,</w:t>
      </w:r>
      <w:r w:rsidRPr="00260E38">
        <w:rPr>
          <w:rFonts w:ascii="Arial" w:hAnsi="Arial" w:cs="Arial"/>
          <w:sz w:val="22"/>
          <w:szCs w:val="22"/>
        </w:rPr>
        <w:t xml:space="preserve"> risk assessment may override the right to autonomy, and the Mental Health Act 1983 may require staff to make decisions to protect the individual against their will. This tension between patient choice and the legal and ethical obligation to protect the individual and others is compounded by stigma and power differentials within the mental health system that can further obstruct true participation. Therefore, while PCC is a principle, </w:t>
      </w:r>
      <w:proofErr w:type="gramStart"/>
      <w:r w:rsidRPr="00260E38">
        <w:rPr>
          <w:rFonts w:ascii="Arial" w:hAnsi="Arial" w:cs="Arial"/>
          <w:sz w:val="22"/>
          <w:szCs w:val="22"/>
        </w:rPr>
        <w:t>in order to</w:t>
      </w:r>
      <w:proofErr w:type="gramEnd"/>
      <w:r w:rsidRPr="00260E38">
        <w:rPr>
          <w:rFonts w:ascii="Arial" w:hAnsi="Arial" w:cs="Arial"/>
          <w:sz w:val="22"/>
          <w:szCs w:val="22"/>
        </w:rPr>
        <w:t xml:space="preserve"> be fully realised it requires system-level support.</w:t>
      </w:r>
    </w:p>
    <w:p w14:paraId="186BDD62" w14:textId="77777777" w:rsidR="00260E38" w:rsidRDefault="00260E38" w:rsidP="00505DFF">
      <w:pPr>
        <w:spacing w:line="360" w:lineRule="auto"/>
        <w:jc w:val="both"/>
        <w:rPr>
          <w:rFonts w:ascii="Arial" w:hAnsi="Arial" w:cs="Arial"/>
          <w:b/>
          <w:bCs/>
          <w:sz w:val="22"/>
          <w:szCs w:val="22"/>
        </w:rPr>
      </w:pPr>
    </w:p>
    <w:p w14:paraId="309214B3" w14:textId="07D884D0" w:rsidR="00505DFF" w:rsidRPr="00505DFF" w:rsidRDefault="00505DFF" w:rsidP="00260E38">
      <w:pPr>
        <w:pStyle w:val="Heading1"/>
      </w:pPr>
      <w:bookmarkStart w:id="3" w:name="_Toc214198776"/>
      <w:r w:rsidRPr="00505DFF">
        <w:t>Theoretical Frameworks Underpinning PCC in Mental Health</w:t>
      </w:r>
      <w:bookmarkEnd w:id="3"/>
    </w:p>
    <w:p w14:paraId="0D00D809"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One theoretical supporting of PCC in mental health is the Recovery Model. Anthony (1993) described recovery as the way in which people with mental health difficulties can live a meaningful and fulfilling life despite the presence of mental health problems. Recovery orientation is a way of working characterised by hope, empowerment, purposefulness, and self-determination which is compatible with the PCC principle of dignity, autonomy and person-centred care. Recovery-oriented practitioners may go beyond the clinical model and consider social, relational, and personal factors that influence the well-being of the person.</w:t>
      </w:r>
    </w:p>
    <w:p w14:paraId="746C85DE"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A recovery-oriented approach, in practice, is a partnership relationship between the person receiving services and their clinician, which recognises the lived experience of the individual receiving services as an equal authority with the expertise of the clinician in shared decision-making, strength-based assessment, and person-centred goal-setting. For example, recovery can inform collaborative care planning in community mental health teams with goals for the person served, such as returning to employment, reconnecting with family members and managing symptoms using preferred approaches.</w:t>
      </w:r>
    </w:p>
    <w:p w14:paraId="0258831F"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lastRenderedPageBreak/>
        <w:t>Critics of the Recovery Model claim that it allows services to define recovery as a demand for autonomy in place of a personal goal (Slade et al., 2014). Others argue that it is difficult to practice recovery-oriented care, because they sometimes must coerce or compel to ensure they deliver treatment in a crisis. However, its holistic and empowering philosophy is well-suited to PCC approaches in mental health care.</w:t>
      </w:r>
    </w:p>
    <w:p w14:paraId="5FFDCBCD" w14:textId="77777777" w:rsidR="00C63F82" w:rsidRDefault="00C63F82" w:rsidP="00505DFF">
      <w:pPr>
        <w:spacing w:line="360" w:lineRule="auto"/>
        <w:jc w:val="both"/>
        <w:rPr>
          <w:rFonts w:ascii="Arial" w:hAnsi="Arial" w:cs="Arial"/>
          <w:b/>
          <w:bCs/>
          <w:sz w:val="22"/>
          <w:szCs w:val="22"/>
        </w:rPr>
      </w:pPr>
    </w:p>
    <w:p w14:paraId="4BFD2488" w14:textId="6EE84722" w:rsidR="00505DFF" w:rsidRPr="00505DFF" w:rsidRDefault="00505DFF" w:rsidP="00260E38">
      <w:pPr>
        <w:pStyle w:val="Heading1"/>
      </w:pPr>
      <w:bookmarkStart w:id="4" w:name="_Toc214198777"/>
      <w:r w:rsidRPr="00505DFF">
        <w:t>Ethical Fundamentals in PCC and Mental Health Care</w:t>
      </w:r>
      <w:bookmarkEnd w:id="4"/>
    </w:p>
    <w:p w14:paraId="1FACC070" w14:textId="421F87F1" w:rsidR="006E14EC" w:rsidRPr="006E14EC" w:rsidRDefault="006E14EC" w:rsidP="006E14EC">
      <w:pPr>
        <w:spacing w:line="360" w:lineRule="auto"/>
        <w:jc w:val="both"/>
        <w:rPr>
          <w:rFonts w:ascii="Arial" w:hAnsi="Arial" w:cs="Arial"/>
          <w:sz w:val="22"/>
          <w:szCs w:val="22"/>
        </w:rPr>
      </w:pPr>
      <w:r>
        <w:rPr>
          <w:rFonts w:ascii="Arial" w:hAnsi="Arial" w:cs="Arial"/>
          <w:sz w:val="22"/>
          <w:szCs w:val="22"/>
        </w:rPr>
        <w:t>Premised on the analysis above</w:t>
      </w:r>
      <w:r w:rsidRPr="006E14EC">
        <w:rPr>
          <w:rFonts w:ascii="Arial" w:hAnsi="Arial" w:cs="Arial"/>
          <w:sz w:val="22"/>
          <w:szCs w:val="22"/>
        </w:rPr>
        <w:t>, special emphasis is paid to ethical considerations in mental health work, where the dilemmas of autonomy, safety and clinical responsibility interact. While autonomy is strongly valued by the PCC approach, it is also particularly difficult to uphold in the face of mental health workers' duty to maintain things like safety. Shared decision making, informed consent and advance statements promote autonomy, but people can lack decision making capacity in episodes of severe mental illness, and practitioners may have to make difficult decisions on their behalf.</w:t>
      </w:r>
    </w:p>
    <w:p w14:paraId="415F521E" w14:textId="2CBEDF29"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 xml:space="preserve">Beneficence and non-maleficence involve acting in the person's best interests and avoiding doing </w:t>
      </w:r>
      <w:r w:rsidRPr="006E14EC">
        <w:rPr>
          <w:rFonts w:ascii="Arial" w:hAnsi="Arial" w:cs="Arial"/>
          <w:sz w:val="22"/>
          <w:szCs w:val="22"/>
        </w:rPr>
        <w:t>harm but</w:t>
      </w:r>
      <w:r w:rsidRPr="006E14EC">
        <w:rPr>
          <w:rFonts w:ascii="Arial" w:hAnsi="Arial" w:cs="Arial"/>
          <w:sz w:val="22"/>
          <w:szCs w:val="22"/>
        </w:rPr>
        <w:t xml:space="preserve"> can be more complicated in the mental health context (e.g. suicidality, self-harm, psychotic symptoms, involuntary treatment). For example, there may be situations in which respect for autonomy </w:t>
      </w:r>
      <w:proofErr w:type="gramStart"/>
      <w:r w:rsidRPr="006E14EC">
        <w:rPr>
          <w:rFonts w:ascii="Arial" w:hAnsi="Arial" w:cs="Arial"/>
          <w:sz w:val="22"/>
          <w:szCs w:val="22"/>
        </w:rPr>
        <w:t>is in conflict with</w:t>
      </w:r>
      <w:proofErr w:type="gramEnd"/>
      <w:r w:rsidRPr="006E14EC">
        <w:rPr>
          <w:rFonts w:ascii="Arial" w:hAnsi="Arial" w:cs="Arial"/>
          <w:sz w:val="22"/>
          <w:szCs w:val="22"/>
        </w:rPr>
        <w:t xml:space="preserve"> protection of life or health, as may have been the case in refusing treatment under a psychotic episode, where the Mental Health Act may override autonomy.</w:t>
      </w:r>
    </w:p>
    <w:p w14:paraId="00DE230B"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Justice is another important value as inequalities exist within mental health services. People from minority ethnic backgrounds, disabled people, and people living in poverty are often greatly delayed in receiving mental health services, and the value of justice calls for these inequalities to be addressed (NHS England, 2020). Justice calls for services to provide equitable, culturally capable care and to challenge discrimination.</w:t>
      </w:r>
    </w:p>
    <w:p w14:paraId="4DA8BCDD" w14:textId="77777777" w:rsidR="00C63F82" w:rsidRDefault="00C63F82" w:rsidP="00505DFF">
      <w:pPr>
        <w:spacing w:line="360" w:lineRule="auto"/>
        <w:jc w:val="both"/>
        <w:rPr>
          <w:rFonts w:ascii="Arial" w:hAnsi="Arial" w:cs="Arial"/>
          <w:b/>
          <w:bCs/>
          <w:sz w:val="22"/>
          <w:szCs w:val="22"/>
        </w:rPr>
      </w:pPr>
    </w:p>
    <w:p w14:paraId="5FCECA6D" w14:textId="7F57280F" w:rsidR="00505DFF" w:rsidRPr="00505DFF" w:rsidRDefault="00505DFF" w:rsidP="00260E38">
      <w:pPr>
        <w:pStyle w:val="Heading1"/>
      </w:pPr>
      <w:bookmarkStart w:id="5" w:name="_Toc214198778"/>
      <w:r w:rsidRPr="00505DFF">
        <w:t>Evaluation of Partnership Working in Mental Health</w:t>
      </w:r>
      <w:bookmarkEnd w:id="5"/>
    </w:p>
    <w:p w14:paraId="16A7698D"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 xml:space="preserve">PW is important within mental health services because of the inter-related nature of mental health, social care, housing, employment and physical health needs (Glasby and Dickinson, 2014). PW may also ease effective continuity of care and a reduction in fragmented services and enable a more holistic approach. CMHTs assess in a multi-disciplinary way and plan care. Psychiatrists, clinical psychologists, community psychiatric nurses, social workers, and occupational therapists each have a role. PW also acts in crisis intervention because effective </w:t>
      </w:r>
      <w:r w:rsidRPr="006E14EC">
        <w:rPr>
          <w:rFonts w:ascii="Arial" w:hAnsi="Arial" w:cs="Arial"/>
          <w:sz w:val="22"/>
          <w:szCs w:val="22"/>
        </w:rPr>
        <w:lastRenderedPageBreak/>
        <w:t>liaison with crisis teams, police, ambulance, and A &amp; E staff helps avoid harm and ensures an understanding, humane response.</w:t>
      </w:r>
    </w:p>
    <w:p w14:paraId="2F8910B4"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Several barriers affect PW effectiveness. IT systems fragment in the NHS and social care, so people cannot easily share information, which duplicates or delays. Misalignment of organisational cultures, and real or perceived power imbalances between medical and social care professionals, may be barriers to joint working.</w:t>
      </w:r>
    </w:p>
    <w:p w14:paraId="1CD8A374" w14:textId="77777777" w:rsidR="00C63F82" w:rsidRDefault="00C63F82" w:rsidP="00505DFF">
      <w:pPr>
        <w:spacing w:line="360" w:lineRule="auto"/>
        <w:jc w:val="both"/>
        <w:rPr>
          <w:rFonts w:ascii="Arial" w:hAnsi="Arial" w:cs="Arial"/>
          <w:b/>
          <w:bCs/>
          <w:sz w:val="22"/>
          <w:szCs w:val="22"/>
        </w:rPr>
      </w:pPr>
    </w:p>
    <w:p w14:paraId="043B1426" w14:textId="6682A67C" w:rsidR="00505DFF" w:rsidRPr="00505DFF" w:rsidRDefault="00505DFF" w:rsidP="00260E38">
      <w:pPr>
        <w:pStyle w:val="Heading1"/>
      </w:pPr>
      <w:bookmarkStart w:id="6" w:name="_Toc214198779"/>
      <w:r w:rsidRPr="00505DFF">
        <w:t>Policy and Legislation Shaping PCC and PW in Mental Health</w:t>
      </w:r>
      <w:bookmarkEnd w:id="6"/>
    </w:p>
    <w:p w14:paraId="7E3EEB04"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 xml:space="preserve">PCC and PW, like all mental health professionals, are governed by legislation. The 2007 amended Mental Health Act 1983 allows for compulsory detention of service users, giving authority for PCC and PW to act when </w:t>
      </w:r>
      <w:proofErr w:type="gramStart"/>
      <w:r w:rsidRPr="006E14EC">
        <w:rPr>
          <w:rFonts w:ascii="Arial" w:hAnsi="Arial" w:cs="Arial"/>
          <w:sz w:val="22"/>
          <w:szCs w:val="22"/>
        </w:rPr>
        <w:t>an</w:t>
      </w:r>
      <w:proofErr w:type="gramEnd"/>
      <w:r w:rsidRPr="006E14EC">
        <w:rPr>
          <w:rFonts w:ascii="Arial" w:hAnsi="Arial" w:cs="Arial"/>
          <w:sz w:val="22"/>
          <w:szCs w:val="22"/>
        </w:rPr>
        <w:t xml:space="preserve"> user is at meaningful risk. While protecting individuals and society, the law can also create barriers to autonomy and access to PCC, particularly in cases where people may feel coerced or distrustful of the process.</w:t>
      </w:r>
    </w:p>
    <w:p w14:paraId="4ECAE9BE"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The PCC is supported by the Mental Capacity Act 2005, which describes procedures for assessing decision-making capacity and prescribes that all decisions by others on behalf of someone who lacks mental capacity must be made in their "best interests". The Act also enshrines the principle of autonomy by requiring practitioners to maximise involvement and to assume capacity unless a person is found to lack it.</w:t>
      </w:r>
    </w:p>
    <w:p w14:paraId="59761070"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 xml:space="preserve">The Care Act 2014 is the main legislation guiding PW. Under it, local authorities must promote wellbeing, protect adults at risk and integrate services. The Care Act stresses personalisation, prevention and co-production. These are also fundamental principles of PCC in mental health. There is also a wider policy and legislative context to person-centred and collaborative mental health care. For </w:t>
      </w:r>
      <w:proofErr w:type="gramStart"/>
      <w:r w:rsidRPr="006E14EC">
        <w:rPr>
          <w:rFonts w:ascii="Arial" w:hAnsi="Arial" w:cs="Arial"/>
          <w:sz w:val="22"/>
          <w:szCs w:val="22"/>
        </w:rPr>
        <w:t>example</w:t>
      </w:r>
      <w:proofErr w:type="gramEnd"/>
      <w:r w:rsidRPr="006E14EC">
        <w:rPr>
          <w:rFonts w:ascii="Arial" w:hAnsi="Arial" w:cs="Arial"/>
          <w:sz w:val="22"/>
          <w:szCs w:val="22"/>
        </w:rPr>
        <w:t xml:space="preserve"> the Equality Act 2010 stipulates that discrimination against people </w:t>
      </w:r>
      <w:proofErr w:type="gramStart"/>
      <w:r w:rsidRPr="006E14EC">
        <w:rPr>
          <w:rFonts w:ascii="Arial" w:hAnsi="Arial" w:cs="Arial"/>
          <w:sz w:val="22"/>
          <w:szCs w:val="22"/>
        </w:rPr>
        <w:t>on the basis of</w:t>
      </w:r>
      <w:proofErr w:type="gramEnd"/>
      <w:r w:rsidRPr="006E14EC">
        <w:rPr>
          <w:rFonts w:ascii="Arial" w:hAnsi="Arial" w:cs="Arial"/>
          <w:sz w:val="22"/>
          <w:szCs w:val="22"/>
        </w:rPr>
        <w:t xml:space="preserve"> </w:t>
      </w:r>
      <w:proofErr w:type="gramStart"/>
      <w:r w:rsidRPr="006E14EC">
        <w:rPr>
          <w:rFonts w:ascii="Arial" w:hAnsi="Arial" w:cs="Arial"/>
          <w:sz w:val="22"/>
          <w:szCs w:val="22"/>
        </w:rPr>
        <w:t>particular protected</w:t>
      </w:r>
      <w:proofErr w:type="gramEnd"/>
      <w:r w:rsidRPr="006E14EC">
        <w:rPr>
          <w:rFonts w:ascii="Arial" w:hAnsi="Arial" w:cs="Arial"/>
          <w:sz w:val="22"/>
          <w:szCs w:val="22"/>
        </w:rPr>
        <w:t xml:space="preserve"> characteristics, which include disability, race and age, is unlawful.</w:t>
      </w:r>
    </w:p>
    <w:p w14:paraId="2161808A"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The Human Rights Act 1998 provides a further strong rights basis for mental health practice. Its articles concerning liberty, privacy, dignity and family life have a special relevance for in-patient care and for the compulsory treatment of patients. Restrictions upon liberty, however, must be justified as proportionate and necessary. This ensures that where coercive treatment is allowed, it is done with the rights of the individual.</w:t>
      </w:r>
    </w:p>
    <w:p w14:paraId="348CFE88"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 xml:space="preserve">Data protection legislation like the Data Protection Act 2018 and the UK General Data Protection Regulation (GDPR) affect PW upon deciding whether PW should disclose personal sensitive data regarding an individual's mental health. While confidentiality helps PW relate with trust, legislation allows disclosure of information for protecting the individual or the public </w:t>
      </w:r>
      <w:r w:rsidRPr="006E14EC">
        <w:rPr>
          <w:rFonts w:ascii="Arial" w:hAnsi="Arial" w:cs="Arial"/>
          <w:sz w:val="22"/>
          <w:szCs w:val="22"/>
        </w:rPr>
        <w:lastRenderedPageBreak/>
        <w:t>interest. This makes practitioners responsible to balance protecting privacy and ensuring safety and to judge professionally based on law and ethics.</w:t>
      </w:r>
    </w:p>
    <w:p w14:paraId="200D7D6D" w14:textId="77777777" w:rsidR="006E14EC" w:rsidRPr="00505DFF" w:rsidRDefault="006E14EC" w:rsidP="006E14EC">
      <w:pPr>
        <w:spacing w:line="360" w:lineRule="auto"/>
        <w:jc w:val="both"/>
        <w:rPr>
          <w:rFonts w:ascii="Arial" w:hAnsi="Arial" w:cs="Arial"/>
          <w:sz w:val="22"/>
          <w:szCs w:val="22"/>
        </w:rPr>
      </w:pPr>
      <w:r w:rsidRPr="006E14EC">
        <w:rPr>
          <w:rFonts w:ascii="Arial" w:hAnsi="Arial" w:cs="Arial"/>
          <w:sz w:val="22"/>
          <w:szCs w:val="22"/>
        </w:rPr>
        <w:t xml:space="preserve">Several similar statutory and non-statutory policies exist, including within the NHS Long Term Plan (2019), which stresses, among other things, creating more community-based mental health services, reducing inpatient admissions and a more collaborative approach. Taken together, the policies stress the importance of PCC and </w:t>
      </w:r>
      <w:proofErr w:type="gramStart"/>
      <w:r w:rsidRPr="006E14EC">
        <w:rPr>
          <w:rFonts w:ascii="Arial" w:hAnsi="Arial" w:cs="Arial"/>
          <w:sz w:val="22"/>
          <w:szCs w:val="22"/>
        </w:rPr>
        <w:t>PW</w:t>
      </w:r>
      <w:proofErr w:type="gramEnd"/>
      <w:r w:rsidRPr="006E14EC">
        <w:rPr>
          <w:rFonts w:ascii="Arial" w:hAnsi="Arial" w:cs="Arial"/>
          <w:sz w:val="22"/>
          <w:szCs w:val="22"/>
        </w:rPr>
        <w:t xml:space="preserve"> and the challenges practitioners face in reconciling their statutory duties with the need to meet individual needs and preferences.</w:t>
      </w:r>
    </w:p>
    <w:p w14:paraId="6B89E1AB" w14:textId="77777777" w:rsidR="00C63F82" w:rsidRDefault="00C63F82" w:rsidP="00505DFF">
      <w:pPr>
        <w:spacing w:line="360" w:lineRule="auto"/>
        <w:jc w:val="both"/>
        <w:rPr>
          <w:rFonts w:ascii="Arial" w:hAnsi="Arial" w:cs="Arial"/>
          <w:b/>
          <w:bCs/>
          <w:sz w:val="22"/>
          <w:szCs w:val="22"/>
        </w:rPr>
      </w:pPr>
    </w:p>
    <w:p w14:paraId="20525CDC" w14:textId="64494FDE" w:rsidR="00505DFF" w:rsidRPr="00505DFF" w:rsidRDefault="00505DFF" w:rsidP="006E14EC">
      <w:pPr>
        <w:pStyle w:val="Heading1"/>
      </w:pPr>
      <w:bookmarkStart w:id="7" w:name="_Toc214198780"/>
      <w:r w:rsidRPr="00505DFF">
        <w:t>Recommendations for Strengthening PCC and PW in Mental Health Services</w:t>
      </w:r>
      <w:bookmarkEnd w:id="7"/>
    </w:p>
    <w:p w14:paraId="22F2FF45" w14:textId="0026E3A2"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 xml:space="preserve">To improve PCC and PW in mental health services, systematic, organisational and cultural changes are needed. Mental health services require a strong mental health workforce. Mental health nurses, psychiatrists, psychologists, and social workers are in chronic shortage, so practitioners over burden themselves and can barely converse with person-centeredness to plan treatments collaboratively. To invest to recruit, to train, and to retain clinicians could allow more time for therapeutic </w:t>
      </w:r>
      <w:r w:rsidRPr="006E14EC">
        <w:rPr>
          <w:rFonts w:ascii="Arial" w:hAnsi="Arial" w:cs="Arial"/>
          <w:sz w:val="22"/>
          <w:szCs w:val="22"/>
        </w:rPr>
        <w:t>engagement and</w:t>
      </w:r>
      <w:r w:rsidRPr="006E14EC">
        <w:rPr>
          <w:rFonts w:ascii="Arial" w:hAnsi="Arial" w:cs="Arial"/>
          <w:sz w:val="22"/>
          <w:szCs w:val="22"/>
        </w:rPr>
        <w:t xml:space="preserve"> reduce the reliance on high-intensity and crisis-driven care.</w:t>
      </w:r>
    </w:p>
    <w:p w14:paraId="5F37C239"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Integration needs work as another area. The fragmentation in the information technology systems used in the NHS, social services and voluntary and community organizations, means greater digital interoperability would help to improve communication, reduce duplication and support timely and well-informed decision-making, particularly during crisis and transitions of care.</w:t>
      </w:r>
    </w:p>
    <w:p w14:paraId="7922DB79"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Another key component to develop PCC is co-producing care with service users and carers. Many service users feel the decision-making processes affecting their care are impenetrable. Embedding co-production into service design, policy development and day-to-day decision-making on care would better promote dignity and independence and be more representative of a diverse population. Achieving this will require structural changes, such as the introduction of service user advisory boards, and cultural change, such as professionals being supported in recognising lived experience as a form of expertise.</w:t>
      </w:r>
    </w:p>
    <w:p w14:paraId="494A97D5"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 xml:space="preserve">Increasing funding for community-based early intervention and preventative services would further reduce reliance on crisis and inpatient services. Crisis cafés, safe havens, peer support teams and trauma-informed community-based services would act as alternatives to hospital admission and reduce the use through coercive interventions. Interprofessional training regarding cultural competence, trauma-informed care, and shared decision-making may </w:t>
      </w:r>
      <w:r w:rsidRPr="006E14EC">
        <w:rPr>
          <w:rFonts w:ascii="Arial" w:hAnsi="Arial" w:cs="Arial"/>
          <w:sz w:val="22"/>
          <w:szCs w:val="22"/>
        </w:rPr>
        <w:lastRenderedPageBreak/>
        <w:t>strengthen PCC and PW through improved professional self-efficacy and reduced biased attitudes.</w:t>
      </w:r>
    </w:p>
    <w:p w14:paraId="4DAFAF5A" w14:textId="77777777" w:rsidR="006E14EC" w:rsidRPr="006E14EC" w:rsidRDefault="006E14EC" w:rsidP="006E14EC">
      <w:pPr>
        <w:spacing w:line="360" w:lineRule="auto"/>
        <w:jc w:val="both"/>
        <w:rPr>
          <w:rFonts w:ascii="Arial" w:hAnsi="Arial" w:cs="Arial"/>
          <w:sz w:val="22"/>
          <w:szCs w:val="22"/>
        </w:rPr>
      </w:pPr>
    </w:p>
    <w:p w14:paraId="588DA7E5" w14:textId="79842C3B" w:rsidR="00505DFF" w:rsidRPr="00505DFF" w:rsidRDefault="00505DFF" w:rsidP="006E14EC">
      <w:pPr>
        <w:pStyle w:val="Heading1"/>
      </w:pPr>
      <w:bookmarkStart w:id="8" w:name="_Toc214198781"/>
      <w:r w:rsidRPr="00505DFF">
        <w:t>Conclusion</w:t>
      </w:r>
      <w:bookmarkEnd w:id="8"/>
    </w:p>
    <w:p w14:paraId="3A1483F8" w14:textId="77777777" w:rsidR="006E14EC" w:rsidRPr="006E14EC" w:rsidRDefault="006E14EC" w:rsidP="006E14EC">
      <w:pPr>
        <w:spacing w:line="360" w:lineRule="auto"/>
        <w:jc w:val="both"/>
        <w:rPr>
          <w:rFonts w:ascii="Arial" w:hAnsi="Arial" w:cs="Arial"/>
          <w:sz w:val="22"/>
          <w:szCs w:val="22"/>
        </w:rPr>
      </w:pPr>
      <w:r w:rsidRPr="006E14EC">
        <w:rPr>
          <w:rFonts w:ascii="Arial" w:hAnsi="Arial" w:cs="Arial"/>
          <w:sz w:val="22"/>
          <w:szCs w:val="22"/>
        </w:rPr>
        <w:t>Mental health services work well with person-centred care and partnership. They provide the principles and framework upon which to best support people experiencing distress, to promote recovery and to protect and uphold rights. Throughout this report, we have shown that PCC promotes autonomy, alliance building, and wellbeing, and PW promotes a co-ordinated and holistic response to the complex and diverse needs seen in mental health. Nevertheless, workforce shortages, risk-management pressures, capacity fluctuations, and structural conditions that stifle collaborative behaviour pose obstacles to implementation.</w:t>
      </w:r>
    </w:p>
    <w:p w14:paraId="40178906" w14:textId="39213A39" w:rsidR="006E14EC" w:rsidRDefault="006E14EC" w:rsidP="006E14EC">
      <w:pPr>
        <w:spacing w:line="360" w:lineRule="auto"/>
        <w:jc w:val="both"/>
        <w:rPr>
          <w:rFonts w:ascii="Arial" w:hAnsi="Arial" w:cs="Arial"/>
          <w:b/>
          <w:bCs/>
          <w:sz w:val="22"/>
          <w:szCs w:val="22"/>
        </w:rPr>
      </w:pPr>
      <w:r w:rsidRPr="006E14EC">
        <w:rPr>
          <w:rFonts w:ascii="Arial" w:hAnsi="Arial" w:cs="Arial"/>
          <w:sz w:val="22"/>
          <w:szCs w:val="22"/>
        </w:rPr>
        <w:t xml:space="preserve">Recovery theory (the Recovery Model etc.) supports PCC particularly </w:t>
      </w:r>
      <w:proofErr w:type="gramStart"/>
      <w:r w:rsidRPr="006E14EC">
        <w:rPr>
          <w:rFonts w:ascii="Arial" w:hAnsi="Arial" w:cs="Arial"/>
          <w:sz w:val="22"/>
          <w:szCs w:val="22"/>
        </w:rPr>
        <w:t>on the basis of</w:t>
      </w:r>
      <w:proofErr w:type="gramEnd"/>
      <w:r w:rsidRPr="006E14EC">
        <w:rPr>
          <w:rFonts w:ascii="Arial" w:hAnsi="Arial" w:cs="Arial"/>
          <w:sz w:val="22"/>
          <w:szCs w:val="22"/>
        </w:rPr>
        <w:t xml:space="preserve"> lived experience, agency, and meaning. Autonomy and justice are ethical arguments for </w:t>
      </w:r>
      <w:r w:rsidRPr="006E14EC">
        <w:rPr>
          <w:rFonts w:ascii="Arial" w:hAnsi="Arial" w:cs="Arial"/>
          <w:sz w:val="22"/>
          <w:szCs w:val="22"/>
        </w:rPr>
        <w:t>PCC but</w:t>
      </w:r>
      <w:r w:rsidRPr="006E14EC">
        <w:rPr>
          <w:rFonts w:ascii="Arial" w:hAnsi="Arial" w:cs="Arial"/>
          <w:sz w:val="22"/>
          <w:szCs w:val="22"/>
        </w:rPr>
        <w:t xml:space="preserve"> are often discussed alongside legal authority for coercive measures. There is a strong but complicated legal framework for PCC and PW: the Mental Health Act 1983, the Mental Capacity Act 2005 and the Care Act 2014. Further investment in the workforce, digital, co-</w:t>
      </w:r>
      <w:r w:rsidRPr="006E14EC">
        <w:rPr>
          <w:rFonts w:ascii="Arial" w:hAnsi="Arial" w:cs="Arial"/>
          <w:sz w:val="22"/>
          <w:szCs w:val="22"/>
        </w:rPr>
        <w:t>produced</w:t>
      </w:r>
      <w:r w:rsidRPr="006E14EC">
        <w:rPr>
          <w:rFonts w:ascii="Arial" w:hAnsi="Arial" w:cs="Arial"/>
          <w:sz w:val="22"/>
          <w:szCs w:val="22"/>
        </w:rPr>
        <w:t xml:space="preserve"> and preventative services will build on these foundations.</w:t>
      </w:r>
    </w:p>
    <w:p w14:paraId="30F3189F" w14:textId="2EE8F53A" w:rsidR="00505DFF" w:rsidRPr="00505DFF" w:rsidRDefault="00505DFF" w:rsidP="00505DFF">
      <w:pPr>
        <w:spacing w:line="360" w:lineRule="auto"/>
        <w:jc w:val="both"/>
        <w:rPr>
          <w:rFonts w:ascii="Arial" w:hAnsi="Arial" w:cs="Arial"/>
          <w:sz w:val="22"/>
          <w:szCs w:val="22"/>
        </w:rPr>
      </w:pPr>
    </w:p>
    <w:p w14:paraId="22B2936F" w14:textId="77777777" w:rsidR="00C63F82" w:rsidRDefault="00C63F82" w:rsidP="00505DFF">
      <w:pPr>
        <w:spacing w:line="360" w:lineRule="auto"/>
        <w:jc w:val="both"/>
        <w:rPr>
          <w:rFonts w:ascii="Arial" w:hAnsi="Arial" w:cs="Arial"/>
          <w:sz w:val="22"/>
          <w:szCs w:val="22"/>
        </w:rPr>
      </w:pPr>
    </w:p>
    <w:p w14:paraId="3719C95F" w14:textId="6DEFC702" w:rsidR="00505DFF" w:rsidRPr="00505DFF" w:rsidRDefault="00505DFF" w:rsidP="006E14EC">
      <w:pPr>
        <w:pStyle w:val="Heading1"/>
      </w:pPr>
      <w:bookmarkStart w:id="9" w:name="_Toc214198782"/>
      <w:r w:rsidRPr="00505DFF">
        <w:t>Reference</w:t>
      </w:r>
      <w:r w:rsidR="00C63F82">
        <w:t>s</w:t>
      </w:r>
      <w:bookmarkEnd w:id="9"/>
    </w:p>
    <w:p w14:paraId="5AE9D754"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Anthony, W.A. (1993) ‘Recovery from mental illness: The guiding vision of the mental health service system in the 1990s’, </w:t>
      </w:r>
      <w:r w:rsidRPr="00260E38">
        <w:rPr>
          <w:rFonts w:ascii="Arial" w:hAnsi="Arial" w:cs="Arial"/>
          <w:i/>
          <w:iCs/>
          <w:sz w:val="22"/>
          <w:szCs w:val="22"/>
        </w:rPr>
        <w:t>Psychosocial Rehabilitation Journal</w:t>
      </w:r>
      <w:r w:rsidRPr="00260E38">
        <w:rPr>
          <w:rFonts w:ascii="Arial" w:hAnsi="Arial" w:cs="Arial"/>
          <w:sz w:val="22"/>
          <w:szCs w:val="22"/>
        </w:rPr>
        <w:t>, 16(4), pp. 11–23.</w:t>
      </w:r>
    </w:p>
    <w:p w14:paraId="57F68D60"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Beauchamp, T.L. and Childress, J.F. (2019) </w:t>
      </w:r>
      <w:r w:rsidRPr="00260E38">
        <w:rPr>
          <w:rFonts w:ascii="Arial" w:hAnsi="Arial" w:cs="Arial"/>
          <w:i/>
          <w:iCs/>
          <w:sz w:val="22"/>
          <w:szCs w:val="22"/>
        </w:rPr>
        <w:t>Principles of Biomedical Ethics</w:t>
      </w:r>
      <w:r w:rsidRPr="00260E38">
        <w:rPr>
          <w:rFonts w:ascii="Arial" w:hAnsi="Arial" w:cs="Arial"/>
          <w:sz w:val="22"/>
          <w:szCs w:val="22"/>
        </w:rPr>
        <w:t xml:space="preserve">. 8th </w:t>
      </w:r>
      <w:proofErr w:type="spellStart"/>
      <w:r w:rsidRPr="00260E38">
        <w:rPr>
          <w:rFonts w:ascii="Arial" w:hAnsi="Arial" w:cs="Arial"/>
          <w:sz w:val="22"/>
          <w:szCs w:val="22"/>
        </w:rPr>
        <w:t>edn</w:t>
      </w:r>
      <w:proofErr w:type="spellEnd"/>
      <w:r w:rsidRPr="00260E38">
        <w:rPr>
          <w:rFonts w:ascii="Arial" w:hAnsi="Arial" w:cs="Arial"/>
          <w:sz w:val="22"/>
          <w:szCs w:val="22"/>
        </w:rPr>
        <w:t>. New York: Oxford University Press.</w:t>
      </w:r>
    </w:p>
    <w:p w14:paraId="289A903E"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Care Quality Commission (2022) </w:t>
      </w:r>
      <w:r w:rsidRPr="00260E38">
        <w:rPr>
          <w:rFonts w:ascii="Arial" w:hAnsi="Arial" w:cs="Arial"/>
          <w:i/>
          <w:iCs/>
          <w:sz w:val="22"/>
          <w:szCs w:val="22"/>
        </w:rPr>
        <w:t>Monitoring the Mental Health Act</w:t>
      </w:r>
      <w:r w:rsidRPr="00260E38">
        <w:rPr>
          <w:rFonts w:ascii="Arial" w:hAnsi="Arial" w:cs="Arial"/>
          <w:sz w:val="22"/>
          <w:szCs w:val="22"/>
        </w:rPr>
        <w:t>. Newcastle: CQC.</w:t>
      </w:r>
    </w:p>
    <w:p w14:paraId="4C9C515F"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Department of Health and Social Care (2014) </w:t>
      </w:r>
      <w:r w:rsidRPr="00260E38">
        <w:rPr>
          <w:rFonts w:ascii="Arial" w:hAnsi="Arial" w:cs="Arial"/>
          <w:i/>
          <w:iCs/>
          <w:sz w:val="22"/>
          <w:szCs w:val="22"/>
        </w:rPr>
        <w:t>Care Act 2014</w:t>
      </w:r>
      <w:r w:rsidRPr="00260E38">
        <w:rPr>
          <w:rFonts w:ascii="Arial" w:hAnsi="Arial" w:cs="Arial"/>
          <w:sz w:val="22"/>
          <w:szCs w:val="22"/>
        </w:rPr>
        <w:t>. London: The Stationery Office.</w:t>
      </w:r>
    </w:p>
    <w:p w14:paraId="23EA81DB"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Department of Health and Social Care (2015) </w:t>
      </w:r>
      <w:r w:rsidRPr="00260E38">
        <w:rPr>
          <w:rFonts w:ascii="Arial" w:hAnsi="Arial" w:cs="Arial"/>
          <w:i/>
          <w:iCs/>
          <w:sz w:val="22"/>
          <w:szCs w:val="22"/>
        </w:rPr>
        <w:t>Code of Practice: Mental Health Act 1983</w:t>
      </w:r>
      <w:r w:rsidRPr="00260E38">
        <w:rPr>
          <w:rFonts w:ascii="Arial" w:hAnsi="Arial" w:cs="Arial"/>
          <w:sz w:val="22"/>
          <w:szCs w:val="22"/>
        </w:rPr>
        <w:t>. London: DHSC.</w:t>
      </w:r>
    </w:p>
    <w:p w14:paraId="768467F3"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Department of Health and Social Care (2018) </w:t>
      </w:r>
      <w:r w:rsidRPr="00260E38">
        <w:rPr>
          <w:rFonts w:ascii="Arial" w:hAnsi="Arial" w:cs="Arial"/>
          <w:i/>
          <w:iCs/>
          <w:sz w:val="22"/>
          <w:szCs w:val="22"/>
        </w:rPr>
        <w:t>Modernising the Mental Health Act: Final Report of the Independent Review</w:t>
      </w:r>
      <w:r w:rsidRPr="00260E38">
        <w:rPr>
          <w:rFonts w:ascii="Arial" w:hAnsi="Arial" w:cs="Arial"/>
          <w:sz w:val="22"/>
          <w:szCs w:val="22"/>
        </w:rPr>
        <w:t>. London: DHSC.</w:t>
      </w:r>
    </w:p>
    <w:p w14:paraId="5094DAB9"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Equality and Human Rights Commission (2020) </w:t>
      </w:r>
      <w:r w:rsidRPr="00260E38">
        <w:rPr>
          <w:rFonts w:ascii="Arial" w:hAnsi="Arial" w:cs="Arial"/>
          <w:i/>
          <w:iCs/>
          <w:sz w:val="22"/>
          <w:szCs w:val="22"/>
        </w:rPr>
        <w:t>Equality Act 2010 Guidance</w:t>
      </w:r>
      <w:r w:rsidRPr="00260E38">
        <w:rPr>
          <w:rFonts w:ascii="Arial" w:hAnsi="Arial" w:cs="Arial"/>
          <w:sz w:val="22"/>
          <w:szCs w:val="22"/>
        </w:rPr>
        <w:t>. London: EHRC.</w:t>
      </w:r>
    </w:p>
    <w:p w14:paraId="7997D860"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lastRenderedPageBreak/>
        <w:t xml:space="preserve">Glasby, J. (2017) </w:t>
      </w:r>
      <w:r w:rsidRPr="00260E38">
        <w:rPr>
          <w:rFonts w:ascii="Arial" w:hAnsi="Arial" w:cs="Arial"/>
          <w:i/>
          <w:iCs/>
          <w:sz w:val="22"/>
          <w:szCs w:val="22"/>
        </w:rPr>
        <w:t>Understanding Health and Social Care</w:t>
      </w:r>
      <w:r w:rsidRPr="00260E38">
        <w:rPr>
          <w:rFonts w:ascii="Arial" w:hAnsi="Arial" w:cs="Arial"/>
          <w:sz w:val="22"/>
          <w:szCs w:val="22"/>
        </w:rPr>
        <w:t xml:space="preserve">. 3rd </w:t>
      </w:r>
      <w:proofErr w:type="spellStart"/>
      <w:r w:rsidRPr="00260E38">
        <w:rPr>
          <w:rFonts w:ascii="Arial" w:hAnsi="Arial" w:cs="Arial"/>
          <w:sz w:val="22"/>
          <w:szCs w:val="22"/>
        </w:rPr>
        <w:t>edn</w:t>
      </w:r>
      <w:proofErr w:type="spellEnd"/>
      <w:r w:rsidRPr="00260E38">
        <w:rPr>
          <w:rFonts w:ascii="Arial" w:hAnsi="Arial" w:cs="Arial"/>
          <w:sz w:val="22"/>
          <w:szCs w:val="22"/>
        </w:rPr>
        <w:t>. Bristol: Policy Press.</w:t>
      </w:r>
    </w:p>
    <w:p w14:paraId="5154CDAA"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Glasby, J. and Dickinson, H. (2014) </w:t>
      </w:r>
      <w:r w:rsidRPr="00260E38">
        <w:rPr>
          <w:rFonts w:ascii="Arial" w:hAnsi="Arial" w:cs="Arial"/>
          <w:i/>
          <w:iCs/>
          <w:sz w:val="22"/>
          <w:szCs w:val="22"/>
        </w:rPr>
        <w:t>Partnership Working in Health and Social Care</w:t>
      </w:r>
      <w:r w:rsidRPr="00260E38">
        <w:rPr>
          <w:rFonts w:ascii="Arial" w:hAnsi="Arial" w:cs="Arial"/>
          <w:sz w:val="22"/>
          <w:szCs w:val="22"/>
        </w:rPr>
        <w:t xml:space="preserve">. 2nd </w:t>
      </w:r>
      <w:proofErr w:type="spellStart"/>
      <w:r w:rsidRPr="00260E38">
        <w:rPr>
          <w:rFonts w:ascii="Arial" w:hAnsi="Arial" w:cs="Arial"/>
          <w:sz w:val="22"/>
          <w:szCs w:val="22"/>
        </w:rPr>
        <w:t>edn</w:t>
      </w:r>
      <w:proofErr w:type="spellEnd"/>
      <w:r w:rsidRPr="00260E38">
        <w:rPr>
          <w:rFonts w:ascii="Arial" w:hAnsi="Arial" w:cs="Arial"/>
          <w:sz w:val="22"/>
          <w:szCs w:val="22"/>
        </w:rPr>
        <w:t>. Bristol: Policy Press.</w:t>
      </w:r>
    </w:p>
    <w:p w14:paraId="3D62D716"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Hamann, J. et al. (2017) ‘Shared decision making in mental health’, </w:t>
      </w:r>
      <w:r w:rsidRPr="00260E38">
        <w:rPr>
          <w:rFonts w:ascii="Arial" w:hAnsi="Arial" w:cs="Arial"/>
          <w:i/>
          <w:iCs/>
          <w:sz w:val="22"/>
          <w:szCs w:val="22"/>
        </w:rPr>
        <w:t>Psychiatric Services</w:t>
      </w:r>
      <w:r w:rsidRPr="00260E38">
        <w:rPr>
          <w:rFonts w:ascii="Arial" w:hAnsi="Arial" w:cs="Arial"/>
          <w:sz w:val="22"/>
          <w:szCs w:val="22"/>
        </w:rPr>
        <w:t>, 68(2), pp. 191–199.</w:t>
      </w:r>
    </w:p>
    <w:p w14:paraId="13E24927"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Health Foundation (2016) </w:t>
      </w:r>
      <w:r w:rsidRPr="00260E38">
        <w:rPr>
          <w:rFonts w:ascii="Arial" w:hAnsi="Arial" w:cs="Arial"/>
          <w:i/>
          <w:iCs/>
          <w:sz w:val="22"/>
          <w:szCs w:val="22"/>
        </w:rPr>
        <w:t>Person-Centred Care Made Simple</w:t>
      </w:r>
      <w:r w:rsidRPr="00260E38">
        <w:rPr>
          <w:rFonts w:ascii="Arial" w:hAnsi="Arial" w:cs="Arial"/>
          <w:sz w:val="22"/>
          <w:szCs w:val="22"/>
        </w:rPr>
        <w:t>. London: Health Foundation.</w:t>
      </w:r>
    </w:p>
    <w:p w14:paraId="6B1D0EB1"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HM Government (1998) </w:t>
      </w:r>
      <w:r w:rsidRPr="00260E38">
        <w:rPr>
          <w:rFonts w:ascii="Arial" w:hAnsi="Arial" w:cs="Arial"/>
          <w:i/>
          <w:iCs/>
          <w:sz w:val="22"/>
          <w:szCs w:val="22"/>
        </w:rPr>
        <w:t>Human Rights Act 1998</w:t>
      </w:r>
      <w:r w:rsidRPr="00260E38">
        <w:rPr>
          <w:rFonts w:ascii="Arial" w:hAnsi="Arial" w:cs="Arial"/>
          <w:sz w:val="22"/>
          <w:szCs w:val="22"/>
        </w:rPr>
        <w:t>. London: The Stationery Office.</w:t>
      </w:r>
    </w:p>
    <w:p w14:paraId="54C99EFA"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HM Government (2010) </w:t>
      </w:r>
      <w:r w:rsidRPr="00260E38">
        <w:rPr>
          <w:rFonts w:ascii="Arial" w:hAnsi="Arial" w:cs="Arial"/>
          <w:i/>
          <w:iCs/>
          <w:sz w:val="22"/>
          <w:szCs w:val="22"/>
        </w:rPr>
        <w:t>Equality Act 2010</w:t>
      </w:r>
      <w:r w:rsidRPr="00260E38">
        <w:rPr>
          <w:rFonts w:ascii="Arial" w:hAnsi="Arial" w:cs="Arial"/>
          <w:sz w:val="22"/>
          <w:szCs w:val="22"/>
        </w:rPr>
        <w:t>. London: The Stationery Office.</w:t>
      </w:r>
    </w:p>
    <w:p w14:paraId="55E4AE44"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HM Government (2018) </w:t>
      </w:r>
      <w:r w:rsidRPr="00260E38">
        <w:rPr>
          <w:rFonts w:ascii="Arial" w:hAnsi="Arial" w:cs="Arial"/>
          <w:i/>
          <w:iCs/>
          <w:sz w:val="22"/>
          <w:szCs w:val="22"/>
        </w:rPr>
        <w:t>Data Protection Act 2018</w:t>
      </w:r>
      <w:r w:rsidRPr="00260E38">
        <w:rPr>
          <w:rFonts w:ascii="Arial" w:hAnsi="Arial" w:cs="Arial"/>
          <w:sz w:val="22"/>
          <w:szCs w:val="22"/>
        </w:rPr>
        <w:t>. London: The Stationery Office.</w:t>
      </w:r>
    </w:p>
    <w:p w14:paraId="40FE518D"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Mental Capacity Act (2005) </w:t>
      </w:r>
      <w:r w:rsidRPr="00260E38">
        <w:rPr>
          <w:rFonts w:ascii="Arial" w:hAnsi="Arial" w:cs="Arial"/>
          <w:i/>
          <w:iCs/>
          <w:sz w:val="22"/>
          <w:szCs w:val="22"/>
        </w:rPr>
        <w:t>Mental Capacity Act 2005</w:t>
      </w:r>
      <w:r w:rsidRPr="00260E38">
        <w:rPr>
          <w:rFonts w:ascii="Arial" w:hAnsi="Arial" w:cs="Arial"/>
          <w:sz w:val="22"/>
          <w:szCs w:val="22"/>
        </w:rPr>
        <w:t>. London: The Stationery Office.</w:t>
      </w:r>
    </w:p>
    <w:p w14:paraId="778B68CF"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Mental Health Act (1983) </w:t>
      </w:r>
      <w:r w:rsidRPr="00260E38">
        <w:rPr>
          <w:rFonts w:ascii="Arial" w:hAnsi="Arial" w:cs="Arial"/>
          <w:i/>
          <w:iCs/>
          <w:sz w:val="22"/>
          <w:szCs w:val="22"/>
        </w:rPr>
        <w:t>Mental Health Act 1983</w:t>
      </w:r>
      <w:r w:rsidRPr="00260E38">
        <w:rPr>
          <w:rFonts w:ascii="Arial" w:hAnsi="Arial" w:cs="Arial"/>
          <w:sz w:val="22"/>
          <w:szCs w:val="22"/>
        </w:rPr>
        <w:t>. London: The Stationery Office.</w:t>
      </w:r>
    </w:p>
    <w:p w14:paraId="3A40BE31"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NHS Confederation (2022) </w:t>
      </w:r>
      <w:r w:rsidRPr="00260E38">
        <w:rPr>
          <w:rFonts w:ascii="Arial" w:hAnsi="Arial" w:cs="Arial"/>
          <w:i/>
          <w:iCs/>
          <w:sz w:val="22"/>
          <w:szCs w:val="22"/>
        </w:rPr>
        <w:t>Mental Health Workforce Plan</w:t>
      </w:r>
      <w:r w:rsidRPr="00260E38">
        <w:rPr>
          <w:rFonts w:ascii="Arial" w:hAnsi="Arial" w:cs="Arial"/>
          <w:sz w:val="22"/>
          <w:szCs w:val="22"/>
        </w:rPr>
        <w:t>. London: NHS Confederation.</w:t>
      </w:r>
    </w:p>
    <w:p w14:paraId="60CD3457"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NHS England (2019) </w:t>
      </w:r>
      <w:r w:rsidRPr="00260E38">
        <w:rPr>
          <w:rFonts w:ascii="Arial" w:hAnsi="Arial" w:cs="Arial"/>
          <w:i/>
          <w:iCs/>
          <w:sz w:val="22"/>
          <w:szCs w:val="22"/>
        </w:rPr>
        <w:t>The NHS Long Term Plan</w:t>
      </w:r>
      <w:r w:rsidRPr="00260E38">
        <w:rPr>
          <w:rFonts w:ascii="Arial" w:hAnsi="Arial" w:cs="Arial"/>
          <w:sz w:val="22"/>
          <w:szCs w:val="22"/>
        </w:rPr>
        <w:t>. London: NHS England.</w:t>
      </w:r>
    </w:p>
    <w:p w14:paraId="3B5DE5F1"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NHS England (2020) </w:t>
      </w:r>
      <w:r w:rsidRPr="00260E38">
        <w:rPr>
          <w:rFonts w:ascii="Arial" w:hAnsi="Arial" w:cs="Arial"/>
          <w:i/>
          <w:iCs/>
          <w:sz w:val="22"/>
          <w:szCs w:val="22"/>
        </w:rPr>
        <w:t>Advancing Mental Health Equality</w:t>
      </w:r>
      <w:r w:rsidRPr="00260E38">
        <w:rPr>
          <w:rFonts w:ascii="Arial" w:hAnsi="Arial" w:cs="Arial"/>
          <w:sz w:val="22"/>
          <w:szCs w:val="22"/>
        </w:rPr>
        <w:t>. London: NHSE.</w:t>
      </w:r>
    </w:p>
    <w:p w14:paraId="1C4B1D74"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NICE (2022) </w:t>
      </w:r>
      <w:r w:rsidRPr="00260E38">
        <w:rPr>
          <w:rFonts w:ascii="Arial" w:hAnsi="Arial" w:cs="Arial"/>
          <w:i/>
          <w:iCs/>
          <w:sz w:val="22"/>
          <w:szCs w:val="22"/>
        </w:rPr>
        <w:t>Mental Health Problems: Quality Standard</w:t>
      </w:r>
      <w:r w:rsidRPr="00260E38">
        <w:rPr>
          <w:rFonts w:ascii="Arial" w:hAnsi="Arial" w:cs="Arial"/>
          <w:sz w:val="22"/>
          <w:szCs w:val="22"/>
        </w:rPr>
        <w:t>. QS80. London: NICE.</w:t>
      </w:r>
    </w:p>
    <w:p w14:paraId="08B5A8E3"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Repper, J. and Perkins, R. (2003) </w:t>
      </w:r>
      <w:r w:rsidRPr="00260E38">
        <w:rPr>
          <w:rFonts w:ascii="Arial" w:hAnsi="Arial" w:cs="Arial"/>
          <w:i/>
          <w:iCs/>
          <w:sz w:val="22"/>
          <w:szCs w:val="22"/>
        </w:rPr>
        <w:t>Social Inclusion and Recovery</w:t>
      </w:r>
      <w:r w:rsidRPr="00260E38">
        <w:rPr>
          <w:rFonts w:ascii="Arial" w:hAnsi="Arial" w:cs="Arial"/>
          <w:sz w:val="22"/>
          <w:szCs w:val="22"/>
        </w:rPr>
        <w:t xml:space="preserve">. London: </w:t>
      </w:r>
      <w:proofErr w:type="spellStart"/>
      <w:r w:rsidRPr="00260E38">
        <w:rPr>
          <w:rFonts w:ascii="Arial" w:hAnsi="Arial" w:cs="Arial"/>
          <w:sz w:val="22"/>
          <w:szCs w:val="22"/>
        </w:rPr>
        <w:t>Baillière</w:t>
      </w:r>
      <w:proofErr w:type="spellEnd"/>
      <w:r w:rsidRPr="00260E38">
        <w:rPr>
          <w:rFonts w:ascii="Arial" w:hAnsi="Arial" w:cs="Arial"/>
          <w:sz w:val="22"/>
          <w:szCs w:val="22"/>
        </w:rPr>
        <w:t xml:space="preserve"> Tindall.</w:t>
      </w:r>
    </w:p>
    <w:p w14:paraId="3C1CB35A"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Royal College of Psychiatrists (2021) </w:t>
      </w:r>
      <w:r w:rsidRPr="00260E38">
        <w:rPr>
          <w:rFonts w:ascii="Arial" w:hAnsi="Arial" w:cs="Arial"/>
          <w:i/>
          <w:iCs/>
          <w:sz w:val="22"/>
          <w:szCs w:val="22"/>
        </w:rPr>
        <w:t>Standards for Acute Inpatient Mental Health Services</w:t>
      </w:r>
      <w:r w:rsidRPr="00260E38">
        <w:rPr>
          <w:rFonts w:ascii="Arial" w:hAnsi="Arial" w:cs="Arial"/>
          <w:sz w:val="22"/>
          <w:szCs w:val="22"/>
        </w:rPr>
        <w:t xml:space="preserve">. London: </w:t>
      </w:r>
      <w:proofErr w:type="spellStart"/>
      <w:r w:rsidRPr="00260E38">
        <w:rPr>
          <w:rFonts w:ascii="Arial" w:hAnsi="Arial" w:cs="Arial"/>
          <w:sz w:val="22"/>
          <w:szCs w:val="22"/>
        </w:rPr>
        <w:t>RCPsych</w:t>
      </w:r>
      <w:proofErr w:type="spellEnd"/>
      <w:r w:rsidRPr="00260E38">
        <w:rPr>
          <w:rFonts w:ascii="Arial" w:hAnsi="Arial" w:cs="Arial"/>
          <w:sz w:val="22"/>
          <w:szCs w:val="22"/>
        </w:rPr>
        <w:t>.</w:t>
      </w:r>
    </w:p>
    <w:p w14:paraId="341967F3"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Shepherd, G., Boardman, J. and Slade, M. (2014) </w:t>
      </w:r>
      <w:r w:rsidRPr="00260E38">
        <w:rPr>
          <w:rFonts w:ascii="Arial" w:hAnsi="Arial" w:cs="Arial"/>
          <w:i/>
          <w:iCs/>
          <w:sz w:val="22"/>
          <w:szCs w:val="22"/>
        </w:rPr>
        <w:t>Supporting Recovery in Mental Health Services</w:t>
      </w:r>
      <w:r w:rsidRPr="00260E38">
        <w:rPr>
          <w:rFonts w:ascii="Arial" w:hAnsi="Arial" w:cs="Arial"/>
          <w:sz w:val="22"/>
          <w:szCs w:val="22"/>
        </w:rPr>
        <w:t>. London: Implementing Recovery through Organisational Change (</w:t>
      </w:r>
      <w:proofErr w:type="spellStart"/>
      <w:r w:rsidRPr="00260E38">
        <w:rPr>
          <w:rFonts w:ascii="Arial" w:hAnsi="Arial" w:cs="Arial"/>
          <w:sz w:val="22"/>
          <w:szCs w:val="22"/>
        </w:rPr>
        <w:t>ImROC</w:t>
      </w:r>
      <w:proofErr w:type="spellEnd"/>
      <w:r w:rsidRPr="00260E38">
        <w:rPr>
          <w:rFonts w:ascii="Arial" w:hAnsi="Arial" w:cs="Arial"/>
          <w:sz w:val="22"/>
          <w:szCs w:val="22"/>
        </w:rPr>
        <w:t>).</w:t>
      </w:r>
    </w:p>
    <w:p w14:paraId="4DB5B077"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Skills for Care (2023) </w:t>
      </w:r>
      <w:r w:rsidRPr="00260E38">
        <w:rPr>
          <w:rFonts w:ascii="Arial" w:hAnsi="Arial" w:cs="Arial"/>
          <w:i/>
          <w:iCs/>
          <w:sz w:val="22"/>
          <w:szCs w:val="22"/>
        </w:rPr>
        <w:t>The State of the Adult Social Care Workforce in England</w:t>
      </w:r>
      <w:r w:rsidRPr="00260E38">
        <w:rPr>
          <w:rFonts w:ascii="Arial" w:hAnsi="Arial" w:cs="Arial"/>
          <w:sz w:val="22"/>
          <w:szCs w:val="22"/>
        </w:rPr>
        <w:t xml:space="preserve">. Leeds: </w:t>
      </w:r>
      <w:proofErr w:type="spellStart"/>
      <w:r w:rsidRPr="00260E38">
        <w:rPr>
          <w:rFonts w:ascii="Arial" w:hAnsi="Arial" w:cs="Arial"/>
          <w:sz w:val="22"/>
          <w:szCs w:val="22"/>
        </w:rPr>
        <w:t>SfC</w:t>
      </w:r>
      <w:proofErr w:type="spellEnd"/>
      <w:r w:rsidRPr="00260E38">
        <w:rPr>
          <w:rFonts w:ascii="Arial" w:hAnsi="Arial" w:cs="Arial"/>
          <w:sz w:val="22"/>
          <w:szCs w:val="22"/>
        </w:rPr>
        <w:t>.</w:t>
      </w:r>
    </w:p>
    <w:p w14:paraId="4E3FA13E"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Slade, M. (2009) </w:t>
      </w:r>
      <w:r w:rsidRPr="00260E38">
        <w:rPr>
          <w:rFonts w:ascii="Arial" w:hAnsi="Arial" w:cs="Arial"/>
          <w:i/>
          <w:iCs/>
          <w:sz w:val="22"/>
          <w:szCs w:val="22"/>
        </w:rPr>
        <w:t>Personal Recovery and Mental Illness</w:t>
      </w:r>
      <w:r w:rsidRPr="00260E38">
        <w:rPr>
          <w:rFonts w:ascii="Arial" w:hAnsi="Arial" w:cs="Arial"/>
          <w:sz w:val="22"/>
          <w:szCs w:val="22"/>
        </w:rPr>
        <w:t>. Cambridge: Cambridge University Press.</w:t>
      </w:r>
    </w:p>
    <w:p w14:paraId="7A19A375"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Slade, M. et al. (2014) ‘Uses and abuses of recovery’, </w:t>
      </w:r>
      <w:r w:rsidRPr="00260E38">
        <w:rPr>
          <w:rFonts w:ascii="Arial" w:hAnsi="Arial" w:cs="Arial"/>
          <w:i/>
          <w:iCs/>
          <w:sz w:val="22"/>
          <w:szCs w:val="22"/>
        </w:rPr>
        <w:t>International Review of Psychiatry</w:t>
      </w:r>
      <w:r w:rsidRPr="00260E38">
        <w:rPr>
          <w:rFonts w:ascii="Arial" w:hAnsi="Arial" w:cs="Arial"/>
          <w:sz w:val="22"/>
          <w:szCs w:val="22"/>
        </w:rPr>
        <w:t>, 26(1), pp. 73–82.</w:t>
      </w:r>
    </w:p>
    <w:p w14:paraId="44A0BAD6"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The King’s Fund (2020) </w:t>
      </w:r>
      <w:r w:rsidRPr="00260E38">
        <w:rPr>
          <w:rFonts w:ascii="Arial" w:hAnsi="Arial" w:cs="Arial"/>
          <w:i/>
          <w:iCs/>
          <w:sz w:val="22"/>
          <w:szCs w:val="22"/>
        </w:rPr>
        <w:t>Mental Health: Current Trends</w:t>
      </w:r>
      <w:r w:rsidRPr="00260E38">
        <w:rPr>
          <w:rFonts w:ascii="Arial" w:hAnsi="Arial" w:cs="Arial"/>
          <w:sz w:val="22"/>
          <w:szCs w:val="22"/>
        </w:rPr>
        <w:t>. London: The King’s Fund.</w:t>
      </w:r>
    </w:p>
    <w:p w14:paraId="652C7CFB"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UK GDPR (2021) </w:t>
      </w:r>
      <w:r w:rsidRPr="00260E38">
        <w:rPr>
          <w:rFonts w:ascii="Arial" w:hAnsi="Arial" w:cs="Arial"/>
          <w:i/>
          <w:iCs/>
          <w:sz w:val="22"/>
          <w:szCs w:val="22"/>
        </w:rPr>
        <w:t>General Data Protection Regulation (UK)</w:t>
      </w:r>
      <w:r w:rsidRPr="00260E38">
        <w:rPr>
          <w:rFonts w:ascii="Arial" w:hAnsi="Arial" w:cs="Arial"/>
          <w:sz w:val="22"/>
          <w:szCs w:val="22"/>
        </w:rPr>
        <w:t>. London: Gov.uk.</w:t>
      </w:r>
    </w:p>
    <w:p w14:paraId="76C38FD5"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United Nations (2006) </w:t>
      </w:r>
      <w:r w:rsidRPr="00260E38">
        <w:rPr>
          <w:rFonts w:ascii="Arial" w:hAnsi="Arial" w:cs="Arial"/>
          <w:i/>
          <w:iCs/>
          <w:sz w:val="22"/>
          <w:szCs w:val="22"/>
        </w:rPr>
        <w:t>Convention on the Rights of Persons with Disabilities</w:t>
      </w:r>
      <w:r w:rsidRPr="00260E38">
        <w:rPr>
          <w:rFonts w:ascii="Arial" w:hAnsi="Arial" w:cs="Arial"/>
          <w:sz w:val="22"/>
          <w:szCs w:val="22"/>
        </w:rPr>
        <w:t>. New York: UN.</w:t>
      </w:r>
    </w:p>
    <w:p w14:paraId="4771D8BD"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lastRenderedPageBreak/>
        <w:t xml:space="preserve">Wykes, T. and Brown, M. (2016) ‘Overcoming the barriers to mental health research’, </w:t>
      </w:r>
      <w:r w:rsidRPr="00260E38">
        <w:rPr>
          <w:rFonts w:ascii="Arial" w:hAnsi="Arial" w:cs="Arial"/>
          <w:i/>
          <w:iCs/>
          <w:sz w:val="22"/>
          <w:szCs w:val="22"/>
        </w:rPr>
        <w:t>The Lancet Psychiatry</w:t>
      </w:r>
      <w:r w:rsidRPr="00260E38">
        <w:rPr>
          <w:rFonts w:ascii="Arial" w:hAnsi="Arial" w:cs="Arial"/>
          <w:sz w:val="22"/>
          <w:szCs w:val="22"/>
        </w:rPr>
        <w:t>, 3(5), pp. 403–404.</w:t>
      </w:r>
    </w:p>
    <w:p w14:paraId="759495F6" w14:textId="77777777" w:rsidR="00260E38" w:rsidRPr="00260E38" w:rsidRDefault="00260E38" w:rsidP="00260E38">
      <w:pPr>
        <w:spacing w:line="360" w:lineRule="auto"/>
        <w:jc w:val="both"/>
        <w:rPr>
          <w:rFonts w:ascii="Arial" w:hAnsi="Arial" w:cs="Arial"/>
          <w:sz w:val="22"/>
          <w:szCs w:val="22"/>
        </w:rPr>
      </w:pPr>
      <w:r w:rsidRPr="00260E38">
        <w:rPr>
          <w:rFonts w:ascii="Arial" w:hAnsi="Arial" w:cs="Arial"/>
          <w:sz w:val="22"/>
          <w:szCs w:val="22"/>
        </w:rPr>
        <w:t xml:space="preserve">World Health Organization (2013) </w:t>
      </w:r>
      <w:r w:rsidRPr="00260E38">
        <w:rPr>
          <w:rFonts w:ascii="Arial" w:hAnsi="Arial" w:cs="Arial"/>
          <w:i/>
          <w:iCs/>
          <w:sz w:val="22"/>
          <w:szCs w:val="22"/>
        </w:rPr>
        <w:t>Mental Health Action Plan 2013–2020</w:t>
      </w:r>
      <w:r w:rsidRPr="00260E38">
        <w:rPr>
          <w:rFonts w:ascii="Arial" w:hAnsi="Arial" w:cs="Arial"/>
          <w:sz w:val="22"/>
          <w:szCs w:val="22"/>
        </w:rPr>
        <w:t>. Geneva: WHO.</w:t>
      </w:r>
    </w:p>
    <w:p w14:paraId="058D02E9" w14:textId="77777777" w:rsidR="00505DFF" w:rsidRPr="00494C35" w:rsidRDefault="00505DFF" w:rsidP="00505DFF">
      <w:pPr>
        <w:spacing w:line="360" w:lineRule="auto"/>
        <w:jc w:val="both"/>
        <w:rPr>
          <w:rFonts w:ascii="Arial" w:hAnsi="Arial" w:cs="Arial"/>
          <w:sz w:val="22"/>
          <w:szCs w:val="22"/>
        </w:rPr>
      </w:pPr>
    </w:p>
    <w:p w14:paraId="4423EC85" w14:textId="77777777" w:rsidR="00E51ABF" w:rsidRDefault="00E51ABF"/>
    <w:p w14:paraId="5C3FF6A6" w14:textId="77777777" w:rsidR="00505DFF" w:rsidRDefault="00505DFF"/>
    <w:p w14:paraId="443E7DD6" w14:textId="77777777" w:rsidR="00505DFF" w:rsidRDefault="00505DFF"/>
    <w:p w14:paraId="1DB000D3" w14:textId="77777777" w:rsidR="00505DFF" w:rsidRDefault="00505DFF"/>
    <w:p w14:paraId="4E28866B" w14:textId="77777777" w:rsidR="00505DFF" w:rsidRDefault="00505DFF"/>
    <w:p w14:paraId="00C9299B" w14:textId="77777777" w:rsidR="00505DFF" w:rsidRDefault="00505DFF"/>
    <w:p w14:paraId="01B0DC52" w14:textId="77777777" w:rsidR="00505DFF" w:rsidRDefault="00505DFF"/>
    <w:p w14:paraId="3440B906" w14:textId="77777777" w:rsidR="00505DFF" w:rsidRDefault="00505DFF"/>
    <w:p w14:paraId="4E0428BB" w14:textId="77777777" w:rsidR="00505DFF" w:rsidRDefault="00505DFF"/>
    <w:p w14:paraId="379509D3" w14:textId="77777777" w:rsidR="00505DFF" w:rsidRDefault="00505DFF"/>
    <w:p w14:paraId="736D82B9" w14:textId="77777777" w:rsidR="00505DFF" w:rsidRDefault="00505DFF"/>
    <w:p w14:paraId="7B1C62DB" w14:textId="77777777" w:rsidR="00505DFF" w:rsidRDefault="00505DFF"/>
    <w:p w14:paraId="022798CC" w14:textId="77777777" w:rsidR="00505DFF" w:rsidRDefault="00505DFF"/>
    <w:p w14:paraId="39F1DA78" w14:textId="77777777" w:rsidR="00505DFF" w:rsidRDefault="00505DFF"/>
    <w:p w14:paraId="3BB97F84" w14:textId="77777777" w:rsidR="00505DFF" w:rsidRDefault="00505DFF"/>
    <w:p w14:paraId="62FAD7F5" w14:textId="77777777" w:rsidR="00505DFF" w:rsidRDefault="00505DFF"/>
    <w:p w14:paraId="283C4F24" w14:textId="77777777" w:rsidR="00505DFF" w:rsidRDefault="00505DFF"/>
    <w:p w14:paraId="34A056D2" w14:textId="77777777" w:rsidR="00505DFF" w:rsidRDefault="00505DFF"/>
    <w:p w14:paraId="679CABF9" w14:textId="77777777" w:rsidR="00505DFF" w:rsidRDefault="00505DFF"/>
    <w:p w14:paraId="08DCEE21" w14:textId="77777777" w:rsidR="00505DFF" w:rsidRDefault="00505DFF"/>
    <w:p w14:paraId="319188A6" w14:textId="77777777" w:rsidR="00505DFF" w:rsidRDefault="00505DFF"/>
    <w:p w14:paraId="6286AFC9" w14:textId="77777777" w:rsidR="00505DFF" w:rsidRDefault="00505DFF"/>
    <w:p w14:paraId="381BD69E" w14:textId="77777777" w:rsidR="00505DFF" w:rsidRDefault="00505DFF"/>
    <w:p w14:paraId="28916315" w14:textId="77777777" w:rsidR="00505DFF" w:rsidRDefault="00505DFF"/>
    <w:p w14:paraId="5C4B53AC" w14:textId="77777777" w:rsidR="00505DFF" w:rsidRDefault="00505DFF"/>
    <w:p w14:paraId="34244EA3" w14:textId="77777777" w:rsidR="00505DFF" w:rsidRDefault="00505DFF"/>
    <w:p w14:paraId="6D4F9561" w14:textId="77777777" w:rsidR="00505DFF" w:rsidRDefault="00505DFF"/>
    <w:p w14:paraId="497E87F8" w14:textId="77777777" w:rsidR="00505DFF" w:rsidRDefault="00505DFF"/>
    <w:p w14:paraId="427FB996" w14:textId="77777777" w:rsidR="00505DFF" w:rsidRDefault="00505DFF"/>
    <w:p w14:paraId="40131EBB" w14:textId="77777777" w:rsidR="00505DFF" w:rsidRDefault="00505DFF"/>
    <w:p w14:paraId="5682C2E8" w14:textId="77777777" w:rsidR="00505DFF" w:rsidRDefault="00505DFF"/>
    <w:p w14:paraId="3FDE98A2" w14:textId="77777777" w:rsidR="00505DFF" w:rsidRDefault="00505DFF"/>
    <w:p w14:paraId="5EA64CDE" w14:textId="77777777" w:rsidR="00505DFF" w:rsidRDefault="00505DFF"/>
    <w:p w14:paraId="205DC3ED" w14:textId="77777777" w:rsidR="00505DFF" w:rsidRDefault="00505DFF"/>
    <w:p w14:paraId="45DE529F" w14:textId="77777777" w:rsidR="00505DFF" w:rsidRDefault="00505DFF"/>
    <w:p w14:paraId="17484915" w14:textId="77777777" w:rsidR="00505DFF" w:rsidRDefault="00505DFF"/>
    <w:p w14:paraId="6932E682" w14:textId="77777777" w:rsidR="00505DFF" w:rsidRDefault="00505DFF"/>
    <w:p w14:paraId="0E83578D" w14:textId="77777777" w:rsidR="00505DFF" w:rsidRDefault="00505DFF"/>
    <w:p w14:paraId="0E045EB9" w14:textId="77777777" w:rsidR="00505DFF" w:rsidRDefault="00505DFF"/>
    <w:sectPr w:rsidR="00505DFF" w:rsidSect="00730F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76D8E8" w14:textId="77777777" w:rsidR="00D23F63" w:rsidRDefault="00D23F63" w:rsidP="00866C78">
      <w:pPr>
        <w:spacing w:after="0" w:line="240" w:lineRule="auto"/>
      </w:pPr>
      <w:r>
        <w:separator/>
      </w:r>
    </w:p>
  </w:endnote>
  <w:endnote w:type="continuationSeparator" w:id="0">
    <w:p w14:paraId="778D9E81" w14:textId="77777777" w:rsidR="00D23F63" w:rsidRDefault="00D23F63" w:rsidP="00866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AB8AE9" w14:textId="77777777" w:rsidR="00D23F63" w:rsidRDefault="00D23F63" w:rsidP="00866C78">
      <w:pPr>
        <w:spacing w:after="0" w:line="240" w:lineRule="auto"/>
      </w:pPr>
      <w:r>
        <w:separator/>
      </w:r>
    </w:p>
  </w:footnote>
  <w:footnote w:type="continuationSeparator" w:id="0">
    <w:p w14:paraId="3B2A8F45" w14:textId="77777777" w:rsidR="00D23F63" w:rsidRDefault="00D23F63" w:rsidP="00866C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F90"/>
    <w:rsid w:val="00233328"/>
    <w:rsid w:val="00260E38"/>
    <w:rsid w:val="00331CB3"/>
    <w:rsid w:val="004E7710"/>
    <w:rsid w:val="00505DFF"/>
    <w:rsid w:val="00600A56"/>
    <w:rsid w:val="006E14EC"/>
    <w:rsid w:val="00730FAE"/>
    <w:rsid w:val="00866C78"/>
    <w:rsid w:val="00B559EA"/>
    <w:rsid w:val="00BF6F90"/>
    <w:rsid w:val="00C63F82"/>
    <w:rsid w:val="00D23F63"/>
    <w:rsid w:val="00DC1E02"/>
    <w:rsid w:val="00E51ABF"/>
    <w:rsid w:val="00E7050A"/>
    <w:rsid w:val="00F838C7"/>
  </w:rsids>
  <m:mathPr>
    <m:mathFont m:val="Cambria Math"/>
    <m:brkBin m:val="before"/>
    <m:brkBinSub m:val="--"/>
    <m:smallFrac m:val="0"/>
    <m:dispDef/>
    <m:lMargin m:val="0"/>
    <m:rMargin m:val="0"/>
    <m:defJc m:val="centerGroup"/>
    <m:wrapIndent m:val="1440"/>
    <m:intLim m:val="subSup"/>
    <m:naryLim m:val="undOvr"/>
  </m:mathPr>
  <w:themeFontLang w:val="en-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9A721"/>
  <w15:chartTrackingRefBased/>
  <w15:docId w15:val="{285CFD49-BC25-4936-BBA8-57AFA499B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F90"/>
  </w:style>
  <w:style w:type="paragraph" w:styleId="Heading1">
    <w:name w:val="heading 1"/>
    <w:basedOn w:val="Normal"/>
    <w:next w:val="Normal"/>
    <w:link w:val="Heading1Char"/>
    <w:uiPriority w:val="9"/>
    <w:qFormat/>
    <w:rsid w:val="00260E38"/>
    <w:pPr>
      <w:spacing w:after="0" w:line="360" w:lineRule="auto"/>
      <w:jc w:val="both"/>
      <w:outlineLvl w:val="0"/>
    </w:pPr>
    <w:rPr>
      <w:rFonts w:ascii="Arial" w:hAnsi="Arial" w:cs="Arial"/>
      <w:b/>
      <w:bCs/>
      <w:sz w:val="22"/>
      <w:szCs w:val="22"/>
    </w:rPr>
  </w:style>
  <w:style w:type="paragraph" w:styleId="Heading2">
    <w:name w:val="heading 2"/>
    <w:basedOn w:val="Normal"/>
    <w:next w:val="Normal"/>
    <w:link w:val="Heading2Char"/>
    <w:uiPriority w:val="9"/>
    <w:semiHidden/>
    <w:unhideWhenUsed/>
    <w:qFormat/>
    <w:rsid w:val="00BF6F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F6F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6F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6F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6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6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6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6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E38"/>
    <w:rPr>
      <w:rFonts w:ascii="Arial" w:hAnsi="Arial" w:cs="Arial"/>
      <w:b/>
      <w:bCs/>
      <w:sz w:val="22"/>
      <w:szCs w:val="22"/>
    </w:rPr>
  </w:style>
  <w:style w:type="character" w:customStyle="1" w:styleId="Heading2Char">
    <w:name w:val="Heading 2 Char"/>
    <w:basedOn w:val="DefaultParagraphFont"/>
    <w:link w:val="Heading2"/>
    <w:uiPriority w:val="9"/>
    <w:semiHidden/>
    <w:rsid w:val="00BF6F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F6F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F6F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F6F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6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F90"/>
    <w:rPr>
      <w:rFonts w:eastAsiaTheme="majorEastAsia" w:cstheme="majorBidi"/>
      <w:color w:val="272727" w:themeColor="text1" w:themeTint="D8"/>
    </w:rPr>
  </w:style>
  <w:style w:type="paragraph" w:styleId="Title">
    <w:name w:val="Title"/>
    <w:basedOn w:val="Normal"/>
    <w:next w:val="Normal"/>
    <w:link w:val="TitleChar"/>
    <w:uiPriority w:val="10"/>
    <w:qFormat/>
    <w:rsid w:val="00BF6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6F90"/>
    <w:pPr>
      <w:spacing w:before="160"/>
      <w:jc w:val="center"/>
    </w:pPr>
    <w:rPr>
      <w:i/>
      <w:iCs/>
      <w:color w:val="404040" w:themeColor="text1" w:themeTint="BF"/>
    </w:rPr>
  </w:style>
  <w:style w:type="character" w:customStyle="1" w:styleId="QuoteChar">
    <w:name w:val="Quote Char"/>
    <w:basedOn w:val="DefaultParagraphFont"/>
    <w:link w:val="Quote"/>
    <w:uiPriority w:val="29"/>
    <w:rsid w:val="00BF6F90"/>
    <w:rPr>
      <w:i/>
      <w:iCs/>
      <w:color w:val="404040" w:themeColor="text1" w:themeTint="BF"/>
    </w:rPr>
  </w:style>
  <w:style w:type="paragraph" w:styleId="ListParagraph">
    <w:name w:val="List Paragraph"/>
    <w:basedOn w:val="Normal"/>
    <w:uiPriority w:val="34"/>
    <w:qFormat/>
    <w:rsid w:val="00BF6F90"/>
    <w:pPr>
      <w:ind w:left="720"/>
      <w:contextualSpacing/>
    </w:pPr>
  </w:style>
  <w:style w:type="character" w:styleId="IntenseEmphasis">
    <w:name w:val="Intense Emphasis"/>
    <w:basedOn w:val="DefaultParagraphFont"/>
    <w:uiPriority w:val="21"/>
    <w:qFormat/>
    <w:rsid w:val="00BF6F90"/>
    <w:rPr>
      <w:i/>
      <w:iCs/>
      <w:color w:val="2F5496" w:themeColor="accent1" w:themeShade="BF"/>
    </w:rPr>
  </w:style>
  <w:style w:type="paragraph" w:styleId="IntenseQuote">
    <w:name w:val="Intense Quote"/>
    <w:basedOn w:val="Normal"/>
    <w:next w:val="Normal"/>
    <w:link w:val="IntenseQuoteChar"/>
    <w:uiPriority w:val="30"/>
    <w:qFormat/>
    <w:rsid w:val="00BF6F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6F90"/>
    <w:rPr>
      <w:i/>
      <w:iCs/>
      <w:color w:val="2F5496" w:themeColor="accent1" w:themeShade="BF"/>
    </w:rPr>
  </w:style>
  <w:style w:type="character" w:styleId="IntenseReference">
    <w:name w:val="Intense Reference"/>
    <w:basedOn w:val="DefaultParagraphFont"/>
    <w:uiPriority w:val="32"/>
    <w:qFormat/>
    <w:rsid w:val="00BF6F90"/>
    <w:rPr>
      <w:b/>
      <w:bCs/>
      <w:smallCaps/>
      <w:color w:val="2F5496" w:themeColor="accent1" w:themeShade="BF"/>
      <w:spacing w:val="5"/>
    </w:rPr>
  </w:style>
  <w:style w:type="paragraph" w:styleId="TOCHeading">
    <w:name w:val="TOC Heading"/>
    <w:basedOn w:val="Heading1"/>
    <w:next w:val="Normal"/>
    <w:uiPriority w:val="39"/>
    <w:unhideWhenUsed/>
    <w:qFormat/>
    <w:rsid w:val="00866C78"/>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14:ligatures w14:val="none"/>
    </w:rPr>
  </w:style>
  <w:style w:type="paragraph" w:styleId="TOC1">
    <w:name w:val="toc 1"/>
    <w:basedOn w:val="Normal"/>
    <w:next w:val="Normal"/>
    <w:autoRedefine/>
    <w:uiPriority w:val="39"/>
    <w:unhideWhenUsed/>
    <w:rsid w:val="00866C78"/>
    <w:pPr>
      <w:spacing w:after="100"/>
    </w:pPr>
  </w:style>
  <w:style w:type="character" w:styleId="Hyperlink">
    <w:name w:val="Hyperlink"/>
    <w:basedOn w:val="DefaultParagraphFont"/>
    <w:uiPriority w:val="99"/>
    <w:unhideWhenUsed/>
    <w:rsid w:val="00866C78"/>
    <w:rPr>
      <w:color w:val="0563C1" w:themeColor="hyperlink"/>
      <w:u w:val="single"/>
    </w:rPr>
  </w:style>
  <w:style w:type="paragraph" w:styleId="Header">
    <w:name w:val="header"/>
    <w:basedOn w:val="Normal"/>
    <w:link w:val="HeaderChar"/>
    <w:uiPriority w:val="99"/>
    <w:unhideWhenUsed/>
    <w:rsid w:val="00866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C78"/>
  </w:style>
  <w:style w:type="paragraph" w:styleId="Footer">
    <w:name w:val="footer"/>
    <w:basedOn w:val="Normal"/>
    <w:link w:val="FooterChar"/>
    <w:uiPriority w:val="99"/>
    <w:unhideWhenUsed/>
    <w:rsid w:val="00866C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BB2F3-1BCF-476B-8C72-85D82ABD5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12</Pages>
  <Words>3063</Words>
  <Characters>17462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2025-11-16T12:11:00Z</dcterms:created>
  <dcterms:modified xsi:type="dcterms:W3CDTF">2025-11-16T14:19:00Z</dcterms:modified>
</cp:coreProperties>
</file>