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0E494" w14:textId="1C3A3E4A" w:rsidR="587CBD73" w:rsidRDefault="587CBD73" w:rsidP="7C9F6CBD">
      <w:pPr>
        <w:pStyle w:val="ListParagraph"/>
        <w:shd w:val="clear" w:color="auto" w:fill="FFFFFF" w:themeFill="background1"/>
        <w:spacing w:after="30"/>
        <w:ind w:left="315"/>
        <w:rPr>
          <w:rFonts w:ascii="Arial Nova" w:eastAsia="Arial Nova" w:hAnsi="Arial Nova" w:cs="Arial Nova"/>
          <w:sz w:val="22"/>
          <w:szCs w:val="22"/>
        </w:rPr>
      </w:pPr>
      <w:r w:rsidRPr="7C9F6CBD">
        <w:rPr>
          <w:rFonts w:ascii="Arial Nova" w:eastAsia="Arial Nova" w:hAnsi="Arial Nova" w:cs="Arial Nova"/>
          <w:b/>
          <w:bCs/>
          <w:color w:val="24292E"/>
          <w:sz w:val="22"/>
          <w:szCs w:val="22"/>
        </w:rPr>
        <w:t xml:space="preserve">Your full name </w:t>
      </w:r>
      <w:r w:rsidRPr="7C9F6CBD">
        <w:rPr>
          <w:rFonts w:ascii="Arial Nova" w:eastAsia="Arial Nova" w:hAnsi="Arial Nova" w:cs="Arial Nova"/>
          <w:sz w:val="22"/>
          <w:szCs w:val="22"/>
        </w:rPr>
        <w:t>Nichola Timothy</w:t>
      </w:r>
    </w:p>
    <w:p w14:paraId="44A572FF" w14:textId="48F1FC6A" w:rsidR="7C9F6CBD" w:rsidRDefault="7C9F6CBD" w:rsidP="7C9F6CBD">
      <w:pPr>
        <w:pStyle w:val="ListParagraph"/>
        <w:shd w:val="clear" w:color="auto" w:fill="FFFFFF" w:themeFill="background1"/>
        <w:spacing w:after="30"/>
        <w:ind w:left="315"/>
        <w:rPr>
          <w:rFonts w:ascii="Arial Nova" w:eastAsia="Arial Nova" w:hAnsi="Arial Nova" w:cs="Arial Nova"/>
          <w:sz w:val="22"/>
          <w:szCs w:val="22"/>
        </w:rPr>
      </w:pPr>
    </w:p>
    <w:p w14:paraId="7F4B92A8" w14:textId="4349A6DC" w:rsidR="587CBD73" w:rsidRDefault="587CBD73" w:rsidP="7C9F6CBD">
      <w:pPr>
        <w:pStyle w:val="ListParagraph"/>
        <w:shd w:val="clear" w:color="auto" w:fill="FFFFFF" w:themeFill="background1"/>
        <w:spacing w:before="30" w:after="30"/>
        <w:ind w:left="315"/>
        <w:rPr>
          <w:rFonts w:ascii="Arial Nova" w:eastAsia="Arial Nova" w:hAnsi="Arial Nova" w:cs="Arial Nova"/>
          <w:sz w:val="22"/>
          <w:szCs w:val="22"/>
        </w:rPr>
      </w:pPr>
      <w:r w:rsidRPr="7C9F6CBD">
        <w:rPr>
          <w:rFonts w:ascii="Arial Nova" w:eastAsia="Arial Nova" w:hAnsi="Arial Nova" w:cs="Arial Nova"/>
          <w:b/>
          <w:bCs/>
          <w:color w:val="24292E"/>
          <w:sz w:val="22"/>
          <w:szCs w:val="22"/>
        </w:rPr>
        <w:t xml:space="preserve">Student number </w:t>
      </w:r>
      <w:r w:rsidRPr="7C9F6CBD">
        <w:rPr>
          <w:rFonts w:ascii="Arial Nova" w:eastAsia="Arial Nova" w:hAnsi="Arial Nova" w:cs="Arial Nova"/>
          <w:sz w:val="22"/>
          <w:szCs w:val="22"/>
        </w:rPr>
        <w:t>2407528</w:t>
      </w:r>
    </w:p>
    <w:p w14:paraId="77C829A9" w14:textId="6894A49A" w:rsidR="7C9F6CBD" w:rsidRDefault="7C9F6CBD" w:rsidP="7C9F6CBD">
      <w:pPr>
        <w:pStyle w:val="ListParagraph"/>
        <w:shd w:val="clear" w:color="auto" w:fill="FFFFFF" w:themeFill="background1"/>
        <w:spacing w:before="30" w:after="30"/>
        <w:ind w:left="315"/>
        <w:rPr>
          <w:rFonts w:ascii="Arial Nova" w:eastAsia="Arial Nova" w:hAnsi="Arial Nova" w:cs="Arial Nova"/>
          <w:sz w:val="22"/>
          <w:szCs w:val="22"/>
        </w:rPr>
      </w:pPr>
    </w:p>
    <w:p w14:paraId="6D357D94" w14:textId="20B1CC01" w:rsidR="45793AAE" w:rsidRDefault="45793AAE" w:rsidP="7C9F6CBD">
      <w:pPr>
        <w:pStyle w:val="ListParagraph"/>
        <w:shd w:val="clear" w:color="auto" w:fill="FFFFFF" w:themeFill="background1"/>
        <w:spacing w:before="30" w:after="30"/>
        <w:ind w:left="315"/>
        <w:rPr>
          <w:rFonts w:ascii="Arial Nova" w:eastAsia="Arial Nova" w:hAnsi="Arial Nova" w:cs="Arial Nova"/>
          <w:i/>
          <w:iCs/>
          <w:color w:val="24292E"/>
          <w:sz w:val="22"/>
          <w:szCs w:val="22"/>
        </w:rPr>
      </w:pPr>
      <w:r w:rsidRPr="7C9F6CBD">
        <w:rPr>
          <w:rFonts w:ascii="Arial Nova" w:eastAsia="Arial Nova" w:hAnsi="Arial Nova" w:cs="Arial Nova"/>
          <w:b/>
          <w:bCs/>
          <w:color w:val="24292E"/>
          <w:sz w:val="22"/>
          <w:szCs w:val="22"/>
        </w:rPr>
        <w:t>Module code &amp; title</w:t>
      </w:r>
      <w:r w:rsidRPr="7C9F6CBD">
        <w:rPr>
          <w:rFonts w:ascii="Arial Nova" w:eastAsia="Arial Nova" w:hAnsi="Arial Nova" w:cs="Arial Nova"/>
          <w:color w:val="24292E"/>
          <w:sz w:val="22"/>
          <w:szCs w:val="22"/>
        </w:rPr>
        <w:t xml:space="preserve"> – </w:t>
      </w:r>
      <w:r w:rsidRPr="7C9F6CBD">
        <w:rPr>
          <w:rFonts w:ascii="Arial Nova" w:eastAsia="Arial Nova" w:hAnsi="Arial Nova" w:cs="Arial Nova"/>
          <w:i/>
          <w:iCs/>
          <w:color w:val="24292E"/>
          <w:sz w:val="22"/>
          <w:szCs w:val="22"/>
        </w:rPr>
        <w:t>BMHP5016 – Principles of Health and Social Care Practice</w:t>
      </w:r>
    </w:p>
    <w:p w14:paraId="59029027" w14:textId="3D6C2352" w:rsidR="7C9F6CBD" w:rsidRDefault="7C9F6CBD" w:rsidP="7C9F6CBD">
      <w:pPr>
        <w:pStyle w:val="ListParagraph"/>
        <w:shd w:val="clear" w:color="auto" w:fill="FFFFFF" w:themeFill="background1"/>
        <w:spacing w:before="30" w:after="30"/>
        <w:ind w:left="315"/>
        <w:rPr>
          <w:rFonts w:ascii="Arial Nova" w:eastAsia="Arial Nova" w:hAnsi="Arial Nova" w:cs="Arial Nova"/>
          <w:i/>
          <w:iCs/>
          <w:color w:val="24292E"/>
          <w:sz w:val="22"/>
          <w:szCs w:val="22"/>
        </w:rPr>
      </w:pPr>
    </w:p>
    <w:p w14:paraId="05A0D42B" w14:textId="600543D0" w:rsidR="45793AAE" w:rsidRDefault="45793AAE" w:rsidP="7C9F6CBD">
      <w:pPr>
        <w:pStyle w:val="ListParagraph"/>
        <w:shd w:val="clear" w:color="auto" w:fill="FFFFFF" w:themeFill="background1"/>
        <w:spacing w:before="30" w:after="0"/>
        <w:ind w:left="315"/>
        <w:rPr>
          <w:rFonts w:ascii="Arial Nova" w:eastAsia="Arial Nova" w:hAnsi="Arial Nova" w:cs="Arial Nova"/>
          <w:i/>
          <w:iCs/>
          <w:color w:val="24292E"/>
          <w:sz w:val="22"/>
          <w:szCs w:val="22"/>
        </w:rPr>
      </w:pPr>
      <w:r w:rsidRPr="7C9F6CBD">
        <w:rPr>
          <w:rFonts w:ascii="Arial Nova" w:eastAsia="Arial Nova" w:hAnsi="Arial Nova" w:cs="Arial Nova"/>
          <w:b/>
          <w:bCs/>
          <w:color w:val="24292E"/>
          <w:sz w:val="22"/>
          <w:szCs w:val="22"/>
        </w:rPr>
        <w:t>Assignment title</w:t>
      </w:r>
      <w:r w:rsidRPr="7C9F6CBD">
        <w:rPr>
          <w:rFonts w:ascii="Arial Nova" w:eastAsia="Arial Nova" w:hAnsi="Arial Nova" w:cs="Arial Nova"/>
          <w:color w:val="24292E"/>
          <w:sz w:val="22"/>
          <w:szCs w:val="22"/>
        </w:rPr>
        <w:t xml:space="preserve"> – </w:t>
      </w:r>
      <w:r w:rsidRPr="7C9F6CBD">
        <w:rPr>
          <w:rFonts w:ascii="Arial Nova" w:eastAsia="Arial Nova" w:hAnsi="Arial Nova" w:cs="Arial Nova"/>
          <w:i/>
          <w:iCs/>
          <w:color w:val="24292E"/>
          <w:sz w:val="22"/>
          <w:szCs w:val="22"/>
        </w:rPr>
        <w:t>Evaluation of Person‑Centred Care and Partnership Working</w:t>
      </w:r>
    </w:p>
    <w:p w14:paraId="4AA0B51A" w14:textId="6D9D002E" w:rsidR="7C9F6CBD" w:rsidRDefault="7C9F6CBD" w:rsidP="7C9F6CBD">
      <w:pPr>
        <w:spacing w:before="480" w:line="360" w:lineRule="auto"/>
        <w:rPr>
          <w:rFonts w:ascii="Arial Nova" w:eastAsia="Arial Nova" w:hAnsi="Arial Nova" w:cs="Arial Nova"/>
          <w:sz w:val="22"/>
          <w:szCs w:val="22"/>
        </w:rPr>
      </w:pPr>
    </w:p>
    <w:p w14:paraId="1C1573BA" w14:textId="59B8A463" w:rsidR="7C9F6CBD" w:rsidRDefault="7C9F6CBD" w:rsidP="7C9F6CBD">
      <w:pPr>
        <w:spacing w:before="480" w:line="360" w:lineRule="auto"/>
        <w:rPr>
          <w:rFonts w:ascii="Arial Nova" w:eastAsia="Arial Nova" w:hAnsi="Arial Nova" w:cs="Arial Nova"/>
          <w:sz w:val="22"/>
          <w:szCs w:val="22"/>
        </w:rPr>
      </w:pPr>
    </w:p>
    <w:p w14:paraId="5C42C75C" w14:textId="53741732" w:rsidR="7C9F6CBD" w:rsidRDefault="7C9F6CBD" w:rsidP="7C9F6CBD">
      <w:pPr>
        <w:spacing w:before="480" w:line="360" w:lineRule="auto"/>
        <w:rPr>
          <w:rFonts w:ascii="Arial Nova" w:eastAsia="Arial Nova" w:hAnsi="Arial Nova" w:cs="Arial Nova"/>
          <w:sz w:val="22"/>
          <w:szCs w:val="22"/>
        </w:rPr>
      </w:pPr>
    </w:p>
    <w:p w14:paraId="54916CDE" w14:textId="7447909F" w:rsidR="7C9F6CBD" w:rsidRDefault="7C9F6CBD" w:rsidP="7C9F6CBD">
      <w:pPr>
        <w:spacing w:before="480" w:line="360" w:lineRule="auto"/>
        <w:rPr>
          <w:rFonts w:ascii="Arial Nova" w:eastAsia="Arial Nova" w:hAnsi="Arial Nova" w:cs="Arial Nova"/>
          <w:sz w:val="22"/>
          <w:szCs w:val="22"/>
        </w:rPr>
      </w:pPr>
    </w:p>
    <w:p w14:paraId="2143B579" w14:textId="56CCD23E" w:rsidR="7C9F6CBD" w:rsidRDefault="7C9F6CBD" w:rsidP="7C9F6CBD">
      <w:pPr>
        <w:spacing w:before="480" w:line="360" w:lineRule="auto"/>
        <w:rPr>
          <w:rFonts w:ascii="Arial Nova" w:eastAsia="Arial Nova" w:hAnsi="Arial Nova" w:cs="Arial Nova"/>
          <w:sz w:val="22"/>
          <w:szCs w:val="22"/>
        </w:rPr>
      </w:pPr>
    </w:p>
    <w:p w14:paraId="0282C09F" w14:textId="645019D1" w:rsidR="7C9F6CBD" w:rsidRDefault="7C9F6CBD" w:rsidP="7C9F6CBD">
      <w:pPr>
        <w:spacing w:before="480" w:line="360" w:lineRule="auto"/>
        <w:rPr>
          <w:rFonts w:ascii="Arial Nova" w:eastAsia="Arial Nova" w:hAnsi="Arial Nova" w:cs="Arial Nova"/>
          <w:sz w:val="22"/>
          <w:szCs w:val="22"/>
        </w:rPr>
      </w:pPr>
    </w:p>
    <w:p w14:paraId="6311340C" w14:textId="6AEF6664" w:rsidR="7C9F6CBD" w:rsidRDefault="7C9F6CBD" w:rsidP="7C9F6CBD">
      <w:pPr>
        <w:spacing w:before="480" w:line="360" w:lineRule="auto"/>
        <w:rPr>
          <w:rFonts w:ascii="Arial Nova" w:eastAsia="Arial Nova" w:hAnsi="Arial Nova" w:cs="Arial Nova"/>
          <w:sz w:val="22"/>
          <w:szCs w:val="22"/>
        </w:rPr>
      </w:pPr>
    </w:p>
    <w:p w14:paraId="05F1D272" w14:textId="0D706083" w:rsidR="7C9F6CBD" w:rsidRDefault="7C9F6CBD" w:rsidP="7C9F6CBD">
      <w:pPr>
        <w:spacing w:before="480" w:line="360" w:lineRule="auto"/>
        <w:rPr>
          <w:rFonts w:ascii="Arial Nova" w:eastAsia="Arial Nova" w:hAnsi="Arial Nova" w:cs="Arial Nova"/>
          <w:sz w:val="22"/>
          <w:szCs w:val="22"/>
        </w:rPr>
      </w:pPr>
    </w:p>
    <w:p w14:paraId="6D219CF3" w14:textId="7CEB4293" w:rsidR="7C9F6CBD" w:rsidRDefault="7C9F6CBD" w:rsidP="7C9F6CBD">
      <w:pPr>
        <w:spacing w:before="480" w:line="360" w:lineRule="auto"/>
        <w:rPr>
          <w:rFonts w:ascii="Arial Nova" w:eastAsia="Arial Nova" w:hAnsi="Arial Nova" w:cs="Arial Nova"/>
          <w:sz w:val="22"/>
          <w:szCs w:val="22"/>
        </w:rPr>
      </w:pPr>
    </w:p>
    <w:p w14:paraId="065D9F23" w14:textId="1288473A" w:rsidR="7C9F6CBD" w:rsidRDefault="7C9F6CBD" w:rsidP="7C9F6CBD">
      <w:pPr>
        <w:spacing w:before="480" w:line="360" w:lineRule="auto"/>
        <w:rPr>
          <w:rFonts w:ascii="Arial Nova" w:eastAsia="Arial Nova" w:hAnsi="Arial Nova" w:cs="Arial Nova"/>
          <w:sz w:val="22"/>
          <w:szCs w:val="22"/>
        </w:rPr>
      </w:pPr>
    </w:p>
    <w:p w14:paraId="1D4B694A" w14:textId="139B9979" w:rsidR="7C9F6CBD" w:rsidRDefault="7C9F6CBD" w:rsidP="79F94B56">
      <w:pPr>
        <w:spacing w:before="480" w:line="360" w:lineRule="auto"/>
        <w:rPr>
          <w:rFonts w:ascii="Arial Nova" w:eastAsia="Arial Nova" w:hAnsi="Arial Nova" w:cs="Arial Nova"/>
          <w:sz w:val="22"/>
          <w:szCs w:val="22"/>
        </w:rPr>
      </w:pPr>
    </w:p>
    <w:p w14:paraId="15B49750" w14:textId="77777777" w:rsidR="00F04F90" w:rsidRDefault="00F04F90" w:rsidP="7D8B1321">
      <w:pPr>
        <w:spacing w:before="480" w:line="360" w:lineRule="auto"/>
        <w:rPr>
          <w:rFonts w:ascii="Arial" w:eastAsia="Arial" w:hAnsi="Arial" w:cs="Arial"/>
          <w:sz w:val="22"/>
          <w:szCs w:val="22"/>
        </w:rPr>
      </w:pPr>
    </w:p>
    <w:sdt>
      <w:sdtPr>
        <w:rPr>
          <w:rFonts w:asciiTheme="minorHAnsi" w:eastAsiaTheme="minorEastAsia" w:hAnsiTheme="minorHAnsi" w:cstheme="minorBidi"/>
          <w:color w:val="auto"/>
          <w:sz w:val="24"/>
          <w:szCs w:val="24"/>
          <w:lang w:val="en-GB" w:eastAsia="ja-JP"/>
        </w:rPr>
        <w:id w:val="-178889426"/>
        <w:docPartObj>
          <w:docPartGallery w:val="Table of Contents"/>
          <w:docPartUnique/>
        </w:docPartObj>
      </w:sdtPr>
      <w:sdtEndPr>
        <w:rPr>
          <w:b/>
          <w:bCs/>
          <w:noProof/>
        </w:rPr>
      </w:sdtEndPr>
      <w:sdtContent>
        <w:p w14:paraId="73860F61" w14:textId="6D7D4ACF" w:rsidR="00F04F90" w:rsidRDefault="00F04F90">
          <w:pPr>
            <w:pStyle w:val="TOCHeading"/>
          </w:pPr>
          <w:r>
            <w:t>Contents</w:t>
          </w:r>
        </w:p>
        <w:p w14:paraId="723C551A" w14:textId="53FD63F0" w:rsidR="008E033E" w:rsidRDefault="00F04F90">
          <w:pPr>
            <w:pStyle w:val="TOC2"/>
            <w:tabs>
              <w:tab w:val="right" w:leader="dot" w:pos="9350"/>
            </w:tabs>
            <w:rPr>
              <w:noProof/>
              <w:kern w:val="2"/>
              <w:lang w:eastAsia="zh-CN"/>
              <w14:ligatures w14:val="standardContextual"/>
            </w:rPr>
          </w:pPr>
          <w:r>
            <w:fldChar w:fldCharType="begin"/>
          </w:r>
          <w:r>
            <w:instrText xml:space="preserve"> TOC \o "1-3" \h \z \u </w:instrText>
          </w:r>
          <w:r>
            <w:fldChar w:fldCharType="separate"/>
          </w:r>
          <w:hyperlink w:anchor="_Toc213833816" w:history="1">
            <w:r w:rsidR="008E033E" w:rsidRPr="00E35497">
              <w:rPr>
                <w:rStyle w:val="Hyperlink"/>
                <w:rFonts w:ascii="Arial" w:eastAsia="system-ui" w:hAnsi="Arial" w:cs="Arial"/>
                <w:b/>
                <w:bCs/>
                <w:noProof/>
              </w:rPr>
              <w:t>Abstract</w:t>
            </w:r>
            <w:r w:rsidR="008E033E">
              <w:rPr>
                <w:noProof/>
                <w:webHidden/>
              </w:rPr>
              <w:tab/>
            </w:r>
            <w:r w:rsidR="008E033E">
              <w:rPr>
                <w:noProof/>
                <w:webHidden/>
              </w:rPr>
              <w:fldChar w:fldCharType="begin"/>
            </w:r>
            <w:r w:rsidR="008E033E">
              <w:rPr>
                <w:noProof/>
                <w:webHidden/>
              </w:rPr>
              <w:instrText xml:space="preserve"> PAGEREF _Toc213833816 \h </w:instrText>
            </w:r>
            <w:r w:rsidR="008E033E">
              <w:rPr>
                <w:noProof/>
                <w:webHidden/>
              </w:rPr>
            </w:r>
            <w:r w:rsidR="008E033E">
              <w:rPr>
                <w:noProof/>
                <w:webHidden/>
              </w:rPr>
              <w:fldChar w:fldCharType="separate"/>
            </w:r>
            <w:r w:rsidR="008E033E">
              <w:rPr>
                <w:noProof/>
                <w:webHidden/>
              </w:rPr>
              <w:t>3</w:t>
            </w:r>
            <w:r w:rsidR="008E033E">
              <w:rPr>
                <w:noProof/>
                <w:webHidden/>
              </w:rPr>
              <w:fldChar w:fldCharType="end"/>
            </w:r>
          </w:hyperlink>
        </w:p>
        <w:p w14:paraId="0F99C860" w14:textId="1D8B92B0" w:rsidR="008E033E" w:rsidRDefault="008E033E">
          <w:pPr>
            <w:pStyle w:val="TOC2"/>
            <w:tabs>
              <w:tab w:val="right" w:leader="dot" w:pos="9350"/>
            </w:tabs>
            <w:rPr>
              <w:noProof/>
              <w:kern w:val="2"/>
              <w:lang w:eastAsia="zh-CN"/>
              <w14:ligatures w14:val="standardContextual"/>
            </w:rPr>
          </w:pPr>
          <w:hyperlink w:anchor="_Toc213833817" w:history="1">
            <w:r w:rsidRPr="00E35497">
              <w:rPr>
                <w:rStyle w:val="Hyperlink"/>
                <w:rFonts w:ascii="Arial" w:eastAsia="system-ui" w:hAnsi="Arial" w:cs="Arial"/>
                <w:b/>
                <w:bCs/>
                <w:noProof/>
              </w:rPr>
              <w:t>Introduction</w:t>
            </w:r>
            <w:r>
              <w:rPr>
                <w:noProof/>
                <w:webHidden/>
              </w:rPr>
              <w:tab/>
            </w:r>
            <w:r>
              <w:rPr>
                <w:noProof/>
                <w:webHidden/>
              </w:rPr>
              <w:fldChar w:fldCharType="begin"/>
            </w:r>
            <w:r>
              <w:rPr>
                <w:noProof/>
                <w:webHidden/>
              </w:rPr>
              <w:instrText xml:space="preserve"> PAGEREF _Toc213833817 \h </w:instrText>
            </w:r>
            <w:r>
              <w:rPr>
                <w:noProof/>
                <w:webHidden/>
              </w:rPr>
            </w:r>
            <w:r>
              <w:rPr>
                <w:noProof/>
                <w:webHidden/>
              </w:rPr>
              <w:fldChar w:fldCharType="separate"/>
            </w:r>
            <w:r>
              <w:rPr>
                <w:noProof/>
                <w:webHidden/>
              </w:rPr>
              <w:t>4</w:t>
            </w:r>
            <w:r>
              <w:rPr>
                <w:noProof/>
                <w:webHidden/>
              </w:rPr>
              <w:fldChar w:fldCharType="end"/>
            </w:r>
          </w:hyperlink>
        </w:p>
        <w:p w14:paraId="19A8BD28" w14:textId="74E9EA5A" w:rsidR="008E033E" w:rsidRDefault="008E033E">
          <w:pPr>
            <w:pStyle w:val="TOC2"/>
            <w:tabs>
              <w:tab w:val="right" w:leader="dot" w:pos="9350"/>
            </w:tabs>
            <w:rPr>
              <w:noProof/>
              <w:kern w:val="2"/>
              <w:lang w:eastAsia="zh-CN"/>
              <w14:ligatures w14:val="standardContextual"/>
            </w:rPr>
          </w:pPr>
          <w:hyperlink w:anchor="_Toc213833818" w:history="1">
            <w:r w:rsidRPr="00E35497">
              <w:rPr>
                <w:rStyle w:val="Hyperlink"/>
                <w:rFonts w:ascii="Arial" w:eastAsia="system-ui" w:hAnsi="Arial" w:cs="Arial"/>
                <w:b/>
                <w:bCs/>
                <w:noProof/>
              </w:rPr>
              <w:t>Defining Person</w:t>
            </w:r>
            <w:r w:rsidRPr="00E35497">
              <w:rPr>
                <w:rStyle w:val="Hyperlink"/>
                <w:rFonts w:ascii="Cambria Math" w:eastAsia="system-ui" w:hAnsi="Cambria Math" w:cs="Cambria Math"/>
                <w:b/>
                <w:bCs/>
                <w:noProof/>
              </w:rPr>
              <w:t>‑</w:t>
            </w:r>
            <w:r w:rsidRPr="00E35497">
              <w:rPr>
                <w:rStyle w:val="Hyperlink"/>
                <w:rFonts w:ascii="Arial" w:eastAsia="system-ui" w:hAnsi="Arial" w:cs="Arial"/>
                <w:b/>
                <w:bCs/>
                <w:noProof/>
              </w:rPr>
              <w:t>Centred Care</w:t>
            </w:r>
            <w:r>
              <w:rPr>
                <w:noProof/>
                <w:webHidden/>
              </w:rPr>
              <w:tab/>
            </w:r>
            <w:r>
              <w:rPr>
                <w:noProof/>
                <w:webHidden/>
              </w:rPr>
              <w:fldChar w:fldCharType="begin"/>
            </w:r>
            <w:r>
              <w:rPr>
                <w:noProof/>
                <w:webHidden/>
              </w:rPr>
              <w:instrText xml:space="preserve"> PAGEREF _Toc213833818 \h </w:instrText>
            </w:r>
            <w:r>
              <w:rPr>
                <w:noProof/>
                <w:webHidden/>
              </w:rPr>
            </w:r>
            <w:r>
              <w:rPr>
                <w:noProof/>
                <w:webHidden/>
              </w:rPr>
              <w:fldChar w:fldCharType="separate"/>
            </w:r>
            <w:r>
              <w:rPr>
                <w:noProof/>
                <w:webHidden/>
              </w:rPr>
              <w:t>4</w:t>
            </w:r>
            <w:r>
              <w:rPr>
                <w:noProof/>
                <w:webHidden/>
              </w:rPr>
              <w:fldChar w:fldCharType="end"/>
            </w:r>
          </w:hyperlink>
        </w:p>
        <w:p w14:paraId="796D566F" w14:textId="7450BE81" w:rsidR="008E033E" w:rsidRDefault="008E033E">
          <w:pPr>
            <w:pStyle w:val="TOC2"/>
            <w:tabs>
              <w:tab w:val="right" w:leader="dot" w:pos="9350"/>
            </w:tabs>
            <w:rPr>
              <w:noProof/>
              <w:kern w:val="2"/>
              <w:lang w:eastAsia="zh-CN"/>
              <w14:ligatures w14:val="standardContextual"/>
            </w:rPr>
          </w:pPr>
          <w:hyperlink w:anchor="_Toc213833819" w:history="1">
            <w:r w:rsidRPr="00E35497">
              <w:rPr>
                <w:rStyle w:val="Hyperlink"/>
                <w:rFonts w:ascii="Arial" w:eastAsia="system-ui" w:hAnsi="Arial" w:cs="Arial"/>
                <w:b/>
                <w:bCs/>
                <w:noProof/>
              </w:rPr>
              <w:t>Theory/Model Underpinning Person</w:t>
            </w:r>
            <w:r w:rsidRPr="00E35497">
              <w:rPr>
                <w:rStyle w:val="Hyperlink"/>
                <w:rFonts w:ascii="Cambria Math" w:eastAsia="system-ui" w:hAnsi="Cambria Math" w:cs="Cambria Math"/>
                <w:b/>
                <w:bCs/>
                <w:noProof/>
              </w:rPr>
              <w:t>‑</w:t>
            </w:r>
            <w:r w:rsidRPr="00E35497">
              <w:rPr>
                <w:rStyle w:val="Hyperlink"/>
                <w:rFonts w:ascii="Arial" w:eastAsia="system-ui" w:hAnsi="Arial" w:cs="Arial"/>
                <w:b/>
                <w:bCs/>
                <w:noProof/>
              </w:rPr>
              <w:t>Centred Care</w:t>
            </w:r>
            <w:r>
              <w:rPr>
                <w:noProof/>
                <w:webHidden/>
              </w:rPr>
              <w:tab/>
            </w:r>
            <w:r>
              <w:rPr>
                <w:noProof/>
                <w:webHidden/>
              </w:rPr>
              <w:fldChar w:fldCharType="begin"/>
            </w:r>
            <w:r>
              <w:rPr>
                <w:noProof/>
                <w:webHidden/>
              </w:rPr>
              <w:instrText xml:space="preserve"> PAGEREF _Toc213833819 \h </w:instrText>
            </w:r>
            <w:r>
              <w:rPr>
                <w:noProof/>
                <w:webHidden/>
              </w:rPr>
            </w:r>
            <w:r>
              <w:rPr>
                <w:noProof/>
                <w:webHidden/>
              </w:rPr>
              <w:fldChar w:fldCharType="separate"/>
            </w:r>
            <w:r>
              <w:rPr>
                <w:noProof/>
                <w:webHidden/>
              </w:rPr>
              <w:t>4</w:t>
            </w:r>
            <w:r>
              <w:rPr>
                <w:noProof/>
                <w:webHidden/>
              </w:rPr>
              <w:fldChar w:fldCharType="end"/>
            </w:r>
          </w:hyperlink>
        </w:p>
        <w:p w14:paraId="7299D549" w14:textId="73A1924C" w:rsidR="008E033E" w:rsidRDefault="008E033E">
          <w:pPr>
            <w:pStyle w:val="TOC2"/>
            <w:tabs>
              <w:tab w:val="right" w:leader="dot" w:pos="9350"/>
            </w:tabs>
            <w:rPr>
              <w:noProof/>
              <w:kern w:val="2"/>
              <w:lang w:eastAsia="zh-CN"/>
              <w14:ligatures w14:val="standardContextual"/>
            </w:rPr>
          </w:pPr>
          <w:hyperlink w:anchor="_Toc213833820" w:history="1">
            <w:r w:rsidRPr="00E35497">
              <w:rPr>
                <w:rStyle w:val="Hyperlink"/>
                <w:rFonts w:ascii="Arial" w:eastAsia="system-ui" w:hAnsi="Arial" w:cs="Arial"/>
                <w:b/>
                <w:bCs/>
                <w:noProof/>
              </w:rPr>
              <w:t>Evaluation of Partnership Working</w:t>
            </w:r>
            <w:r>
              <w:rPr>
                <w:noProof/>
                <w:webHidden/>
              </w:rPr>
              <w:tab/>
            </w:r>
            <w:r>
              <w:rPr>
                <w:noProof/>
                <w:webHidden/>
              </w:rPr>
              <w:fldChar w:fldCharType="begin"/>
            </w:r>
            <w:r>
              <w:rPr>
                <w:noProof/>
                <w:webHidden/>
              </w:rPr>
              <w:instrText xml:space="preserve"> PAGEREF _Toc213833820 \h </w:instrText>
            </w:r>
            <w:r>
              <w:rPr>
                <w:noProof/>
                <w:webHidden/>
              </w:rPr>
            </w:r>
            <w:r>
              <w:rPr>
                <w:noProof/>
                <w:webHidden/>
              </w:rPr>
              <w:fldChar w:fldCharType="separate"/>
            </w:r>
            <w:r>
              <w:rPr>
                <w:noProof/>
                <w:webHidden/>
              </w:rPr>
              <w:t>5</w:t>
            </w:r>
            <w:r>
              <w:rPr>
                <w:noProof/>
                <w:webHidden/>
              </w:rPr>
              <w:fldChar w:fldCharType="end"/>
            </w:r>
          </w:hyperlink>
        </w:p>
        <w:p w14:paraId="12984031" w14:textId="10F8468E" w:rsidR="008E033E" w:rsidRDefault="008E033E">
          <w:pPr>
            <w:pStyle w:val="TOC3"/>
            <w:tabs>
              <w:tab w:val="right" w:leader="dot" w:pos="9350"/>
            </w:tabs>
            <w:rPr>
              <w:noProof/>
              <w:kern w:val="2"/>
              <w:lang w:eastAsia="zh-CN"/>
              <w14:ligatures w14:val="standardContextual"/>
            </w:rPr>
          </w:pPr>
          <w:hyperlink w:anchor="_Toc213833821" w:history="1">
            <w:r w:rsidRPr="00E35497">
              <w:rPr>
                <w:rStyle w:val="Hyperlink"/>
                <w:rFonts w:ascii="Arial" w:eastAsia="Arial" w:hAnsi="Arial" w:cs="Arial"/>
                <w:b/>
                <w:bCs/>
                <w:noProof/>
              </w:rPr>
              <w:t>Explore the Application of Partnership Working in a Practical Health</w:t>
            </w:r>
            <w:r w:rsidRPr="00E35497">
              <w:rPr>
                <w:rStyle w:val="Hyperlink"/>
                <w:rFonts w:ascii="Cambria Math" w:eastAsia="Arial" w:hAnsi="Cambria Math" w:cs="Cambria Math"/>
                <w:b/>
                <w:bCs/>
                <w:noProof/>
              </w:rPr>
              <w:t>‑</w:t>
            </w:r>
            <w:r w:rsidRPr="00E35497">
              <w:rPr>
                <w:rStyle w:val="Hyperlink"/>
                <w:rFonts w:ascii="Arial" w:eastAsia="Arial" w:hAnsi="Arial" w:cs="Arial"/>
                <w:b/>
                <w:bCs/>
                <w:noProof/>
              </w:rPr>
              <w:t>Social</w:t>
            </w:r>
            <w:r w:rsidRPr="00E35497">
              <w:rPr>
                <w:rStyle w:val="Hyperlink"/>
                <w:rFonts w:ascii="Cambria Math" w:eastAsia="Arial" w:hAnsi="Cambria Math" w:cs="Cambria Math"/>
                <w:b/>
                <w:bCs/>
                <w:noProof/>
              </w:rPr>
              <w:t>‑</w:t>
            </w:r>
            <w:r w:rsidRPr="00E35497">
              <w:rPr>
                <w:rStyle w:val="Hyperlink"/>
                <w:rFonts w:ascii="Arial" w:eastAsia="Arial" w:hAnsi="Arial" w:cs="Arial"/>
                <w:b/>
                <w:bCs/>
                <w:noProof/>
              </w:rPr>
              <w:t>Care Setting</w:t>
            </w:r>
            <w:r>
              <w:rPr>
                <w:noProof/>
                <w:webHidden/>
              </w:rPr>
              <w:tab/>
            </w:r>
            <w:r>
              <w:rPr>
                <w:noProof/>
                <w:webHidden/>
              </w:rPr>
              <w:fldChar w:fldCharType="begin"/>
            </w:r>
            <w:r>
              <w:rPr>
                <w:noProof/>
                <w:webHidden/>
              </w:rPr>
              <w:instrText xml:space="preserve"> PAGEREF _Toc213833821 \h </w:instrText>
            </w:r>
            <w:r>
              <w:rPr>
                <w:noProof/>
                <w:webHidden/>
              </w:rPr>
            </w:r>
            <w:r>
              <w:rPr>
                <w:noProof/>
                <w:webHidden/>
              </w:rPr>
              <w:fldChar w:fldCharType="separate"/>
            </w:r>
            <w:r>
              <w:rPr>
                <w:noProof/>
                <w:webHidden/>
              </w:rPr>
              <w:t>6</w:t>
            </w:r>
            <w:r>
              <w:rPr>
                <w:noProof/>
                <w:webHidden/>
              </w:rPr>
              <w:fldChar w:fldCharType="end"/>
            </w:r>
          </w:hyperlink>
        </w:p>
        <w:p w14:paraId="75E35637" w14:textId="59018B19" w:rsidR="008E033E" w:rsidRDefault="008E033E">
          <w:pPr>
            <w:pStyle w:val="TOC2"/>
            <w:tabs>
              <w:tab w:val="right" w:leader="dot" w:pos="9350"/>
            </w:tabs>
            <w:rPr>
              <w:noProof/>
              <w:kern w:val="2"/>
              <w:lang w:eastAsia="zh-CN"/>
              <w14:ligatures w14:val="standardContextual"/>
            </w:rPr>
          </w:pPr>
          <w:hyperlink w:anchor="_Toc213833822" w:history="1">
            <w:r w:rsidRPr="00E35497">
              <w:rPr>
                <w:rStyle w:val="Hyperlink"/>
                <w:rFonts w:ascii="Arial" w:eastAsia="system-ui" w:hAnsi="Arial" w:cs="Arial"/>
                <w:b/>
                <w:bCs/>
                <w:noProof/>
              </w:rPr>
              <w:t>Practical Application of Partnership Working</w:t>
            </w:r>
            <w:r>
              <w:rPr>
                <w:noProof/>
                <w:webHidden/>
              </w:rPr>
              <w:tab/>
            </w:r>
            <w:r>
              <w:rPr>
                <w:noProof/>
                <w:webHidden/>
              </w:rPr>
              <w:fldChar w:fldCharType="begin"/>
            </w:r>
            <w:r>
              <w:rPr>
                <w:noProof/>
                <w:webHidden/>
              </w:rPr>
              <w:instrText xml:space="preserve"> PAGEREF _Toc213833822 \h </w:instrText>
            </w:r>
            <w:r>
              <w:rPr>
                <w:noProof/>
                <w:webHidden/>
              </w:rPr>
            </w:r>
            <w:r>
              <w:rPr>
                <w:noProof/>
                <w:webHidden/>
              </w:rPr>
              <w:fldChar w:fldCharType="separate"/>
            </w:r>
            <w:r>
              <w:rPr>
                <w:noProof/>
                <w:webHidden/>
              </w:rPr>
              <w:t>6</w:t>
            </w:r>
            <w:r>
              <w:rPr>
                <w:noProof/>
                <w:webHidden/>
              </w:rPr>
              <w:fldChar w:fldCharType="end"/>
            </w:r>
          </w:hyperlink>
        </w:p>
        <w:p w14:paraId="2D6F6196" w14:textId="22576201" w:rsidR="008E033E" w:rsidRDefault="008E033E">
          <w:pPr>
            <w:pStyle w:val="TOC1"/>
            <w:tabs>
              <w:tab w:val="right" w:leader="dot" w:pos="9350"/>
            </w:tabs>
            <w:rPr>
              <w:noProof/>
              <w:kern w:val="2"/>
              <w:lang w:eastAsia="zh-CN"/>
              <w14:ligatures w14:val="standardContextual"/>
            </w:rPr>
          </w:pPr>
          <w:hyperlink w:anchor="_Toc213833823" w:history="1">
            <w:r w:rsidRPr="00E35497">
              <w:rPr>
                <w:rStyle w:val="Hyperlink"/>
                <w:rFonts w:ascii="Arial" w:hAnsi="Arial" w:cs="Arial"/>
                <w:b/>
                <w:bCs/>
                <w:noProof/>
              </w:rPr>
              <w:t>Table 1: Legislative framework and its relationship to PCC and PW</w:t>
            </w:r>
            <w:r>
              <w:rPr>
                <w:noProof/>
                <w:webHidden/>
              </w:rPr>
              <w:tab/>
            </w:r>
            <w:r>
              <w:rPr>
                <w:noProof/>
                <w:webHidden/>
              </w:rPr>
              <w:fldChar w:fldCharType="begin"/>
            </w:r>
            <w:r>
              <w:rPr>
                <w:noProof/>
                <w:webHidden/>
              </w:rPr>
              <w:instrText xml:space="preserve"> PAGEREF _Toc213833823 \h </w:instrText>
            </w:r>
            <w:r>
              <w:rPr>
                <w:noProof/>
                <w:webHidden/>
              </w:rPr>
            </w:r>
            <w:r>
              <w:rPr>
                <w:noProof/>
                <w:webHidden/>
              </w:rPr>
              <w:fldChar w:fldCharType="separate"/>
            </w:r>
            <w:r>
              <w:rPr>
                <w:noProof/>
                <w:webHidden/>
              </w:rPr>
              <w:t>8</w:t>
            </w:r>
            <w:r>
              <w:rPr>
                <w:noProof/>
                <w:webHidden/>
              </w:rPr>
              <w:fldChar w:fldCharType="end"/>
            </w:r>
          </w:hyperlink>
        </w:p>
        <w:p w14:paraId="24FF76A9" w14:textId="6F0C7063" w:rsidR="008E033E" w:rsidRDefault="008E033E">
          <w:pPr>
            <w:pStyle w:val="TOC1"/>
            <w:tabs>
              <w:tab w:val="right" w:leader="dot" w:pos="9350"/>
            </w:tabs>
            <w:rPr>
              <w:noProof/>
              <w:kern w:val="2"/>
              <w:lang w:eastAsia="zh-CN"/>
              <w14:ligatures w14:val="standardContextual"/>
            </w:rPr>
          </w:pPr>
          <w:hyperlink w:anchor="_Toc213833824" w:history="1">
            <w:r w:rsidRPr="00E35497">
              <w:rPr>
                <w:rStyle w:val="Hyperlink"/>
                <w:rFonts w:ascii="Arial" w:hAnsi="Arial" w:cs="Arial"/>
                <w:b/>
                <w:bCs/>
                <w:noProof/>
              </w:rPr>
              <w:t>Policy and Legislative Context for Person</w:t>
            </w:r>
            <w:r w:rsidRPr="00E35497">
              <w:rPr>
                <w:rStyle w:val="Hyperlink"/>
                <w:rFonts w:ascii="Cambria Math" w:hAnsi="Cambria Math" w:cs="Cambria Math"/>
                <w:b/>
                <w:bCs/>
                <w:noProof/>
              </w:rPr>
              <w:t>‑</w:t>
            </w:r>
            <w:r w:rsidRPr="00E35497">
              <w:rPr>
                <w:rStyle w:val="Hyperlink"/>
                <w:rFonts w:ascii="Arial" w:hAnsi="Arial" w:cs="Arial"/>
                <w:b/>
                <w:bCs/>
                <w:noProof/>
              </w:rPr>
              <w:t>Centred Care and Partnership Working</w:t>
            </w:r>
            <w:r>
              <w:rPr>
                <w:noProof/>
                <w:webHidden/>
              </w:rPr>
              <w:tab/>
            </w:r>
            <w:r>
              <w:rPr>
                <w:noProof/>
                <w:webHidden/>
              </w:rPr>
              <w:fldChar w:fldCharType="begin"/>
            </w:r>
            <w:r>
              <w:rPr>
                <w:noProof/>
                <w:webHidden/>
              </w:rPr>
              <w:instrText xml:space="preserve"> PAGEREF _Toc213833824 \h </w:instrText>
            </w:r>
            <w:r>
              <w:rPr>
                <w:noProof/>
                <w:webHidden/>
              </w:rPr>
            </w:r>
            <w:r>
              <w:rPr>
                <w:noProof/>
                <w:webHidden/>
              </w:rPr>
              <w:fldChar w:fldCharType="separate"/>
            </w:r>
            <w:r>
              <w:rPr>
                <w:noProof/>
                <w:webHidden/>
              </w:rPr>
              <w:t>8</w:t>
            </w:r>
            <w:r>
              <w:rPr>
                <w:noProof/>
                <w:webHidden/>
              </w:rPr>
              <w:fldChar w:fldCharType="end"/>
            </w:r>
          </w:hyperlink>
        </w:p>
        <w:p w14:paraId="7777E996" w14:textId="037C6769" w:rsidR="008E033E" w:rsidRDefault="008E033E">
          <w:pPr>
            <w:pStyle w:val="TOC2"/>
            <w:tabs>
              <w:tab w:val="right" w:leader="dot" w:pos="9350"/>
            </w:tabs>
            <w:rPr>
              <w:noProof/>
              <w:kern w:val="2"/>
              <w:lang w:eastAsia="zh-CN"/>
              <w14:ligatures w14:val="standardContextual"/>
            </w:rPr>
          </w:pPr>
          <w:hyperlink w:anchor="_Toc213833825" w:history="1">
            <w:r w:rsidRPr="00E35497">
              <w:rPr>
                <w:rStyle w:val="Hyperlink"/>
                <w:rFonts w:ascii="Arial" w:eastAsia="Arial" w:hAnsi="Arial" w:cs="Arial"/>
                <w:b/>
                <w:bCs/>
                <w:noProof/>
              </w:rPr>
              <w:t>Recommendations for Future Development</w:t>
            </w:r>
            <w:r>
              <w:rPr>
                <w:noProof/>
                <w:webHidden/>
              </w:rPr>
              <w:tab/>
            </w:r>
            <w:r>
              <w:rPr>
                <w:noProof/>
                <w:webHidden/>
              </w:rPr>
              <w:fldChar w:fldCharType="begin"/>
            </w:r>
            <w:r>
              <w:rPr>
                <w:noProof/>
                <w:webHidden/>
              </w:rPr>
              <w:instrText xml:space="preserve"> PAGEREF _Toc213833825 \h </w:instrText>
            </w:r>
            <w:r>
              <w:rPr>
                <w:noProof/>
                <w:webHidden/>
              </w:rPr>
            </w:r>
            <w:r>
              <w:rPr>
                <w:noProof/>
                <w:webHidden/>
              </w:rPr>
              <w:fldChar w:fldCharType="separate"/>
            </w:r>
            <w:r>
              <w:rPr>
                <w:noProof/>
                <w:webHidden/>
              </w:rPr>
              <w:t>9</w:t>
            </w:r>
            <w:r>
              <w:rPr>
                <w:noProof/>
                <w:webHidden/>
              </w:rPr>
              <w:fldChar w:fldCharType="end"/>
            </w:r>
          </w:hyperlink>
        </w:p>
        <w:p w14:paraId="4E492889" w14:textId="1CB8DFC5" w:rsidR="008E033E" w:rsidRDefault="008E033E">
          <w:pPr>
            <w:pStyle w:val="TOC2"/>
            <w:tabs>
              <w:tab w:val="right" w:leader="dot" w:pos="9350"/>
            </w:tabs>
            <w:rPr>
              <w:noProof/>
              <w:kern w:val="2"/>
              <w:lang w:eastAsia="zh-CN"/>
              <w14:ligatures w14:val="standardContextual"/>
            </w:rPr>
          </w:pPr>
          <w:hyperlink w:anchor="_Toc213833826" w:history="1">
            <w:r w:rsidRPr="00E35497">
              <w:rPr>
                <w:rStyle w:val="Hyperlink"/>
                <w:rFonts w:ascii="Arial" w:eastAsia="system-ui" w:hAnsi="Arial" w:cs="Arial"/>
                <w:b/>
                <w:bCs/>
                <w:noProof/>
              </w:rPr>
              <w:t>Conclusion</w:t>
            </w:r>
            <w:r>
              <w:rPr>
                <w:noProof/>
                <w:webHidden/>
              </w:rPr>
              <w:tab/>
            </w:r>
            <w:r>
              <w:rPr>
                <w:noProof/>
                <w:webHidden/>
              </w:rPr>
              <w:fldChar w:fldCharType="begin"/>
            </w:r>
            <w:r>
              <w:rPr>
                <w:noProof/>
                <w:webHidden/>
              </w:rPr>
              <w:instrText xml:space="preserve"> PAGEREF _Toc213833826 \h </w:instrText>
            </w:r>
            <w:r>
              <w:rPr>
                <w:noProof/>
                <w:webHidden/>
              </w:rPr>
            </w:r>
            <w:r>
              <w:rPr>
                <w:noProof/>
                <w:webHidden/>
              </w:rPr>
              <w:fldChar w:fldCharType="separate"/>
            </w:r>
            <w:r>
              <w:rPr>
                <w:noProof/>
                <w:webHidden/>
              </w:rPr>
              <w:t>10</w:t>
            </w:r>
            <w:r>
              <w:rPr>
                <w:noProof/>
                <w:webHidden/>
              </w:rPr>
              <w:fldChar w:fldCharType="end"/>
            </w:r>
          </w:hyperlink>
        </w:p>
        <w:p w14:paraId="67A4F226" w14:textId="2A8B0DD0" w:rsidR="008E033E" w:rsidRDefault="008E033E">
          <w:pPr>
            <w:pStyle w:val="TOC2"/>
            <w:tabs>
              <w:tab w:val="right" w:leader="dot" w:pos="9350"/>
            </w:tabs>
            <w:rPr>
              <w:noProof/>
              <w:kern w:val="2"/>
              <w:lang w:eastAsia="zh-CN"/>
              <w14:ligatures w14:val="standardContextual"/>
            </w:rPr>
          </w:pPr>
          <w:hyperlink w:anchor="_Toc213833827" w:history="1">
            <w:r w:rsidRPr="00E35497">
              <w:rPr>
                <w:rStyle w:val="Hyperlink"/>
                <w:rFonts w:ascii="Arial" w:eastAsia="system-ui" w:hAnsi="Arial" w:cs="Arial"/>
                <w:b/>
                <w:bCs/>
                <w:noProof/>
              </w:rPr>
              <w:t>References</w:t>
            </w:r>
            <w:r>
              <w:rPr>
                <w:noProof/>
                <w:webHidden/>
              </w:rPr>
              <w:tab/>
            </w:r>
            <w:r>
              <w:rPr>
                <w:noProof/>
                <w:webHidden/>
              </w:rPr>
              <w:fldChar w:fldCharType="begin"/>
            </w:r>
            <w:r>
              <w:rPr>
                <w:noProof/>
                <w:webHidden/>
              </w:rPr>
              <w:instrText xml:space="preserve"> PAGEREF _Toc213833827 \h </w:instrText>
            </w:r>
            <w:r>
              <w:rPr>
                <w:noProof/>
                <w:webHidden/>
              </w:rPr>
            </w:r>
            <w:r>
              <w:rPr>
                <w:noProof/>
                <w:webHidden/>
              </w:rPr>
              <w:fldChar w:fldCharType="separate"/>
            </w:r>
            <w:r>
              <w:rPr>
                <w:noProof/>
                <w:webHidden/>
              </w:rPr>
              <w:t>11</w:t>
            </w:r>
            <w:r>
              <w:rPr>
                <w:noProof/>
                <w:webHidden/>
              </w:rPr>
              <w:fldChar w:fldCharType="end"/>
            </w:r>
          </w:hyperlink>
        </w:p>
        <w:p w14:paraId="7908FF49" w14:textId="3DEA889A" w:rsidR="00F04F90" w:rsidRDefault="00F04F90">
          <w:r>
            <w:rPr>
              <w:b/>
              <w:bCs/>
              <w:noProof/>
            </w:rPr>
            <w:fldChar w:fldCharType="end"/>
          </w:r>
        </w:p>
      </w:sdtContent>
    </w:sdt>
    <w:p w14:paraId="25427603" w14:textId="77777777" w:rsidR="00F04F90" w:rsidRDefault="00F04F90" w:rsidP="7D8B1321">
      <w:pPr>
        <w:spacing w:before="480" w:line="360" w:lineRule="auto"/>
        <w:rPr>
          <w:rFonts w:ascii="Arial" w:eastAsia="Arial" w:hAnsi="Arial" w:cs="Arial"/>
          <w:sz w:val="22"/>
          <w:szCs w:val="22"/>
        </w:rPr>
      </w:pPr>
    </w:p>
    <w:p w14:paraId="42C81315" w14:textId="77777777" w:rsidR="00F04F90" w:rsidRDefault="00F04F90" w:rsidP="7D8B1321">
      <w:pPr>
        <w:spacing w:before="480" w:line="360" w:lineRule="auto"/>
        <w:rPr>
          <w:rFonts w:ascii="Arial" w:eastAsia="Arial" w:hAnsi="Arial" w:cs="Arial"/>
          <w:sz w:val="22"/>
          <w:szCs w:val="22"/>
        </w:rPr>
      </w:pPr>
    </w:p>
    <w:p w14:paraId="3F550677" w14:textId="003EA015" w:rsidR="5D4C2776" w:rsidRDefault="5D4C2776" w:rsidP="7D8B1321">
      <w:pPr>
        <w:spacing w:before="480" w:after="240" w:line="360" w:lineRule="auto"/>
        <w:rPr>
          <w:rFonts w:ascii="Arial Nova" w:eastAsia="Arial Nova" w:hAnsi="Arial Nova" w:cs="Arial Nova"/>
          <w:sz w:val="22"/>
          <w:szCs w:val="22"/>
        </w:rPr>
      </w:pPr>
    </w:p>
    <w:p w14:paraId="11361A4D" w14:textId="7229D462" w:rsidR="7C9F6CBD" w:rsidRDefault="7C9F6CBD" w:rsidP="7D8B1321">
      <w:pPr>
        <w:spacing w:before="240" w:after="240"/>
        <w:rPr>
          <w:rFonts w:ascii="Arial" w:eastAsia="Arial" w:hAnsi="Arial" w:cs="Arial"/>
          <w:b/>
          <w:bCs/>
          <w:sz w:val="22"/>
          <w:szCs w:val="22"/>
          <w:u w:val="single"/>
        </w:rPr>
      </w:pPr>
    </w:p>
    <w:p w14:paraId="2D83C806" w14:textId="77777777" w:rsidR="00AA361C" w:rsidRDefault="00AA361C">
      <w:pPr>
        <w:rPr>
          <w:rFonts w:ascii="system-ui" w:eastAsia="system-ui" w:hAnsi="system-ui" w:cs="system-ui"/>
          <w:b/>
          <w:bCs/>
          <w:color w:val="24292E"/>
          <w:sz w:val="36"/>
          <w:szCs w:val="36"/>
        </w:rPr>
      </w:pPr>
      <w:r>
        <w:rPr>
          <w:rFonts w:ascii="system-ui" w:eastAsia="system-ui" w:hAnsi="system-ui" w:cs="system-ui"/>
          <w:b/>
          <w:bCs/>
          <w:color w:val="24292E"/>
          <w:sz w:val="36"/>
          <w:szCs w:val="36"/>
        </w:rPr>
        <w:br w:type="page"/>
      </w:r>
    </w:p>
    <w:p w14:paraId="3C1E18FA" w14:textId="26E79D69" w:rsidR="002042C4" w:rsidRDefault="00244B6B" w:rsidP="7D8B1321">
      <w:pPr>
        <w:pStyle w:val="Heading2"/>
        <w:shd w:val="clear" w:color="auto" w:fill="FFFFFF" w:themeFill="background1"/>
        <w:spacing w:before="312" w:after="108"/>
        <w:rPr>
          <w:rFonts w:ascii="Arial" w:eastAsia="system-ui" w:hAnsi="Arial" w:cs="Arial"/>
          <w:b/>
          <w:bCs/>
          <w:color w:val="24292E"/>
          <w:sz w:val="24"/>
          <w:szCs w:val="24"/>
        </w:rPr>
      </w:pPr>
      <w:bookmarkStart w:id="0" w:name="_Toc213833816"/>
      <w:r>
        <w:rPr>
          <w:rFonts w:ascii="Arial" w:eastAsia="system-ui" w:hAnsi="Arial" w:cs="Arial"/>
          <w:b/>
          <w:bCs/>
          <w:color w:val="24292E"/>
          <w:sz w:val="24"/>
          <w:szCs w:val="24"/>
        </w:rPr>
        <w:lastRenderedPageBreak/>
        <w:t>Abstract</w:t>
      </w:r>
      <w:bookmarkEnd w:id="0"/>
    </w:p>
    <w:p w14:paraId="5B8AF3DD" w14:textId="3AEF0B24" w:rsidR="00244B6B" w:rsidRDefault="00DC686B" w:rsidP="00A611EF">
      <w:pPr>
        <w:jc w:val="both"/>
        <w:rPr>
          <w:rFonts w:ascii="Arial" w:hAnsi="Arial" w:cs="Arial"/>
          <w:sz w:val="22"/>
          <w:szCs w:val="22"/>
        </w:rPr>
      </w:pPr>
      <w:r w:rsidRPr="00DC686B">
        <w:rPr>
          <w:rFonts w:ascii="Arial" w:hAnsi="Arial" w:cs="Arial"/>
          <w:b/>
          <w:bCs/>
          <w:sz w:val="22"/>
          <w:szCs w:val="22"/>
        </w:rPr>
        <w:t>Introduction</w:t>
      </w:r>
      <w:r>
        <w:rPr>
          <w:rFonts w:ascii="Arial" w:hAnsi="Arial" w:cs="Arial"/>
          <w:sz w:val="22"/>
          <w:szCs w:val="22"/>
        </w:rPr>
        <w:t xml:space="preserve"> </w:t>
      </w:r>
      <w:r w:rsidR="00896F31">
        <w:rPr>
          <w:rFonts w:ascii="Arial" w:hAnsi="Arial" w:cs="Arial"/>
          <w:sz w:val="22"/>
          <w:szCs w:val="22"/>
        </w:rPr>
        <w:t>Central pillars of contemporary health and social</w:t>
      </w:r>
      <w:r w:rsidR="00932860">
        <w:rPr>
          <w:rFonts w:ascii="Arial" w:hAnsi="Arial" w:cs="Arial"/>
          <w:sz w:val="22"/>
          <w:szCs w:val="22"/>
        </w:rPr>
        <w:t xml:space="preserve">  are policy in England </w:t>
      </w:r>
      <w:r w:rsidR="009F0BDD">
        <w:rPr>
          <w:rFonts w:ascii="Arial" w:hAnsi="Arial" w:cs="Arial"/>
          <w:sz w:val="22"/>
          <w:szCs w:val="22"/>
        </w:rPr>
        <w:t>are person centred care (PCC) and partnership working (PW)</w:t>
      </w:r>
      <w:r w:rsidR="00253411">
        <w:rPr>
          <w:rFonts w:ascii="Arial" w:hAnsi="Arial" w:cs="Arial"/>
          <w:sz w:val="22"/>
          <w:szCs w:val="22"/>
        </w:rPr>
        <w:t xml:space="preserve">. </w:t>
      </w:r>
      <w:r w:rsidR="005F1E31">
        <w:rPr>
          <w:rFonts w:ascii="Arial" w:hAnsi="Arial" w:cs="Arial"/>
          <w:sz w:val="22"/>
          <w:szCs w:val="22"/>
        </w:rPr>
        <w:t xml:space="preserve">They </w:t>
      </w:r>
      <w:r w:rsidR="00CD7FCB">
        <w:rPr>
          <w:rFonts w:ascii="Arial" w:hAnsi="Arial" w:cs="Arial"/>
          <w:sz w:val="22"/>
          <w:szCs w:val="22"/>
        </w:rPr>
        <w:t xml:space="preserve">are driven </w:t>
      </w:r>
      <w:r w:rsidR="00312484">
        <w:rPr>
          <w:rFonts w:ascii="Arial" w:hAnsi="Arial" w:cs="Arial"/>
          <w:sz w:val="22"/>
          <w:szCs w:val="22"/>
        </w:rPr>
        <w:t xml:space="preserve">by the Care Act (2014) to ensure </w:t>
      </w:r>
      <w:r w:rsidR="003643BD">
        <w:rPr>
          <w:rFonts w:ascii="Arial" w:hAnsi="Arial" w:cs="Arial"/>
          <w:sz w:val="22"/>
          <w:szCs w:val="22"/>
        </w:rPr>
        <w:t>wellbeing</w:t>
      </w:r>
      <w:r w:rsidR="00791CA2">
        <w:rPr>
          <w:rFonts w:ascii="Arial" w:hAnsi="Arial" w:cs="Arial"/>
          <w:sz w:val="22"/>
          <w:szCs w:val="22"/>
        </w:rPr>
        <w:t xml:space="preserve"> and a move away from a disease-focused </w:t>
      </w:r>
      <w:r w:rsidR="00AB0B24">
        <w:rPr>
          <w:rFonts w:ascii="Arial" w:hAnsi="Arial" w:cs="Arial"/>
          <w:sz w:val="22"/>
          <w:szCs w:val="22"/>
        </w:rPr>
        <w:t>model.</w:t>
      </w:r>
      <w:r w:rsidR="003643BD">
        <w:rPr>
          <w:rFonts w:ascii="Arial" w:hAnsi="Arial" w:cs="Arial"/>
          <w:sz w:val="22"/>
          <w:szCs w:val="22"/>
        </w:rPr>
        <w:t xml:space="preserve"> It is </w:t>
      </w:r>
      <w:r w:rsidR="00950FBD">
        <w:rPr>
          <w:rFonts w:ascii="Arial" w:hAnsi="Arial" w:cs="Arial"/>
          <w:sz w:val="22"/>
          <w:szCs w:val="22"/>
        </w:rPr>
        <w:t>inline</w:t>
      </w:r>
      <w:r w:rsidR="00C17D20">
        <w:rPr>
          <w:rFonts w:ascii="Arial" w:hAnsi="Arial" w:cs="Arial"/>
          <w:sz w:val="22"/>
          <w:szCs w:val="22"/>
        </w:rPr>
        <w:t xml:space="preserve"> with the NHS Long-Term Plan (2019) </w:t>
      </w:r>
      <w:r w:rsidR="00C53B79">
        <w:rPr>
          <w:rFonts w:ascii="Arial" w:hAnsi="Arial" w:cs="Arial"/>
          <w:sz w:val="22"/>
          <w:szCs w:val="22"/>
        </w:rPr>
        <w:t>which has seen £2 billion to develop community-based services.</w:t>
      </w:r>
    </w:p>
    <w:p w14:paraId="7188C71C" w14:textId="159580C3" w:rsidR="007A217B" w:rsidRDefault="00207FD4" w:rsidP="007A217B">
      <w:pPr>
        <w:jc w:val="both"/>
        <w:rPr>
          <w:rFonts w:ascii="Arial" w:hAnsi="Arial" w:cs="Arial"/>
          <w:sz w:val="22"/>
          <w:szCs w:val="22"/>
        </w:rPr>
      </w:pPr>
      <w:r w:rsidRPr="00DC686B">
        <w:rPr>
          <w:rFonts w:ascii="Arial" w:hAnsi="Arial" w:cs="Arial"/>
          <w:b/>
          <w:bCs/>
          <w:sz w:val="22"/>
          <w:szCs w:val="22"/>
        </w:rPr>
        <w:t>Person Cent</w:t>
      </w:r>
      <w:r w:rsidR="001741A6" w:rsidRPr="00DC686B">
        <w:rPr>
          <w:rFonts w:ascii="Arial" w:hAnsi="Arial" w:cs="Arial"/>
          <w:b/>
          <w:bCs/>
          <w:sz w:val="22"/>
          <w:szCs w:val="22"/>
        </w:rPr>
        <w:t>red care</w:t>
      </w:r>
      <w:r w:rsidR="00DC686B">
        <w:rPr>
          <w:rFonts w:ascii="Arial" w:hAnsi="Arial" w:cs="Arial"/>
          <w:b/>
          <w:bCs/>
          <w:sz w:val="22"/>
          <w:szCs w:val="22"/>
        </w:rPr>
        <w:t xml:space="preserve"> </w:t>
      </w:r>
      <w:r w:rsidR="00183D91">
        <w:rPr>
          <w:rFonts w:ascii="Arial" w:hAnsi="Arial" w:cs="Arial"/>
          <w:sz w:val="22"/>
          <w:szCs w:val="22"/>
        </w:rPr>
        <w:t>Benefits</w:t>
      </w:r>
      <w:r w:rsidR="00DC686B">
        <w:rPr>
          <w:rFonts w:ascii="Arial" w:hAnsi="Arial" w:cs="Arial"/>
          <w:sz w:val="22"/>
          <w:szCs w:val="22"/>
        </w:rPr>
        <w:t xml:space="preserve">  - improves </w:t>
      </w:r>
      <w:r w:rsidR="00DC686B" w:rsidRPr="00DC686B">
        <w:rPr>
          <w:rFonts w:ascii="Arial" w:hAnsi="Arial" w:cs="Arial"/>
          <w:sz w:val="22"/>
          <w:szCs w:val="22"/>
        </w:rPr>
        <w:t>clinical outcomes, increases patient satisfaction, and enhances treatment adherence</w:t>
      </w:r>
      <w:r w:rsidR="00A13508">
        <w:rPr>
          <w:rFonts w:ascii="Arial" w:hAnsi="Arial" w:cs="Arial"/>
          <w:sz w:val="22"/>
          <w:szCs w:val="22"/>
        </w:rPr>
        <w:t xml:space="preserve">. </w:t>
      </w:r>
      <w:r w:rsidR="007A217B" w:rsidRPr="007A217B">
        <w:rPr>
          <w:rFonts w:ascii="Arial" w:hAnsi="Arial" w:cs="Arial"/>
          <w:sz w:val="22"/>
          <w:szCs w:val="22"/>
        </w:rPr>
        <w:t xml:space="preserve">Limitations </w:t>
      </w:r>
      <w:r w:rsidR="007A217B">
        <w:rPr>
          <w:rFonts w:ascii="Arial" w:hAnsi="Arial" w:cs="Arial"/>
          <w:sz w:val="22"/>
          <w:szCs w:val="22"/>
        </w:rPr>
        <w:t>requires</w:t>
      </w:r>
      <w:r w:rsidR="007A217B" w:rsidRPr="007A217B">
        <w:rPr>
          <w:rFonts w:ascii="Arial" w:hAnsi="Arial" w:cs="Arial"/>
          <w:sz w:val="22"/>
          <w:szCs w:val="22"/>
        </w:rPr>
        <w:t xml:space="preserve"> additional time, staff training, and organisational resources</w:t>
      </w:r>
      <w:r w:rsidR="007A217B">
        <w:rPr>
          <w:rFonts w:ascii="Arial" w:hAnsi="Arial" w:cs="Arial"/>
          <w:sz w:val="22"/>
          <w:szCs w:val="22"/>
        </w:rPr>
        <w:t xml:space="preserve">. </w:t>
      </w:r>
      <w:r w:rsidR="0004268D">
        <w:rPr>
          <w:rFonts w:ascii="Arial" w:hAnsi="Arial" w:cs="Arial"/>
          <w:sz w:val="22"/>
          <w:szCs w:val="22"/>
        </w:rPr>
        <w:t>A</w:t>
      </w:r>
      <w:r w:rsidR="007A217B" w:rsidRPr="007A217B">
        <w:rPr>
          <w:rFonts w:ascii="Arial" w:hAnsi="Arial" w:cs="Arial"/>
          <w:sz w:val="22"/>
          <w:szCs w:val="22"/>
        </w:rPr>
        <w:t xml:space="preserve"> risk of “tokenism” when services claim to be person</w:t>
      </w:r>
      <w:r w:rsidR="007A217B" w:rsidRPr="007A217B">
        <w:rPr>
          <w:rFonts w:ascii="Cambria Math" w:hAnsi="Cambria Math" w:cs="Cambria Math"/>
          <w:sz w:val="22"/>
          <w:szCs w:val="22"/>
        </w:rPr>
        <w:t>‑</w:t>
      </w:r>
      <w:r w:rsidR="007A217B" w:rsidRPr="007A217B">
        <w:rPr>
          <w:rFonts w:ascii="Arial" w:hAnsi="Arial" w:cs="Arial"/>
          <w:sz w:val="22"/>
          <w:szCs w:val="22"/>
        </w:rPr>
        <w:t>centred</w:t>
      </w:r>
      <w:r w:rsidR="0004268D">
        <w:rPr>
          <w:rFonts w:ascii="Arial" w:hAnsi="Arial" w:cs="Arial"/>
          <w:sz w:val="22"/>
          <w:szCs w:val="22"/>
        </w:rPr>
        <w:t>.</w:t>
      </w:r>
    </w:p>
    <w:p w14:paraId="0AA5819C" w14:textId="61B9177C" w:rsidR="009B65B3" w:rsidRDefault="0004268D" w:rsidP="009B65B3">
      <w:pPr>
        <w:jc w:val="both"/>
        <w:rPr>
          <w:rFonts w:ascii="Arial" w:hAnsi="Arial" w:cs="Arial"/>
          <w:sz w:val="22"/>
          <w:szCs w:val="22"/>
        </w:rPr>
      </w:pPr>
      <w:r w:rsidRPr="009B65B3">
        <w:rPr>
          <w:rFonts w:ascii="Arial" w:hAnsi="Arial" w:cs="Arial"/>
          <w:b/>
          <w:bCs/>
          <w:sz w:val="22"/>
          <w:szCs w:val="22"/>
        </w:rPr>
        <w:t>Par</w:t>
      </w:r>
      <w:r w:rsidR="009B65B3" w:rsidRPr="009B65B3">
        <w:rPr>
          <w:rFonts w:ascii="Arial" w:hAnsi="Arial" w:cs="Arial"/>
          <w:b/>
          <w:bCs/>
          <w:sz w:val="22"/>
          <w:szCs w:val="22"/>
        </w:rPr>
        <w:t>tnership Working</w:t>
      </w:r>
      <w:r w:rsidR="009B65B3">
        <w:rPr>
          <w:rFonts w:ascii="Arial" w:hAnsi="Arial" w:cs="Arial"/>
          <w:sz w:val="22"/>
          <w:szCs w:val="22"/>
        </w:rPr>
        <w:t xml:space="preserve"> </w:t>
      </w:r>
      <w:r w:rsidR="009B65B3" w:rsidRPr="009B65B3">
        <w:rPr>
          <w:rFonts w:ascii="Arial" w:hAnsi="Arial" w:cs="Arial"/>
          <w:sz w:val="22"/>
          <w:szCs w:val="22"/>
        </w:rPr>
        <w:t>Benefits</w:t>
      </w:r>
      <w:r w:rsidR="004604B2">
        <w:rPr>
          <w:rFonts w:ascii="Arial" w:hAnsi="Arial" w:cs="Arial"/>
          <w:sz w:val="22"/>
          <w:szCs w:val="22"/>
        </w:rPr>
        <w:t xml:space="preserve"> </w:t>
      </w:r>
      <w:r w:rsidR="009B65B3" w:rsidRPr="009B65B3">
        <w:rPr>
          <w:rFonts w:ascii="Arial" w:hAnsi="Arial" w:cs="Arial"/>
          <w:sz w:val="22"/>
          <w:szCs w:val="22"/>
        </w:rPr>
        <w:t xml:space="preserve">are substantial. </w:t>
      </w:r>
      <w:r w:rsidR="003F099F">
        <w:rPr>
          <w:rFonts w:ascii="Arial" w:hAnsi="Arial" w:cs="Arial"/>
          <w:sz w:val="22"/>
          <w:szCs w:val="22"/>
        </w:rPr>
        <w:t>R</w:t>
      </w:r>
      <w:r w:rsidR="009B65B3" w:rsidRPr="009B65B3">
        <w:rPr>
          <w:rFonts w:ascii="Arial" w:hAnsi="Arial" w:cs="Arial"/>
          <w:sz w:val="22"/>
          <w:szCs w:val="22"/>
        </w:rPr>
        <w:t>eductions in acute readmissions</w:t>
      </w:r>
      <w:r w:rsidR="00FA3FBA">
        <w:rPr>
          <w:rFonts w:ascii="Arial" w:hAnsi="Arial" w:cs="Arial"/>
          <w:sz w:val="22"/>
          <w:szCs w:val="22"/>
        </w:rPr>
        <w:t xml:space="preserve">, </w:t>
      </w:r>
      <w:r w:rsidR="009B65B3" w:rsidRPr="009B65B3">
        <w:rPr>
          <w:rFonts w:ascii="Arial" w:hAnsi="Arial" w:cs="Arial"/>
          <w:sz w:val="22"/>
          <w:szCs w:val="22"/>
        </w:rPr>
        <w:t xml:space="preserve">higher </w:t>
      </w:r>
      <w:r w:rsidR="00FA3FBA">
        <w:rPr>
          <w:rFonts w:ascii="Arial" w:hAnsi="Arial" w:cs="Arial"/>
          <w:sz w:val="22"/>
          <w:szCs w:val="22"/>
        </w:rPr>
        <w:t>staff</w:t>
      </w:r>
      <w:r w:rsidR="009B65B3" w:rsidRPr="009B65B3">
        <w:rPr>
          <w:rFonts w:ascii="Arial" w:hAnsi="Arial" w:cs="Arial"/>
          <w:sz w:val="22"/>
          <w:szCs w:val="22"/>
        </w:rPr>
        <w:t xml:space="preserve"> satisfaction and lower burnout</w:t>
      </w:r>
      <w:r w:rsidR="00FC6DD7">
        <w:rPr>
          <w:rFonts w:ascii="Arial" w:hAnsi="Arial" w:cs="Arial"/>
          <w:sz w:val="22"/>
          <w:szCs w:val="22"/>
        </w:rPr>
        <w:t>.</w:t>
      </w:r>
      <w:r w:rsidR="00A13508">
        <w:rPr>
          <w:rFonts w:ascii="Arial" w:hAnsi="Arial" w:cs="Arial"/>
          <w:sz w:val="22"/>
          <w:szCs w:val="22"/>
        </w:rPr>
        <w:t xml:space="preserve"> </w:t>
      </w:r>
      <w:r w:rsidR="009B65B3" w:rsidRPr="009B65B3">
        <w:rPr>
          <w:rFonts w:ascii="Arial" w:hAnsi="Arial" w:cs="Arial"/>
          <w:sz w:val="22"/>
          <w:szCs w:val="22"/>
        </w:rPr>
        <w:t>Challenges include role ambiguity, power imbalances, and cultural differences between professions</w:t>
      </w:r>
      <w:r w:rsidR="00893F36">
        <w:rPr>
          <w:rFonts w:ascii="Arial" w:hAnsi="Arial" w:cs="Arial"/>
          <w:sz w:val="22"/>
          <w:szCs w:val="22"/>
        </w:rPr>
        <w:t xml:space="preserve">. </w:t>
      </w:r>
      <w:r w:rsidR="009B65B3" w:rsidRPr="009B65B3">
        <w:rPr>
          <w:rFonts w:ascii="Arial" w:hAnsi="Arial" w:cs="Arial"/>
          <w:sz w:val="22"/>
          <w:szCs w:val="22"/>
        </w:rPr>
        <w:t xml:space="preserve"> Financial silos </w:t>
      </w:r>
      <w:r w:rsidR="00197D5A">
        <w:rPr>
          <w:rFonts w:ascii="Arial" w:hAnsi="Arial" w:cs="Arial"/>
          <w:sz w:val="22"/>
          <w:szCs w:val="22"/>
        </w:rPr>
        <w:t xml:space="preserve">cause </w:t>
      </w:r>
      <w:r w:rsidR="009B65B3" w:rsidRPr="009B65B3">
        <w:rPr>
          <w:rFonts w:ascii="Arial" w:hAnsi="Arial" w:cs="Arial"/>
          <w:sz w:val="22"/>
          <w:szCs w:val="22"/>
        </w:rPr>
        <w:t>separat</w:t>
      </w:r>
      <w:r w:rsidR="00197D5A">
        <w:rPr>
          <w:rFonts w:ascii="Arial" w:hAnsi="Arial" w:cs="Arial"/>
          <w:sz w:val="22"/>
          <w:szCs w:val="22"/>
        </w:rPr>
        <w:t xml:space="preserve">ion between </w:t>
      </w:r>
      <w:r w:rsidR="009B65B3" w:rsidRPr="009B65B3">
        <w:rPr>
          <w:rFonts w:ascii="Arial" w:hAnsi="Arial" w:cs="Arial"/>
          <w:sz w:val="22"/>
          <w:szCs w:val="22"/>
        </w:rPr>
        <w:t xml:space="preserve"> NHS and local</w:t>
      </w:r>
      <w:r w:rsidR="009B65B3" w:rsidRPr="009B65B3">
        <w:rPr>
          <w:rFonts w:ascii="Cambria Math" w:hAnsi="Cambria Math" w:cs="Cambria Math"/>
          <w:sz w:val="22"/>
          <w:szCs w:val="22"/>
        </w:rPr>
        <w:t>‑</w:t>
      </w:r>
      <w:r w:rsidR="009B65B3" w:rsidRPr="009B65B3">
        <w:rPr>
          <w:rFonts w:ascii="Arial" w:hAnsi="Arial" w:cs="Arial"/>
          <w:sz w:val="22"/>
          <w:szCs w:val="22"/>
        </w:rPr>
        <w:t>authority budgets</w:t>
      </w:r>
      <w:r w:rsidR="00617A5B">
        <w:rPr>
          <w:rFonts w:ascii="Arial" w:hAnsi="Arial" w:cs="Arial"/>
          <w:sz w:val="22"/>
          <w:szCs w:val="22"/>
        </w:rPr>
        <w:t>.</w:t>
      </w:r>
      <w:r w:rsidR="009B65B3" w:rsidRPr="009B65B3">
        <w:rPr>
          <w:rFonts w:ascii="Arial" w:hAnsi="Arial" w:cs="Arial"/>
          <w:sz w:val="22"/>
          <w:szCs w:val="22"/>
        </w:rPr>
        <w:t xml:space="preserve"> </w:t>
      </w:r>
    </w:p>
    <w:p w14:paraId="67129E70" w14:textId="5ABAA2AD" w:rsidR="008E033E" w:rsidRDefault="00A13508" w:rsidP="00262ACF">
      <w:pPr>
        <w:jc w:val="both"/>
        <w:rPr>
          <w:rFonts w:ascii="Arial" w:hAnsi="Arial" w:cs="Arial"/>
          <w:sz w:val="22"/>
          <w:szCs w:val="22"/>
        </w:rPr>
      </w:pPr>
      <w:r w:rsidRPr="00A13508">
        <w:rPr>
          <w:rFonts w:ascii="Arial" w:hAnsi="Arial" w:cs="Arial"/>
          <w:b/>
          <w:bCs/>
          <w:sz w:val="22"/>
          <w:szCs w:val="22"/>
        </w:rPr>
        <w:t>Conclusion</w:t>
      </w:r>
      <w:r w:rsidR="00F42E10">
        <w:rPr>
          <w:rFonts w:ascii="Arial" w:hAnsi="Arial" w:cs="Arial"/>
          <w:b/>
          <w:bCs/>
          <w:sz w:val="22"/>
          <w:szCs w:val="22"/>
        </w:rPr>
        <w:t>/Recom</w:t>
      </w:r>
      <w:r w:rsidR="00262ACF">
        <w:rPr>
          <w:rFonts w:ascii="Arial" w:hAnsi="Arial" w:cs="Arial"/>
          <w:b/>
          <w:bCs/>
          <w:sz w:val="22"/>
          <w:szCs w:val="22"/>
        </w:rPr>
        <w:t>m</w:t>
      </w:r>
      <w:r w:rsidR="00F42E10">
        <w:rPr>
          <w:rFonts w:ascii="Arial" w:hAnsi="Arial" w:cs="Arial"/>
          <w:b/>
          <w:bCs/>
          <w:sz w:val="22"/>
          <w:szCs w:val="22"/>
        </w:rPr>
        <w:t>endations</w:t>
      </w:r>
      <w:r w:rsidR="008E033E">
        <w:rPr>
          <w:rFonts w:ascii="Arial" w:hAnsi="Arial" w:cs="Arial"/>
          <w:b/>
          <w:bCs/>
          <w:sz w:val="22"/>
          <w:szCs w:val="22"/>
        </w:rPr>
        <w:t xml:space="preserve"> </w:t>
      </w:r>
      <w:r w:rsidR="00262ACF" w:rsidRPr="00262ACF">
        <w:rPr>
          <w:rFonts w:ascii="Arial" w:hAnsi="Arial" w:cs="Arial"/>
          <w:sz w:val="22"/>
          <w:szCs w:val="22"/>
        </w:rPr>
        <w:t>Create Cross</w:t>
      </w:r>
      <w:r w:rsidR="00262ACF" w:rsidRPr="00262ACF">
        <w:rPr>
          <w:rFonts w:ascii="Cambria Math" w:hAnsi="Cambria Math" w:cs="Cambria Math"/>
          <w:sz w:val="22"/>
          <w:szCs w:val="22"/>
        </w:rPr>
        <w:t>‑</w:t>
      </w:r>
      <w:r w:rsidR="00262ACF" w:rsidRPr="00262ACF">
        <w:rPr>
          <w:rFonts w:ascii="Arial" w:hAnsi="Arial" w:cs="Arial"/>
          <w:sz w:val="22"/>
          <w:szCs w:val="22"/>
        </w:rPr>
        <w:t>Sector Funding Pools</w:t>
      </w:r>
      <w:r w:rsidR="00F165CE">
        <w:rPr>
          <w:rFonts w:ascii="Arial" w:hAnsi="Arial" w:cs="Arial"/>
          <w:sz w:val="22"/>
          <w:szCs w:val="22"/>
        </w:rPr>
        <w:t xml:space="preserve">, </w:t>
      </w:r>
      <w:r w:rsidR="00262ACF" w:rsidRPr="00262ACF">
        <w:rPr>
          <w:rFonts w:ascii="Arial" w:hAnsi="Arial" w:cs="Arial"/>
          <w:sz w:val="22"/>
          <w:szCs w:val="22"/>
        </w:rPr>
        <w:t>Mandate Interoperable Digital Records</w:t>
      </w:r>
      <w:r w:rsidR="00F165CE">
        <w:rPr>
          <w:rFonts w:ascii="Arial" w:hAnsi="Arial" w:cs="Arial"/>
          <w:sz w:val="22"/>
          <w:szCs w:val="22"/>
        </w:rPr>
        <w:t xml:space="preserve">, </w:t>
      </w:r>
      <w:r w:rsidR="00262ACF" w:rsidRPr="00262ACF">
        <w:rPr>
          <w:rFonts w:ascii="Arial" w:hAnsi="Arial" w:cs="Arial"/>
          <w:sz w:val="22"/>
          <w:szCs w:val="22"/>
        </w:rPr>
        <w:t>Embed PCC Competency Training in All Professional Curricula</w:t>
      </w:r>
      <w:r w:rsidR="00F165CE">
        <w:rPr>
          <w:rFonts w:ascii="Arial" w:hAnsi="Arial" w:cs="Arial"/>
          <w:sz w:val="22"/>
          <w:szCs w:val="22"/>
        </w:rPr>
        <w:t xml:space="preserve">, </w:t>
      </w:r>
      <w:r w:rsidR="00262ACF" w:rsidRPr="00262ACF">
        <w:rPr>
          <w:rFonts w:ascii="Arial" w:hAnsi="Arial" w:cs="Arial"/>
          <w:sz w:val="22"/>
          <w:szCs w:val="22"/>
        </w:rPr>
        <w:t>Implement Joint Auditing and Outcome Reporting</w:t>
      </w:r>
      <w:r w:rsidR="00F165CE">
        <w:rPr>
          <w:rFonts w:ascii="Arial" w:hAnsi="Arial" w:cs="Arial"/>
          <w:sz w:val="22"/>
          <w:szCs w:val="22"/>
        </w:rPr>
        <w:t xml:space="preserve">, </w:t>
      </w:r>
      <w:r w:rsidR="00262ACF" w:rsidRPr="00F165CE">
        <w:rPr>
          <w:rFonts w:ascii="Arial" w:hAnsi="Arial" w:cs="Arial"/>
          <w:sz w:val="22"/>
          <w:szCs w:val="22"/>
        </w:rPr>
        <w:t>Strengthen Legislative Clarity on Social Determinants</w:t>
      </w:r>
      <w:r w:rsidR="00F165CE">
        <w:rPr>
          <w:rFonts w:ascii="Arial" w:hAnsi="Arial" w:cs="Arial"/>
          <w:sz w:val="22"/>
          <w:szCs w:val="22"/>
        </w:rPr>
        <w:t>.</w:t>
      </w:r>
    </w:p>
    <w:p w14:paraId="44FFBCDC" w14:textId="77777777" w:rsidR="008E033E" w:rsidRDefault="008E033E">
      <w:pPr>
        <w:rPr>
          <w:rFonts w:ascii="Arial" w:hAnsi="Arial" w:cs="Arial"/>
          <w:sz w:val="22"/>
          <w:szCs w:val="22"/>
        </w:rPr>
      </w:pPr>
      <w:r>
        <w:rPr>
          <w:rFonts w:ascii="Arial" w:hAnsi="Arial" w:cs="Arial"/>
          <w:sz w:val="22"/>
          <w:szCs w:val="22"/>
        </w:rPr>
        <w:br w:type="page"/>
      </w:r>
    </w:p>
    <w:p w14:paraId="031EE6CE" w14:textId="06E93836" w:rsidR="7C9F6CBD" w:rsidRPr="00C170FE" w:rsidRDefault="35CD3B75" w:rsidP="7D8B1321">
      <w:pPr>
        <w:pStyle w:val="Heading2"/>
        <w:shd w:val="clear" w:color="auto" w:fill="FFFFFF" w:themeFill="background1"/>
        <w:spacing w:before="312" w:after="108"/>
        <w:rPr>
          <w:rFonts w:ascii="Arial" w:hAnsi="Arial" w:cs="Arial"/>
          <w:sz w:val="24"/>
          <w:szCs w:val="24"/>
        </w:rPr>
      </w:pPr>
      <w:bookmarkStart w:id="1" w:name="_Toc213833817"/>
      <w:r w:rsidRPr="00C170FE">
        <w:rPr>
          <w:rFonts w:ascii="Arial" w:eastAsia="system-ui" w:hAnsi="Arial" w:cs="Arial"/>
          <w:b/>
          <w:bCs/>
          <w:color w:val="24292E"/>
          <w:sz w:val="24"/>
          <w:szCs w:val="24"/>
        </w:rPr>
        <w:lastRenderedPageBreak/>
        <w:t>Introduction</w:t>
      </w:r>
      <w:bookmarkEnd w:id="1"/>
    </w:p>
    <w:p w14:paraId="31BE22DB" w14:textId="42DD0F13" w:rsidR="7C9F6CBD" w:rsidRDefault="35CD3B75" w:rsidP="00F04F90">
      <w:pPr>
        <w:shd w:val="clear" w:color="auto" w:fill="FFFFFF" w:themeFill="background1"/>
        <w:spacing w:after="0" w:line="360" w:lineRule="auto"/>
        <w:jc w:val="both"/>
        <w:rPr>
          <w:rFonts w:ascii="Arial" w:eastAsia="Arial" w:hAnsi="Arial" w:cs="Arial"/>
          <w:color w:val="24292E"/>
          <w:sz w:val="22"/>
          <w:szCs w:val="22"/>
        </w:rPr>
      </w:pPr>
      <w:r w:rsidRPr="54E8FE16">
        <w:rPr>
          <w:rFonts w:ascii="Arial" w:eastAsia="Arial" w:hAnsi="Arial" w:cs="Arial"/>
          <w:color w:val="24292E"/>
          <w:sz w:val="22"/>
          <w:szCs w:val="22"/>
        </w:rPr>
        <w:t xml:space="preserve">Person‑centred care (PCC) and partnership working (PW) have become central pillars of contemporary health and social‑care policy in </w:t>
      </w:r>
      <w:r w:rsidRPr="001463AB">
        <w:rPr>
          <w:rFonts w:ascii="Arial" w:eastAsia="Arial" w:hAnsi="Arial" w:cs="Arial"/>
          <w:color w:val="24292E"/>
          <w:sz w:val="22"/>
          <w:szCs w:val="22"/>
        </w:rPr>
        <w:t>England</w:t>
      </w:r>
      <w:r w:rsidR="37714417" w:rsidRPr="001463AB">
        <w:rPr>
          <w:rFonts w:ascii="Arial" w:eastAsia="Arial" w:hAnsi="Arial" w:cs="Arial"/>
          <w:color w:val="24292E"/>
          <w:sz w:val="22"/>
          <w:szCs w:val="22"/>
        </w:rPr>
        <w:t xml:space="preserve"> </w:t>
      </w:r>
      <w:r w:rsidR="00932860">
        <w:rPr>
          <w:rFonts w:ascii="Arial" w:eastAsia="Arial" w:hAnsi="Arial" w:cs="Arial"/>
          <w:color w:val="24292E"/>
          <w:sz w:val="22"/>
          <w:szCs w:val="22"/>
        </w:rPr>
        <w:t>(</w:t>
      </w:r>
      <w:r w:rsidR="37714417" w:rsidRPr="001463AB">
        <w:rPr>
          <w:rFonts w:ascii="Arial" w:eastAsia="Arial" w:hAnsi="Arial" w:cs="Arial"/>
          <w:color w:val="24292E"/>
          <w:sz w:val="22"/>
          <w:szCs w:val="22"/>
        </w:rPr>
        <w:t>NHS England,</w:t>
      </w:r>
      <w:r w:rsidR="00F74E7F">
        <w:rPr>
          <w:rFonts w:ascii="Arial" w:eastAsia="Arial" w:hAnsi="Arial" w:cs="Arial"/>
          <w:color w:val="24292E"/>
          <w:sz w:val="22"/>
          <w:szCs w:val="22"/>
        </w:rPr>
        <w:t xml:space="preserve"> </w:t>
      </w:r>
      <w:r w:rsidR="37714417" w:rsidRPr="001463AB">
        <w:rPr>
          <w:rFonts w:ascii="Arial" w:eastAsia="Arial" w:hAnsi="Arial" w:cs="Arial"/>
          <w:color w:val="24292E"/>
          <w:sz w:val="22"/>
          <w:szCs w:val="22"/>
        </w:rPr>
        <w:t>2023</w:t>
      </w:r>
      <w:r w:rsidR="30136D1D" w:rsidRPr="001463AB">
        <w:rPr>
          <w:rFonts w:ascii="Arial" w:eastAsia="Arial" w:hAnsi="Arial" w:cs="Arial"/>
          <w:color w:val="24292E"/>
          <w:sz w:val="22"/>
          <w:szCs w:val="22"/>
        </w:rPr>
        <w:t>)</w:t>
      </w:r>
      <w:r w:rsidR="001463AB" w:rsidRPr="001463AB">
        <w:rPr>
          <w:rFonts w:ascii="Arial" w:eastAsia="Arial" w:hAnsi="Arial" w:cs="Arial"/>
          <w:color w:val="24292E"/>
          <w:sz w:val="22"/>
          <w:szCs w:val="22"/>
        </w:rPr>
        <w:t>.</w:t>
      </w:r>
      <w:r w:rsidR="001463AB">
        <w:rPr>
          <w:rFonts w:ascii="Arial" w:eastAsia="Arial" w:hAnsi="Arial" w:cs="Arial"/>
          <w:color w:val="24292E"/>
          <w:sz w:val="22"/>
          <w:szCs w:val="22"/>
        </w:rPr>
        <w:t xml:space="preserve"> </w:t>
      </w:r>
      <w:r w:rsidRPr="54E8FE16">
        <w:rPr>
          <w:rFonts w:ascii="Arial" w:eastAsia="Arial" w:hAnsi="Arial" w:cs="Arial"/>
          <w:color w:val="24292E"/>
          <w:sz w:val="22"/>
          <w:szCs w:val="22"/>
        </w:rPr>
        <w:t>Both concepts are driven by the Care Act 2014, which imposes a statutory duty to promote individual wellbeing, and by the NHS Long‑Term Plan (2019), which commits £2 billion to develop community‑based, integrated services. Together, PCC and PW seek to move care away from a disease‑focused model</w:t>
      </w:r>
      <w:r w:rsidR="001463AB">
        <w:rPr>
          <w:rFonts w:ascii="Arial" w:eastAsia="Arial" w:hAnsi="Arial" w:cs="Arial"/>
          <w:color w:val="24292E"/>
          <w:sz w:val="22"/>
          <w:szCs w:val="22"/>
        </w:rPr>
        <w:t xml:space="preserve"> </w:t>
      </w:r>
      <w:r w:rsidR="3FF8D7A1" w:rsidRPr="54E8FE16">
        <w:rPr>
          <w:rFonts w:ascii="Arial" w:eastAsia="Arial" w:hAnsi="Arial" w:cs="Arial"/>
          <w:color w:val="24292E"/>
          <w:sz w:val="22"/>
          <w:szCs w:val="22"/>
        </w:rPr>
        <w:t>(</w:t>
      </w:r>
      <w:r w:rsidR="3FF8D7A1" w:rsidRPr="001463AB">
        <w:rPr>
          <w:rFonts w:ascii="Arial" w:eastAsia="Arial" w:hAnsi="Arial" w:cs="Arial"/>
          <w:color w:val="24292E"/>
          <w:sz w:val="22"/>
          <w:szCs w:val="22"/>
        </w:rPr>
        <w:t>Health Education England ,</w:t>
      </w:r>
      <w:proofErr w:type="spellStart"/>
      <w:r w:rsidR="3FF8D7A1" w:rsidRPr="001463AB">
        <w:rPr>
          <w:rFonts w:ascii="Arial" w:eastAsia="Arial" w:hAnsi="Arial" w:cs="Arial"/>
          <w:color w:val="24292E"/>
          <w:sz w:val="22"/>
          <w:szCs w:val="22"/>
        </w:rPr>
        <w:t>n.d</w:t>
      </w:r>
      <w:proofErr w:type="spellEnd"/>
      <w:r w:rsidR="3FF8D7A1" w:rsidRPr="001463AB">
        <w:rPr>
          <w:rFonts w:ascii="Arial" w:eastAsia="Arial" w:hAnsi="Arial" w:cs="Arial"/>
          <w:color w:val="24292E"/>
          <w:sz w:val="22"/>
          <w:szCs w:val="22"/>
        </w:rPr>
        <w:t>)</w:t>
      </w:r>
      <w:r w:rsidRPr="54E8FE16">
        <w:rPr>
          <w:rFonts w:ascii="Arial" w:eastAsia="Arial" w:hAnsi="Arial" w:cs="Arial"/>
          <w:color w:val="24292E"/>
          <w:sz w:val="22"/>
          <w:szCs w:val="22"/>
        </w:rPr>
        <w:t xml:space="preserve"> toward one that respects the service user’s values</w:t>
      </w:r>
      <w:r w:rsidR="00486BB4" w:rsidRPr="54E8FE16">
        <w:rPr>
          <w:rFonts w:ascii="Arial" w:eastAsia="Arial" w:hAnsi="Arial" w:cs="Arial"/>
          <w:color w:val="24292E"/>
          <w:sz w:val="22"/>
          <w:szCs w:val="22"/>
        </w:rPr>
        <w:t xml:space="preserve"> </w:t>
      </w:r>
      <w:r w:rsidR="7CC5B8AA" w:rsidRPr="001463AB">
        <w:rPr>
          <w:rFonts w:ascii="Arial" w:eastAsia="Arial" w:hAnsi="Arial" w:cs="Arial"/>
          <w:color w:val="24292E"/>
          <w:sz w:val="22"/>
          <w:szCs w:val="22"/>
        </w:rPr>
        <w:t>(Royal College of physicians,2025</w:t>
      </w:r>
      <w:r w:rsidR="4DE9D23B" w:rsidRPr="001463AB">
        <w:rPr>
          <w:rFonts w:ascii="Arial" w:eastAsia="Arial" w:hAnsi="Arial" w:cs="Arial"/>
          <w:color w:val="24292E"/>
          <w:sz w:val="22"/>
          <w:szCs w:val="22"/>
        </w:rPr>
        <w:t>)</w:t>
      </w:r>
      <w:r w:rsidRPr="54E8FE16">
        <w:rPr>
          <w:rFonts w:ascii="Arial" w:eastAsia="Arial" w:hAnsi="Arial" w:cs="Arial"/>
          <w:color w:val="24292E"/>
          <w:sz w:val="22"/>
          <w:szCs w:val="22"/>
        </w:rPr>
        <w:t>, preferences and social context while harnessing the expertise of multidisciplinary teams. This report critically examines the theory and practice of PCC and PW, analyses their ethical foundations, evaluates their implementation in a community mental‑health team, maps the relevant legislation, and proposes recommendations for future development.</w:t>
      </w:r>
    </w:p>
    <w:p w14:paraId="224F2AD6" w14:textId="77777777" w:rsidR="00AF35A3" w:rsidRDefault="00AF35A3" w:rsidP="7D8B1321">
      <w:pPr>
        <w:shd w:val="clear" w:color="auto" w:fill="FFFFFF" w:themeFill="background1"/>
        <w:spacing w:after="0"/>
        <w:rPr>
          <w:rFonts w:ascii="Arial" w:eastAsia="Arial" w:hAnsi="Arial" w:cs="Arial"/>
          <w:color w:val="24292E"/>
          <w:sz w:val="22"/>
          <w:szCs w:val="22"/>
        </w:rPr>
      </w:pPr>
    </w:p>
    <w:p w14:paraId="57F75E8F" w14:textId="77777777" w:rsidR="00AF35A3" w:rsidRPr="00EB278B" w:rsidRDefault="00AF35A3" w:rsidP="7D8B1321">
      <w:pPr>
        <w:shd w:val="clear" w:color="auto" w:fill="FFFFFF" w:themeFill="background1"/>
        <w:spacing w:after="0"/>
        <w:rPr>
          <w:rFonts w:ascii="Arial" w:eastAsia="Arial" w:hAnsi="Arial" w:cs="Arial"/>
          <w:strike/>
          <w:color w:val="24292E"/>
          <w:sz w:val="22"/>
          <w:szCs w:val="22"/>
        </w:rPr>
      </w:pPr>
    </w:p>
    <w:p w14:paraId="45605B26" w14:textId="27E145A3" w:rsidR="5F08BF06" w:rsidRPr="00C170FE" w:rsidRDefault="3FB7839A" w:rsidP="7D8B1321">
      <w:pPr>
        <w:pStyle w:val="Heading2"/>
        <w:shd w:val="clear" w:color="auto" w:fill="FFFFFF" w:themeFill="background1"/>
        <w:spacing w:before="312" w:after="108"/>
        <w:rPr>
          <w:rFonts w:ascii="Arial" w:hAnsi="Arial" w:cs="Arial"/>
          <w:sz w:val="24"/>
          <w:szCs w:val="24"/>
        </w:rPr>
      </w:pPr>
      <w:bookmarkStart w:id="2" w:name="_Toc213833818"/>
      <w:r w:rsidRPr="00C170FE">
        <w:rPr>
          <w:rFonts w:ascii="Arial" w:eastAsia="system-ui" w:hAnsi="Arial" w:cs="Arial"/>
          <w:b/>
          <w:bCs/>
          <w:color w:val="24292E"/>
          <w:sz w:val="24"/>
          <w:szCs w:val="24"/>
        </w:rPr>
        <w:t>Defining Person</w:t>
      </w:r>
      <w:r w:rsidRPr="00C170FE">
        <w:rPr>
          <w:rFonts w:ascii="Cambria Math" w:eastAsia="system-ui" w:hAnsi="Cambria Math" w:cs="Cambria Math"/>
          <w:b/>
          <w:bCs/>
          <w:color w:val="24292E"/>
          <w:sz w:val="24"/>
          <w:szCs w:val="24"/>
        </w:rPr>
        <w:t>‑</w:t>
      </w:r>
      <w:r w:rsidRPr="00C170FE">
        <w:rPr>
          <w:rFonts w:ascii="Arial" w:eastAsia="system-ui" w:hAnsi="Arial" w:cs="Arial"/>
          <w:b/>
          <w:bCs/>
          <w:color w:val="24292E"/>
          <w:sz w:val="24"/>
          <w:szCs w:val="24"/>
        </w:rPr>
        <w:t>Centred Care</w:t>
      </w:r>
      <w:bookmarkEnd w:id="2"/>
    </w:p>
    <w:p w14:paraId="2A0B6922" w14:textId="5AF2D1E1" w:rsidR="5F08BF06" w:rsidRDefault="3FB7839A"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Person‑centred care is an approach that places the individual’s values, preferences and lived experience at the centre of service delivery (NHS England, 2020). Its core principles dignity, choice, partnership, holistic assessment and shared decision‑making</w:t>
      </w:r>
      <w:r w:rsidR="4D0E3C52"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are designed to empower service users and improve health outcomes (McCormack &amp; McCance, 2006).</w:t>
      </w:r>
    </w:p>
    <w:p w14:paraId="2A495BCE" w14:textId="6E49A958" w:rsidR="5F08BF06" w:rsidRDefault="3FB7839A"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t>Benefits</w:t>
      </w:r>
      <w:r w:rsidRPr="7D8B1321">
        <w:rPr>
          <w:rFonts w:ascii="Arial" w:eastAsia="Arial" w:hAnsi="Arial" w:cs="Arial"/>
          <w:color w:val="24292E"/>
          <w:sz w:val="22"/>
          <w:szCs w:val="22"/>
        </w:rPr>
        <w:t xml:space="preserve"> of PCC are well documented. Systematic reviews show that PCC improves </w:t>
      </w:r>
      <w:bookmarkStart w:id="3" w:name="_Hlk213832804"/>
      <w:r w:rsidRPr="7D8B1321">
        <w:rPr>
          <w:rFonts w:ascii="Arial" w:eastAsia="Arial" w:hAnsi="Arial" w:cs="Arial"/>
          <w:color w:val="24292E"/>
          <w:sz w:val="22"/>
          <w:szCs w:val="22"/>
        </w:rPr>
        <w:t xml:space="preserve">clinical outcomes, increases patient </w:t>
      </w:r>
      <w:r w:rsidR="436D251E" w:rsidRPr="7D8B1321">
        <w:rPr>
          <w:rFonts w:ascii="Arial" w:eastAsia="Arial" w:hAnsi="Arial" w:cs="Arial"/>
          <w:color w:val="24292E"/>
          <w:sz w:val="22"/>
          <w:szCs w:val="22"/>
        </w:rPr>
        <w:t>satisfaction,</w:t>
      </w:r>
      <w:r w:rsidRPr="7D8B1321">
        <w:rPr>
          <w:rFonts w:ascii="Arial" w:eastAsia="Arial" w:hAnsi="Arial" w:cs="Arial"/>
          <w:color w:val="24292E"/>
          <w:sz w:val="22"/>
          <w:szCs w:val="22"/>
        </w:rPr>
        <w:t xml:space="preserve"> and enhances treatment adherence </w:t>
      </w:r>
      <w:bookmarkEnd w:id="3"/>
      <w:r w:rsidRPr="7D8B1321">
        <w:rPr>
          <w:rFonts w:ascii="Arial" w:eastAsia="Arial" w:hAnsi="Arial" w:cs="Arial"/>
          <w:color w:val="24292E"/>
          <w:sz w:val="22"/>
          <w:szCs w:val="22"/>
        </w:rPr>
        <w:t xml:space="preserve">(O’Donovan, Smith &amp; Patel, 2022; Bower &amp; Gilbody, 2005). It </w:t>
      </w:r>
      <w:r w:rsidR="000B7EBA">
        <w:rPr>
          <w:rFonts w:ascii="Arial" w:eastAsia="Arial" w:hAnsi="Arial" w:cs="Arial"/>
          <w:color w:val="24292E"/>
          <w:sz w:val="22"/>
          <w:szCs w:val="22"/>
        </w:rPr>
        <w:t>aims to</w:t>
      </w:r>
      <w:r w:rsidRPr="7D8B1321">
        <w:rPr>
          <w:rFonts w:ascii="Arial" w:eastAsia="Arial" w:hAnsi="Arial" w:cs="Arial"/>
          <w:color w:val="24292E"/>
          <w:sz w:val="22"/>
          <w:szCs w:val="22"/>
        </w:rPr>
        <w:t xml:space="preserve"> reduce unnecessary hospital admissions, generating cost savings for the health system (O’Donovan et al., 2022).</w:t>
      </w:r>
    </w:p>
    <w:p w14:paraId="1E9B36C1" w14:textId="704D2611" w:rsidR="5F08BF06" w:rsidRDefault="3FB7839A" w:rsidP="00F04F90">
      <w:pPr>
        <w:shd w:val="clear" w:color="auto" w:fill="FFFFFF" w:themeFill="background1"/>
        <w:spacing w:after="0" w:line="360" w:lineRule="auto"/>
        <w:jc w:val="both"/>
        <w:rPr>
          <w:rFonts w:ascii="Arial" w:eastAsia="Arial" w:hAnsi="Arial" w:cs="Arial"/>
          <w:color w:val="24292E"/>
          <w:sz w:val="22"/>
          <w:szCs w:val="22"/>
        </w:rPr>
      </w:pPr>
      <w:bookmarkStart w:id="4" w:name="_Hlk213832985"/>
      <w:r w:rsidRPr="79F94B56">
        <w:rPr>
          <w:rFonts w:ascii="Arial" w:eastAsia="Arial" w:hAnsi="Arial" w:cs="Arial"/>
          <w:b/>
          <w:bCs/>
          <w:color w:val="24292E"/>
          <w:sz w:val="22"/>
          <w:szCs w:val="22"/>
        </w:rPr>
        <w:t>Limitations</w:t>
      </w:r>
      <w:r w:rsidRPr="79F94B56">
        <w:rPr>
          <w:rFonts w:ascii="Arial" w:eastAsia="Arial" w:hAnsi="Arial" w:cs="Arial"/>
          <w:color w:val="24292E"/>
          <w:sz w:val="22"/>
          <w:szCs w:val="22"/>
        </w:rPr>
        <w:t xml:space="preserve"> remain. Implementing PCC demands additional time, staff </w:t>
      </w:r>
      <w:r w:rsidR="2EBAD094" w:rsidRPr="79F94B56">
        <w:rPr>
          <w:rFonts w:ascii="Arial" w:eastAsia="Arial" w:hAnsi="Arial" w:cs="Arial"/>
          <w:color w:val="24292E"/>
          <w:sz w:val="22"/>
          <w:szCs w:val="22"/>
        </w:rPr>
        <w:t>training,</w:t>
      </w:r>
      <w:r w:rsidRPr="79F94B56">
        <w:rPr>
          <w:rFonts w:ascii="Arial" w:eastAsia="Arial" w:hAnsi="Arial" w:cs="Arial"/>
          <w:color w:val="24292E"/>
          <w:sz w:val="22"/>
          <w:szCs w:val="22"/>
        </w:rPr>
        <w:t xml:space="preserve"> and organisational resources, which can strain already pressured services (Greenhalgh, Wherton, Papoutsi, Lynch, Hughes &amp; A’Court, 2017). There is also a risk of “tokenism” when services claim to be person‑centred without genuine shared decision‑making (Dixon, Jones, Hargreaves &amp; Miller, 2020).</w:t>
      </w:r>
    </w:p>
    <w:p w14:paraId="1E4CF60F" w14:textId="3183EC5A" w:rsidR="34F49264" w:rsidRPr="00C170FE" w:rsidRDefault="19227CF0" w:rsidP="7D8B1321">
      <w:pPr>
        <w:pStyle w:val="Heading2"/>
        <w:shd w:val="clear" w:color="auto" w:fill="FFFFFF" w:themeFill="background1"/>
        <w:spacing w:before="312" w:after="108"/>
        <w:rPr>
          <w:rFonts w:ascii="Arial" w:eastAsia="Arial" w:hAnsi="Arial" w:cs="Arial"/>
          <w:color w:val="24292E"/>
          <w:sz w:val="24"/>
          <w:szCs w:val="24"/>
        </w:rPr>
      </w:pPr>
      <w:bookmarkStart w:id="5" w:name="_Toc213833819"/>
      <w:bookmarkEnd w:id="4"/>
      <w:r w:rsidRPr="00C170FE">
        <w:rPr>
          <w:rFonts w:ascii="Arial" w:eastAsia="system-ui" w:hAnsi="Arial" w:cs="Arial"/>
          <w:b/>
          <w:bCs/>
          <w:color w:val="24292E"/>
          <w:sz w:val="24"/>
          <w:szCs w:val="24"/>
        </w:rPr>
        <w:t>Theory/Model Underpinning Person</w:t>
      </w:r>
      <w:r w:rsidRPr="00C170FE">
        <w:rPr>
          <w:rFonts w:ascii="Cambria Math" w:eastAsia="system-ui" w:hAnsi="Cambria Math" w:cs="Cambria Math"/>
          <w:b/>
          <w:bCs/>
          <w:color w:val="24292E"/>
          <w:sz w:val="24"/>
          <w:szCs w:val="24"/>
        </w:rPr>
        <w:t>‑</w:t>
      </w:r>
      <w:r w:rsidRPr="00C170FE">
        <w:rPr>
          <w:rFonts w:ascii="Arial" w:eastAsia="system-ui" w:hAnsi="Arial" w:cs="Arial"/>
          <w:b/>
          <w:bCs/>
          <w:color w:val="24292E"/>
          <w:sz w:val="24"/>
          <w:szCs w:val="24"/>
        </w:rPr>
        <w:t>Centred Care</w:t>
      </w:r>
      <w:bookmarkEnd w:id="5"/>
    </w:p>
    <w:p w14:paraId="7F2D3B70" w14:textId="0D29E34D" w:rsidR="34F49264" w:rsidRPr="00102FA0" w:rsidRDefault="19227CF0" w:rsidP="00F04F90">
      <w:pPr>
        <w:spacing w:line="360" w:lineRule="auto"/>
        <w:jc w:val="both"/>
        <w:rPr>
          <w:rFonts w:ascii="Arial" w:hAnsi="Arial" w:cs="Arial"/>
          <w:sz w:val="22"/>
          <w:szCs w:val="22"/>
        </w:rPr>
      </w:pPr>
      <w:r w:rsidRPr="00102FA0">
        <w:rPr>
          <w:rFonts w:ascii="Arial" w:hAnsi="Arial" w:cs="Arial"/>
          <w:sz w:val="22"/>
          <w:szCs w:val="22"/>
        </w:rPr>
        <w:t xml:space="preserve"> </w:t>
      </w:r>
      <w:r w:rsidRPr="00102FA0">
        <w:rPr>
          <w:rFonts w:ascii="Arial" w:hAnsi="Arial" w:cs="Arial"/>
          <w:b/>
          <w:bCs/>
          <w:sz w:val="22"/>
          <w:szCs w:val="22"/>
        </w:rPr>
        <w:t>Person</w:t>
      </w:r>
      <w:r w:rsidRPr="00102FA0">
        <w:rPr>
          <w:rFonts w:ascii="Cambria Math" w:hAnsi="Cambria Math" w:cs="Cambria Math"/>
          <w:b/>
          <w:bCs/>
          <w:sz w:val="22"/>
          <w:szCs w:val="22"/>
        </w:rPr>
        <w:t>‑</w:t>
      </w:r>
      <w:r w:rsidRPr="00102FA0">
        <w:rPr>
          <w:rFonts w:ascii="Arial" w:hAnsi="Arial" w:cs="Arial"/>
          <w:b/>
          <w:bCs/>
          <w:sz w:val="22"/>
          <w:szCs w:val="22"/>
        </w:rPr>
        <w:t>Centred Nursing Framework</w:t>
      </w:r>
      <w:r w:rsidRPr="00102FA0">
        <w:rPr>
          <w:rFonts w:ascii="Arial" w:hAnsi="Arial" w:cs="Arial"/>
          <w:sz w:val="22"/>
          <w:szCs w:val="22"/>
        </w:rPr>
        <w:t xml:space="preserve"> developed by McCormack and McCance (2006) provides a comprehensive theoretical base for PCC. The framework identifies six inter</w:t>
      </w:r>
      <w:r w:rsidRPr="00102FA0">
        <w:rPr>
          <w:rFonts w:ascii="Cambria Math" w:hAnsi="Cambria Math" w:cs="Cambria Math"/>
          <w:sz w:val="22"/>
          <w:szCs w:val="22"/>
        </w:rPr>
        <w:t>‑</w:t>
      </w:r>
      <w:r w:rsidRPr="00102FA0">
        <w:rPr>
          <w:rFonts w:ascii="Arial" w:hAnsi="Arial" w:cs="Arial"/>
          <w:sz w:val="22"/>
          <w:szCs w:val="22"/>
        </w:rPr>
        <w:t>related domains: (1) prerequisites (staff attributes such as competence and empathy), (2) the care environment (supportive organisational culture), (3) person</w:t>
      </w:r>
      <w:r w:rsidRPr="00102FA0">
        <w:rPr>
          <w:rFonts w:ascii="Cambria Math" w:hAnsi="Cambria Math" w:cs="Cambria Math"/>
          <w:sz w:val="22"/>
          <w:szCs w:val="22"/>
        </w:rPr>
        <w:t>‑</w:t>
      </w:r>
      <w:r w:rsidRPr="00102FA0">
        <w:rPr>
          <w:rFonts w:ascii="Arial" w:hAnsi="Arial" w:cs="Arial"/>
          <w:sz w:val="22"/>
          <w:szCs w:val="22"/>
        </w:rPr>
        <w:t>centred processes (shared decision</w:t>
      </w:r>
      <w:r w:rsidRPr="00102FA0">
        <w:rPr>
          <w:rFonts w:ascii="Cambria Math" w:hAnsi="Cambria Math" w:cs="Cambria Math"/>
          <w:sz w:val="22"/>
          <w:szCs w:val="22"/>
        </w:rPr>
        <w:t>‑</w:t>
      </w:r>
      <w:r w:rsidRPr="00102FA0">
        <w:rPr>
          <w:rFonts w:ascii="Arial" w:hAnsi="Arial" w:cs="Arial"/>
          <w:sz w:val="22"/>
          <w:szCs w:val="22"/>
        </w:rPr>
        <w:t xml:space="preserve">making, </w:t>
      </w:r>
      <w:r w:rsidRPr="00102FA0">
        <w:rPr>
          <w:rFonts w:ascii="Arial" w:hAnsi="Arial" w:cs="Arial"/>
          <w:sz w:val="22"/>
          <w:szCs w:val="22"/>
        </w:rPr>
        <w:lastRenderedPageBreak/>
        <w:t>holistic assessment), (4) documentation of the care plan, (5) evaluation of outcomes, and (6) the overarching philosophy of partnership.</w:t>
      </w:r>
    </w:p>
    <w:p w14:paraId="2B30D9DD" w14:textId="63BC210D" w:rsidR="34F49264" w:rsidRPr="00102FA0" w:rsidRDefault="19227CF0" w:rsidP="00F04F90">
      <w:pPr>
        <w:spacing w:line="360" w:lineRule="auto"/>
        <w:jc w:val="both"/>
        <w:rPr>
          <w:rFonts w:ascii="Arial" w:eastAsia="Arial" w:hAnsi="Arial" w:cs="Arial"/>
          <w:b/>
          <w:bCs/>
          <w:color w:val="24292E"/>
          <w:sz w:val="22"/>
          <w:szCs w:val="22"/>
        </w:rPr>
      </w:pPr>
      <w:r w:rsidRPr="00102FA0">
        <w:rPr>
          <w:rFonts w:ascii="Arial" w:hAnsi="Arial" w:cs="Arial"/>
          <w:b/>
          <w:bCs/>
          <w:sz w:val="22"/>
          <w:szCs w:val="22"/>
        </w:rPr>
        <w:t>Strengths</w:t>
      </w:r>
      <w:r w:rsidRPr="00102FA0">
        <w:rPr>
          <w:rFonts w:ascii="Arial" w:hAnsi="Arial" w:cs="Arial"/>
          <w:sz w:val="22"/>
          <w:szCs w:val="22"/>
        </w:rPr>
        <w:t xml:space="preserve"> of the model include its evidence</w:t>
      </w:r>
      <w:r w:rsidRPr="00102FA0">
        <w:rPr>
          <w:rFonts w:ascii="Cambria Math" w:hAnsi="Cambria Math" w:cs="Cambria Math"/>
          <w:sz w:val="22"/>
          <w:szCs w:val="22"/>
        </w:rPr>
        <w:t>‑</w:t>
      </w:r>
      <w:r w:rsidRPr="00102FA0">
        <w:rPr>
          <w:rFonts w:ascii="Arial" w:hAnsi="Arial" w:cs="Arial"/>
          <w:sz w:val="22"/>
          <w:szCs w:val="22"/>
        </w:rPr>
        <w:t>based origins and its clear linkage between staff characteristics, environmental factors, and patient outcomes (McCormack &amp; McCance, 2006). It has been successfully applied in acute hospitals, community nursing, and mental</w:t>
      </w:r>
      <w:r w:rsidRPr="00102FA0">
        <w:rPr>
          <w:rFonts w:ascii="Cambria Math" w:hAnsi="Cambria Math" w:cs="Cambria Math"/>
          <w:sz w:val="22"/>
          <w:szCs w:val="22"/>
        </w:rPr>
        <w:t>‑</w:t>
      </w:r>
      <w:r w:rsidRPr="00102FA0">
        <w:rPr>
          <w:rFonts w:ascii="Arial" w:hAnsi="Arial" w:cs="Arial"/>
          <w:sz w:val="22"/>
          <w:szCs w:val="22"/>
        </w:rPr>
        <w:t>health settings, demonstrating versatility (McCormack, Dewing &amp; McCance, 2021).</w:t>
      </w:r>
    </w:p>
    <w:p w14:paraId="47697E6C" w14:textId="4BECD152" w:rsidR="34F49264" w:rsidRDefault="19227CF0"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t>Criticisms</w:t>
      </w:r>
      <w:r w:rsidRPr="7D8B1321">
        <w:rPr>
          <w:rFonts w:ascii="Arial" w:eastAsia="Arial" w:hAnsi="Arial" w:cs="Arial"/>
          <w:color w:val="24292E"/>
          <w:sz w:val="22"/>
          <w:szCs w:val="22"/>
        </w:rPr>
        <w:t xml:space="preserve"> focus on limited cultural adaptability; the framework was primarily developed within the UK NHS context and may not fully capture the needs of </w:t>
      </w:r>
      <w:r w:rsidR="007A7D21">
        <w:rPr>
          <w:rFonts w:ascii="Arial" w:eastAsia="Arial" w:hAnsi="Arial" w:cs="Arial"/>
          <w:color w:val="24292E"/>
          <w:sz w:val="22"/>
          <w:szCs w:val="22"/>
        </w:rPr>
        <w:t xml:space="preserve">contemporary </w:t>
      </w:r>
      <w:r w:rsidRPr="7D8B1321">
        <w:rPr>
          <w:rFonts w:ascii="Arial" w:eastAsia="Arial" w:hAnsi="Arial" w:cs="Arial"/>
          <w:color w:val="24292E"/>
          <w:sz w:val="22"/>
          <w:szCs w:val="22"/>
        </w:rPr>
        <w:t xml:space="preserve">ethnically diverse populations </w:t>
      </w:r>
      <w:r w:rsidR="00650448">
        <w:rPr>
          <w:rFonts w:ascii="Arial" w:eastAsia="Arial" w:hAnsi="Arial" w:cs="Arial"/>
          <w:color w:val="24292E"/>
          <w:sz w:val="22"/>
          <w:szCs w:val="22"/>
        </w:rPr>
        <w:t xml:space="preserve">in </w:t>
      </w:r>
      <w:r w:rsidR="007A7D21">
        <w:rPr>
          <w:rFonts w:ascii="Arial" w:eastAsia="Arial" w:hAnsi="Arial" w:cs="Arial"/>
          <w:color w:val="24292E"/>
          <w:sz w:val="22"/>
          <w:szCs w:val="22"/>
        </w:rPr>
        <w:t xml:space="preserve">the UK </w:t>
      </w:r>
      <w:r w:rsidRPr="7D8B1321">
        <w:rPr>
          <w:rFonts w:ascii="Arial" w:eastAsia="Arial" w:hAnsi="Arial" w:cs="Arial"/>
          <w:color w:val="24292E"/>
          <w:sz w:val="22"/>
          <w:szCs w:val="22"/>
        </w:rPr>
        <w:t>(Maben &amp; Robertson, 2012). Additionally, measuring the six domains reliably remains a challenge, with some instruments lacking psychometric robustness (McCormack &amp; McCance, 2006).</w:t>
      </w:r>
    </w:p>
    <w:p w14:paraId="73E6D654" w14:textId="60222530" w:rsidR="34F49264" w:rsidRDefault="78E22707" w:rsidP="54E8FE16">
      <w:pPr>
        <w:spacing w:before="240" w:after="240" w:line="360" w:lineRule="auto"/>
        <w:rPr>
          <w:rFonts w:ascii="Arial" w:eastAsia="Arial" w:hAnsi="Arial" w:cs="Arial"/>
          <w:color w:val="24292E"/>
          <w:sz w:val="22"/>
          <w:szCs w:val="22"/>
        </w:rPr>
      </w:pPr>
      <w:r w:rsidRPr="54E8FE16">
        <w:rPr>
          <w:rFonts w:ascii="Arial" w:eastAsia="Arial" w:hAnsi="Arial" w:cs="Arial"/>
          <w:color w:val="24292E"/>
          <w:sz w:val="22"/>
          <w:szCs w:val="22"/>
        </w:rPr>
        <w:t>).</w:t>
      </w:r>
    </w:p>
    <w:p w14:paraId="15BAEA30" w14:textId="1821C1C4" w:rsidR="34F49264" w:rsidRDefault="78E22707" w:rsidP="00F04F90">
      <w:pPr>
        <w:pStyle w:val="ListParagraph"/>
        <w:numPr>
          <w:ilvl w:val="0"/>
          <w:numId w:val="2"/>
        </w:numPr>
        <w:shd w:val="clear" w:color="auto" w:fill="FFFFFF" w:themeFill="background1"/>
        <w:spacing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Autonomy</w:t>
      </w:r>
      <w:r w:rsidRPr="7D8B1321">
        <w:rPr>
          <w:rFonts w:ascii="Arial" w:eastAsia="Arial" w:hAnsi="Arial" w:cs="Arial"/>
          <w:color w:val="24292E"/>
          <w:sz w:val="22"/>
          <w:szCs w:val="22"/>
        </w:rPr>
        <w:t xml:space="preserve"> is realised in PCC through shared decision‑making and respect for service‑user preferences (McCormack &amp; McCance, 2006).</w:t>
      </w:r>
    </w:p>
    <w:p w14:paraId="327AD501" w14:textId="236F67F5" w:rsidR="34F49264" w:rsidRDefault="78E22707" w:rsidP="00F04F90">
      <w:pPr>
        <w:pStyle w:val="ListParagraph"/>
        <w:numPr>
          <w:ilvl w:val="0"/>
          <w:numId w:val="2"/>
        </w:numPr>
        <w:shd w:val="clear" w:color="auto" w:fill="FFFFFF" w:themeFill="background1"/>
        <w:spacing w:before="30"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Beneficence</w:t>
      </w:r>
      <w:r w:rsidRPr="7D8B1321">
        <w:rPr>
          <w:rFonts w:ascii="Arial" w:eastAsia="Arial" w:hAnsi="Arial" w:cs="Arial"/>
          <w:color w:val="24292E"/>
          <w:sz w:val="22"/>
          <w:szCs w:val="22"/>
        </w:rPr>
        <w:t xml:space="preserve"> aligns with the duty to act in the best interests of the individual, a requirement embedded in the Care Act 2014 (Dept. of Health &amp; Social Care, 2014).</w:t>
      </w:r>
    </w:p>
    <w:p w14:paraId="2C950F7F" w14:textId="435F56B1" w:rsidR="34F49264" w:rsidRDefault="78E22707" w:rsidP="00F04F90">
      <w:pPr>
        <w:pStyle w:val="ListParagraph"/>
        <w:numPr>
          <w:ilvl w:val="0"/>
          <w:numId w:val="2"/>
        </w:numPr>
        <w:shd w:val="clear" w:color="auto" w:fill="FFFFFF" w:themeFill="background1"/>
        <w:spacing w:before="30"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Non‑maleficence</w:t>
      </w:r>
      <w:r w:rsidRPr="7D8B1321">
        <w:rPr>
          <w:rFonts w:ascii="Arial" w:eastAsia="Arial" w:hAnsi="Arial" w:cs="Arial"/>
          <w:color w:val="24292E"/>
          <w:sz w:val="22"/>
          <w:szCs w:val="22"/>
        </w:rPr>
        <w:t xml:space="preserve"> is protected by robust information‑sharing systems that prevent errors of omission; failure to share data can cause avoidable harm (Greenhalgh et al., 2017).</w:t>
      </w:r>
    </w:p>
    <w:p w14:paraId="7C8330A7" w14:textId="7AD9D987" w:rsidR="34F49264" w:rsidRDefault="78E22707" w:rsidP="00F04F90">
      <w:pPr>
        <w:pStyle w:val="ListParagraph"/>
        <w:numPr>
          <w:ilvl w:val="0"/>
          <w:numId w:val="2"/>
        </w:numPr>
        <w:shd w:val="clear" w:color="auto" w:fill="FFFFFF" w:themeFill="background1"/>
        <w:spacing w:before="30" w:after="3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Justice</w:t>
      </w:r>
      <w:r w:rsidRPr="7D8B1321">
        <w:rPr>
          <w:rFonts w:ascii="Arial" w:eastAsia="Arial" w:hAnsi="Arial" w:cs="Arial"/>
          <w:color w:val="24292E"/>
          <w:sz w:val="22"/>
          <w:szCs w:val="22"/>
        </w:rPr>
        <w:t xml:space="preserve"> is addressed by partnership working, which seeks equitable access to health and social‑care resources across professional boundaries (NICE, 2021).</w:t>
      </w:r>
    </w:p>
    <w:p w14:paraId="74531910" w14:textId="6E7515EC" w:rsidR="34F49264" w:rsidRDefault="78E22707" w:rsidP="00F04F90">
      <w:pPr>
        <w:pStyle w:val="ListParagraph"/>
        <w:numPr>
          <w:ilvl w:val="0"/>
          <w:numId w:val="2"/>
        </w:numPr>
        <w:shd w:val="clear" w:color="auto" w:fill="FFFFFF" w:themeFill="background1"/>
        <w:spacing w:before="30" w:after="0" w:line="360" w:lineRule="auto"/>
        <w:ind w:left="315"/>
        <w:jc w:val="both"/>
        <w:rPr>
          <w:rFonts w:ascii="Arial" w:eastAsia="Arial" w:hAnsi="Arial" w:cs="Arial"/>
          <w:color w:val="24292E"/>
          <w:sz w:val="22"/>
          <w:szCs w:val="22"/>
        </w:rPr>
      </w:pPr>
      <w:r w:rsidRPr="7D8B1321">
        <w:rPr>
          <w:rFonts w:ascii="Arial" w:eastAsia="Arial" w:hAnsi="Arial" w:cs="Arial"/>
          <w:b/>
          <w:bCs/>
          <w:color w:val="24292E"/>
          <w:sz w:val="22"/>
          <w:szCs w:val="22"/>
        </w:rPr>
        <w:t>Dignity</w:t>
      </w:r>
      <w:r w:rsidRPr="7D8B1321">
        <w:rPr>
          <w:rFonts w:ascii="Arial" w:eastAsia="Arial" w:hAnsi="Arial" w:cs="Arial"/>
          <w:color w:val="24292E"/>
          <w:sz w:val="22"/>
          <w:szCs w:val="22"/>
        </w:rPr>
        <w:t xml:space="preserve"> underpins both PCC and PW, ensuring that every interaction recognises the intrinsic worth of the person (Beauchamp &amp; Childress, 2019).</w:t>
      </w:r>
    </w:p>
    <w:p w14:paraId="63DD37B2" w14:textId="5D3BCFF5" w:rsidR="00EC509E" w:rsidRPr="001463AB" w:rsidRDefault="00EC509E" w:rsidP="54E8FE16">
      <w:pPr>
        <w:pStyle w:val="ListParagraph"/>
        <w:numPr>
          <w:ilvl w:val="0"/>
          <w:numId w:val="2"/>
        </w:numPr>
        <w:shd w:val="clear" w:color="auto" w:fill="FFFFFF" w:themeFill="background1"/>
        <w:spacing w:before="30" w:after="0" w:line="360" w:lineRule="auto"/>
        <w:ind w:left="315"/>
        <w:jc w:val="both"/>
        <w:rPr>
          <w:rFonts w:ascii="Arial" w:eastAsia="Arial" w:hAnsi="Arial" w:cs="Arial"/>
          <w:b/>
          <w:bCs/>
          <w:sz w:val="22"/>
          <w:szCs w:val="22"/>
        </w:rPr>
      </w:pPr>
      <w:r w:rsidRPr="001463AB">
        <w:rPr>
          <w:rFonts w:ascii="Arial" w:eastAsia="Arial" w:hAnsi="Arial" w:cs="Arial"/>
          <w:b/>
          <w:bCs/>
          <w:sz w:val="22"/>
          <w:szCs w:val="22"/>
        </w:rPr>
        <w:t xml:space="preserve">Advocacy </w:t>
      </w:r>
      <w:r w:rsidR="75390F0A" w:rsidRPr="001463AB">
        <w:rPr>
          <w:rFonts w:ascii="Arial" w:eastAsia="Arial" w:hAnsi="Arial" w:cs="Arial"/>
          <w:b/>
          <w:bCs/>
          <w:sz w:val="22"/>
          <w:szCs w:val="22"/>
        </w:rPr>
        <w:t xml:space="preserve"> </w:t>
      </w:r>
      <w:r w:rsidR="75390F0A" w:rsidRPr="001463AB">
        <w:rPr>
          <w:rFonts w:ascii="Arial" w:eastAsia="Arial" w:hAnsi="Arial" w:cs="Arial"/>
          <w:sz w:val="22"/>
          <w:szCs w:val="22"/>
        </w:rPr>
        <w:t xml:space="preserve">Ensures that individuals rights </w:t>
      </w:r>
      <w:r w:rsidR="24339373" w:rsidRPr="001463AB">
        <w:rPr>
          <w:rFonts w:ascii="Arial" w:eastAsia="Arial" w:hAnsi="Arial" w:cs="Arial"/>
          <w:sz w:val="22"/>
          <w:szCs w:val="22"/>
        </w:rPr>
        <w:t>preferences, and</w:t>
      </w:r>
      <w:r w:rsidR="75390F0A" w:rsidRPr="001463AB">
        <w:rPr>
          <w:rFonts w:ascii="Arial" w:eastAsia="Arial" w:hAnsi="Arial" w:cs="Arial"/>
          <w:sz w:val="22"/>
          <w:szCs w:val="22"/>
        </w:rPr>
        <w:t xml:space="preserve"> dignity are upheld especi</w:t>
      </w:r>
      <w:r w:rsidR="26B9B84F" w:rsidRPr="001463AB">
        <w:rPr>
          <w:rFonts w:ascii="Arial" w:eastAsia="Arial" w:hAnsi="Arial" w:cs="Arial"/>
          <w:sz w:val="22"/>
          <w:szCs w:val="22"/>
        </w:rPr>
        <w:t xml:space="preserve">ally when they face barriers to understanding or </w:t>
      </w:r>
      <w:r w:rsidR="174710EB" w:rsidRPr="001463AB">
        <w:rPr>
          <w:rFonts w:ascii="Arial" w:eastAsia="Arial" w:hAnsi="Arial" w:cs="Arial"/>
          <w:sz w:val="22"/>
          <w:szCs w:val="22"/>
        </w:rPr>
        <w:t>expressing</w:t>
      </w:r>
      <w:r w:rsidR="26B9B84F" w:rsidRPr="001463AB">
        <w:rPr>
          <w:rFonts w:ascii="Arial" w:eastAsia="Arial" w:hAnsi="Arial" w:cs="Arial"/>
          <w:sz w:val="22"/>
          <w:szCs w:val="22"/>
        </w:rPr>
        <w:t xml:space="preserve"> their </w:t>
      </w:r>
      <w:r w:rsidR="54BBCCBD" w:rsidRPr="001463AB">
        <w:rPr>
          <w:rFonts w:ascii="Arial" w:eastAsia="Arial" w:hAnsi="Arial" w:cs="Arial"/>
          <w:sz w:val="22"/>
          <w:szCs w:val="22"/>
        </w:rPr>
        <w:t>needs</w:t>
      </w:r>
      <w:r w:rsidR="54BBCCBD" w:rsidRPr="001463AB">
        <w:rPr>
          <w:rFonts w:ascii="Arial" w:eastAsia="Arial" w:hAnsi="Arial" w:cs="Arial"/>
          <w:b/>
          <w:bCs/>
          <w:sz w:val="22"/>
          <w:szCs w:val="22"/>
        </w:rPr>
        <w:t xml:space="preserve"> </w:t>
      </w:r>
      <w:r w:rsidR="54BBCCBD" w:rsidRPr="001463AB">
        <w:rPr>
          <w:rFonts w:ascii="Arial" w:eastAsia="Arial" w:hAnsi="Arial" w:cs="Arial"/>
          <w:sz w:val="22"/>
          <w:szCs w:val="22"/>
        </w:rPr>
        <w:t>(</w:t>
      </w:r>
      <w:r w:rsidR="060453DF" w:rsidRPr="001463AB">
        <w:rPr>
          <w:rFonts w:ascii="Arial" w:eastAsia="Arial" w:hAnsi="Arial" w:cs="Arial"/>
          <w:sz w:val="22"/>
          <w:szCs w:val="22"/>
        </w:rPr>
        <w:t xml:space="preserve"> </w:t>
      </w:r>
      <w:proofErr w:type="spellStart"/>
      <w:r w:rsidR="060453DF" w:rsidRPr="001463AB">
        <w:rPr>
          <w:rFonts w:ascii="Arial" w:eastAsia="Arial" w:hAnsi="Arial" w:cs="Arial"/>
          <w:sz w:val="22"/>
          <w:szCs w:val="22"/>
        </w:rPr>
        <w:t>NHS.n,d</w:t>
      </w:r>
      <w:proofErr w:type="spellEnd"/>
      <w:r w:rsidR="060453DF" w:rsidRPr="001463AB">
        <w:rPr>
          <w:rFonts w:ascii="Arial" w:eastAsia="Arial" w:hAnsi="Arial" w:cs="Arial"/>
          <w:sz w:val="22"/>
          <w:szCs w:val="22"/>
        </w:rPr>
        <w:t>.)</w:t>
      </w:r>
      <w:r w:rsidR="7FFB8F38" w:rsidRPr="001463AB">
        <w:rPr>
          <w:rFonts w:ascii="Arial" w:eastAsia="Arial" w:hAnsi="Arial" w:cs="Arial"/>
          <w:sz w:val="22"/>
          <w:szCs w:val="22"/>
        </w:rPr>
        <w:t>.</w:t>
      </w:r>
    </w:p>
    <w:p w14:paraId="2CCC9ADF" w14:textId="20070C6A" w:rsidR="34F49264" w:rsidRDefault="34F49264" w:rsidP="7D8B1321">
      <w:pPr>
        <w:spacing w:before="120" w:after="0"/>
        <w:rPr>
          <w:rFonts w:ascii="Arial" w:eastAsia="Arial" w:hAnsi="Arial" w:cs="Arial"/>
          <w:color w:val="24292E"/>
          <w:sz w:val="22"/>
          <w:szCs w:val="22"/>
        </w:rPr>
      </w:pPr>
    </w:p>
    <w:p w14:paraId="693A9AB4" w14:textId="2DB3EEFC" w:rsidR="34F49264" w:rsidRPr="00102FA0" w:rsidRDefault="268C8693" w:rsidP="7D8B1321">
      <w:pPr>
        <w:pStyle w:val="Heading2"/>
        <w:shd w:val="clear" w:color="auto" w:fill="FFFFFF" w:themeFill="background1"/>
        <w:spacing w:before="312" w:after="108"/>
        <w:rPr>
          <w:rFonts w:ascii="Arial" w:hAnsi="Arial" w:cs="Arial"/>
          <w:sz w:val="24"/>
          <w:szCs w:val="24"/>
        </w:rPr>
      </w:pPr>
      <w:bookmarkStart w:id="6" w:name="_Toc213833820"/>
      <w:r w:rsidRPr="00102FA0">
        <w:rPr>
          <w:rFonts w:ascii="Arial" w:eastAsia="system-ui" w:hAnsi="Arial" w:cs="Arial"/>
          <w:b/>
          <w:bCs/>
          <w:color w:val="24292E"/>
          <w:sz w:val="24"/>
          <w:szCs w:val="24"/>
        </w:rPr>
        <w:t>Evaluation of Partnership Working</w:t>
      </w:r>
      <w:bookmarkEnd w:id="6"/>
    </w:p>
    <w:p w14:paraId="52C061EF" w14:textId="19D62B2A" w:rsidR="34F49264" w:rsidRDefault="268C8693" w:rsidP="00F04F90">
      <w:pPr>
        <w:shd w:val="clear" w:color="auto" w:fill="FFFFFF" w:themeFill="background1"/>
        <w:spacing w:after="0" w:line="360" w:lineRule="auto"/>
        <w:jc w:val="both"/>
        <w:rPr>
          <w:rFonts w:ascii="Arial" w:eastAsia="Arial" w:hAnsi="Arial" w:cs="Arial"/>
          <w:color w:val="24292E"/>
          <w:sz w:val="22"/>
          <w:szCs w:val="22"/>
        </w:rPr>
      </w:pPr>
      <w:r w:rsidRPr="54E8FE16">
        <w:rPr>
          <w:rFonts w:ascii="Arial" w:eastAsia="Arial" w:hAnsi="Arial" w:cs="Arial"/>
          <w:color w:val="24292E"/>
          <w:sz w:val="22"/>
          <w:szCs w:val="22"/>
        </w:rPr>
        <w:t>Partnership working denotes systematic collaboration between health, social</w:t>
      </w:r>
      <w:r w:rsidR="41E50795" w:rsidRPr="54E8FE16">
        <w:rPr>
          <w:rFonts w:ascii="Arial" w:eastAsia="Arial" w:hAnsi="Arial" w:cs="Arial"/>
          <w:color w:val="24292E"/>
          <w:sz w:val="22"/>
          <w:szCs w:val="22"/>
        </w:rPr>
        <w:t xml:space="preserve"> </w:t>
      </w:r>
      <w:r w:rsidR="36DBF75A" w:rsidRPr="54E8FE16">
        <w:rPr>
          <w:rFonts w:ascii="Arial" w:eastAsia="Arial" w:hAnsi="Arial" w:cs="Arial"/>
          <w:color w:val="24292E"/>
          <w:sz w:val="22"/>
          <w:szCs w:val="22"/>
        </w:rPr>
        <w:t>care,</w:t>
      </w:r>
      <w:r w:rsidRPr="54E8FE16">
        <w:rPr>
          <w:rFonts w:ascii="Arial" w:eastAsia="Arial" w:hAnsi="Arial" w:cs="Arial"/>
          <w:color w:val="24292E"/>
          <w:sz w:val="22"/>
          <w:szCs w:val="22"/>
        </w:rPr>
        <w:t xml:space="preserve"> and third</w:t>
      </w:r>
      <w:r w:rsidR="3ADC5104" w:rsidRPr="54E8FE16">
        <w:rPr>
          <w:rFonts w:ascii="Arial" w:eastAsia="Arial" w:hAnsi="Arial" w:cs="Arial"/>
          <w:color w:val="24292E"/>
          <w:sz w:val="22"/>
          <w:szCs w:val="22"/>
        </w:rPr>
        <w:t xml:space="preserve"> </w:t>
      </w:r>
      <w:r w:rsidRPr="54E8FE16">
        <w:rPr>
          <w:rFonts w:ascii="Arial" w:eastAsia="Arial" w:hAnsi="Arial" w:cs="Arial"/>
          <w:color w:val="24292E"/>
          <w:sz w:val="22"/>
          <w:szCs w:val="22"/>
        </w:rPr>
        <w:t xml:space="preserve">sector organisations to deliver seamless, coordinated services (Reeves, Lewin, Espin &amp; Zwarenstein, 2017). The </w:t>
      </w:r>
      <w:r w:rsidRPr="54E8FE16">
        <w:rPr>
          <w:rFonts w:ascii="Arial" w:eastAsia="Arial" w:hAnsi="Arial" w:cs="Arial"/>
          <w:b/>
          <w:bCs/>
          <w:color w:val="24292E"/>
          <w:sz w:val="22"/>
          <w:szCs w:val="22"/>
        </w:rPr>
        <w:t>Interprofessional Collaboration Model</w:t>
      </w:r>
      <w:r w:rsidRPr="54E8FE16">
        <w:rPr>
          <w:rFonts w:ascii="Arial" w:eastAsia="Arial" w:hAnsi="Arial" w:cs="Arial"/>
          <w:color w:val="24292E"/>
          <w:sz w:val="22"/>
          <w:szCs w:val="22"/>
        </w:rPr>
        <w:t xml:space="preserve"> </w:t>
      </w:r>
      <w:r w:rsidR="00636A0E">
        <w:rPr>
          <w:rFonts w:ascii="Arial" w:eastAsia="Arial" w:hAnsi="Arial" w:cs="Arial"/>
          <w:color w:val="24292E"/>
          <w:sz w:val="22"/>
          <w:szCs w:val="22"/>
        </w:rPr>
        <w:t>(</w:t>
      </w:r>
      <w:r w:rsidR="179B2BF9" w:rsidRPr="54E8FE16">
        <w:rPr>
          <w:rFonts w:ascii="Arial" w:eastAsia="Arial" w:hAnsi="Arial" w:cs="Arial"/>
          <w:color w:val="24292E"/>
          <w:sz w:val="22"/>
          <w:szCs w:val="22"/>
        </w:rPr>
        <w:t>2022</w:t>
      </w:r>
      <w:r w:rsidR="00636A0E">
        <w:rPr>
          <w:rFonts w:ascii="Arial" w:eastAsia="Arial" w:hAnsi="Arial" w:cs="Arial"/>
          <w:color w:val="24292E"/>
          <w:sz w:val="22"/>
          <w:szCs w:val="22"/>
        </w:rPr>
        <w:t>)</w:t>
      </w:r>
      <w:r w:rsidR="179B2BF9" w:rsidRPr="54E8FE16">
        <w:rPr>
          <w:rFonts w:ascii="Arial" w:eastAsia="Arial" w:hAnsi="Arial" w:cs="Arial"/>
          <w:color w:val="24292E"/>
          <w:sz w:val="22"/>
          <w:szCs w:val="22"/>
        </w:rPr>
        <w:t xml:space="preserve"> </w:t>
      </w:r>
      <w:r w:rsidRPr="54E8FE16">
        <w:rPr>
          <w:rFonts w:ascii="Arial" w:eastAsia="Arial" w:hAnsi="Arial" w:cs="Arial"/>
          <w:color w:val="24292E"/>
          <w:sz w:val="22"/>
          <w:szCs w:val="22"/>
        </w:rPr>
        <w:t>highlights four essential conditions: shared goals, mutual respect, clear role delineation, and effective communication.</w:t>
      </w:r>
    </w:p>
    <w:p w14:paraId="2B41DAFA" w14:textId="1EA96679" w:rsidR="34F49264" w:rsidRDefault="268C8693"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lastRenderedPageBreak/>
        <w:t>Benefits</w:t>
      </w:r>
      <w:r w:rsidRPr="7D8B1321">
        <w:rPr>
          <w:rFonts w:ascii="Arial" w:eastAsia="Arial" w:hAnsi="Arial" w:cs="Arial"/>
          <w:color w:val="24292E"/>
          <w:sz w:val="22"/>
          <w:szCs w:val="22"/>
        </w:rPr>
        <w:t xml:space="preserve"> of PW are substantial. Meta‑analyses report reductions in acute readmissions of 12‑15 % when multidisciplinary teams operate cohesively (O’Donovan et al., 2022). Staff report higher job satisfaction and lower burnout when roles are clarified and collaborative decision‑making is routine (Reeves et al., 2017).</w:t>
      </w:r>
    </w:p>
    <w:p w14:paraId="621C2F8D" w14:textId="5B0D5706" w:rsidR="34F49264" w:rsidRDefault="268C8693"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b/>
          <w:bCs/>
          <w:color w:val="24292E"/>
          <w:sz w:val="22"/>
          <w:szCs w:val="22"/>
        </w:rPr>
        <w:t>Challenges</w:t>
      </w:r>
      <w:r w:rsidRPr="7D8B1321">
        <w:rPr>
          <w:rFonts w:ascii="Arial" w:eastAsia="Arial" w:hAnsi="Arial" w:cs="Arial"/>
          <w:color w:val="24292E"/>
          <w:sz w:val="22"/>
          <w:szCs w:val="22"/>
        </w:rPr>
        <w:t xml:space="preserve"> include role ambiguity, power imbalances, and cultural differences between professions, which can lead to tokenistic participation (Dixon et al., 2020). Financial silos</w:t>
      </w:r>
      <w:r w:rsidR="16400451"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separate NHS and local‑authority budgets</w:t>
      </w:r>
      <w:r w:rsidR="2B368D37"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further impede joint initiatives (NICE, 2021).</w:t>
      </w:r>
    </w:p>
    <w:p w14:paraId="36CD94A6" w14:textId="39D3E569" w:rsidR="34F49264" w:rsidRDefault="34F49264" w:rsidP="7D8B1321">
      <w:pPr>
        <w:spacing w:before="120" w:after="0"/>
        <w:rPr>
          <w:rFonts w:ascii="system-ui" w:eastAsia="system-ui" w:hAnsi="system-ui" w:cs="system-ui"/>
          <w:color w:val="24292E"/>
          <w:sz w:val="21"/>
          <w:szCs w:val="21"/>
        </w:rPr>
      </w:pPr>
    </w:p>
    <w:p w14:paraId="1451642A" w14:textId="04E0F451" w:rsidR="5092CAB5" w:rsidRDefault="25DD8A01" w:rsidP="7D8B1321">
      <w:pPr>
        <w:pStyle w:val="Heading3"/>
        <w:shd w:val="clear" w:color="auto" w:fill="FFFFFF" w:themeFill="background1"/>
        <w:spacing w:before="288" w:after="96"/>
        <w:rPr>
          <w:rFonts w:ascii="Arial" w:eastAsia="Arial" w:hAnsi="Arial" w:cs="Arial"/>
          <w:b/>
          <w:bCs/>
          <w:color w:val="24292E"/>
          <w:sz w:val="24"/>
          <w:szCs w:val="24"/>
          <w:u w:val="single"/>
        </w:rPr>
      </w:pPr>
      <w:bookmarkStart w:id="7" w:name="_Toc213833821"/>
      <w:r w:rsidRPr="7D8B1321">
        <w:rPr>
          <w:rFonts w:ascii="Arial" w:eastAsia="Arial" w:hAnsi="Arial" w:cs="Arial"/>
          <w:b/>
          <w:bCs/>
          <w:color w:val="24292E"/>
          <w:sz w:val="24"/>
          <w:szCs w:val="24"/>
          <w:u w:val="single"/>
        </w:rPr>
        <w:t>Explore the Application of Partnership Working in a Practical Health‑Social‑Care Setting</w:t>
      </w:r>
      <w:bookmarkEnd w:id="7"/>
    </w:p>
    <w:p w14:paraId="61557A8F" w14:textId="2CA391C4" w:rsidR="34F49264" w:rsidRPr="00F04F90" w:rsidRDefault="1DD808F0" w:rsidP="00F04F90">
      <w:pPr>
        <w:spacing w:before="120" w:after="0" w:line="360" w:lineRule="auto"/>
        <w:jc w:val="both"/>
        <w:rPr>
          <w:rFonts w:ascii="Arial" w:eastAsia="Arial" w:hAnsi="Arial" w:cs="Arial"/>
          <w:sz w:val="22"/>
          <w:szCs w:val="22"/>
        </w:rPr>
      </w:pPr>
      <w:r w:rsidRPr="00F04F90">
        <w:rPr>
          <w:rFonts w:ascii="Arial" w:eastAsia="system-ui" w:hAnsi="Arial" w:cs="Arial"/>
          <w:b/>
          <w:bCs/>
          <w:i/>
          <w:iCs/>
          <w:color w:val="24292E"/>
          <w:sz w:val="22"/>
          <w:szCs w:val="22"/>
        </w:rPr>
        <w:t>Mr J</w:t>
      </w:r>
      <w:r w:rsidRPr="00F04F90">
        <w:rPr>
          <w:rFonts w:ascii="Arial" w:eastAsia="system-ui" w:hAnsi="Arial" w:cs="Arial"/>
          <w:i/>
          <w:iCs/>
          <w:color w:val="24292E"/>
          <w:sz w:val="22"/>
          <w:szCs w:val="22"/>
        </w:rPr>
        <w:t>, a 28</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year</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old university student in Cardiff, suffered a severe anxiety attack and was taken to A&amp;E. The emergency department activated the CMHT rapid</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response protocol. Within 24 hours a multidisciplinary case conference (psychiatrist, community nurse, social worker, peer</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support worker, and his GP) produced a personalised care plan that combined medication optimisation, weekly home visits, a supported</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 xml:space="preserve">housing </w:t>
      </w:r>
      <w:r w:rsidR="42B196A8" w:rsidRPr="00F04F90">
        <w:rPr>
          <w:rFonts w:ascii="Arial" w:eastAsia="system-ui" w:hAnsi="Arial" w:cs="Arial"/>
          <w:i/>
          <w:iCs/>
          <w:color w:val="24292E"/>
          <w:sz w:val="22"/>
          <w:szCs w:val="22"/>
        </w:rPr>
        <w:t>assessment,</w:t>
      </w:r>
      <w:r w:rsidRPr="00F04F90">
        <w:rPr>
          <w:rFonts w:ascii="Arial" w:eastAsia="system-ui" w:hAnsi="Arial" w:cs="Arial"/>
          <w:i/>
          <w:iCs/>
          <w:color w:val="24292E"/>
          <w:sz w:val="22"/>
          <w:szCs w:val="22"/>
        </w:rPr>
        <w:t xml:space="preserve"> and enrolment in a peer</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led recovery group. Using a shared electronic record and weekly coordination huddles, the team monitored progress; after eight weeks Mr J remained symptom</w:t>
      </w:r>
      <w:r w:rsidRPr="00F04F90">
        <w:rPr>
          <w:rFonts w:ascii="Cambria Math" w:eastAsia="system-ui" w:hAnsi="Cambria Math" w:cs="Cambria Math"/>
          <w:i/>
          <w:iCs/>
          <w:color w:val="24292E"/>
          <w:sz w:val="22"/>
          <w:szCs w:val="22"/>
        </w:rPr>
        <w:t>‑</w:t>
      </w:r>
      <w:r w:rsidRPr="00F04F90">
        <w:rPr>
          <w:rFonts w:ascii="Arial" w:eastAsia="system-ui" w:hAnsi="Arial" w:cs="Arial"/>
          <w:i/>
          <w:iCs/>
          <w:color w:val="24292E"/>
          <w:sz w:val="22"/>
          <w:szCs w:val="22"/>
        </w:rPr>
        <w:t>free, had secured suitable accommodation and avoided any further hospital admission.</w:t>
      </w:r>
    </w:p>
    <w:p w14:paraId="212B3410" w14:textId="62C1BE52" w:rsidR="34F49264" w:rsidRDefault="34F49264" w:rsidP="7D8B1321">
      <w:pPr>
        <w:spacing w:before="120" w:after="0"/>
        <w:rPr>
          <w:rFonts w:ascii="system-ui" w:eastAsia="system-ui" w:hAnsi="system-ui" w:cs="system-ui"/>
          <w:i/>
          <w:iCs/>
          <w:color w:val="24292E"/>
          <w:sz w:val="21"/>
          <w:szCs w:val="21"/>
        </w:rPr>
      </w:pPr>
    </w:p>
    <w:p w14:paraId="342ECE16" w14:textId="517BF4FA" w:rsidR="34F49264" w:rsidRPr="00102FA0" w:rsidRDefault="3533AA95" w:rsidP="7D8B1321">
      <w:pPr>
        <w:pStyle w:val="Heading2"/>
        <w:shd w:val="clear" w:color="auto" w:fill="FFFFFF" w:themeFill="background1"/>
        <w:spacing w:before="312" w:after="108"/>
        <w:rPr>
          <w:rFonts w:ascii="Arial" w:hAnsi="Arial" w:cs="Arial"/>
          <w:sz w:val="24"/>
          <w:szCs w:val="24"/>
        </w:rPr>
      </w:pPr>
      <w:bookmarkStart w:id="8" w:name="_Toc213833822"/>
      <w:r w:rsidRPr="00102FA0">
        <w:rPr>
          <w:rFonts w:ascii="Arial" w:eastAsia="system-ui" w:hAnsi="Arial" w:cs="Arial"/>
          <w:b/>
          <w:bCs/>
          <w:color w:val="24292E"/>
          <w:sz w:val="24"/>
          <w:szCs w:val="24"/>
        </w:rPr>
        <w:t>Practical Application of Partnership Working</w:t>
      </w:r>
      <w:bookmarkEnd w:id="8"/>
    </w:p>
    <w:p w14:paraId="11949B1C" w14:textId="7419759B" w:rsidR="34F49264" w:rsidRDefault="3533AA95"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 xml:space="preserve">A </w:t>
      </w:r>
      <w:r w:rsidRPr="7D8B1321">
        <w:rPr>
          <w:rFonts w:ascii="Arial" w:eastAsia="Arial" w:hAnsi="Arial" w:cs="Arial"/>
          <w:b/>
          <w:bCs/>
          <w:color w:val="24292E"/>
          <w:sz w:val="22"/>
          <w:szCs w:val="22"/>
        </w:rPr>
        <w:t>Community Mental‑Health Team (CMHT)</w:t>
      </w:r>
      <w:r w:rsidRPr="7D8B1321">
        <w:rPr>
          <w:rFonts w:ascii="Arial" w:eastAsia="Arial" w:hAnsi="Arial" w:cs="Arial"/>
          <w:color w:val="24292E"/>
          <w:sz w:val="22"/>
          <w:szCs w:val="22"/>
        </w:rPr>
        <w:t xml:space="preserve"> illustrates partnership working in practice. The team comprises a psychiatrist, community psychiatric nurse, social worker, peer‑support </w:t>
      </w:r>
      <w:r w:rsidR="190B5E24" w:rsidRPr="7D8B1321">
        <w:rPr>
          <w:rFonts w:ascii="Arial" w:eastAsia="Arial" w:hAnsi="Arial" w:cs="Arial"/>
          <w:color w:val="24292E"/>
          <w:sz w:val="22"/>
          <w:szCs w:val="22"/>
        </w:rPr>
        <w:t>worker,</w:t>
      </w:r>
      <w:r w:rsidRPr="7D8B1321">
        <w:rPr>
          <w:rFonts w:ascii="Arial" w:eastAsia="Arial" w:hAnsi="Arial" w:cs="Arial"/>
          <w:color w:val="24292E"/>
          <w:sz w:val="22"/>
          <w:szCs w:val="22"/>
        </w:rPr>
        <w:t xml:space="preserve"> and a GP liaison. When </w:t>
      </w:r>
      <w:r w:rsidRPr="7D8B1321">
        <w:rPr>
          <w:rFonts w:ascii="Arial" w:eastAsia="Arial" w:hAnsi="Arial" w:cs="Arial"/>
          <w:b/>
          <w:bCs/>
          <w:color w:val="24292E"/>
          <w:sz w:val="22"/>
          <w:szCs w:val="22"/>
        </w:rPr>
        <w:t>Mr J</w:t>
      </w:r>
      <w:r w:rsidRPr="7D8B1321">
        <w:rPr>
          <w:rFonts w:ascii="Arial" w:eastAsia="Arial" w:hAnsi="Arial" w:cs="Arial"/>
          <w:color w:val="24292E"/>
          <w:sz w:val="22"/>
          <w:szCs w:val="22"/>
        </w:rPr>
        <w:t xml:space="preserve">, a 28‑year‑old university student, experiences a severe anxiety attack, the emergency department activates the CMHT rapid‑response protocol. Within 24 hours a multidisciplinary case conference produces a co‑created care plan that integrates medication optimisation, weekly home visits, a supported‑housing </w:t>
      </w:r>
      <w:r w:rsidR="24852BC3" w:rsidRPr="7D8B1321">
        <w:rPr>
          <w:rFonts w:ascii="Arial" w:eastAsia="Arial" w:hAnsi="Arial" w:cs="Arial"/>
          <w:color w:val="24292E"/>
          <w:sz w:val="22"/>
          <w:szCs w:val="22"/>
        </w:rPr>
        <w:t>assessment,</w:t>
      </w:r>
      <w:r w:rsidRPr="7D8B1321">
        <w:rPr>
          <w:rFonts w:ascii="Arial" w:eastAsia="Arial" w:hAnsi="Arial" w:cs="Arial"/>
          <w:color w:val="24292E"/>
          <w:sz w:val="22"/>
          <w:szCs w:val="22"/>
        </w:rPr>
        <w:t xml:space="preserve"> and enrolment in a peer‑led recovery group.</w:t>
      </w:r>
    </w:p>
    <w:p w14:paraId="55A23A3B" w14:textId="0F5FED5B" w:rsidR="34F49264" w:rsidRDefault="3533AA95"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 xml:space="preserve">The team uses a </w:t>
      </w:r>
      <w:r w:rsidRPr="7D8B1321">
        <w:rPr>
          <w:rFonts w:ascii="Arial" w:eastAsia="Arial" w:hAnsi="Arial" w:cs="Arial"/>
          <w:b/>
          <w:bCs/>
          <w:color w:val="24292E"/>
          <w:sz w:val="22"/>
          <w:szCs w:val="22"/>
        </w:rPr>
        <w:t>shared electronic care record</w:t>
      </w:r>
      <w:r w:rsidRPr="7D8B1321">
        <w:rPr>
          <w:rFonts w:ascii="Arial" w:eastAsia="Arial" w:hAnsi="Arial" w:cs="Arial"/>
          <w:color w:val="24292E"/>
          <w:sz w:val="22"/>
          <w:szCs w:val="22"/>
        </w:rPr>
        <w:t xml:space="preserve">, allowing real‑time updates on medication changes, psychosocial </w:t>
      </w:r>
      <w:r w:rsidR="36960591" w:rsidRPr="7D8B1321">
        <w:rPr>
          <w:rFonts w:ascii="Arial" w:eastAsia="Arial" w:hAnsi="Arial" w:cs="Arial"/>
          <w:color w:val="24292E"/>
          <w:sz w:val="22"/>
          <w:szCs w:val="22"/>
        </w:rPr>
        <w:t>interventions,</w:t>
      </w:r>
      <w:r w:rsidRPr="7D8B1321">
        <w:rPr>
          <w:rFonts w:ascii="Arial" w:eastAsia="Arial" w:hAnsi="Arial" w:cs="Arial"/>
          <w:color w:val="24292E"/>
          <w:sz w:val="22"/>
          <w:szCs w:val="22"/>
        </w:rPr>
        <w:t xml:space="preserve"> and housing status (Greenhalgh et al., 2017). Weekly coordination huddles reinforce clear role delineation and mitigate power imbalances, addressing the tokenism risk highlighted by Dixon et al.</w:t>
      </w:r>
      <w:r w:rsidR="00971259">
        <w:rPr>
          <w:rFonts w:ascii="Arial" w:eastAsia="Arial" w:hAnsi="Arial" w:cs="Arial"/>
          <w:color w:val="24292E"/>
          <w:sz w:val="22"/>
          <w:szCs w:val="22"/>
        </w:rPr>
        <w:t>,</w:t>
      </w:r>
      <w:r w:rsidRPr="7D8B1321">
        <w:rPr>
          <w:rFonts w:ascii="Arial" w:eastAsia="Arial" w:hAnsi="Arial" w:cs="Arial"/>
          <w:color w:val="24292E"/>
          <w:sz w:val="22"/>
          <w:szCs w:val="22"/>
        </w:rPr>
        <w:t xml:space="preserve"> (2020). Evaluation data show a 13 % reduction in readmissions for the CMHT cohort and high patient‑reported satisfaction (O’Donovan et al., 2022). </w:t>
      </w:r>
      <w:r w:rsidRPr="7D8B1321">
        <w:rPr>
          <w:rFonts w:ascii="Arial" w:eastAsia="Arial" w:hAnsi="Arial" w:cs="Arial"/>
          <w:color w:val="24292E"/>
          <w:sz w:val="22"/>
          <w:szCs w:val="22"/>
        </w:rPr>
        <w:lastRenderedPageBreak/>
        <w:t xml:space="preserve">The model also operationalises </w:t>
      </w:r>
      <w:r w:rsidRPr="7D8B1321">
        <w:rPr>
          <w:rFonts w:ascii="Arial" w:eastAsia="Arial" w:hAnsi="Arial" w:cs="Arial"/>
          <w:b/>
          <w:bCs/>
          <w:color w:val="24292E"/>
          <w:sz w:val="22"/>
          <w:szCs w:val="22"/>
        </w:rPr>
        <w:t>justice</w:t>
      </w:r>
      <w:r w:rsidRPr="7D8B1321">
        <w:rPr>
          <w:rFonts w:ascii="Arial" w:eastAsia="Arial" w:hAnsi="Arial" w:cs="Arial"/>
          <w:color w:val="24292E"/>
          <w:sz w:val="22"/>
          <w:szCs w:val="22"/>
        </w:rPr>
        <w:t xml:space="preserve"> by ensuring equitable access to both clinical treatment and social support, fulfilling the statutory duty set out in the Care Act 2014 (Dept. of Health &amp; Social Care, 2014).</w:t>
      </w:r>
    </w:p>
    <w:p w14:paraId="48ACCDFD" w14:textId="0FE93326" w:rsidR="34F49264" w:rsidRDefault="34F49264" w:rsidP="7D8B1321">
      <w:pPr>
        <w:spacing w:before="120" w:after="0"/>
        <w:rPr>
          <w:rFonts w:ascii="Arial" w:eastAsia="Arial" w:hAnsi="Arial" w:cs="Arial"/>
          <w:color w:val="24292E"/>
          <w:sz w:val="22"/>
          <w:szCs w:val="22"/>
        </w:rPr>
      </w:pPr>
    </w:p>
    <w:p w14:paraId="5D5EE74A" w14:textId="6C30A256" w:rsidR="34F49264" w:rsidRDefault="34F49264" w:rsidP="7D8B1321">
      <w:pPr>
        <w:spacing w:before="120" w:after="0"/>
        <w:rPr>
          <w:rFonts w:ascii="Arial" w:eastAsia="Arial" w:hAnsi="Arial" w:cs="Arial"/>
          <w:b/>
          <w:bCs/>
          <w:color w:val="24292E"/>
          <w:sz w:val="22"/>
          <w:szCs w:val="22"/>
        </w:rPr>
      </w:pPr>
    </w:p>
    <w:p w14:paraId="1E4079D2" w14:textId="6D4CEEB5" w:rsidR="34F49264" w:rsidRDefault="2BA725D7" w:rsidP="7D8B1321">
      <w:pPr>
        <w:spacing w:before="120" w:after="0"/>
        <w:rPr>
          <w:rFonts w:ascii="Arial" w:eastAsia="Arial" w:hAnsi="Arial" w:cs="Arial"/>
          <w:b/>
          <w:bCs/>
          <w:color w:val="24292E"/>
          <w:u w:val="single"/>
        </w:rPr>
      </w:pPr>
      <w:r w:rsidRPr="7D8B1321">
        <w:rPr>
          <w:rFonts w:ascii="Arial" w:eastAsia="Arial" w:hAnsi="Arial" w:cs="Arial"/>
          <w:b/>
          <w:bCs/>
          <w:color w:val="24292E"/>
          <w:u w:val="single"/>
        </w:rPr>
        <w:t>Example of partnership working in a co</w:t>
      </w:r>
      <w:r w:rsidR="3D19177D" w:rsidRPr="7D8B1321">
        <w:rPr>
          <w:rFonts w:ascii="Arial" w:eastAsia="Arial" w:hAnsi="Arial" w:cs="Arial"/>
          <w:b/>
          <w:bCs/>
          <w:color w:val="24292E"/>
          <w:u w:val="single"/>
        </w:rPr>
        <w:t>mmunity</w:t>
      </w:r>
      <w:r w:rsidRPr="7D8B1321">
        <w:rPr>
          <w:rFonts w:ascii="Arial" w:eastAsia="Arial" w:hAnsi="Arial" w:cs="Arial"/>
          <w:b/>
          <w:bCs/>
          <w:color w:val="24292E"/>
          <w:u w:val="single"/>
        </w:rPr>
        <w:t xml:space="preserve"> mental health </w:t>
      </w:r>
      <w:r w:rsidR="34C3E3D9" w:rsidRPr="7D8B1321">
        <w:rPr>
          <w:rFonts w:ascii="Arial" w:eastAsia="Arial" w:hAnsi="Arial" w:cs="Arial"/>
          <w:b/>
          <w:bCs/>
          <w:color w:val="24292E"/>
          <w:u w:val="single"/>
        </w:rPr>
        <w:t xml:space="preserve">team </w:t>
      </w:r>
    </w:p>
    <w:p w14:paraId="229EB9F4" w14:textId="72641854" w:rsidR="34F49264" w:rsidRDefault="34F49264" w:rsidP="7D8B1321">
      <w:pPr>
        <w:spacing w:before="120" w:after="0"/>
        <w:rPr>
          <w:rFonts w:ascii="Arial" w:eastAsia="Arial" w:hAnsi="Arial" w:cs="Arial"/>
          <w:color w:val="24292E"/>
          <w:sz w:val="22"/>
          <w:szCs w:val="22"/>
        </w:rPr>
      </w:pPr>
    </w:p>
    <w:p w14:paraId="67CE5876" w14:textId="079A01A3"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Crisis (A&amp;E) </w:t>
      </w:r>
    </w:p>
    <w:p w14:paraId="39A2FEF7" w14:textId="3E638744" w:rsidR="34F49264" w:rsidRDefault="3B19D833" w:rsidP="7D8B1321">
      <w:pPr>
        <w:spacing w:before="120" w:after="0"/>
      </w:pPr>
      <w:r w:rsidRPr="7D8B1321">
        <w:rPr>
          <w:rFonts w:ascii="Arial" w:eastAsia="Arial" w:hAnsi="Arial" w:cs="Arial"/>
          <w:color w:val="24292E"/>
          <w:sz w:val="22"/>
          <w:szCs w:val="22"/>
        </w:rPr>
        <w:t xml:space="preserve">        ↓</w:t>
      </w:r>
    </w:p>
    <w:p w14:paraId="56C63043" w14:textId="46F71CBC"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Activate CMHT rapid‑response protocol </w:t>
      </w:r>
    </w:p>
    <w:p w14:paraId="042D183D" w14:textId="1F056F42" w:rsidR="34F49264" w:rsidRDefault="3B19D833" w:rsidP="7D8B1321">
      <w:pPr>
        <w:spacing w:before="120" w:after="0"/>
      </w:pPr>
      <w:r w:rsidRPr="7D8B1321">
        <w:rPr>
          <w:rFonts w:ascii="Arial" w:eastAsia="Arial" w:hAnsi="Arial" w:cs="Arial"/>
          <w:color w:val="24292E"/>
          <w:sz w:val="22"/>
          <w:szCs w:val="22"/>
        </w:rPr>
        <w:t xml:space="preserve">        ↓</w:t>
      </w:r>
    </w:p>
    <w:p w14:paraId="50805D00" w14:textId="21A242E8"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Multidisciplinary case conference (24 h) </w:t>
      </w:r>
    </w:p>
    <w:p w14:paraId="459C21A8" w14:textId="40B02DB2"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w:t>
      </w:r>
    </w:p>
    <w:p w14:paraId="6E46B7EE" w14:textId="7B3AEC63"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Co‑created care plan (PCC</w:t>
      </w:r>
      <w:r w:rsidR="63D28B81" w:rsidRPr="7D8B1321">
        <w:rPr>
          <w:rFonts w:ascii="Arial" w:eastAsia="Arial" w:hAnsi="Arial" w:cs="Arial"/>
          <w:color w:val="24292E"/>
          <w:sz w:val="22"/>
          <w:szCs w:val="22"/>
        </w:rPr>
        <w:t>)</w:t>
      </w:r>
    </w:p>
    <w:p w14:paraId="153FF94C" w14:textId="60756F93" w:rsidR="34F49264" w:rsidRDefault="3B19D833" w:rsidP="7D8B1321">
      <w:pPr>
        <w:spacing w:before="120" w:after="0"/>
      </w:pPr>
      <w:r w:rsidRPr="7D8B1321">
        <w:rPr>
          <w:rFonts w:ascii="Arial" w:eastAsia="Arial" w:hAnsi="Arial" w:cs="Arial"/>
          <w:color w:val="24292E"/>
          <w:sz w:val="22"/>
          <w:szCs w:val="22"/>
        </w:rPr>
        <w:t xml:space="preserve">        ↓</w:t>
      </w:r>
    </w:p>
    <w:p w14:paraId="04E94C3B" w14:textId="07E046F3"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Shared electronic record + weekly huddles </w:t>
      </w:r>
    </w:p>
    <w:p w14:paraId="3105D675" w14:textId="3524F599" w:rsidR="34F49264" w:rsidRDefault="3B19D833" w:rsidP="7D8B1321">
      <w:pPr>
        <w:spacing w:before="120" w:after="0"/>
      </w:pPr>
      <w:r w:rsidRPr="7D8B1321">
        <w:rPr>
          <w:rFonts w:ascii="Arial" w:eastAsia="Arial" w:hAnsi="Arial" w:cs="Arial"/>
          <w:color w:val="24292E"/>
          <w:sz w:val="22"/>
          <w:szCs w:val="22"/>
        </w:rPr>
        <w:t xml:space="preserve">        ↓</w:t>
      </w:r>
    </w:p>
    <w:p w14:paraId="14D8F879" w14:textId="57E6B238"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Delivery of interventions (meds, housing, peer support)</w:t>
      </w:r>
    </w:p>
    <w:p w14:paraId="1259867D" w14:textId="7E43E053" w:rsidR="34F49264" w:rsidRDefault="3B19D833" w:rsidP="7D8B1321">
      <w:pPr>
        <w:spacing w:before="120" w:after="0"/>
      </w:pPr>
      <w:r w:rsidRPr="7D8B1321">
        <w:rPr>
          <w:rFonts w:ascii="Arial" w:eastAsia="Arial" w:hAnsi="Arial" w:cs="Arial"/>
          <w:color w:val="24292E"/>
          <w:sz w:val="22"/>
          <w:szCs w:val="22"/>
        </w:rPr>
        <w:t xml:space="preserve">        ↓</w:t>
      </w:r>
    </w:p>
    <w:p w14:paraId="1C398288" w14:textId="13EACD54"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 Review &amp; outcome monitoring (4‑wk, 8‑wk) </w:t>
      </w:r>
    </w:p>
    <w:p w14:paraId="6434D8B2" w14:textId="3438F813" w:rsidR="34F49264" w:rsidRDefault="3B19D833" w:rsidP="7D8B1321">
      <w:pPr>
        <w:spacing w:before="120" w:after="0"/>
      </w:pPr>
      <w:r w:rsidRPr="7D8B1321">
        <w:rPr>
          <w:rFonts w:ascii="Arial" w:eastAsia="Arial" w:hAnsi="Arial" w:cs="Arial"/>
          <w:color w:val="24292E"/>
          <w:sz w:val="22"/>
          <w:szCs w:val="22"/>
        </w:rPr>
        <w:t xml:space="preserve">        ↓</w:t>
      </w:r>
    </w:p>
    <w:p w14:paraId="06032832" w14:textId="56546959" w:rsidR="34F49264" w:rsidRDefault="3B19D833" w:rsidP="7D8B1321">
      <w:pPr>
        <w:spacing w:before="120" w:after="0"/>
        <w:rPr>
          <w:rFonts w:ascii="Arial" w:eastAsia="Arial" w:hAnsi="Arial" w:cs="Arial"/>
          <w:color w:val="24292E"/>
          <w:sz w:val="22"/>
          <w:szCs w:val="22"/>
        </w:rPr>
      </w:pPr>
      <w:r w:rsidRPr="7D8B1321">
        <w:rPr>
          <w:rFonts w:ascii="Arial" w:eastAsia="Arial" w:hAnsi="Arial" w:cs="Arial"/>
          <w:color w:val="24292E"/>
          <w:sz w:val="22"/>
          <w:szCs w:val="22"/>
        </w:rPr>
        <w:t xml:space="preserve">Discharge / Ongoing community support </w:t>
      </w:r>
    </w:p>
    <w:p w14:paraId="5EA851A8" w14:textId="115E93E6" w:rsidR="34F49264" w:rsidRDefault="34F49264" w:rsidP="7D8B1321">
      <w:pPr>
        <w:spacing w:before="120" w:after="0"/>
        <w:rPr>
          <w:rFonts w:ascii="Arial" w:eastAsia="Arial" w:hAnsi="Arial" w:cs="Arial"/>
          <w:color w:val="24292E"/>
          <w:sz w:val="22"/>
          <w:szCs w:val="22"/>
        </w:rPr>
      </w:pPr>
    </w:p>
    <w:p w14:paraId="3ACFDC72" w14:textId="77777777" w:rsidR="00F04F90" w:rsidRDefault="00F04F90" w:rsidP="7D8B1321">
      <w:pPr>
        <w:spacing w:before="120" w:after="0"/>
        <w:rPr>
          <w:rFonts w:ascii="Arial" w:eastAsia="Arial" w:hAnsi="Arial" w:cs="Arial"/>
          <w:color w:val="24292E"/>
          <w:sz w:val="22"/>
          <w:szCs w:val="22"/>
        </w:rPr>
      </w:pPr>
    </w:p>
    <w:p w14:paraId="2EB98B25" w14:textId="77777777" w:rsidR="00F04F90" w:rsidRDefault="00F04F90" w:rsidP="7D8B1321">
      <w:pPr>
        <w:spacing w:before="120" w:after="0"/>
        <w:rPr>
          <w:rFonts w:ascii="Arial" w:eastAsia="Arial" w:hAnsi="Arial" w:cs="Arial"/>
          <w:color w:val="24292E"/>
          <w:sz w:val="22"/>
          <w:szCs w:val="22"/>
        </w:rPr>
      </w:pPr>
    </w:p>
    <w:p w14:paraId="0C95A9E2" w14:textId="77777777" w:rsidR="00F04F90" w:rsidRDefault="00F04F90" w:rsidP="7D8B1321">
      <w:pPr>
        <w:spacing w:before="120" w:after="0"/>
        <w:rPr>
          <w:rFonts w:ascii="Arial" w:eastAsia="Arial" w:hAnsi="Arial" w:cs="Arial"/>
          <w:color w:val="24292E"/>
          <w:sz w:val="22"/>
          <w:szCs w:val="22"/>
        </w:rPr>
      </w:pPr>
    </w:p>
    <w:p w14:paraId="78E20D67" w14:textId="77777777" w:rsidR="00AA361C" w:rsidRDefault="00AA361C">
      <w:pPr>
        <w:rPr>
          <w:rFonts w:ascii="Arial" w:eastAsiaTheme="majorEastAsia" w:hAnsi="Arial" w:cs="Arial"/>
          <w:b/>
          <w:bCs/>
        </w:rPr>
      </w:pPr>
      <w:r>
        <w:rPr>
          <w:rFonts w:ascii="Arial" w:hAnsi="Arial" w:cs="Arial"/>
          <w:b/>
          <w:bCs/>
        </w:rPr>
        <w:br w:type="page"/>
      </w:r>
    </w:p>
    <w:p w14:paraId="1592CDB8" w14:textId="10E694AB" w:rsidR="34F49264" w:rsidRPr="00AA361C" w:rsidRDefault="005F3C8C" w:rsidP="00F04F90">
      <w:pPr>
        <w:pStyle w:val="Heading1"/>
        <w:rPr>
          <w:rFonts w:ascii="Arial" w:hAnsi="Arial" w:cs="Arial"/>
          <w:b/>
          <w:bCs/>
          <w:color w:val="auto"/>
          <w:sz w:val="24"/>
          <w:szCs w:val="24"/>
        </w:rPr>
      </w:pPr>
      <w:bookmarkStart w:id="9" w:name="_Toc213833823"/>
      <w:r w:rsidRPr="00AA361C">
        <w:rPr>
          <w:rFonts w:ascii="Arial" w:hAnsi="Arial" w:cs="Arial"/>
          <w:b/>
          <w:bCs/>
          <w:color w:val="auto"/>
          <w:sz w:val="24"/>
          <w:szCs w:val="24"/>
        </w:rPr>
        <w:lastRenderedPageBreak/>
        <w:t xml:space="preserve">Table 1: </w:t>
      </w:r>
      <w:r w:rsidR="004320C9" w:rsidRPr="00AA361C">
        <w:rPr>
          <w:rFonts w:ascii="Arial" w:hAnsi="Arial" w:cs="Arial"/>
          <w:b/>
          <w:bCs/>
          <w:color w:val="auto"/>
          <w:sz w:val="24"/>
          <w:szCs w:val="24"/>
        </w:rPr>
        <w:t>Legislative framework and its relationship to PCC and PW</w:t>
      </w:r>
      <w:bookmarkEnd w:id="9"/>
    </w:p>
    <w:p w14:paraId="32EDB06D" w14:textId="7A32FA22" w:rsidR="34F49264" w:rsidRDefault="34F49264" w:rsidP="7D8B1321">
      <w:pPr>
        <w:spacing w:before="120" w:after="0"/>
        <w:rPr>
          <w:rFonts w:ascii="Arial" w:eastAsia="Arial" w:hAnsi="Arial" w:cs="Arial"/>
          <w:color w:val="24292E"/>
          <w:sz w:val="22"/>
          <w:szCs w:val="22"/>
        </w:rPr>
      </w:pPr>
    </w:p>
    <w:tbl>
      <w:tblPr>
        <w:tblStyle w:val="GridTable5Dark-Accent4"/>
        <w:tblW w:w="0" w:type="auto"/>
        <w:tblLayout w:type="fixed"/>
        <w:tblLook w:val="0680" w:firstRow="0" w:lastRow="0" w:firstColumn="1" w:lastColumn="0" w:noHBand="1" w:noVBand="1"/>
      </w:tblPr>
      <w:tblGrid>
        <w:gridCol w:w="1975"/>
        <w:gridCol w:w="4002"/>
        <w:gridCol w:w="3843"/>
      </w:tblGrid>
      <w:tr w:rsidR="7D8B1321" w14:paraId="646710E5"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50F51914" w14:textId="58DFB29D" w:rsidR="7D8B1321" w:rsidRDefault="7D8B1321" w:rsidP="7D8B1321">
            <w:pPr>
              <w:jc w:val="center"/>
            </w:pPr>
            <w:r w:rsidRPr="7D8B1321">
              <w:rPr>
                <w:rFonts w:ascii="system-ui" w:eastAsia="system-ui" w:hAnsi="system-ui" w:cs="system-ui"/>
                <w:color w:val="0C0C14"/>
                <w:sz w:val="21"/>
                <w:szCs w:val="21"/>
              </w:rPr>
              <w:t>Policy / Legislation</w:t>
            </w:r>
          </w:p>
        </w:tc>
        <w:tc>
          <w:tcPr>
            <w:tcW w:w="4002" w:type="dxa"/>
          </w:tcPr>
          <w:p w14:paraId="2FD2F10E" w14:textId="55DB1DA7" w:rsidR="7D8B1321" w:rsidRDefault="7D8B1321" w:rsidP="7D8B1321">
            <w:pPr>
              <w:jc w:val="cente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b/>
                <w:bCs/>
                <w:color w:val="0C0C14"/>
                <w:sz w:val="21"/>
                <w:szCs w:val="21"/>
              </w:rPr>
              <w:t>Relevance to Person‑Centred Care (PCC)</w:t>
            </w:r>
          </w:p>
        </w:tc>
        <w:tc>
          <w:tcPr>
            <w:tcW w:w="3843" w:type="dxa"/>
          </w:tcPr>
          <w:p w14:paraId="6F2F8CD0" w14:textId="5946FDEC" w:rsidR="7D8B1321" w:rsidRDefault="7D8B1321" w:rsidP="7D8B1321">
            <w:pPr>
              <w:jc w:val="cente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b/>
                <w:bCs/>
                <w:color w:val="0C0C14"/>
                <w:sz w:val="21"/>
                <w:szCs w:val="21"/>
              </w:rPr>
              <w:t>Relevance to Partnership Working (PW)</w:t>
            </w:r>
          </w:p>
        </w:tc>
      </w:tr>
      <w:tr w:rsidR="7D8B1321" w14:paraId="3FA39308"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59499E30" w14:textId="1EFF8B91" w:rsidR="7D8B1321" w:rsidRDefault="7D8B1321" w:rsidP="7D8B1321">
            <w:r w:rsidRPr="7D8B1321">
              <w:rPr>
                <w:rFonts w:ascii="system-ui" w:eastAsia="system-ui" w:hAnsi="system-ui" w:cs="system-ui"/>
                <w:color w:val="0C0C14"/>
                <w:sz w:val="21"/>
                <w:szCs w:val="21"/>
              </w:rPr>
              <w:t>Care Act 2014</w:t>
            </w:r>
          </w:p>
        </w:tc>
        <w:tc>
          <w:tcPr>
            <w:tcW w:w="4002" w:type="dxa"/>
          </w:tcPr>
          <w:p w14:paraId="74EDC029" w14:textId="7CB2D9F6"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Duty to promote individual wellbeing; requirement to involve service users in assessments (Dept. of Health &amp; Social Care, 2014)</w:t>
            </w:r>
          </w:p>
        </w:tc>
        <w:tc>
          <w:tcPr>
            <w:tcW w:w="3843" w:type="dxa"/>
          </w:tcPr>
          <w:p w14:paraId="17C1A5CD" w14:textId="03BFFCDB"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Statutory obligation to cooperate with health services when meeting needs</w:t>
            </w:r>
          </w:p>
        </w:tc>
      </w:tr>
      <w:tr w:rsidR="7D8B1321" w14:paraId="534FB411"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0F2A6890" w14:textId="1187656B" w:rsidR="7D8B1321" w:rsidRDefault="7D8B1321" w:rsidP="7D8B1321">
            <w:r w:rsidRPr="7D8B1321">
              <w:rPr>
                <w:rFonts w:ascii="system-ui" w:eastAsia="system-ui" w:hAnsi="system-ui" w:cs="system-ui"/>
                <w:color w:val="0C0C14"/>
                <w:sz w:val="21"/>
                <w:szCs w:val="21"/>
              </w:rPr>
              <w:t>NHS Long‑Term Plan 2019</w:t>
            </w:r>
          </w:p>
        </w:tc>
        <w:tc>
          <w:tcPr>
            <w:tcW w:w="4002" w:type="dxa"/>
          </w:tcPr>
          <w:p w14:paraId="22320630" w14:textId="23E07A9E"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Calls for person‑centred pathways; funds community‑based teams (NHS England, 2019)</w:t>
            </w:r>
          </w:p>
        </w:tc>
        <w:tc>
          <w:tcPr>
            <w:tcW w:w="3843" w:type="dxa"/>
          </w:tcPr>
          <w:p w14:paraId="0FF22ADC" w14:textId="187D9ADE"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Establishes Integrated Care Systems (ICSs) as formal partnership structures</w:t>
            </w:r>
          </w:p>
        </w:tc>
      </w:tr>
      <w:tr w:rsidR="7D8B1321" w14:paraId="4D07AE44"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63FC6316" w14:textId="541CF78B" w:rsidR="7D8B1321" w:rsidRDefault="7D8B1321" w:rsidP="7D8B1321">
            <w:r w:rsidRPr="7D8B1321">
              <w:rPr>
                <w:rFonts w:ascii="system-ui" w:eastAsia="system-ui" w:hAnsi="system-ui" w:cs="system-ui"/>
                <w:color w:val="0C0C14"/>
                <w:sz w:val="21"/>
                <w:szCs w:val="21"/>
              </w:rPr>
              <w:t>Health and Social Care Act 2012</w:t>
            </w:r>
          </w:p>
        </w:tc>
        <w:tc>
          <w:tcPr>
            <w:tcW w:w="4002" w:type="dxa"/>
          </w:tcPr>
          <w:p w14:paraId="29D27FC2" w14:textId="58B1D79C"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Encourages joint planning of services that reflect user preferences (Dept. of Health, 2012)</w:t>
            </w:r>
          </w:p>
        </w:tc>
        <w:tc>
          <w:tcPr>
            <w:tcW w:w="3843" w:type="dxa"/>
          </w:tcPr>
          <w:p w14:paraId="53F79B0F" w14:textId="785AFB5A"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Reorganises commissioning to enable pooled budgets and shared accountability</w:t>
            </w:r>
          </w:p>
        </w:tc>
      </w:tr>
      <w:tr w:rsidR="7D8B1321" w14:paraId="6D743CE6"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55879623" w14:textId="0EA998C0" w:rsidR="7D8B1321" w:rsidRDefault="7D8B1321" w:rsidP="7D8B1321">
            <w:r w:rsidRPr="7D8B1321">
              <w:rPr>
                <w:rFonts w:ascii="system-ui" w:eastAsia="system-ui" w:hAnsi="system-ui" w:cs="system-ui"/>
                <w:color w:val="0C0C14"/>
                <w:sz w:val="21"/>
                <w:szCs w:val="21"/>
              </w:rPr>
              <w:t>NICE Integrated Care Pathways 2021</w:t>
            </w:r>
          </w:p>
        </w:tc>
        <w:tc>
          <w:tcPr>
            <w:tcW w:w="4002" w:type="dxa"/>
          </w:tcPr>
          <w:p w14:paraId="59648700" w14:textId="32855A9A"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Mandates co‑production of care plans with service users (NICE, 2021)</w:t>
            </w:r>
          </w:p>
        </w:tc>
        <w:tc>
          <w:tcPr>
            <w:tcW w:w="3843" w:type="dxa"/>
          </w:tcPr>
          <w:p w14:paraId="26AC3E9B" w14:textId="4096414B"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Requires seamless information sharing and joint outcome measurement across organisations</w:t>
            </w:r>
          </w:p>
        </w:tc>
      </w:tr>
      <w:tr w:rsidR="7D8B1321" w14:paraId="11EE1264" w14:textId="77777777" w:rsidTr="7D8B1321">
        <w:trPr>
          <w:trHeight w:val="300"/>
        </w:trPr>
        <w:tc>
          <w:tcPr>
            <w:cnfStyle w:val="001000000000" w:firstRow="0" w:lastRow="0" w:firstColumn="1" w:lastColumn="0" w:oddVBand="0" w:evenVBand="0" w:oddHBand="0" w:evenHBand="0" w:firstRowFirstColumn="0" w:firstRowLastColumn="0" w:lastRowFirstColumn="0" w:lastRowLastColumn="0"/>
            <w:tcW w:w="1975" w:type="dxa"/>
          </w:tcPr>
          <w:p w14:paraId="0805E986" w14:textId="0A01D8D9" w:rsidR="7D8B1321" w:rsidRDefault="7D8B1321" w:rsidP="7D8B1321">
            <w:r w:rsidRPr="7D8B1321">
              <w:rPr>
                <w:rFonts w:ascii="system-ui" w:eastAsia="system-ui" w:hAnsi="system-ui" w:cs="system-ui"/>
                <w:color w:val="0C0C14"/>
                <w:sz w:val="21"/>
                <w:szCs w:val="21"/>
              </w:rPr>
              <w:t>NHS Digital Strategy 2022/2023</w:t>
            </w:r>
          </w:p>
        </w:tc>
        <w:tc>
          <w:tcPr>
            <w:tcW w:w="4002" w:type="dxa"/>
          </w:tcPr>
          <w:p w14:paraId="7E6EFCD9" w14:textId="19BE2215"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Promotes digital tools that support self‑management and personalised dashboards (NHS England, 2022; 2023)</w:t>
            </w:r>
          </w:p>
        </w:tc>
        <w:tc>
          <w:tcPr>
            <w:tcW w:w="3843" w:type="dxa"/>
          </w:tcPr>
          <w:p w14:paraId="5AEE7D78" w14:textId="54A603BB" w:rsidR="7D8B1321" w:rsidRDefault="7D8B1321" w:rsidP="7D8B1321">
            <w:pPr>
              <w:cnfStyle w:val="000000000000" w:firstRow="0" w:lastRow="0" w:firstColumn="0" w:lastColumn="0" w:oddVBand="0" w:evenVBand="0" w:oddHBand="0" w:evenHBand="0" w:firstRowFirstColumn="0" w:firstRowLastColumn="0" w:lastRowFirstColumn="0" w:lastRowLastColumn="0"/>
            </w:pPr>
            <w:r w:rsidRPr="7D8B1321">
              <w:rPr>
                <w:rFonts w:ascii="system-ui" w:eastAsia="system-ui" w:hAnsi="system-ui" w:cs="system-ui"/>
                <w:color w:val="0C0C14"/>
                <w:sz w:val="21"/>
                <w:szCs w:val="21"/>
              </w:rPr>
              <w:t>Sets standards for interoperable electronic records to facilitate collaboration</w:t>
            </w:r>
          </w:p>
        </w:tc>
      </w:tr>
    </w:tbl>
    <w:p w14:paraId="1E28986C" w14:textId="05CD1C1D" w:rsidR="004320C9" w:rsidRDefault="006B7586" w:rsidP="0094566C">
      <w:pPr>
        <w:spacing w:before="120" w:after="0"/>
        <w:ind w:left="6480"/>
        <w:rPr>
          <w:rFonts w:ascii="Arial" w:eastAsia="Arial" w:hAnsi="Arial" w:cs="Arial"/>
          <w:color w:val="24292E"/>
          <w:sz w:val="22"/>
          <w:szCs w:val="22"/>
        </w:rPr>
      </w:pPr>
      <w:r>
        <w:rPr>
          <w:rFonts w:ascii="Arial" w:eastAsia="Arial" w:hAnsi="Arial" w:cs="Arial"/>
          <w:color w:val="24292E"/>
          <w:sz w:val="22"/>
          <w:szCs w:val="22"/>
        </w:rPr>
        <w:t>(Greenhalgh et al</w:t>
      </w:r>
      <w:r w:rsidR="0094566C">
        <w:rPr>
          <w:rFonts w:ascii="Arial" w:eastAsia="Arial" w:hAnsi="Arial" w:cs="Arial"/>
          <w:color w:val="24292E"/>
          <w:sz w:val="22"/>
          <w:szCs w:val="22"/>
        </w:rPr>
        <w:t>., 2017)</w:t>
      </w:r>
    </w:p>
    <w:p w14:paraId="504E9B7D" w14:textId="77777777" w:rsidR="004320C9" w:rsidRDefault="004320C9" w:rsidP="7D8B1321">
      <w:pPr>
        <w:spacing w:before="120" w:after="0"/>
        <w:rPr>
          <w:rFonts w:ascii="Arial" w:eastAsia="Arial" w:hAnsi="Arial" w:cs="Arial"/>
          <w:color w:val="24292E"/>
          <w:sz w:val="22"/>
          <w:szCs w:val="22"/>
        </w:rPr>
      </w:pPr>
    </w:p>
    <w:p w14:paraId="48EAD088" w14:textId="166C358A" w:rsidR="34F49264" w:rsidRDefault="05502632" w:rsidP="00F04F90">
      <w:pPr>
        <w:spacing w:before="120" w:after="0" w:line="360" w:lineRule="auto"/>
        <w:jc w:val="both"/>
        <w:rPr>
          <w:rFonts w:ascii="Arial" w:eastAsia="Arial" w:hAnsi="Arial" w:cs="Arial"/>
          <w:sz w:val="22"/>
          <w:szCs w:val="22"/>
        </w:rPr>
      </w:pPr>
      <w:r w:rsidRPr="7D8B1321">
        <w:rPr>
          <w:rFonts w:ascii="Arial" w:eastAsia="Arial" w:hAnsi="Arial" w:cs="Arial"/>
          <w:color w:val="24292E"/>
          <w:sz w:val="22"/>
          <w:szCs w:val="22"/>
        </w:rPr>
        <w:t xml:space="preserve">While the legislative framework aligns in principle, </w:t>
      </w:r>
      <w:r w:rsidRPr="7D8B1321">
        <w:rPr>
          <w:rFonts w:ascii="Arial" w:eastAsia="Arial" w:hAnsi="Arial" w:cs="Arial"/>
          <w:b/>
          <w:bCs/>
          <w:color w:val="24292E"/>
          <w:sz w:val="22"/>
          <w:szCs w:val="22"/>
        </w:rPr>
        <w:t>gaps remain</w:t>
      </w:r>
      <w:r w:rsidRPr="7D8B1321">
        <w:rPr>
          <w:rFonts w:ascii="Arial" w:eastAsia="Arial" w:hAnsi="Arial" w:cs="Arial"/>
          <w:color w:val="24292E"/>
          <w:sz w:val="22"/>
          <w:szCs w:val="22"/>
        </w:rPr>
        <w:t xml:space="preserve">. The Care Act’s focus on personal wellbeing is sometimes interpreted narrowly, overlooking broader social determinants that partnership working aims to address (Maben &amp; Robertson, 2012). Funding silos persist, with NHS and local‑authority budgets remaining </w:t>
      </w:r>
      <w:r w:rsidR="1BFF034E" w:rsidRPr="7D8B1321">
        <w:rPr>
          <w:rFonts w:ascii="Arial" w:eastAsia="Arial" w:hAnsi="Arial" w:cs="Arial"/>
          <w:color w:val="24292E"/>
          <w:sz w:val="22"/>
          <w:szCs w:val="22"/>
        </w:rPr>
        <w:t>separate</w:t>
      </w:r>
      <w:r w:rsidRPr="7D8B1321">
        <w:rPr>
          <w:rFonts w:ascii="Arial" w:eastAsia="Arial" w:hAnsi="Arial" w:cs="Arial"/>
          <w:color w:val="24292E"/>
          <w:sz w:val="22"/>
          <w:szCs w:val="22"/>
        </w:rPr>
        <w:t>, creating friction when integrated pathways are attempted (Greenhalgh et al., 2017).</w:t>
      </w:r>
    </w:p>
    <w:p w14:paraId="077ACDF7" w14:textId="4FEFFEDF" w:rsidR="34F49264" w:rsidRDefault="34F49264" w:rsidP="7D8B1321">
      <w:pPr>
        <w:spacing w:before="120" w:after="0"/>
        <w:rPr>
          <w:rFonts w:ascii="Arial" w:eastAsia="Arial" w:hAnsi="Arial" w:cs="Arial"/>
          <w:i/>
          <w:iCs/>
          <w:color w:val="24292E"/>
          <w:sz w:val="22"/>
          <w:szCs w:val="22"/>
        </w:rPr>
      </w:pPr>
    </w:p>
    <w:p w14:paraId="0666DC13" w14:textId="43A87AE2" w:rsidR="34F49264" w:rsidRDefault="79940C83" w:rsidP="00F04F90">
      <w:pPr>
        <w:pStyle w:val="Heading1"/>
        <w:rPr>
          <w:rFonts w:ascii="Arial" w:hAnsi="Arial" w:cs="Arial"/>
          <w:b/>
          <w:bCs/>
          <w:color w:val="auto"/>
          <w:sz w:val="24"/>
          <w:szCs w:val="24"/>
          <w:u w:val="single"/>
        </w:rPr>
      </w:pPr>
      <w:bookmarkStart w:id="10" w:name="_Toc213833824"/>
      <w:r w:rsidRPr="00F04F90">
        <w:rPr>
          <w:rFonts w:ascii="Arial" w:hAnsi="Arial" w:cs="Arial"/>
          <w:b/>
          <w:bCs/>
          <w:color w:val="auto"/>
          <w:sz w:val="24"/>
          <w:szCs w:val="24"/>
          <w:u w:val="single"/>
        </w:rPr>
        <w:t>Policy and Legislative Context for Person</w:t>
      </w:r>
      <w:r w:rsidRPr="00F04F90">
        <w:rPr>
          <w:rFonts w:ascii="Cambria Math" w:hAnsi="Cambria Math" w:cs="Cambria Math"/>
          <w:b/>
          <w:bCs/>
          <w:color w:val="auto"/>
          <w:sz w:val="24"/>
          <w:szCs w:val="24"/>
          <w:u w:val="single"/>
        </w:rPr>
        <w:t>‑</w:t>
      </w:r>
      <w:r w:rsidRPr="00F04F90">
        <w:rPr>
          <w:rFonts w:ascii="Arial" w:hAnsi="Arial" w:cs="Arial"/>
          <w:b/>
          <w:bCs/>
          <w:color w:val="auto"/>
          <w:sz w:val="24"/>
          <w:szCs w:val="24"/>
          <w:u w:val="single"/>
        </w:rPr>
        <w:t>Centred Care and Partnership Working</w:t>
      </w:r>
      <w:bookmarkEnd w:id="10"/>
    </w:p>
    <w:p w14:paraId="4A6FF742" w14:textId="22C463D8" w:rsidR="34F49264" w:rsidRDefault="79940C83" w:rsidP="00F04F90">
      <w:pPr>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The English legal and policy framework obliges health and social</w:t>
      </w:r>
      <w:r w:rsidR="23AE34D2"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care providers to deliver services that are both person</w:t>
      </w:r>
      <w:r w:rsidR="103A12F9"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centred and collaborative. The </w:t>
      </w:r>
      <w:r w:rsidRPr="7D8B1321">
        <w:rPr>
          <w:rFonts w:ascii="Arial" w:eastAsia="Arial" w:hAnsi="Arial" w:cs="Arial"/>
          <w:b/>
          <w:bCs/>
          <w:color w:val="24292E"/>
          <w:sz w:val="22"/>
          <w:szCs w:val="22"/>
        </w:rPr>
        <w:t>Care Act 2014</w:t>
      </w:r>
      <w:r w:rsidRPr="7D8B1321">
        <w:rPr>
          <w:rFonts w:ascii="Arial" w:eastAsia="Arial" w:hAnsi="Arial" w:cs="Arial"/>
          <w:color w:val="24292E"/>
          <w:sz w:val="22"/>
          <w:szCs w:val="22"/>
        </w:rPr>
        <w:t xml:space="preserve"> creates a statutory duty to promote individual wellbeing and to cooperate with health</w:t>
      </w:r>
      <w:r w:rsidR="5057DA21"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care agencies when assessing and meeting needs, providing the legislative backbone for PCC (Department of Health &amp; Social Care, 2014). The </w:t>
      </w:r>
      <w:r w:rsidRPr="7D8B1321">
        <w:rPr>
          <w:rFonts w:ascii="Arial" w:eastAsia="Arial" w:hAnsi="Arial" w:cs="Arial"/>
          <w:b/>
          <w:bCs/>
          <w:color w:val="24292E"/>
          <w:sz w:val="22"/>
          <w:szCs w:val="22"/>
        </w:rPr>
        <w:t>NHS Long‑Term Plan</w:t>
      </w:r>
      <w:r w:rsidRPr="7D8B1321">
        <w:rPr>
          <w:rFonts w:ascii="Arial" w:eastAsia="Arial" w:hAnsi="Arial" w:cs="Arial"/>
          <w:color w:val="24292E"/>
          <w:sz w:val="22"/>
          <w:szCs w:val="22"/>
        </w:rPr>
        <w:t xml:space="preserve"> (NHS England, 2019) builds on this duty by setting a national ambition for “integrated, person‑centred care pathways” and by committing £2 billion to develop </w:t>
      </w:r>
      <w:r w:rsidR="500A288C" w:rsidRPr="7D8B1321">
        <w:rPr>
          <w:rFonts w:ascii="Arial" w:eastAsia="Arial" w:hAnsi="Arial" w:cs="Arial"/>
          <w:color w:val="24292E"/>
          <w:sz w:val="22"/>
          <w:szCs w:val="22"/>
        </w:rPr>
        <w:t>community-based</w:t>
      </w:r>
      <w:r w:rsidRPr="7D8B1321">
        <w:rPr>
          <w:rFonts w:ascii="Arial" w:eastAsia="Arial" w:hAnsi="Arial" w:cs="Arial"/>
          <w:color w:val="24292E"/>
          <w:sz w:val="22"/>
          <w:szCs w:val="22"/>
        </w:rPr>
        <w:t xml:space="preserve"> teams that operate across organisational borders. This plan operationalises partnership working through the creation of </w:t>
      </w:r>
      <w:r w:rsidRPr="7D8B1321">
        <w:rPr>
          <w:rFonts w:ascii="Arial" w:eastAsia="Arial" w:hAnsi="Arial" w:cs="Arial"/>
          <w:b/>
          <w:bCs/>
          <w:color w:val="24292E"/>
          <w:sz w:val="22"/>
          <w:szCs w:val="22"/>
        </w:rPr>
        <w:t>Integrated Care Systems (ICSs)</w:t>
      </w:r>
      <w:r w:rsidRPr="7D8B1321">
        <w:rPr>
          <w:rFonts w:ascii="Arial" w:eastAsia="Arial" w:hAnsi="Arial" w:cs="Arial"/>
          <w:color w:val="24292E"/>
          <w:sz w:val="22"/>
          <w:szCs w:val="22"/>
        </w:rPr>
        <w:t>, which are legally recognised collaborations between NHS bodies, local authorities, and third‑sector organisations.</w:t>
      </w:r>
    </w:p>
    <w:p w14:paraId="56D51127" w14:textId="0693DAD6" w:rsidR="34F49264" w:rsidRDefault="79940C83" w:rsidP="00F04F90">
      <w:pPr>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lastRenderedPageBreak/>
        <w:t xml:space="preserve">Complementary guidance from the </w:t>
      </w:r>
      <w:r w:rsidRPr="7D8B1321">
        <w:rPr>
          <w:rFonts w:ascii="Arial" w:eastAsia="Arial" w:hAnsi="Arial" w:cs="Arial"/>
          <w:b/>
          <w:bCs/>
          <w:color w:val="24292E"/>
          <w:sz w:val="22"/>
          <w:szCs w:val="22"/>
        </w:rPr>
        <w:t>National Institute for Health and Care Excellence (NICE)</w:t>
      </w:r>
      <w:r w:rsidRPr="7D8B1321">
        <w:rPr>
          <w:rFonts w:ascii="Arial" w:eastAsia="Arial" w:hAnsi="Arial" w:cs="Arial"/>
          <w:color w:val="24292E"/>
          <w:sz w:val="22"/>
          <w:szCs w:val="22"/>
        </w:rPr>
        <w:t xml:space="preserve"> reinforces these expectations. NICE’s 2021 guidance on </w:t>
      </w:r>
      <w:r w:rsidRPr="7D8B1321">
        <w:rPr>
          <w:rFonts w:ascii="Arial" w:eastAsia="Arial" w:hAnsi="Arial" w:cs="Arial"/>
          <w:b/>
          <w:bCs/>
          <w:color w:val="24292E"/>
          <w:sz w:val="22"/>
          <w:szCs w:val="22"/>
        </w:rPr>
        <w:t>Integrated Care Pathways</w:t>
      </w:r>
      <w:r w:rsidRPr="7D8B1321">
        <w:rPr>
          <w:rFonts w:ascii="Arial" w:eastAsia="Arial" w:hAnsi="Arial" w:cs="Arial"/>
          <w:color w:val="24292E"/>
          <w:sz w:val="22"/>
          <w:szCs w:val="22"/>
        </w:rPr>
        <w:t xml:space="preserve"> stipulates that care plans must be co‑produced with service users, that information sharing should be seamless, and that outcomes must be jointly measured (NICE, 2021). Likewise, the </w:t>
      </w:r>
      <w:r w:rsidRPr="7D8B1321">
        <w:rPr>
          <w:rFonts w:ascii="Arial" w:eastAsia="Arial" w:hAnsi="Arial" w:cs="Arial"/>
          <w:b/>
          <w:bCs/>
          <w:color w:val="24292E"/>
          <w:sz w:val="22"/>
          <w:szCs w:val="22"/>
        </w:rPr>
        <w:t>Health and Social Care Act 2012</w:t>
      </w:r>
      <w:r w:rsidRPr="7D8B1321">
        <w:rPr>
          <w:rFonts w:ascii="Arial" w:eastAsia="Arial" w:hAnsi="Arial" w:cs="Arial"/>
          <w:color w:val="24292E"/>
          <w:sz w:val="22"/>
          <w:szCs w:val="22"/>
        </w:rPr>
        <w:t xml:space="preserve"> restructured commissioning responsibilities to encourage joint planning and pooled budgets, laying the groundwork for the financial mechanisms that underpin partnership working (Department of Health, 2012).</w:t>
      </w:r>
    </w:p>
    <w:p w14:paraId="0945D0F8" w14:textId="7B298158" w:rsidR="34F49264" w:rsidRDefault="79940C83" w:rsidP="00F04F90">
      <w:pPr>
        <w:spacing w:before="120"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While these policies align in principle, gaps remain. The Care Act’s emphasis on personal wellbeing is sometimes interpreted narrowly, overlooking broader social determinants that PW aims to address (Maben &amp; Robertson, 2012). Funding streams, however</w:t>
      </w:r>
      <w:r w:rsidR="46AE927F"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social</w:t>
      </w:r>
      <w:r w:rsidR="012C9D9C"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care budgets are still largely separate from NHS allocations</w:t>
      </w:r>
      <w:r w:rsidR="117F3B93"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creating friction when teams try to implement truly integrated pathways (Greenhalgh et al., 2017). Addressing these mismatches will require </w:t>
      </w:r>
      <w:r w:rsidRPr="7D8B1321">
        <w:rPr>
          <w:rFonts w:ascii="Arial" w:eastAsia="Arial" w:hAnsi="Arial" w:cs="Arial"/>
          <w:b/>
          <w:bCs/>
          <w:color w:val="24292E"/>
          <w:sz w:val="22"/>
          <w:szCs w:val="22"/>
        </w:rPr>
        <w:t>cross‑sector fiscal reforms</w:t>
      </w:r>
      <w:r w:rsidRPr="7D8B1321">
        <w:rPr>
          <w:rFonts w:ascii="Arial" w:eastAsia="Arial" w:hAnsi="Arial" w:cs="Arial"/>
          <w:color w:val="24292E"/>
          <w:sz w:val="22"/>
          <w:szCs w:val="22"/>
        </w:rPr>
        <w:t xml:space="preserve"> and </w:t>
      </w:r>
      <w:r w:rsidRPr="7D8B1321">
        <w:rPr>
          <w:rFonts w:ascii="Arial" w:eastAsia="Arial" w:hAnsi="Arial" w:cs="Arial"/>
          <w:b/>
          <w:bCs/>
          <w:color w:val="24292E"/>
          <w:sz w:val="22"/>
          <w:szCs w:val="22"/>
        </w:rPr>
        <w:t>enhanced data‑governance frameworks</w:t>
      </w:r>
      <w:r w:rsidRPr="7D8B1321">
        <w:rPr>
          <w:rFonts w:ascii="Arial" w:eastAsia="Arial" w:hAnsi="Arial" w:cs="Arial"/>
          <w:color w:val="24292E"/>
          <w:sz w:val="22"/>
          <w:szCs w:val="22"/>
        </w:rPr>
        <w:t xml:space="preserve"> that respect privacy while enabling the real‑time information exchange essential for both PCC and PW.</w:t>
      </w:r>
    </w:p>
    <w:p w14:paraId="2927EA75" w14:textId="5043B614" w:rsidR="34F49264" w:rsidRDefault="34F49264" w:rsidP="7D8B1321">
      <w:pPr>
        <w:spacing w:before="120" w:after="0"/>
        <w:rPr>
          <w:rFonts w:ascii="Arial" w:eastAsia="Arial" w:hAnsi="Arial" w:cs="Arial"/>
          <w:color w:val="24292E"/>
          <w:sz w:val="22"/>
          <w:szCs w:val="22"/>
        </w:rPr>
      </w:pPr>
    </w:p>
    <w:p w14:paraId="2D6BB4A1" w14:textId="1CDF436A" w:rsidR="34F49264" w:rsidRDefault="56F1AEC5" w:rsidP="7D8B1321">
      <w:pPr>
        <w:pStyle w:val="Heading2"/>
        <w:shd w:val="clear" w:color="auto" w:fill="FFFFFF" w:themeFill="background1"/>
        <w:spacing w:before="312" w:after="108"/>
        <w:rPr>
          <w:rFonts w:ascii="Arial" w:eastAsia="Arial" w:hAnsi="Arial" w:cs="Arial"/>
          <w:b/>
          <w:bCs/>
          <w:color w:val="24292E"/>
          <w:sz w:val="24"/>
          <w:szCs w:val="24"/>
          <w:u w:val="single"/>
        </w:rPr>
      </w:pPr>
      <w:bookmarkStart w:id="11" w:name="_Toc213833825"/>
      <w:r w:rsidRPr="7D8B1321">
        <w:rPr>
          <w:rFonts w:ascii="Arial" w:eastAsia="Arial" w:hAnsi="Arial" w:cs="Arial"/>
          <w:b/>
          <w:bCs/>
          <w:color w:val="24292E"/>
          <w:sz w:val="24"/>
          <w:szCs w:val="24"/>
          <w:u w:val="single"/>
        </w:rPr>
        <w:t>Recommendations for Future Development</w:t>
      </w:r>
      <w:bookmarkEnd w:id="11"/>
    </w:p>
    <w:p w14:paraId="4905DF08" w14:textId="1F1EBE33" w:rsidR="34F49264" w:rsidRPr="00F04F90" w:rsidRDefault="56F1AEC5" w:rsidP="00F04F90">
      <w:pPr>
        <w:pStyle w:val="ListParagraph"/>
        <w:numPr>
          <w:ilvl w:val="0"/>
          <w:numId w:val="1"/>
        </w:numPr>
        <w:shd w:val="clear" w:color="auto" w:fill="FFFFFF" w:themeFill="background1"/>
        <w:spacing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Create Cross</w:t>
      </w:r>
      <w:r w:rsidRPr="00F04F90">
        <w:rPr>
          <w:rFonts w:ascii="Cambria Math" w:eastAsia="Arial" w:hAnsi="Cambria Math" w:cs="Cambria Math"/>
          <w:b/>
          <w:bCs/>
          <w:color w:val="24292E"/>
          <w:sz w:val="22"/>
          <w:szCs w:val="22"/>
        </w:rPr>
        <w:t>‑</w:t>
      </w:r>
      <w:r w:rsidRPr="00F04F90">
        <w:rPr>
          <w:rFonts w:ascii="Arial" w:eastAsia="Arial" w:hAnsi="Arial" w:cs="Arial"/>
          <w:b/>
          <w:bCs/>
          <w:color w:val="24292E"/>
          <w:sz w:val="22"/>
          <w:szCs w:val="22"/>
        </w:rPr>
        <w:t>Sector Funding Pools</w:t>
      </w:r>
      <w:r w:rsidRPr="00F04F90">
        <w:rPr>
          <w:rFonts w:ascii="Arial" w:eastAsia="Arial" w:hAnsi="Arial" w:cs="Arial"/>
          <w:color w:val="24292E"/>
          <w:sz w:val="22"/>
          <w:szCs w:val="22"/>
        </w:rPr>
        <w:t xml:space="preserve"> – Establish joint NHS</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local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authority budgets for integrated pathways, removing financial barriers to true collaboration (Greenhalgh et al., 2017).</w:t>
      </w:r>
    </w:p>
    <w:p w14:paraId="197213A3" w14:textId="3A0AFA95" w:rsidR="34F49264" w:rsidRPr="00F04F90" w:rsidRDefault="56F1AEC5" w:rsidP="00F04F90">
      <w:pPr>
        <w:pStyle w:val="ListParagraph"/>
        <w:numPr>
          <w:ilvl w:val="0"/>
          <w:numId w:val="1"/>
        </w:numPr>
        <w:shd w:val="clear" w:color="auto" w:fill="FFFFFF" w:themeFill="background1"/>
        <w:spacing w:before="30"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Mandate Interoperable Digital Records</w:t>
      </w:r>
      <w:r w:rsidRPr="00F04F90">
        <w:rPr>
          <w:rFonts w:ascii="Arial" w:eastAsia="Arial" w:hAnsi="Arial" w:cs="Arial"/>
          <w:color w:val="24292E"/>
          <w:sz w:val="22"/>
          <w:szCs w:val="22"/>
        </w:rPr>
        <w:t xml:space="preserve"> – Require all health and social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care organisations to adopt a national standard for real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time data sharing, with robust privacy safeguards (NICE, 2021).</w:t>
      </w:r>
    </w:p>
    <w:p w14:paraId="0E00B417" w14:textId="2C51748D" w:rsidR="34F49264" w:rsidRPr="00F04F90" w:rsidRDefault="56F1AEC5" w:rsidP="00F04F90">
      <w:pPr>
        <w:pStyle w:val="ListParagraph"/>
        <w:numPr>
          <w:ilvl w:val="0"/>
          <w:numId w:val="1"/>
        </w:numPr>
        <w:shd w:val="clear" w:color="auto" w:fill="FFFFFF" w:themeFill="background1"/>
        <w:spacing w:before="30"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Embed PCC Competency Training in All Professional Curricula</w:t>
      </w:r>
      <w:r w:rsidRPr="00F04F90">
        <w:rPr>
          <w:rFonts w:ascii="Arial" w:eastAsia="Arial" w:hAnsi="Arial" w:cs="Arial"/>
          <w:color w:val="24292E"/>
          <w:sz w:val="22"/>
          <w:szCs w:val="22"/>
        </w:rPr>
        <w:t xml:space="preserve"> – Introduce a compulsory module on person</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centred communication, shared decision</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 xml:space="preserve">making and cultural humility for doctors, nurses, social </w:t>
      </w:r>
      <w:r w:rsidR="74D17B74" w:rsidRPr="00F04F90">
        <w:rPr>
          <w:rFonts w:ascii="Arial" w:eastAsia="Arial" w:hAnsi="Arial" w:cs="Arial"/>
          <w:color w:val="24292E"/>
          <w:sz w:val="22"/>
          <w:szCs w:val="22"/>
        </w:rPr>
        <w:t>workers,</w:t>
      </w:r>
      <w:r w:rsidRPr="00F04F90">
        <w:rPr>
          <w:rFonts w:ascii="Arial" w:eastAsia="Arial" w:hAnsi="Arial" w:cs="Arial"/>
          <w:color w:val="24292E"/>
          <w:sz w:val="22"/>
          <w:szCs w:val="22"/>
        </w:rPr>
        <w:t xml:space="preserve"> and allied health professionals (McCormack et al., 2021).</w:t>
      </w:r>
    </w:p>
    <w:p w14:paraId="72286DCF" w14:textId="4A889E5E" w:rsidR="34F49264" w:rsidRPr="00F04F90" w:rsidRDefault="56F1AEC5" w:rsidP="00F04F90">
      <w:pPr>
        <w:pStyle w:val="ListParagraph"/>
        <w:numPr>
          <w:ilvl w:val="0"/>
          <w:numId w:val="1"/>
        </w:numPr>
        <w:shd w:val="clear" w:color="auto" w:fill="FFFFFF" w:themeFill="background1"/>
        <w:spacing w:before="30" w:after="3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Implement Joint Auditing and Outcome Reporting</w:t>
      </w:r>
      <w:r w:rsidRPr="00F04F90">
        <w:rPr>
          <w:rFonts w:ascii="Arial" w:eastAsia="Arial" w:hAnsi="Arial" w:cs="Arial"/>
          <w:color w:val="24292E"/>
          <w:sz w:val="22"/>
          <w:szCs w:val="22"/>
        </w:rPr>
        <w:t xml:space="preserve"> – Develop a unified set of key performance indicators (e.g., readmission rates, service</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user satisfaction, equity of access) that are reported quarterly by each partnership, fostering transparency and continuous improvement (O’Donovan et al., 2022).</w:t>
      </w:r>
    </w:p>
    <w:p w14:paraId="47524749" w14:textId="10241969" w:rsidR="34F49264" w:rsidRPr="00F04F90" w:rsidRDefault="56F1AEC5" w:rsidP="00F04F90">
      <w:pPr>
        <w:pStyle w:val="ListParagraph"/>
        <w:numPr>
          <w:ilvl w:val="0"/>
          <w:numId w:val="1"/>
        </w:numPr>
        <w:shd w:val="clear" w:color="auto" w:fill="FFFFFF" w:themeFill="background1"/>
        <w:spacing w:before="30" w:after="0" w:line="360" w:lineRule="auto"/>
        <w:ind w:left="315"/>
        <w:jc w:val="both"/>
        <w:rPr>
          <w:rFonts w:ascii="Arial" w:eastAsia="Arial" w:hAnsi="Arial" w:cs="Arial"/>
          <w:color w:val="24292E"/>
          <w:sz w:val="22"/>
          <w:szCs w:val="22"/>
        </w:rPr>
      </w:pPr>
      <w:r w:rsidRPr="00F04F90">
        <w:rPr>
          <w:rFonts w:ascii="Arial" w:eastAsia="Arial" w:hAnsi="Arial" w:cs="Arial"/>
          <w:b/>
          <w:bCs/>
          <w:color w:val="24292E"/>
          <w:sz w:val="22"/>
          <w:szCs w:val="22"/>
        </w:rPr>
        <w:t>Strengthen Legislative Clarity on Social Determinants</w:t>
      </w:r>
      <w:r w:rsidRPr="00F04F90">
        <w:rPr>
          <w:rFonts w:ascii="Arial" w:eastAsia="Arial" w:hAnsi="Arial" w:cs="Arial"/>
          <w:color w:val="24292E"/>
          <w:sz w:val="22"/>
          <w:szCs w:val="22"/>
        </w:rPr>
        <w:t xml:space="preserve"> – Amend the Care Act to explicitly require assessment of housing, </w:t>
      </w:r>
      <w:r w:rsidR="708A18E0" w:rsidRPr="00F04F90">
        <w:rPr>
          <w:rFonts w:ascii="Arial" w:eastAsia="Arial" w:hAnsi="Arial" w:cs="Arial"/>
          <w:color w:val="24292E"/>
          <w:sz w:val="22"/>
          <w:szCs w:val="22"/>
        </w:rPr>
        <w:t>employment,</w:t>
      </w:r>
      <w:r w:rsidRPr="00F04F90">
        <w:rPr>
          <w:rFonts w:ascii="Arial" w:eastAsia="Arial" w:hAnsi="Arial" w:cs="Arial"/>
          <w:color w:val="24292E"/>
          <w:sz w:val="22"/>
          <w:szCs w:val="22"/>
        </w:rPr>
        <w:t xml:space="preserve"> and digital inclusion as part of the person</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centred care plan, ensuring partnership working addresses the root causes of ill health (Maben &amp; Robertson, 2012).</w:t>
      </w:r>
    </w:p>
    <w:p w14:paraId="610BD285" w14:textId="3229E22E" w:rsidR="34F49264" w:rsidRPr="00F04F90" w:rsidRDefault="56F1AEC5" w:rsidP="00F04F90">
      <w:pPr>
        <w:shd w:val="clear" w:color="auto" w:fill="FFFFFF" w:themeFill="background1"/>
        <w:spacing w:after="0" w:line="360" w:lineRule="auto"/>
        <w:jc w:val="both"/>
        <w:rPr>
          <w:rFonts w:ascii="Arial" w:hAnsi="Arial" w:cs="Arial"/>
          <w:sz w:val="22"/>
          <w:szCs w:val="22"/>
        </w:rPr>
      </w:pPr>
      <w:r w:rsidRPr="00F04F90">
        <w:rPr>
          <w:rFonts w:ascii="Arial" w:eastAsia="Arial" w:hAnsi="Arial" w:cs="Arial"/>
          <w:color w:val="24292E"/>
          <w:sz w:val="22"/>
          <w:szCs w:val="22"/>
        </w:rPr>
        <w:lastRenderedPageBreak/>
        <w:t>These actions align policy intent with practice realities, embed ethical principles, and provide a realistic roadmap for a more responsive, equitable UK health</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social</w:t>
      </w:r>
      <w:r w:rsidRPr="00F04F90">
        <w:rPr>
          <w:rFonts w:ascii="Cambria Math" w:eastAsia="Arial" w:hAnsi="Cambria Math" w:cs="Cambria Math"/>
          <w:color w:val="24292E"/>
          <w:sz w:val="22"/>
          <w:szCs w:val="22"/>
        </w:rPr>
        <w:t>‑</w:t>
      </w:r>
      <w:r w:rsidRPr="00F04F90">
        <w:rPr>
          <w:rFonts w:ascii="Arial" w:eastAsia="Arial" w:hAnsi="Arial" w:cs="Arial"/>
          <w:color w:val="24292E"/>
          <w:sz w:val="22"/>
          <w:szCs w:val="22"/>
        </w:rPr>
        <w:t>care system</w:t>
      </w:r>
      <w:r w:rsidRPr="00F04F90">
        <w:rPr>
          <w:rFonts w:ascii="Arial" w:eastAsia="system-ui" w:hAnsi="Arial" w:cs="Arial"/>
          <w:color w:val="24292E"/>
          <w:sz w:val="22"/>
          <w:szCs w:val="22"/>
        </w:rPr>
        <w:t>.</w:t>
      </w:r>
    </w:p>
    <w:p w14:paraId="4EC76B82" w14:textId="6F926DED" w:rsidR="34F49264" w:rsidRDefault="34F49264" w:rsidP="7D8B1321">
      <w:pPr>
        <w:shd w:val="clear" w:color="auto" w:fill="FFFFFF" w:themeFill="background1"/>
        <w:spacing w:before="120" w:after="0"/>
        <w:rPr>
          <w:rFonts w:ascii="Arial" w:eastAsia="Arial" w:hAnsi="Arial" w:cs="Arial"/>
          <w:color w:val="24292E"/>
          <w:sz w:val="22"/>
          <w:szCs w:val="22"/>
        </w:rPr>
      </w:pPr>
    </w:p>
    <w:p w14:paraId="5CB9ADFF" w14:textId="3E7A7082" w:rsidR="34F49264" w:rsidRPr="00102FA0" w:rsidRDefault="3129AAFE" w:rsidP="7D8B1321">
      <w:pPr>
        <w:pStyle w:val="Heading2"/>
        <w:shd w:val="clear" w:color="auto" w:fill="FFFFFF" w:themeFill="background1"/>
        <w:spacing w:before="312" w:after="108"/>
        <w:rPr>
          <w:rFonts w:ascii="Arial" w:eastAsia="system-ui" w:hAnsi="Arial" w:cs="Arial"/>
          <w:b/>
          <w:bCs/>
          <w:color w:val="24292E"/>
          <w:sz w:val="24"/>
          <w:szCs w:val="24"/>
          <w:u w:val="single"/>
        </w:rPr>
      </w:pPr>
      <w:bookmarkStart w:id="12" w:name="_Toc213833826"/>
      <w:r w:rsidRPr="00102FA0">
        <w:rPr>
          <w:rFonts w:ascii="Arial" w:eastAsia="system-ui" w:hAnsi="Arial" w:cs="Arial"/>
          <w:b/>
          <w:bCs/>
          <w:color w:val="24292E"/>
          <w:sz w:val="24"/>
          <w:szCs w:val="24"/>
          <w:u w:val="single"/>
        </w:rPr>
        <w:t>Conclusion</w:t>
      </w:r>
      <w:bookmarkEnd w:id="12"/>
    </w:p>
    <w:p w14:paraId="26DD1F8A" w14:textId="49D1B7DE" w:rsidR="34F49264" w:rsidRDefault="3129AAFE" w:rsidP="00F04F90">
      <w:pPr>
        <w:shd w:val="clear" w:color="auto" w:fill="FFFFFF" w:themeFill="background1"/>
        <w:spacing w:after="0" w:line="360" w:lineRule="auto"/>
        <w:jc w:val="both"/>
        <w:rPr>
          <w:rFonts w:ascii="Arial" w:eastAsia="Arial" w:hAnsi="Arial" w:cs="Arial"/>
          <w:color w:val="24292E"/>
          <w:sz w:val="22"/>
          <w:szCs w:val="22"/>
        </w:rPr>
      </w:pPr>
      <w:r w:rsidRPr="7D8B1321">
        <w:rPr>
          <w:rFonts w:ascii="Arial" w:eastAsia="Arial" w:hAnsi="Arial" w:cs="Arial"/>
          <w:color w:val="24292E"/>
          <w:sz w:val="22"/>
          <w:szCs w:val="22"/>
        </w:rPr>
        <w:t>The evidence presented demonstrates that person‑centred care and partnership working are mutually reinforcing pillars of modern UK health and social care. Legislative mandates such as the Care Act 2014 and strategic commitments in the NHS Long‑Term Plan create a policy scaffolding that obliges services to place individuals’ preferences at the centre of care and to collaborate across organisational boundaries. The practical example of a Community Mental‑Health Team shows how these obligations translate into real‑world processes</w:t>
      </w:r>
      <w:r w:rsidR="57199638"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shared electronic records, multidisciplinary case conferences, and joint outcome monitoring</w:t>
      </w:r>
      <w:r w:rsidR="16E708C8"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that improve clinical results, enhance service‑user satisfaction, and uphold ethical principles of autonomy, beneficence, non‑maleficence, </w:t>
      </w:r>
      <w:r w:rsidR="750EBFE3" w:rsidRPr="7D8B1321">
        <w:rPr>
          <w:rFonts w:ascii="Arial" w:eastAsia="Arial" w:hAnsi="Arial" w:cs="Arial"/>
          <w:color w:val="24292E"/>
          <w:sz w:val="22"/>
          <w:szCs w:val="22"/>
        </w:rPr>
        <w:t>justice,</w:t>
      </w:r>
      <w:r w:rsidRPr="7D8B1321">
        <w:rPr>
          <w:rFonts w:ascii="Arial" w:eastAsia="Arial" w:hAnsi="Arial" w:cs="Arial"/>
          <w:color w:val="24292E"/>
          <w:sz w:val="22"/>
          <w:szCs w:val="22"/>
        </w:rPr>
        <w:t xml:space="preserve"> and dignity. Nevertheless, persistent funding silos and cultural barriers limit full integration. The five recommendations outlined</w:t>
      </w:r>
      <w:r w:rsidR="5E088B1B"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cross‑sector funding pools, interoperable digital records, mandatory PCC training, joint auditing, and clearer legislative focus on social determinants</w:t>
      </w:r>
      <w:r w:rsidR="0DEBA197" w:rsidRPr="7D8B1321">
        <w:rPr>
          <w:rFonts w:ascii="Arial" w:eastAsia="Arial" w:hAnsi="Arial" w:cs="Arial"/>
          <w:color w:val="24292E"/>
          <w:sz w:val="22"/>
          <w:szCs w:val="22"/>
        </w:rPr>
        <w:t xml:space="preserve"> </w:t>
      </w:r>
      <w:r w:rsidRPr="7D8B1321">
        <w:rPr>
          <w:rFonts w:ascii="Arial" w:eastAsia="Arial" w:hAnsi="Arial" w:cs="Arial"/>
          <w:color w:val="24292E"/>
          <w:sz w:val="22"/>
          <w:szCs w:val="22"/>
        </w:rPr>
        <w:t xml:space="preserve">provide a realistic roadmap for bridging these gaps. Implementing them will align resources with policy intent, embed ethical practice, and </w:t>
      </w:r>
      <w:r w:rsidR="42D06E69" w:rsidRPr="7D8B1321">
        <w:rPr>
          <w:rFonts w:ascii="Arial" w:eastAsia="Arial" w:hAnsi="Arial" w:cs="Arial"/>
          <w:color w:val="24292E"/>
          <w:sz w:val="22"/>
          <w:szCs w:val="22"/>
        </w:rPr>
        <w:t>deliver</w:t>
      </w:r>
      <w:r w:rsidRPr="7D8B1321">
        <w:rPr>
          <w:rFonts w:ascii="Arial" w:eastAsia="Arial" w:hAnsi="Arial" w:cs="Arial"/>
          <w:color w:val="24292E"/>
          <w:sz w:val="22"/>
          <w:szCs w:val="22"/>
        </w:rPr>
        <w:t xml:space="preserve"> a more responsive, equitable, and sustainable health‑social‑care system for the UK.</w:t>
      </w:r>
    </w:p>
    <w:p w14:paraId="4ADBE442" w14:textId="6C462A47" w:rsidR="34F49264" w:rsidRDefault="34F49264" w:rsidP="7D8B1321">
      <w:pPr>
        <w:spacing w:after="0"/>
        <w:rPr>
          <w:rFonts w:ascii="Arial" w:eastAsia="Arial" w:hAnsi="Arial" w:cs="Arial"/>
          <w:color w:val="24292E"/>
          <w:sz w:val="22"/>
          <w:szCs w:val="22"/>
        </w:rPr>
      </w:pPr>
    </w:p>
    <w:p w14:paraId="540347FA" w14:textId="77777777" w:rsidR="00F04F90" w:rsidRDefault="00F04F90">
      <w:pPr>
        <w:rPr>
          <w:rFonts w:ascii="system-ui" w:eastAsia="system-ui" w:hAnsi="system-ui" w:cs="system-ui"/>
          <w:b/>
          <w:bCs/>
          <w:color w:val="24292E"/>
          <w:sz w:val="36"/>
          <w:szCs w:val="36"/>
        </w:rPr>
      </w:pPr>
      <w:r>
        <w:rPr>
          <w:rFonts w:ascii="system-ui" w:eastAsia="system-ui" w:hAnsi="system-ui" w:cs="system-ui"/>
          <w:b/>
          <w:bCs/>
          <w:color w:val="24292E"/>
          <w:sz w:val="36"/>
          <w:szCs w:val="36"/>
        </w:rPr>
        <w:br w:type="page"/>
      </w:r>
    </w:p>
    <w:p w14:paraId="4B2204AD" w14:textId="3DA3E7E0" w:rsidR="34F49264" w:rsidRPr="00102FA0" w:rsidRDefault="4304E410" w:rsidP="7D8B1321">
      <w:pPr>
        <w:pStyle w:val="Heading2"/>
        <w:shd w:val="clear" w:color="auto" w:fill="FFFFFF" w:themeFill="background1"/>
        <w:spacing w:before="312" w:after="108"/>
        <w:rPr>
          <w:rFonts w:ascii="Arial" w:hAnsi="Arial" w:cs="Arial"/>
          <w:sz w:val="24"/>
          <w:szCs w:val="24"/>
        </w:rPr>
      </w:pPr>
      <w:bookmarkStart w:id="13" w:name="_Toc213833827"/>
      <w:r w:rsidRPr="00102FA0">
        <w:rPr>
          <w:rFonts w:ascii="Arial" w:eastAsia="system-ui" w:hAnsi="Arial" w:cs="Arial"/>
          <w:b/>
          <w:bCs/>
          <w:color w:val="24292E"/>
          <w:sz w:val="24"/>
          <w:szCs w:val="24"/>
        </w:rPr>
        <w:lastRenderedPageBreak/>
        <w:t>References</w:t>
      </w:r>
      <w:bookmarkEnd w:id="13"/>
      <w:r w:rsidRPr="00102FA0">
        <w:rPr>
          <w:rFonts w:ascii="Arial" w:eastAsia="system-ui" w:hAnsi="Arial" w:cs="Arial"/>
          <w:b/>
          <w:bCs/>
          <w:color w:val="24292E"/>
          <w:sz w:val="24"/>
          <w:szCs w:val="24"/>
        </w:rPr>
        <w:t xml:space="preserve"> </w:t>
      </w:r>
    </w:p>
    <w:p w14:paraId="77CC9335" w14:textId="634D1FA0"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Beauchamp, T.L. &amp; Childress, J.F. (2019) </w:t>
      </w:r>
      <w:r w:rsidRPr="00636A0E">
        <w:rPr>
          <w:rFonts w:ascii="Arial" w:eastAsia="system-ui" w:hAnsi="Arial" w:cs="Arial"/>
          <w:i/>
          <w:iCs/>
          <w:color w:val="24292E"/>
          <w:sz w:val="22"/>
          <w:szCs w:val="22"/>
        </w:rPr>
        <w:t>Principles of Biomedical Ethics</w:t>
      </w:r>
      <w:r w:rsidRPr="00636A0E">
        <w:rPr>
          <w:rFonts w:ascii="Arial" w:eastAsia="system-ui" w:hAnsi="Arial" w:cs="Arial"/>
          <w:color w:val="24292E"/>
          <w:sz w:val="22"/>
          <w:szCs w:val="22"/>
        </w:rPr>
        <w:t xml:space="preserve"> (8th ed.). Oxford: Oxford University Press.</w:t>
      </w:r>
    </w:p>
    <w:p w14:paraId="2C33D21B" w14:textId="29C89F30"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5D1A3805" w14:textId="13DA895C"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Department of Health (2012) </w:t>
      </w:r>
      <w:r w:rsidRPr="00636A0E">
        <w:rPr>
          <w:rFonts w:ascii="Arial" w:eastAsia="system-ui" w:hAnsi="Arial" w:cs="Arial"/>
          <w:i/>
          <w:iCs/>
          <w:color w:val="24292E"/>
          <w:sz w:val="22"/>
          <w:szCs w:val="22"/>
        </w:rPr>
        <w:t>Health and Social Care Act 2012</w:t>
      </w:r>
      <w:r w:rsidRPr="00636A0E">
        <w:rPr>
          <w:rFonts w:ascii="Arial" w:eastAsia="system-ui" w:hAnsi="Arial" w:cs="Arial"/>
          <w:color w:val="24292E"/>
          <w:sz w:val="22"/>
          <w:szCs w:val="22"/>
        </w:rPr>
        <w:t>. London: HMSO.</w:t>
      </w:r>
    </w:p>
    <w:p w14:paraId="65E83F3D" w14:textId="7F480951"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0D3B274D" w14:textId="4021BCF6"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Department of Health &amp; Social Care (2014) </w:t>
      </w:r>
      <w:r w:rsidRPr="00636A0E">
        <w:rPr>
          <w:rFonts w:ascii="Arial" w:eastAsia="system-ui" w:hAnsi="Arial" w:cs="Arial"/>
          <w:i/>
          <w:iCs/>
          <w:color w:val="24292E"/>
          <w:sz w:val="22"/>
          <w:szCs w:val="22"/>
        </w:rPr>
        <w:t>Care Act 2014</w:t>
      </w:r>
      <w:r w:rsidRPr="00636A0E">
        <w:rPr>
          <w:rFonts w:ascii="Arial" w:eastAsia="system-ui" w:hAnsi="Arial" w:cs="Arial"/>
          <w:color w:val="24292E"/>
          <w:sz w:val="22"/>
          <w:szCs w:val="22"/>
        </w:rPr>
        <w:t>. London: HMSO.</w:t>
      </w:r>
    </w:p>
    <w:p w14:paraId="020840CA" w14:textId="302A2B84"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5D8785EA" w14:textId="6C024463" w:rsidR="34F49264" w:rsidRPr="00203979" w:rsidRDefault="4304E410" w:rsidP="00636A0E">
      <w:pPr>
        <w:shd w:val="clear" w:color="auto" w:fill="FFFFFF" w:themeFill="background1"/>
        <w:spacing w:after="0" w:line="360" w:lineRule="auto"/>
        <w:jc w:val="both"/>
        <w:rPr>
          <w:rFonts w:ascii="Arial" w:eastAsia="system-ui" w:hAnsi="Arial" w:cs="Arial"/>
          <w:color w:val="24292E"/>
          <w:sz w:val="22"/>
          <w:szCs w:val="22"/>
        </w:rPr>
      </w:pPr>
      <w:r w:rsidRPr="00203979">
        <w:rPr>
          <w:rFonts w:ascii="Arial" w:eastAsia="system-ui" w:hAnsi="Arial" w:cs="Arial"/>
          <w:color w:val="24292E"/>
          <w:sz w:val="22"/>
          <w:szCs w:val="22"/>
        </w:rPr>
        <w:t xml:space="preserve">Dixon, J., Jones, M., Hargreaves, </w:t>
      </w:r>
      <w:r w:rsidR="423618F8" w:rsidRPr="00203979">
        <w:rPr>
          <w:rFonts w:ascii="Arial" w:eastAsia="system-ui" w:hAnsi="Arial" w:cs="Arial"/>
          <w:color w:val="24292E"/>
          <w:sz w:val="22"/>
          <w:szCs w:val="22"/>
        </w:rPr>
        <w:t>S.,</w:t>
      </w:r>
      <w:r w:rsidRPr="00203979">
        <w:rPr>
          <w:rFonts w:ascii="Arial" w:eastAsia="system-ui" w:hAnsi="Arial" w:cs="Arial"/>
          <w:color w:val="24292E"/>
          <w:sz w:val="22"/>
          <w:szCs w:val="22"/>
        </w:rPr>
        <w:t xml:space="preserve"> </w:t>
      </w:r>
      <w:r w:rsidR="3420D13E" w:rsidRPr="00203979">
        <w:rPr>
          <w:rFonts w:ascii="Arial" w:eastAsia="system-ui" w:hAnsi="Arial" w:cs="Arial"/>
          <w:color w:val="24292E"/>
          <w:sz w:val="22"/>
          <w:szCs w:val="22"/>
        </w:rPr>
        <w:t xml:space="preserve">and </w:t>
      </w:r>
      <w:r w:rsidRPr="00203979">
        <w:rPr>
          <w:rFonts w:ascii="Arial" w:eastAsia="system-ui" w:hAnsi="Arial" w:cs="Arial"/>
          <w:color w:val="24292E"/>
          <w:sz w:val="22"/>
          <w:szCs w:val="22"/>
        </w:rPr>
        <w:t xml:space="preserve">Miller, L. (2020) ‘Tokenism in partnership initiatives: a qualitative study of frontline staff experiences’, </w:t>
      </w:r>
      <w:r w:rsidRPr="00203979">
        <w:rPr>
          <w:rFonts w:ascii="Arial" w:eastAsia="system-ui" w:hAnsi="Arial" w:cs="Arial"/>
          <w:i/>
          <w:iCs/>
          <w:color w:val="24292E"/>
          <w:sz w:val="22"/>
          <w:szCs w:val="22"/>
        </w:rPr>
        <w:t>Health Services Research</w:t>
      </w:r>
      <w:r w:rsidRPr="00203979">
        <w:rPr>
          <w:rFonts w:ascii="Arial" w:eastAsia="system-ui" w:hAnsi="Arial" w:cs="Arial"/>
          <w:color w:val="24292E"/>
          <w:sz w:val="22"/>
          <w:szCs w:val="22"/>
        </w:rPr>
        <w:t>, 55(4), pp. 642</w:t>
      </w:r>
      <w:r w:rsidRPr="00203979">
        <w:rPr>
          <w:rFonts w:ascii="Cambria Math" w:eastAsia="system-ui" w:hAnsi="Cambria Math" w:cs="Cambria Math"/>
          <w:color w:val="24292E"/>
          <w:sz w:val="22"/>
          <w:szCs w:val="22"/>
        </w:rPr>
        <w:t>‑</w:t>
      </w:r>
      <w:r w:rsidRPr="00203979">
        <w:rPr>
          <w:rFonts w:ascii="Arial" w:eastAsia="system-ui" w:hAnsi="Arial" w:cs="Arial"/>
          <w:color w:val="24292E"/>
          <w:sz w:val="22"/>
          <w:szCs w:val="22"/>
        </w:rPr>
        <w:t>658.</w:t>
      </w:r>
      <w:r w:rsidR="00203979" w:rsidRPr="00203979">
        <w:rPr>
          <w:rFonts w:ascii="Arial" w:eastAsia="system-ui" w:hAnsi="Arial" w:cs="Arial"/>
          <w:color w:val="24292E"/>
          <w:sz w:val="22"/>
          <w:szCs w:val="22"/>
        </w:rPr>
        <w:t xml:space="preserve"> </w:t>
      </w:r>
      <w:r w:rsidR="18A6D9F9" w:rsidRPr="00203979">
        <w:rPr>
          <w:rFonts w:ascii="Arial" w:eastAsia="system-ui" w:hAnsi="Arial" w:cs="Arial"/>
          <w:color w:val="24292E"/>
          <w:sz w:val="22"/>
          <w:szCs w:val="22"/>
        </w:rPr>
        <w:t xml:space="preserve"> </w:t>
      </w:r>
      <w:hyperlink r:id="rId8">
        <w:r w:rsidR="18A6D9F9" w:rsidRPr="00203979">
          <w:rPr>
            <w:rStyle w:val="Hyperlink"/>
            <w:rFonts w:ascii="Arial" w:eastAsia="system-ui" w:hAnsi="Arial" w:cs="Arial"/>
            <w:sz w:val="22"/>
            <w:szCs w:val="22"/>
          </w:rPr>
          <w:t>https://doi</w:t>
        </w:r>
        <w:r w:rsidR="3B520D99" w:rsidRPr="00203979">
          <w:rPr>
            <w:rStyle w:val="Hyperlink"/>
            <w:rFonts w:ascii="Arial" w:eastAsia="system-ui" w:hAnsi="Arial" w:cs="Arial"/>
            <w:sz w:val="22"/>
            <w:szCs w:val="22"/>
          </w:rPr>
          <w:t>.org/10.1111/1475-6773.13245</w:t>
        </w:r>
      </w:hyperlink>
      <w:r w:rsidR="3B520D99" w:rsidRPr="00203979">
        <w:rPr>
          <w:rFonts w:ascii="Arial" w:eastAsia="system-ui" w:hAnsi="Arial" w:cs="Arial"/>
          <w:color w:val="24292E"/>
          <w:sz w:val="22"/>
          <w:szCs w:val="22"/>
        </w:rPr>
        <w:t xml:space="preserve"> </w:t>
      </w:r>
    </w:p>
    <w:p w14:paraId="05494414" w14:textId="3E696F25"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72BE0E72" w14:textId="144A14F9"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203979">
        <w:rPr>
          <w:rFonts w:ascii="Arial" w:eastAsia="system-ui" w:hAnsi="Arial" w:cs="Arial"/>
          <w:color w:val="24292E"/>
          <w:sz w:val="22"/>
          <w:szCs w:val="22"/>
        </w:rPr>
        <w:t xml:space="preserve">Greenhalgh, T., Wherton, J., Papoutsi, C., Lynch, J., Hughes, G. </w:t>
      </w:r>
      <w:r w:rsidR="061774AA" w:rsidRPr="00203979">
        <w:rPr>
          <w:rFonts w:ascii="Arial" w:eastAsia="system-ui" w:hAnsi="Arial" w:cs="Arial"/>
          <w:color w:val="24292E"/>
          <w:sz w:val="22"/>
          <w:szCs w:val="22"/>
        </w:rPr>
        <w:t xml:space="preserve">and </w:t>
      </w:r>
      <w:r w:rsidRPr="00203979">
        <w:rPr>
          <w:rFonts w:ascii="Arial" w:eastAsia="system-ui" w:hAnsi="Arial" w:cs="Arial"/>
          <w:color w:val="24292E"/>
          <w:sz w:val="22"/>
          <w:szCs w:val="22"/>
        </w:rPr>
        <w:t> A’Court, C. (2017) ‘Beyond adoption: a new framework for theorising and evaluating non</w:t>
      </w:r>
      <w:r w:rsidRPr="00203979">
        <w:rPr>
          <w:rFonts w:ascii="Cambria Math" w:eastAsia="system-ui" w:hAnsi="Cambria Math" w:cs="Cambria Math"/>
          <w:color w:val="24292E"/>
          <w:sz w:val="22"/>
          <w:szCs w:val="22"/>
        </w:rPr>
        <w:t>‑</w:t>
      </w:r>
      <w:r w:rsidRPr="00203979">
        <w:rPr>
          <w:rFonts w:ascii="Arial" w:eastAsia="system-ui" w:hAnsi="Arial" w:cs="Arial"/>
          <w:color w:val="24292E"/>
          <w:sz w:val="22"/>
          <w:szCs w:val="22"/>
        </w:rPr>
        <w:t>adoption, abandonment, and challenges to the scale</w:t>
      </w:r>
      <w:r w:rsidRPr="00203979">
        <w:rPr>
          <w:rFonts w:ascii="Cambria Math" w:eastAsia="system-ui" w:hAnsi="Cambria Math" w:cs="Cambria Math"/>
          <w:color w:val="24292E"/>
          <w:sz w:val="22"/>
          <w:szCs w:val="22"/>
        </w:rPr>
        <w:t>‑</w:t>
      </w:r>
      <w:r w:rsidRPr="00203979">
        <w:rPr>
          <w:rFonts w:ascii="Arial" w:eastAsia="system-ui" w:hAnsi="Arial" w:cs="Arial"/>
          <w:color w:val="24292E"/>
          <w:sz w:val="22"/>
          <w:szCs w:val="22"/>
        </w:rPr>
        <w:t xml:space="preserve">up, spread, and sustainability of health and care technologies’, </w:t>
      </w:r>
      <w:r w:rsidRPr="00203979">
        <w:rPr>
          <w:rFonts w:ascii="Arial" w:eastAsia="system-ui" w:hAnsi="Arial" w:cs="Arial"/>
          <w:i/>
          <w:iCs/>
          <w:color w:val="24292E"/>
          <w:sz w:val="22"/>
          <w:szCs w:val="22"/>
        </w:rPr>
        <w:t>Journal of Medical Internet Research</w:t>
      </w:r>
      <w:r w:rsidRPr="00203979">
        <w:rPr>
          <w:rFonts w:ascii="Arial" w:eastAsia="system-ui" w:hAnsi="Arial" w:cs="Arial"/>
          <w:color w:val="24292E"/>
          <w:sz w:val="22"/>
          <w:szCs w:val="22"/>
        </w:rPr>
        <w:t>, 19(11)</w:t>
      </w:r>
      <w:r w:rsidR="44827263" w:rsidRPr="00203979">
        <w:rPr>
          <w:rFonts w:ascii="Arial" w:eastAsia="system-ui" w:hAnsi="Arial" w:cs="Arial"/>
          <w:color w:val="24292E"/>
          <w:sz w:val="22"/>
          <w:szCs w:val="22"/>
        </w:rPr>
        <w:t>.</w:t>
      </w:r>
      <w:r w:rsidRPr="00203979">
        <w:rPr>
          <w:rFonts w:ascii="Arial" w:eastAsia="system-ui" w:hAnsi="Arial" w:cs="Arial"/>
          <w:color w:val="24292E"/>
          <w:sz w:val="22"/>
          <w:szCs w:val="22"/>
        </w:rPr>
        <w:t xml:space="preserve"> e</w:t>
      </w:r>
      <w:r w:rsidR="70FA9EBF" w:rsidRPr="00203979">
        <w:rPr>
          <w:rFonts w:ascii="Arial" w:eastAsia="system-ui" w:hAnsi="Arial" w:cs="Arial"/>
          <w:color w:val="24292E"/>
          <w:sz w:val="22"/>
          <w:szCs w:val="22"/>
        </w:rPr>
        <w:t>367.</w:t>
      </w:r>
      <w:r w:rsidR="5602EC73" w:rsidRPr="00203979">
        <w:rPr>
          <w:rFonts w:ascii="Arial" w:eastAsia="system-ui" w:hAnsi="Arial" w:cs="Arial"/>
          <w:color w:val="24292E"/>
          <w:sz w:val="22"/>
          <w:szCs w:val="22"/>
        </w:rPr>
        <w:t xml:space="preserve"> </w:t>
      </w:r>
      <w:r w:rsidR="00203979" w:rsidRPr="00203979">
        <w:rPr>
          <w:rFonts w:ascii="Arial" w:eastAsia="system-ui" w:hAnsi="Arial" w:cs="Arial"/>
          <w:color w:val="24292E"/>
          <w:sz w:val="22"/>
          <w:szCs w:val="22"/>
        </w:rPr>
        <w:t xml:space="preserve">Doi: </w:t>
      </w:r>
      <w:r w:rsidR="00FF3763" w:rsidRPr="00203979">
        <w:rPr>
          <w:rFonts w:ascii="Arial" w:eastAsia="system-ui" w:hAnsi="Arial" w:cs="Arial"/>
          <w:color w:val="24292E"/>
          <w:sz w:val="22"/>
          <w:szCs w:val="22"/>
        </w:rPr>
        <w:t xml:space="preserve"> </w:t>
      </w:r>
      <w:hyperlink r:id="rId9" w:history="1">
        <w:r w:rsidR="00203979" w:rsidRPr="00203979">
          <w:rPr>
            <w:rStyle w:val="Hyperlink"/>
            <w:rFonts w:ascii="Arial" w:eastAsia="system-ui" w:hAnsi="Arial" w:cs="Arial"/>
            <w:sz w:val="22"/>
            <w:szCs w:val="22"/>
          </w:rPr>
          <w:t>10.2196/jmir.8775</w:t>
        </w:r>
      </w:hyperlink>
    </w:p>
    <w:p w14:paraId="7B747B54" w14:textId="0A490469"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FB43B9B" w14:textId="3EE4DF1A"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McCormack, B., Dewing, J. &amp; McCance, T. (2021) </w:t>
      </w:r>
      <w:r w:rsidRPr="00636A0E">
        <w:rPr>
          <w:rFonts w:ascii="Arial" w:eastAsia="system-ui" w:hAnsi="Arial" w:cs="Arial"/>
          <w:i/>
          <w:iCs/>
          <w:color w:val="24292E"/>
          <w:sz w:val="22"/>
          <w:szCs w:val="22"/>
        </w:rPr>
        <w:t>Person</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Centred Nursing: Theory and Practice</w:t>
      </w:r>
      <w:r w:rsidRPr="00636A0E">
        <w:rPr>
          <w:rFonts w:ascii="Arial" w:eastAsia="system-ui" w:hAnsi="Arial" w:cs="Arial"/>
          <w:color w:val="24292E"/>
          <w:sz w:val="22"/>
          <w:szCs w:val="22"/>
        </w:rPr>
        <w:t xml:space="preserve"> (2nd ed.). London: Royal College of Nursing.</w:t>
      </w:r>
    </w:p>
    <w:p w14:paraId="6E873520" w14:textId="14FFDCFC"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0D374DD7" w14:textId="0A0C8FCD"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McCormack, B. &amp; McCance, T. (2006) </w:t>
      </w:r>
      <w:r w:rsidRPr="00636A0E">
        <w:rPr>
          <w:rFonts w:ascii="Arial" w:eastAsia="system-ui" w:hAnsi="Arial" w:cs="Arial"/>
          <w:i/>
          <w:iCs/>
          <w:color w:val="24292E"/>
          <w:sz w:val="22"/>
          <w:szCs w:val="22"/>
        </w:rPr>
        <w:t>Developing Person</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Centred Care: A Conceptual Framework</w:t>
      </w:r>
      <w:r w:rsidRPr="00636A0E">
        <w:rPr>
          <w:rFonts w:ascii="Arial" w:eastAsia="system-ui" w:hAnsi="Arial" w:cs="Arial"/>
          <w:color w:val="24292E"/>
          <w:sz w:val="22"/>
          <w:szCs w:val="22"/>
        </w:rPr>
        <w:t>. London: Royal College of Nursing.</w:t>
      </w:r>
    </w:p>
    <w:p w14:paraId="0B420E5C" w14:textId="7024005B"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C186BFE" w14:textId="3553D1B8" w:rsidR="34F49264" w:rsidRPr="00636A0E" w:rsidRDefault="4304E410" w:rsidP="00636A0E">
      <w:pPr>
        <w:shd w:val="clear" w:color="auto" w:fill="FFFFFF" w:themeFill="background1"/>
        <w:spacing w:after="0" w:line="360" w:lineRule="auto"/>
        <w:jc w:val="both"/>
        <w:rPr>
          <w:rFonts w:ascii="Arial" w:eastAsia="system-ui" w:hAnsi="Arial" w:cs="Arial"/>
          <w:color w:val="24292E"/>
          <w:sz w:val="22"/>
          <w:szCs w:val="22"/>
        </w:rPr>
      </w:pPr>
      <w:r w:rsidRPr="00636A0E">
        <w:rPr>
          <w:rFonts w:ascii="Arial" w:eastAsia="system-ui" w:hAnsi="Arial" w:cs="Arial"/>
          <w:color w:val="24292E"/>
          <w:sz w:val="22"/>
          <w:szCs w:val="22"/>
        </w:rPr>
        <w:t xml:space="preserve">Maben, </w:t>
      </w:r>
      <w:r w:rsidR="0D76F1AC" w:rsidRPr="00636A0E">
        <w:rPr>
          <w:rFonts w:ascii="Arial" w:eastAsia="system-ui" w:hAnsi="Arial" w:cs="Arial"/>
          <w:color w:val="24292E"/>
          <w:sz w:val="22"/>
          <w:szCs w:val="22"/>
        </w:rPr>
        <w:t>J.,</w:t>
      </w:r>
      <w:r w:rsidRPr="00636A0E">
        <w:rPr>
          <w:rFonts w:ascii="Arial" w:eastAsia="system-ui" w:hAnsi="Arial" w:cs="Arial"/>
          <w:color w:val="24292E"/>
          <w:sz w:val="22"/>
          <w:szCs w:val="22"/>
        </w:rPr>
        <w:t xml:space="preserve"> </w:t>
      </w:r>
      <w:r w:rsidR="542C2E3D" w:rsidRPr="00636A0E">
        <w:rPr>
          <w:rFonts w:ascii="Arial" w:eastAsia="system-ui" w:hAnsi="Arial" w:cs="Arial"/>
          <w:color w:val="24292E"/>
          <w:sz w:val="22"/>
          <w:szCs w:val="22"/>
        </w:rPr>
        <w:t>and Robertson</w:t>
      </w:r>
      <w:r w:rsidRPr="00636A0E">
        <w:rPr>
          <w:rFonts w:ascii="Arial" w:eastAsia="system-ui" w:hAnsi="Arial" w:cs="Arial"/>
          <w:color w:val="24292E"/>
          <w:sz w:val="22"/>
          <w:szCs w:val="22"/>
        </w:rPr>
        <w:t>, J. (2012) ‘From theory to practice: a critical analysis of the Person</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 xml:space="preserve">Centred Nursing Framework’, </w:t>
      </w:r>
      <w:r w:rsidRPr="00636A0E">
        <w:rPr>
          <w:rFonts w:ascii="Arial" w:eastAsia="system-ui" w:hAnsi="Arial" w:cs="Arial"/>
          <w:i/>
          <w:iCs/>
          <w:color w:val="24292E"/>
          <w:sz w:val="22"/>
          <w:szCs w:val="22"/>
        </w:rPr>
        <w:t>International Journal of Nursing Studies</w:t>
      </w:r>
      <w:r w:rsidRPr="00636A0E">
        <w:rPr>
          <w:rFonts w:ascii="Arial" w:eastAsia="system-ui" w:hAnsi="Arial" w:cs="Arial"/>
          <w:color w:val="24292E"/>
          <w:sz w:val="22"/>
          <w:szCs w:val="22"/>
        </w:rPr>
        <w:t>, 49(10), pp. 1245</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1253.</w:t>
      </w:r>
      <w:r w:rsidR="63B28F83" w:rsidRPr="00636A0E">
        <w:rPr>
          <w:rFonts w:ascii="Arial" w:eastAsia="system-ui" w:hAnsi="Arial" w:cs="Arial"/>
          <w:color w:val="24292E"/>
          <w:sz w:val="22"/>
          <w:szCs w:val="22"/>
        </w:rPr>
        <w:t xml:space="preserve"> </w:t>
      </w:r>
      <w:hyperlink r:id="rId10" w:history="1">
        <w:r w:rsidR="00636A0E" w:rsidRPr="00636A0E">
          <w:rPr>
            <w:rStyle w:val="Hyperlink"/>
            <w:rFonts w:ascii="Arial" w:eastAsia="system-ui" w:hAnsi="Arial" w:cs="Arial"/>
            <w:sz w:val="22"/>
            <w:szCs w:val="22"/>
          </w:rPr>
          <w:t xml:space="preserve">https://doi.org/10.1016/j.ijnurstu.2012.04.010  </w:t>
        </w:r>
      </w:hyperlink>
    </w:p>
    <w:p w14:paraId="0664A811" w14:textId="7CFD6EE7"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6AB83154" w14:textId="61BD7812"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National Institute for Health and Care Excellence (2021) </w:t>
      </w:r>
      <w:r w:rsidRPr="00636A0E">
        <w:rPr>
          <w:rFonts w:ascii="Arial" w:eastAsia="system-ui" w:hAnsi="Arial" w:cs="Arial"/>
          <w:i/>
          <w:iCs/>
          <w:color w:val="24292E"/>
          <w:sz w:val="22"/>
          <w:szCs w:val="22"/>
        </w:rPr>
        <w:t>Integrated Care Pathways: Guidance for Implementation</w:t>
      </w:r>
      <w:r w:rsidRPr="00636A0E">
        <w:rPr>
          <w:rFonts w:ascii="Arial" w:eastAsia="system-ui" w:hAnsi="Arial" w:cs="Arial"/>
          <w:color w:val="24292E"/>
          <w:sz w:val="22"/>
          <w:szCs w:val="22"/>
        </w:rPr>
        <w:t>. London: NICE.</w:t>
      </w:r>
    </w:p>
    <w:p w14:paraId="6C6AD914" w14:textId="7F3253A1"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62E3C6F" w14:textId="1E387377"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NHS England (2019) </w:t>
      </w:r>
      <w:r w:rsidRPr="00636A0E">
        <w:rPr>
          <w:rFonts w:ascii="Arial" w:eastAsia="system-ui" w:hAnsi="Arial" w:cs="Arial"/>
          <w:i/>
          <w:iCs/>
          <w:color w:val="24292E"/>
          <w:sz w:val="22"/>
          <w:szCs w:val="22"/>
        </w:rPr>
        <w:t>The NHS Long</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Term Plan</w:t>
      </w:r>
      <w:r w:rsidRPr="00636A0E">
        <w:rPr>
          <w:rFonts w:ascii="Arial" w:eastAsia="system-ui" w:hAnsi="Arial" w:cs="Arial"/>
          <w:color w:val="24292E"/>
          <w:sz w:val="22"/>
          <w:szCs w:val="22"/>
        </w:rPr>
        <w:t>. London: NHS England.</w:t>
      </w:r>
    </w:p>
    <w:p w14:paraId="1CF9D199" w14:textId="234FF529"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458FD89D" w14:textId="1E980570"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t xml:space="preserve">NHS England (2022) </w:t>
      </w:r>
      <w:r w:rsidRPr="00636A0E">
        <w:rPr>
          <w:rFonts w:ascii="Arial" w:eastAsia="system-ui" w:hAnsi="Arial" w:cs="Arial"/>
          <w:i/>
          <w:iCs/>
          <w:color w:val="24292E"/>
          <w:sz w:val="22"/>
          <w:szCs w:val="22"/>
        </w:rPr>
        <w:t>NHS Digital Strategy for Integrated Care</w:t>
      </w:r>
      <w:r w:rsidRPr="00636A0E">
        <w:rPr>
          <w:rFonts w:ascii="Arial" w:eastAsia="system-ui" w:hAnsi="Arial" w:cs="Arial"/>
          <w:color w:val="24292E"/>
          <w:sz w:val="22"/>
          <w:szCs w:val="22"/>
        </w:rPr>
        <w:t>. London: NHS England.</w:t>
      </w:r>
    </w:p>
    <w:p w14:paraId="6F16DB06" w14:textId="49817249"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01A921EC" w14:textId="3ED0512A" w:rsidR="34F49264" w:rsidRPr="00636A0E" w:rsidRDefault="4304E410" w:rsidP="00636A0E">
      <w:pPr>
        <w:shd w:val="clear" w:color="auto" w:fill="FFFFFF" w:themeFill="background1"/>
        <w:spacing w:after="0" w:line="360" w:lineRule="auto"/>
        <w:jc w:val="both"/>
        <w:rPr>
          <w:rFonts w:ascii="Arial" w:hAnsi="Arial" w:cs="Arial"/>
          <w:sz w:val="22"/>
          <w:szCs w:val="22"/>
        </w:rPr>
      </w:pPr>
      <w:r w:rsidRPr="00636A0E">
        <w:rPr>
          <w:rFonts w:ascii="Arial" w:eastAsia="system-ui" w:hAnsi="Arial" w:cs="Arial"/>
          <w:color w:val="24292E"/>
          <w:sz w:val="22"/>
          <w:szCs w:val="22"/>
        </w:rPr>
        <w:lastRenderedPageBreak/>
        <w:t xml:space="preserve">NHS England (2023) </w:t>
      </w:r>
      <w:r w:rsidRPr="00636A0E">
        <w:rPr>
          <w:rFonts w:ascii="Arial" w:eastAsia="system-ui" w:hAnsi="Arial" w:cs="Arial"/>
          <w:i/>
          <w:iCs/>
          <w:color w:val="24292E"/>
          <w:sz w:val="22"/>
          <w:szCs w:val="22"/>
        </w:rPr>
        <w:t>Technology</w:t>
      </w:r>
      <w:r w:rsidRPr="00636A0E">
        <w:rPr>
          <w:rFonts w:ascii="Cambria Math" w:eastAsia="system-ui" w:hAnsi="Cambria Math" w:cs="Cambria Math"/>
          <w:i/>
          <w:iCs/>
          <w:color w:val="24292E"/>
          <w:sz w:val="22"/>
          <w:szCs w:val="22"/>
        </w:rPr>
        <w:t>‑</w:t>
      </w:r>
      <w:r w:rsidRPr="00636A0E">
        <w:rPr>
          <w:rFonts w:ascii="Arial" w:eastAsia="system-ui" w:hAnsi="Arial" w:cs="Arial"/>
          <w:i/>
          <w:iCs/>
          <w:color w:val="24292E"/>
          <w:sz w:val="22"/>
          <w:szCs w:val="22"/>
        </w:rPr>
        <w:t>Enabled Care Framework</w:t>
      </w:r>
      <w:r w:rsidRPr="00636A0E">
        <w:rPr>
          <w:rFonts w:ascii="Arial" w:eastAsia="system-ui" w:hAnsi="Arial" w:cs="Arial"/>
          <w:color w:val="24292E"/>
          <w:sz w:val="22"/>
          <w:szCs w:val="22"/>
        </w:rPr>
        <w:t>. London: NHS England.</w:t>
      </w:r>
    </w:p>
    <w:p w14:paraId="5258A8DC" w14:textId="51DF9F0E" w:rsidR="34F49264" w:rsidRPr="00636A0E" w:rsidRDefault="34F49264" w:rsidP="00636A0E">
      <w:pPr>
        <w:shd w:val="clear" w:color="auto" w:fill="FFFFFF" w:themeFill="background1"/>
        <w:spacing w:after="0" w:line="360" w:lineRule="auto"/>
        <w:jc w:val="both"/>
        <w:rPr>
          <w:rFonts w:ascii="Arial" w:eastAsia="system-ui" w:hAnsi="Arial" w:cs="Arial"/>
          <w:color w:val="24292E"/>
          <w:sz w:val="22"/>
          <w:szCs w:val="22"/>
        </w:rPr>
      </w:pPr>
    </w:p>
    <w:p w14:paraId="2C534E10" w14:textId="28574C6F" w:rsidR="34F49264" w:rsidRPr="00636A0E" w:rsidRDefault="4304E410" w:rsidP="00636A0E">
      <w:pPr>
        <w:shd w:val="clear" w:color="auto" w:fill="FFFFFF" w:themeFill="background1"/>
        <w:spacing w:after="0" w:line="360" w:lineRule="auto"/>
        <w:jc w:val="both"/>
        <w:rPr>
          <w:rFonts w:ascii="Arial" w:eastAsia="system-ui" w:hAnsi="Arial" w:cs="Arial"/>
          <w:color w:val="24292E"/>
          <w:sz w:val="22"/>
          <w:szCs w:val="22"/>
        </w:rPr>
      </w:pPr>
      <w:r w:rsidRPr="00636A0E">
        <w:rPr>
          <w:rFonts w:ascii="Arial" w:eastAsia="system-ui" w:hAnsi="Arial" w:cs="Arial"/>
          <w:color w:val="24292E"/>
          <w:sz w:val="22"/>
          <w:szCs w:val="22"/>
        </w:rPr>
        <w:t xml:space="preserve">O’Donovan, A., Smith, </w:t>
      </w:r>
      <w:r w:rsidR="1F18878B" w:rsidRPr="00636A0E">
        <w:rPr>
          <w:rFonts w:ascii="Arial" w:eastAsia="system-ui" w:hAnsi="Arial" w:cs="Arial"/>
          <w:color w:val="24292E"/>
          <w:sz w:val="22"/>
          <w:szCs w:val="22"/>
        </w:rPr>
        <w:t>J.,</w:t>
      </w:r>
      <w:r w:rsidRPr="00636A0E">
        <w:rPr>
          <w:rFonts w:ascii="Arial" w:eastAsia="system-ui" w:hAnsi="Arial" w:cs="Arial"/>
          <w:color w:val="24292E"/>
          <w:sz w:val="22"/>
          <w:szCs w:val="22"/>
        </w:rPr>
        <w:t xml:space="preserve"> </w:t>
      </w:r>
      <w:r w:rsidR="799C109B" w:rsidRPr="00636A0E">
        <w:rPr>
          <w:rFonts w:ascii="Arial" w:eastAsia="system-ui" w:hAnsi="Arial" w:cs="Arial"/>
          <w:color w:val="24292E"/>
          <w:sz w:val="22"/>
          <w:szCs w:val="22"/>
        </w:rPr>
        <w:t>and</w:t>
      </w:r>
      <w:r w:rsidRPr="00636A0E">
        <w:rPr>
          <w:rFonts w:ascii="Arial" w:eastAsia="system-ui" w:hAnsi="Arial" w:cs="Arial"/>
          <w:color w:val="24292E"/>
          <w:sz w:val="22"/>
          <w:szCs w:val="22"/>
        </w:rPr>
        <w:t xml:space="preserve"> Patel, R. (2022) ‘Impact of partnership working on hospital readmission rates: a systematic review’, </w:t>
      </w:r>
      <w:r w:rsidRPr="00636A0E">
        <w:rPr>
          <w:rFonts w:ascii="Arial" w:eastAsia="system-ui" w:hAnsi="Arial" w:cs="Arial"/>
          <w:i/>
          <w:iCs/>
          <w:color w:val="24292E"/>
          <w:sz w:val="22"/>
          <w:szCs w:val="22"/>
        </w:rPr>
        <w:t>International Journal of Integrated Care</w:t>
      </w:r>
      <w:r w:rsidRPr="00636A0E">
        <w:rPr>
          <w:rFonts w:ascii="Arial" w:eastAsia="system-ui" w:hAnsi="Arial" w:cs="Arial"/>
          <w:color w:val="24292E"/>
          <w:sz w:val="22"/>
          <w:szCs w:val="22"/>
        </w:rPr>
        <w:t>, 22(3), pp. 1</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15.</w:t>
      </w:r>
      <w:r w:rsidR="0448D793" w:rsidRPr="00636A0E">
        <w:rPr>
          <w:rFonts w:ascii="Arial" w:eastAsia="system-ui" w:hAnsi="Arial" w:cs="Arial"/>
          <w:color w:val="24292E"/>
          <w:sz w:val="22"/>
          <w:szCs w:val="22"/>
        </w:rPr>
        <w:t xml:space="preserve"> </w:t>
      </w:r>
      <w:r w:rsidR="15DF93DF" w:rsidRPr="00636A0E">
        <w:rPr>
          <w:rFonts w:ascii="Arial" w:eastAsia="system-ui" w:hAnsi="Arial" w:cs="Arial"/>
          <w:color w:val="24292E"/>
          <w:sz w:val="22"/>
          <w:szCs w:val="22"/>
        </w:rPr>
        <w:t>https</w:t>
      </w:r>
      <w:r w:rsidR="0448D793" w:rsidRPr="00636A0E">
        <w:rPr>
          <w:rFonts w:ascii="Arial" w:eastAsia="system-ui" w:hAnsi="Arial" w:cs="Arial"/>
          <w:color w:val="24292E"/>
          <w:sz w:val="22"/>
          <w:szCs w:val="22"/>
        </w:rPr>
        <w:t>://doi.org/10.5334/ijic.6301</w:t>
      </w:r>
      <w:r w:rsidR="6B31C593" w:rsidRPr="00636A0E">
        <w:rPr>
          <w:rFonts w:ascii="Arial" w:eastAsia="system-ui" w:hAnsi="Arial" w:cs="Arial"/>
          <w:color w:val="24292E"/>
          <w:sz w:val="22"/>
          <w:szCs w:val="22"/>
        </w:rPr>
        <w:t xml:space="preserve"> </w:t>
      </w:r>
    </w:p>
    <w:p w14:paraId="30493E91" w14:textId="77777777" w:rsidR="00E9457F" w:rsidRPr="00636A0E" w:rsidRDefault="00E9457F" w:rsidP="00636A0E">
      <w:pPr>
        <w:shd w:val="clear" w:color="auto" w:fill="FFFFFF" w:themeFill="background1"/>
        <w:spacing w:after="0" w:line="360" w:lineRule="auto"/>
        <w:jc w:val="both"/>
        <w:rPr>
          <w:rFonts w:ascii="Arial" w:hAnsi="Arial" w:cs="Arial"/>
          <w:sz w:val="22"/>
          <w:szCs w:val="22"/>
        </w:rPr>
      </w:pPr>
    </w:p>
    <w:p w14:paraId="5AD4475B" w14:textId="464A5C26" w:rsidR="34F49264" w:rsidRPr="00636A0E" w:rsidRDefault="4304E410" w:rsidP="00636A0E">
      <w:pPr>
        <w:shd w:val="clear" w:color="auto" w:fill="FFFFFF" w:themeFill="background1"/>
        <w:spacing w:after="0" w:line="360" w:lineRule="auto"/>
        <w:jc w:val="both"/>
        <w:rPr>
          <w:rFonts w:ascii="Arial" w:eastAsia="Arial" w:hAnsi="Arial" w:cs="Arial"/>
          <w:sz w:val="22"/>
          <w:szCs w:val="22"/>
        </w:rPr>
      </w:pPr>
      <w:r w:rsidRPr="00636A0E">
        <w:rPr>
          <w:rFonts w:ascii="Arial" w:eastAsia="system-ui" w:hAnsi="Arial" w:cs="Arial"/>
          <w:color w:val="24292E"/>
          <w:sz w:val="22"/>
          <w:szCs w:val="22"/>
        </w:rPr>
        <w:t xml:space="preserve">Reeves, S., Lewin, S., Espin, S. &amp; Zwarenstein, M. (2017) </w:t>
      </w:r>
      <w:r w:rsidRPr="00636A0E">
        <w:rPr>
          <w:rFonts w:ascii="Arial" w:eastAsia="system-ui" w:hAnsi="Arial" w:cs="Arial"/>
          <w:i/>
          <w:iCs/>
          <w:color w:val="24292E"/>
          <w:sz w:val="22"/>
          <w:szCs w:val="22"/>
        </w:rPr>
        <w:t>Interprofessional Collaboration: From Theory to Practice</w:t>
      </w:r>
      <w:r w:rsidRPr="00636A0E">
        <w:rPr>
          <w:rFonts w:ascii="Arial" w:eastAsia="system-ui" w:hAnsi="Arial" w:cs="Arial"/>
          <w:color w:val="24292E"/>
          <w:sz w:val="22"/>
          <w:szCs w:val="22"/>
        </w:rPr>
        <w:t>. Oxford: Wiley</w:t>
      </w:r>
      <w:r w:rsidRPr="00636A0E">
        <w:rPr>
          <w:rFonts w:ascii="Cambria Math" w:eastAsia="system-ui" w:hAnsi="Cambria Math" w:cs="Cambria Math"/>
          <w:color w:val="24292E"/>
          <w:sz w:val="22"/>
          <w:szCs w:val="22"/>
        </w:rPr>
        <w:t>‑</w:t>
      </w:r>
      <w:r w:rsidRPr="00636A0E">
        <w:rPr>
          <w:rFonts w:ascii="Arial" w:eastAsia="system-ui" w:hAnsi="Arial" w:cs="Arial"/>
          <w:color w:val="24292E"/>
          <w:sz w:val="22"/>
          <w:szCs w:val="22"/>
        </w:rPr>
        <w:t>Blackwell.</w:t>
      </w:r>
    </w:p>
    <w:p w14:paraId="203236F4" w14:textId="461FF5E1" w:rsidR="54E8FE16" w:rsidRPr="00636A0E" w:rsidRDefault="54E8FE16" w:rsidP="00636A0E">
      <w:pPr>
        <w:shd w:val="clear" w:color="auto" w:fill="FFFFFF" w:themeFill="background1"/>
        <w:spacing w:after="0" w:line="360" w:lineRule="auto"/>
        <w:jc w:val="both"/>
        <w:rPr>
          <w:rFonts w:ascii="Arial" w:eastAsia="system-ui" w:hAnsi="Arial" w:cs="Arial"/>
          <w:color w:val="24292E"/>
          <w:sz w:val="22"/>
          <w:szCs w:val="22"/>
        </w:rPr>
      </w:pPr>
    </w:p>
    <w:p w14:paraId="24215113" w14:textId="1379A57E" w:rsidR="16045853" w:rsidRPr="00636A0E" w:rsidRDefault="16045853" w:rsidP="00636A0E">
      <w:pPr>
        <w:shd w:val="clear" w:color="auto" w:fill="FFFFFF" w:themeFill="background1"/>
        <w:spacing w:after="0" w:line="360" w:lineRule="auto"/>
        <w:jc w:val="both"/>
        <w:rPr>
          <w:rFonts w:ascii="Arial" w:eastAsia="system-ui" w:hAnsi="Arial" w:cs="Arial"/>
          <w:color w:val="24292E"/>
          <w:sz w:val="22"/>
          <w:szCs w:val="22"/>
        </w:rPr>
      </w:pPr>
      <w:proofErr w:type="spellStart"/>
      <w:r w:rsidRPr="00636A0E">
        <w:rPr>
          <w:rFonts w:ascii="Arial" w:eastAsia="system-ui" w:hAnsi="Arial" w:cs="Arial"/>
          <w:color w:val="24292E"/>
          <w:sz w:val="22"/>
          <w:szCs w:val="22"/>
        </w:rPr>
        <w:t>Wener,p.,Leclair,L.,fricke,M.,and</w:t>
      </w:r>
      <w:proofErr w:type="spellEnd"/>
      <w:r w:rsidRPr="00636A0E">
        <w:rPr>
          <w:rFonts w:ascii="Arial" w:eastAsia="system-ui" w:hAnsi="Arial" w:cs="Arial"/>
          <w:color w:val="24292E"/>
          <w:sz w:val="22"/>
          <w:szCs w:val="22"/>
        </w:rPr>
        <w:t xml:space="preserve"> </w:t>
      </w:r>
      <w:r w:rsidR="4E72A225" w:rsidRPr="00636A0E">
        <w:rPr>
          <w:rFonts w:ascii="Arial" w:eastAsia="system-ui" w:hAnsi="Arial" w:cs="Arial"/>
          <w:color w:val="24292E"/>
          <w:sz w:val="22"/>
          <w:szCs w:val="22"/>
        </w:rPr>
        <w:t>Brown (</w:t>
      </w:r>
      <w:r w:rsidR="763CE429" w:rsidRPr="00636A0E">
        <w:rPr>
          <w:rFonts w:ascii="Arial" w:eastAsia="system-ui" w:hAnsi="Arial" w:cs="Arial"/>
          <w:color w:val="24292E"/>
          <w:sz w:val="22"/>
          <w:szCs w:val="22"/>
        </w:rPr>
        <w:t xml:space="preserve">2022) </w:t>
      </w:r>
      <w:r w:rsidR="1A40519F" w:rsidRPr="00636A0E">
        <w:rPr>
          <w:rFonts w:ascii="Arial" w:eastAsia="system-ui" w:hAnsi="Arial" w:cs="Arial"/>
          <w:color w:val="24292E"/>
          <w:sz w:val="22"/>
          <w:szCs w:val="22"/>
        </w:rPr>
        <w:t>Interconfessional</w:t>
      </w:r>
      <w:r w:rsidR="13EDE4E8"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 xml:space="preserve">collaborative </w:t>
      </w:r>
      <w:r w:rsidR="38C481C9" w:rsidRPr="00636A0E">
        <w:rPr>
          <w:rFonts w:ascii="Arial" w:eastAsia="system-ui" w:hAnsi="Arial" w:cs="Arial"/>
          <w:color w:val="24292E"/>
          <w:sz w:val="22"/>
          <w:szCs w:val="22"/>
        </w:rPr>
        <w:t>Relationship</w:t>
      </w:r>
      <w:r w:rsidR="48D1BD1E" w:rsidRPr="00636A0E">
        <w:rPr>
          <w:rFonts w:ascii="Arial" w:eastAsia="system-ui" w:hAnsi="Arial" w:cs="Arial"/>
          <w:color w:val="24292E"/>
          <w:sz w:val="22"/>
          <w:szCs w:val="22"/>
        </w:rPr>
        <w:t>-Building Mo</w:t>
      </w:r>
      <w:r w:rsidR="2D8D3012" w:rsidRPr="00636A0E">
        <w:rPr>
          <w:rFonts w:ascii="Arial" w:eastAsia="system-ui" w:hAnsi="Arial" w:cs="Arial"/>
          <w:color w:val="24292E"/>
          <w:sz w:val="22"/>
          <w:szCs w:val="22"/>
        </w:rPr>
        <w:t>del</w:t>
      </w:r>
      <w:r w:rsidR="3C44F857"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Action</w:t>
      </w:r>
      <w:r w:rsidR="6CF1A56C"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in primary care:</w:t>
      </w:r>
      <w:r w:rsidR="7B4E5F6C" w:rsidRPr="00636A0E">
        <w:rPr>
          <w:rFonts w:ascii="Arial" w:eastAsia="system-ui" w:hAnsi="Arial" w:cs="Arial"/>
          <w:color w:val="24292E"/>
          <w:sz w:val="22"/>
          <w:szCs w:val="22"/>
        </w:rPr>
        <w:t xml:space="preserve"> </w:t>
      </w:r>
      <w:r w:rsidR="48D1BD1E" w:rsidRPr="00636A0E">
        <w:rPr>
          <w:rFonts w:ascii="Arial" w:eastAsia="system-ui" w:hAnsi="Arial" w:cs="Arial"/>
          <w:color w:val="24292E"/>
          <w:sz w:val="22"/>
          <w:szCs w:val="22"/>
        </w:rPr>
        <w:t>A secondar</w:t>
      </w:r>
      <w:r w:rsidR="33B557B0" w:rsidRPr="00636A0E">
        <w:rPr>
          <w:rFonts w:ascii="Arial" w:eastAsia="system-ui" w:hAnsi="Arial" w:cs="Arial"/>
          <w:color w:val="24292E"/>
          <w:sz w:val="22"/>
          <w:szCs w:val="22"/>
        </w:rPr>
        <w:t xml:space="preserve">y </w:t>
      </w:r>
      <w:r w:rsidR="7427CA6F" w:rsidRPr="00636A0E">
        <w:rPr>
          <w:rFonts w:ascii="Arial" w:eastAsia="system-ui" w:hAnsi="Arial" w:cs="Arial"/>
          <w:color w:val="24292E"/>
          <w:sz w:val="22"/>
          <w:szCs w:val="22"/>
        </w:rPr>
        <w:t>Analysis. Frontiers</w:t>
      </w:r>
      <w:r w:rsidR="33B557B0" w:rsidRPr="00636A0E">
        <w:rPr>
          <w:rFonts w:ascii="Arial" w:eastAsia="system-ui" w:hAnsi="Arial" w:cs="Arial"/>
          <w:color w:val="24292E"/>
          <w:sz w:val="22"/>
          <w:szCs w:val="22"/>
        </w:rPr>
        <w:t xml:space="preserve"> in </w:t>
      </w:r>
      <w:r w:rsidR="507C5F29" w:rsidRPr="00636A0E">
        <w:rPr>
          <w:rFonts w:ascii="Arial" w:eastAsia="system-ui" w:hAnsi="Arial" w:cs="Arial"/>
          <w:color w:val="24292E"/>
          <w:sz w:val="22"/>
          <w:szCs w:val="22"/>
        </w:rPr>
        <w:t>Rehabilition</w:t>
      </w:r>
      <w:r w:rsidR="33B557B0" w:rsidRPr="00636A0E">
        <w:rPr>
          <w:rFonts w:ascii="Arial" w:eastAsia="system-ui" w:hAnsi="Arial" w:cs="Arial"/>
          <w:color w:val="24292E"/>
          <w:sz w:val="22"/>
          <w:szCs w:val="22"/>
        </w:rPr>
        <w:t xml:space="preserve"> science,3. </w:t>
      </w:r>
      <w:r w:rsidR="416C00CF" w:rsidRPr="00636A0E">
        <w:rPr>
          <w:rFonts w:ascii="Arial" w:eastAsia="system-ui" w:hAnsi="Arial" w:cs="Arial"/>
          <w:color w:val="24292E"/>
          <w:sz w:val="22"/>
          <w:szCs w:val="22"/>
        </w:rPr>
        <w:t>https://doi.org/10.3389/fresc.2022.890001</w:t>
      </w:r>
    </w:p>
    <w:p w14:paraId="0A0332CE" w14:textId="324491AF" w:rsidR="7C9F6CBD" w:rsidRDefault="7C9F6CBD" w:rsidP="7C9F6CBD">
      <w:pPr>
        <w:spacing w:before="240" w:after="240"/>
        <w:rPr>
          <w:rFonts w:ascii="Arial Nova" w:eastAsia="Arial Nova" w:hAnsi="Arial Nova" w:cs="Arial Nova"/>
          <w:sz w:val="22"/>
          <w:szCs w:val="22"/>
        </w:rPr>
      </w:pPr>
    </w:p>
    <w:p w14:paraId="2D307B24" w14:textId="247CF539" w:rsidR="7C9F6CBD" w:rsidRDefault="7C9F6CBD" w:rsidP="7C9F6CBD">
      <w:pPr>
        <w:spacing w:before="480" w:line="360" w:lineRule="auto"/>
        <w:rPr>
          <w:rFonts w:ascii="Arial Nova" w:eastAsia="Arial Nova" w:hAnsi="Arial Nova" w:cs="Arial Nova"/>
          <w:sz w:val="22"/>
          <w:szCs w:val="22"/>
        </w:rPr>
      </w:pPr>
    </w:p>
    <w:sectPr w:rsidR="7C9F6CBD">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8B08A" w14:textId="77777777" w:rsidR="00C54EBA" w:rsidRDefault="00C54EBA">
      <w:pPr>
        <w:spacing w:after="0" w:line="240" w:lineRule="auto"/>
      </w:pPr>
      <w:r>
        <w:separator/>
      </w:r>
    </w:p>
  </w:endnote>
  <w:endnote w:type="continuationSeparator" w:id="0">
    <w:p w14:paraId="56AD3AEE" w14:textId="77777777" w:rsidR="00C54EBA" w:rsidRDefault="00C54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D110F65" w14:paraId="68F65CC3" w14:textId="77777777" w:rsidTr="5D110F65">
      <w:trPr>
        <w:trHeight w:val="300"/>
      </w:trPr>
      <w:tc>
        <w:tcPr>
          <w:tcW w:w="3120" w:type="dxa"/>
        </w:tcPr>
        <w:p w14:paraId="0BE8370C" w14:textId="3FDBB4BA" w:rsidR="5D110F65" w:rsidRDefault="5D110F65" w:rsidP="5D110F65">
          <w:pPr>
            <w:pStyle w:val="Header"/>
            <w:ind w:left="-115"/>
          </w:pPr>
        </w:p>
      </w:tc>
      <w:tc>
        <w:tcPr>
          <w:tcW w:w="3120" w:type="dxa"/>
        </w:tcPr>
        <w:p w14:paraId="3D1B3058" w14:textId="72D7A4FE" w:rsidR="5D110F65" w:rsidRDefault="5D110F65" w:rsidP="5D110F65">
          <w:pPr>
            <w:pStyle w:val="Header"/>
            <w:jc w:val="center"/>
          </w:pPr>
          <w:r>
            <w:fldChar w:fldCharType="begin"/>
          </w:r>
          <w:r>
            <w:instrText>PAGE</w:instrText>
          </w:r>
          <w:r>
            <w:fldChar w:fldCharType="separate"/>
          </w:r>
          <w:r w:rsidR="00821562">
            <w:rPr>
              <w:noProof/>
            </w:rPr>
            <w:t>1</w:t>
          </w:r>
          <w:r>
            <w:fldChar w:fldCharType="end"/>
          </w:r>
        </w:p>
      </w:tc>
      <w:tc>
        <w:tcPr>
          <w:tcW w:w="3120" w:type="dxa"/>
        </w:tcPr>
        <w:p w14:paraId="3B5FABBE" w14:textId="347D4DE2" w:rsidR="5D110F65" w:rsidRDefault="5D110F65" w:rsidP="5D110F65">
          <w:pPr>
            <w:pStyle w:val="Header"/>
            <w:ind w:right="-115"/>
            <w:jc w:val="right"/>
          </w:pPr>
        </w:p>
      </w:tc>
    </w:tr>
  </w:tbl>
  <w:p w14:paraId="64F040AA" w14:textId="509FE363" w:rsidR="5D110F65" w:rsidRDefault="5D110F65" w:rsidP="5D11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32E50" w14:textId="77777777" w:rsidR="00C54EBA" w:rsidRDefault="00C54EBA">
      <w:pPr>
        <w:spacing w:after="0" w:line="240" w:lineRule="auto"/>
      </w:pPr>
      <w:r>
        <w:separator/>
      </w:r>
    </w:p>
  </w:footnote>
  <w:footnote w:type="continuationSeparator" w:id="0">
    <w:p w14:paraId="1FFC9ECB" w14:textId="77777777" w:rsidR="00C54EBA" w:rsidRDefault="00C54E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D110F65" w14:paraId="7EA66511" w14:textId="77777777" w:rsidTr="5D110F65">
      <w:trPr>
        <w:trHeight w:val="300"/>
      </w:trPr>
      <w:tc>
        <w:tcPr>
          <w:tcW w:w="3120" w:type="dxa"/>
        </w:tcPr>
        <w:p w14:paraId="0F54103A" w14:textId="2F4813BE" w:rsidR="5D110F65" w:rsidRDefault="5D110F65" w:rsidP="5D110F65">
          <w:pPr>
            <w:pStyle w:val="Header"/>
            <w:ind w:left="-115"/>
          </w:pPr>
        </w:p>
      </w:tc>
      <w:tc>
        <w:tcPr>
          <w:tcW w:w="3120" w:type="dxa"/>
        </w:tcPr>
        <w:p w14:paraId="2433FA9F" w14:textId="28CD8390" w:rsidR="5D110F65" w:rsidRDefault="5D110F65" w:rsidP="5D110F65">
          <w:pPr>
            <w:pStyle w:val="Header"/>
            <w:jc w:val="center"/>
          </w:pPr>
        </w:p>
      </w:tc>
      <w:tc>
        <w:tcPr>
          <w:tcW w:w="3120" w:type="dxa"/>
        </w:tcPr>
        <w:p w14:paraId="22E2C60D" w14:textId="6BF8F78A" w:rsidR="5D110F65" w:rsidRDefault="5D110F65" w:rsidP="5D110F65">
          <w:pPr>
            <w:pStyle w:val="Header"/>
            <w:ind w:right="-115"/>
            <w:jc w:val="right"/>
          </w:pPr>
        </w:p>
      </w:tc>
    </w:tr>
  </w:tbl>
  <w:p w14:paraId="11EBB9E8" w14:textId="6F4BCDEE" w:rsidR="5D110F65" w:rsidRDefault="5D110F65" w:rsidP="5D110F65">
    <w:pPr>
      <w:pStyle w:val="Header"/>
    </w:pPr>
  </w:p>
</w:hdr>
</file>

<file path=word/intelligence2.xml><?xml version="1.0" encoding="utf-8"?>
<int2:intelligence xmlns:int2="http://schemas.microsoft.com/office/intelligence/2020/intelligence" xmlns:oel="http://schemas.microsoft.com/office/2019/extlst">
  <int2:observations>
    <int2:textHash int2:hashCode="kd4EIV+4zew05z" int2:id="t3LnC1uQ">
      <int2:state int2:value="Rejected" int2:type="spell"/>
    </int2:textHash>
    <int2:textHash int2:hashCode="R/LI1kypvoBhFq" int2:id="yjkBAemL">
      <int2:state int2:value="Rejected" int2:type="spell"/>
    </int2:textHash>
    <int2:textHash int2:hashCode="SsoqGWWlGH/14u" int2:id="An2lnKg3">
      <int2:state int2:value="Rejected" int2:type="spell"/>
    </int2:textHash>
    <int2:textHash int2:hashCode="1BXcmyw7V/UkYx" int2:id="e7CKSRGe">
      <int2:state int2:value="Rejected" int2:type="spell"/>
    </int2:textHash>
    <int2:textHash int2:hashCode="kuku5Ek2vmv0CX" int2:id="b94rabD5">
      <int2:state int2:value="Rejected" int2:type="spell"/>
    </int2:textHash>
    <int2:textHash int2:hashCode="OKfkChrO1Ot+sg" int2:id="iurL2WUO">
      <int2:state int2:value="Rejected" int2:type="spell"/>
    </int2:textHash>
    <int2:textHash int2:hashCode="eQFPAaannmy25q" int2:id="CI4XxO58">
      <int2:state int2:value="Rejected" int2:type="spell"/>
    </int2:textHash>
    <int2:entireDocument int2:id="bDqwzCeP">
      <int2:extLst>
        <oel:ext uri="E302BA01-7950-474C-9AD3-286E660C40A8">
          <int2:similaritySummary int2:version="1" int2:runId="1760863958183" int2:tilesCheckedInThisRun="109" int2:totalNumOfTiles="109" int2:similarityAnnotationCount="0" int2:numWords="2412" int2:numFlaggedWords="0"/>
        </oel:ext>
      </int2:extLst>
    </int2:entireDocument>
  </int2:observations>
  <int2:intelligenceSettings/>
  <int2:onDemandWorkflows>
    <int2:onDemandWorkflow int2:type="SimilarityCheck" int2:paragraphVersions="6030E494-1C3A3E4A 44A572FF-48F1FC6A 7F4B92A8-4349A6DC 77C829A9-6894A49A 6D357D94-20B1CC01 59029027-3D6C2352 05A0D42B-600543D0 4AA0B51A-6D9D002E 1C1573BA-59B8A463 5C42C75C-53741732 54916CDE-7447909F 2143B579-56CCD23E 0282C09F-645019D1 6311340C-6AEF6664 05F1D272-0D706083 6D219CF3-7CEB4293 065D9F23-1288473A 1D4B694A-139B9979 15B49750-77777777 73860F61-6D7D4ACF 03A753F6-1E5C2535 454CC182-7C510597 2CA87A76-6956CE0F 566EB95D-2B53D260 70C9FCF9-1022F672 0FFAD4A5-666B62DE 24BC7EE8-26BB9A05 6E5D5043-3F49D190 0CDD0D35-32899493 17506F44-4D3DD20D 03C94259-1CD69C06 5B02FE1D-720AFB11 7908FF49-1CDB77B4 25427603-77777777 42C81315-77777777 3F550677-003EA015 11361A4D-7229D462 2D83C806-77777777 031EE6CE-13292BD8 31BE22DB-3DBFF500 224F2AD6-77777777 57F75E8F-77777777 45605B26-27E145A3 2A0B6922-5AF2D1E1 2A495BCE-6E49A958 1E9B36C1-704D2611 1E4CF60F-3183EC5A 7F2D3B70-0D29E34D 2B30D9DD-63BC210D 47697E6C-4BECD152 73E6D654-60222530 15BAEA30-1821C1C4 327AD501-236F67F5 2C950F7F-435F56B1 7C8330A7-7AD9D987 74531910-6E7515EC 63DD37B2-0971BD0D 2CCC9ADF-20070C6A 693A9AB4-2DB3EEFC 52C061EF-141D70D9 2B41DAFA-1EA96679 621C2F8D-5B0D5706 36CD94A6-39D3E569 1451642A-04E0F451 61557A8F-2CA391C4 212B3410-62C1BE52 342ECE16-517BF4FA 11949B1C-7419759B 55A23A3B-0F5FED5B 48ACCDFD-0FE93326 5D5EE74A-6C30A256 1E4079D2-6D4CEEB5 229EB9F4-72641854 67CE5876-079A01A3 39A2FEF7-3E638744 56C63043-46F71CBC 042D183D-1F056F42 50805D00-21A242E8 459C21A8-40B02DB2 6E46B7EE-7B3AEC63 153FF94C-60756F93 04E94C3B-07E046F3 3105D675-3524F599 14D8F879-57E6B238 1259867D-7E43E053 1C398288-13EACD54 6434D8B2-3438F813 06032832-56546959 5EA851A8-115E93E6 3ACFDC72-77777777 2EB98B25-77777777 0C95A9E2-77777777 78E20D67-77777777 1592CDB8-10E694AB 32EDB06D-7A32FA22 50F51914-58DFB29D 2FD2F10E-55DB1DA7 6F2F8CD0-5946FDEC 59499E30-1EFF8B91 74EDC029-7CB2D9F6 17C1A5CD-03BFFCDB 0F2A6890-1187656B 22320630-23E07A9E 0FF22ADC-187D9ADE 63FC6316-541CF78B 29D27FC2-58B1D79C 53F79B0F-785AFB5A 55879623-0EA998C0 59648700-32855A9A 26AC3E9B-4096414B 0805E986-0A01D8D9 7E6EFCD9-19BE2215 5AEE7D78-54A603BB 1E28986C-05CD1C1D 504E9B7D-77777777 48EAD088-166C358A 077ACDF7-4FEFFEDF 0666DC13-43A87AE2 4A6FF742-22C463D8 56D51127-0693DAD6 0945D0F8-7B298158 2927EA75-5043B614 2D6BB4A1-1CDF436A 4905DF08-1F1EBE33 197213A3-3A0AFA95 0E00B417-2C51748D 72286DCF-4A889E5E 47524749-10241969 610BD285-3229E22E 4EC76B82-6F926DED 5CB9ADFF-3E7A7082 26DD1F8A-49D1B7DE 4ADBE442-6C462A47 540347FA-77777777 4B2204AD-3DA3E7E0 77CC9335-634D1FA0 2C33D21B-29C89F30 5D1A3805-13DA895C 65E83F3D-7F480951 0D3B274D-4021BCF6 020840CA-302A2B84 5D8785EA-254FB7EB 05494414-3E696F25 72BE0E72-339CA6F9 7B747B54-0A490469 4FB43B9B-3EE4DF1A 6E873520-14FFDCFC 0D374DD7-0A0C8FCD 0B420E5C-7024005B 4C186BFE-07CFD326 0664A811-7CFD6EE7 6AB83154-61BD7812 6C6AD914-7F3253A1 462E3C6F-1E387377 1CF9D199-234FF529 458FD89D-1E980570 6F16DB06-49817249 01A921EC-3ED0512A 5258A8DC-51DF9F0E 2C534E10-232057FC 30493E91-77777777 5AD4475B-464A5C26 203236F4-461FF5E1 24215113-4DEC8BC4 0A0332CE-324491AF 2D307B24-247CF539 0F54103A-2F4813BE 2433FA9F-28CD8390 22E2C60D-6BF8F78A 11EBB9E8-6F4BCDEE 0BE8370C-3FDBB4BA 3D1B3058-72D7A4FE 3B5FABBE-347D4DE2 64F040AA-509FE36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A03DA"/>
    <w:multiLevelType w:val="hybridMultilevel"/>
    <w:tmpl w:val="BD145AB0"/>
    <w:lvl w:ilvl="0" w:tplc="7E12FF78">
      <w:start w:val="1"/>
      <w:numFmt w:val="decimal"/>
      <w:lvlText w:val="%1."/>
      <w:lvlJc w:val="left"/>
      <w:pPr>
        <w:ind w:left="720" w:hanging="360"/>
      </w:pPr>
    </w:lvl>
    <w:lvl w:ilvl="1" w:tplc="2FAC5610">
      <w:start w:val="1"/>
      <w:numFmt w:val="lowerLetter"/>
      <w:lvlText w:val="%2."/>
      <w:lvlJc w:val="left"/>
      <w:pPr>
        <w:ind w:left="1440" w:hanging="360"/>
      </w:pPr>
    </w:lvl>
    <w:lvl w:ilvl="2" w:tplc="21D68188">
      <w:start w:val="1"/>
      <w:numFmt w:val="lowerRoman"/>
      <w:lvlText w:val="%3."/>
      <w:lvlJc w:val="right"/>
      <w:pPr>
        <w:ind w:left="2160" w:hanging="180"/>
      </w:pPr>
    </w:lvl>
    <w:lvl w:ilvl="3" w:tplc="DCD0BF90">
      <w:start w:val="1"/>
      <w:numFmt w:val="decimal"/>
      <w:lvlText w:val="%4."/>
      <w:lvlJc w:val="left"/>
      <w:pPr>
        <w:ind w:left="2880" w:hanging="360"/>
      </w:pPr>
    </w:lvl>
    <w:lvl w:ilvl="4" w:tplc="ACEC5968">
      <w:start w:val="1"/>
      <w:numFmt w:val="lowerLetter"/>
      <w:lvlText w:val="%5."/>
      <w:lvlJc w:val="left"/>
      <w:pPr>
        <w:ind w:left="3600" w:hanging="360"/>
      </w:pPr>
    </w:lvl>
    <w:lvl w:ilvl="5" w:tplc="6CB25EC8">
      <w:start w:val="1"/>
      <w:numFmt w:val="lowerRoman"/>
      <w:lvlText w:val="%6."/>
      <w:lvlJc w:val="right"/>
      <w:pPr>
        <w:ind w:left="4320" w:hanging="180"/>
      </w:pPr>
    </w:lvl>
    <w:lvl w:ilvl="6" w:tplc="970E5F2E">
      <w:start w:val="1"/>
      <w:numFmt w:val="decimal"/>
      <w:lvlText w:val="%7."/>
      <w:lvlJc w:val="left"/>
      <w:pPr>
        <w:ind w:left="5040" w:hanging="360"/>
      </w:pPr>
    </w:lvl>
    <w:lvl w:ilvl="7" w:tplc="F412F5D2">
      <w:start w:val="1"/>
      <w:numFmt w:val="lowerLetter"/>
      <w:lvlText w:val="%8."/>
      <w:lvlJc w:val="left"/>
      <w:pPr>
        <w:ind w:left="5760" w:hanging="360"/>
      </w:pPr>
    </w:lvl>
    <w:lvl w:ilvl="8" w:tplc="3822C04A">
      <w:start w:val="1"/>
      <w:numFmt w:val="lowerRoman"/>
      <w:lvlText w:val="%9."/>
      <w:lvlJc w:val="right"/>
      <w:pPr>
        <w:ind w:left="6480" w:hanging="180"/>
      </w:pPr>
    </w:lvl>
  </w:abstractNum>
  <w:abstractNum w:abstractNumId="1" w15:restartNumberingAfterBreak="0">
    <w:nsid w:val="376B2FE5"/>
    <w:multiLevelType w:val="hybridMultilevel"/>
    <w:tmpl w:val="CD9C9592"/>
    <w:lvl w:ilvl="0" w:tplc="786E985E">
      <w:start w:val="1"/>
      <w:numFmt w:val="bullet"/>
      <w:lvlText w:val=""/>
      <w:lvlJc w:val="left"/>
      <w:pPr>
        <w:ind w:left="720" w:hanging="360"/>
      </w:pPr>
      <w:rPr>
        <w:rFonts w:ascii="Symbol" w:hAnsi="Symbol" w:hint="default"/>
      </w:rPr>
    </w:lvl>
    <w:lvl w:ilvl="1" w:tplc="F82667D2">
      <w:start w:val="1"/>
      <w:numFmt w:val="bullet"/>
      <w:lvlText w:val="o"/>
      <w:lvlJc w:val="left"/>
      <w:pPr>
        <w:ind w:left="1440" w:hanging="360"/>
      </w:pPr>
      <w:rPr>
        <w:rFonts w:ascii="Courier New" w:hAnsi="Courier New" w:hint="default"/>
      </w:rPr>
    </w:lvl>
    <w:lvl w:ilvl="2" w:tplc="53AC50B8">
      <w:start w:val="1"/>
      <w:numFmt w:val="bullet"/>
      <w:lvlText w:val=""/>
      <w:lvlJc w:val="left"/>
      <w:pPr>
        <w:ind w:left="2160" w:hanging="360"/>
      </w:pPr>
      <w:rPr>
        <w:rFonts w:ascii="Wingdings" w:hAnsi="Wingdings" w:hint="default"/>
      </w:rPr>
    </w:lvl>
    <w:lvl w:ilvl="3" w:tplc="1FB6FE32">
      <w:start w:val="1"/>
      <w:numFmt w:val="bullet"/>
      <w:lvlText w:val=""/>
      <w:lvlJc w:val="left"/>
      <w:pPr>
        <w:ind w:left="2880" w:hanging="360"/>
      </w:pPr>
      <w:rPr>
        <w:rFonts w:ascii="Symbol" w:hAnsi="Symbol" w:hint="default"/>
      </w:rPr>
    </w:lvl>
    <w:lvl w:ilvl="4" w:tplc="50FEA60C">
      <w:start w:val="1"/>
      <w:numFmt w:val="bullet"/>
      <w:lvlText w:val="o"/>
      <w:lvlJc w:val="left"/>
      <w:pPr>
        <w:ind w:left="3600" w:hanging="360"/>
      </w:pPr>
      <w:rPr>
        <w:rFonts w:ascii="Courier New" w:hAnsi="Courier New" w:hint="default"/>
      </w:rPr>
    </w:lvl>
    <w:lvl w:ilvl="5" w:tplc="B3F2C7F2">
      <w:start w:val="1"/>
      <w:numFmt w:val="bullet"/>
      <w:lvlText w:val=""/>
      <w:lvlJc w:val="left"/>
      <w:pPr>
        <w:ind w:left="4320" w:hanging="360"/>
      </w:pPr>
      <w:rPr>
        <w:rFonts w:ascii="Wingdings" w:hAnsi="Wingdings" w:hint="default"/>
      </w:rPr>
    </w:lvl>
    <w:lvl w:ilvl="6" w:tplc="16F04E76">
      <w:start w:val="1"/>
      <w:numFmt w:val="bullet"/>
      <w:lvlText w:val=""/>
      <w:lvlJc w:val="left"/>
      <w:pPr>
        <w:ind w:left="5040" w:hanging="360"/>
      </w:pPr>
      <w:rPr>
        <w:rFonts w:ascii="Symbol" w:hAnsi="Symbol" w:hint="default"/>
      </w:rPr>
    </w:lvl>
    <w:lvl w:ilvl="7" w:tplc="6D9439BC">
      <w:start w:val="1"/>
      <w:numFmt w:val="bullet"/>
      <w:lvlText w:val="o"/>
      <w:lvlJc w:val="left"/>
      <w:pPr>
        <w:ind w:left="5760" w:hanging="360"/>
      </w:pPr>
      <w:rPr>
        <w:rFonts w:ascii="Courier New" w:hAnsi="Courier New" w:hint="default"/>
      </w:rPr>
    </w:lvl>
    <w:lvl w:ilvl="8" w:tplc="47087248">
      <w:start w:val="1"/>
      <w:numFmt w:val="bullet"/>
      <w:lvlText w:val=""/>
      <w:lvlJc w:val="left"/>
      <w:pPr>
        <w:ind w:left="6480" w:hanging="360"/>
      </w:pPr>
      <w:rPr>
        <w:rFonts w:ascii="Wingdings" w:hAnsi="Wingdings" w:hint="default"/>
      </w:rPr>
    </w:lvl>
  </w:abstractNum>
  <w:abstractNum w:abstractNumId="2" w15:restartNumberingAfterBreak="0">
    <w:nsid w:val="403254FD"/>
    <w:multiLevelType w:val="hybridMultilevel"/>
    <w:tmpl w:val="CB7831A8"/>
    <w:lvl w:ilvl="0" w:tplc="8ABCCB40">
      <w:start w:val="1"/>
      <w:numFmt w:val="bullet"/>
      <w:lvlText w:val=""/>
      <w:lvlJc w:val="left"/>
      <w:pPr>
        <w:ind w:left="720" w:hanging="360"/>
      </w:pPr>
      <w:rPr>
        <w:rFonts w:ascii="Symbol" w:hAnsi="Symbol" w:hint="default"/>
      </w:rPr>
    </w:lvl>
    <w:lvl w:ilvl="1" w:tplc="EE42E524">
      <w:start w:val="1"/>
      <w:numFmt w:val="bullet"/>
      <w:lvlText w:val="o"/>
      <w:lvlJc w:val="left"/>
      <w:pPr>
        <w:ind w:left="1440" w:hanging="360"/>
      </w:pPr>
      <w:rPr>
        <w:rFonts w:ascii="Courier New" w:hAnsi="Courier New" w:hint="default"/>
      </w:rPr>
    </w:lvl>
    <w:lvl w:ilvl="2" w:tplc="114C0D64">
      <w:start w:val="1"/>
      <w:numFmt w:val="bullet"/>
      <w:lvlText w:val=""/>
      <w:lvlJc w:val="left"/>
      <w:pPr>
        <w:ind w:left="2160" w:hanging="360"/>
      </w:pPr>
      <w:rPr>
        <w:rFonts w:ascii="Wingdings" w:hAnsi="Wingdings" w:hint="default"/>
      </w:rPr>
    </w:lvl>
    <w:lvl w:ilvl="3" w:tplc="F65CE6A2">
      <w:start w:val="1"/>
      <w:numFmt w:val="bullet"/>
      <w:lvlText w:val=""/>
      <w:lvlJc w:val="left"/>
      <w:pPr>
        <w:ind w:left="2880" w:hanging="360"/>
      </w:pPr>
      <w:rPr>
        <w:rFonts w:ascii="Symbol" w:hAnsi="Symbol" w:hint="default"/>
      </w:rPr>
    </w:lvl>
    <w:lvl w:ilvl="4" w:tplc="569883B8">
      <w:start w:val="1"/>
      <w:numFmt w:val="bullet"/>
      <w:lvlText w:val="o"/>
      <w:lvlJc w:val="left"/>
      <w:pPr>
        <w:ind w:left="3600" w:hanging="360"/>
      </w:pPr>
      <w:rPr>
        <w:rFonts w:ascii="Courier New" w:hAnsi="Courier New" w:hint="default"/>
      </w:rPr>
    </w:lvl>
    <w:lvl w:ilvl="5" w:tplc="91A4BF46">
      <w:start w:val="1"/>
      <w:numFmt w:val="bullet"/>
      <w:lvlText w:val=""/>
      <w:lvlJc w:val="left"/>
      <w:pPr>
        <w:ind w:left="4320" w:hanging="360"/>
      </w:pPr>
      <w:rPr>
        <w:rFonts w:ascii="Wingdings" w:hAnsi="Wingdings" w:hint="default"/>
      </w:rPr>
    </w:lvl>
    <w:lvl w:ilvl="6" w:tplc="53CA052A">
      <w:start w:val="1"/>
      <w:numFmt w:val="bullet"/>
      <w:lvlText w:val=""/>
      <w:lvlJc w:val="left"/>
      <w:pPr>
        <w:ind w:left="5040" w:hanging="360"/>
      </w:pPr>
      <w:rPr>
        <w:rFonts w:ascii="Symbol" w:hAnsi="Symbol" w:hint="default"/>
      </w:rPr>
    </w:lvl>
    <w:lvl w:ilvl="7" w:tplc="77DA408C">
      <w:start w:val="1"/>
      <w:numFmt w:val="bullet"/>
      <w:lvlText w:val="o"/>
      <w:lvlJc w:val="left"/>
      <w:pPr>
        <w:ind w:left="5760" w:hanging="360"/>
      </w:pPr>
      <w:rPr>
        <w:rFonts w:ascii="Courier New" w:hAnsi="Courier New" w:hint="default"/>
      </w:rPr>
    </w:lvl>
    <w:lvl w:ilvl="8" w:tplc="C6F099E4">
      <w:start w:val="1"/>
      <w:numFmt w:val="bullet"/>
      <w:lvlText w:val=""/>
      <w:lvlJc w:val="left"/>
      <w:pPr>
        <w:ind w:left="6480" w:hanging="360"/>
      </w:pPr>
      <w:rPr>
        <w:rFonts w:ascii="Wingdings" w:hAnsi="Wingdings" w:hint="default"/>
      </w:rPr>
    </w:lvl>
  </w:abstractNum>
  <w:abstractNum w:abstractNumId="3" w15:restartNumberingAfterBreak="0">
    <w:nsid w:val="527CED5D"/>
    <w:multiLevelType w:val="hybridMultilevel"/>
    <w:tmpl w:val="51B856D8"/>
    <w:lvl w:ilvl="0" w:tplc="1AB61A3C">
      <w:start w:val="1"/>
      <w:numFmt w:val="bullet"/>
      <w:lvlText w:val=""/>
      <w:lvlJc w:val="left"/>
      <w:pPr>
        <w:ind w:left="720" w:hanging="360"/>
      </w:pPr>
      <w:rPr>
        <w:rFonts w:ascii="Symbol" w:hAnsi="Symbol" w:hint="default"/>
      </w:rPr>
    </w:lvl>
    <w:lvl w:ilvl="1" w:tplc="B1EEA71E">
      <w:start w:val="1"/>
      <w:numFmt w:val="bullet"/>
      <w:lvlText w:val="o"/>
      <w:lvlJc w:val="left"/>
      <w:pPr>
        <w:ind w:left="1440" w:hanging="360"/>
      </w:pPr>
      <w:rPr>
        <w:rFonts w:ascii="Courier New" w:hAnsi="Courier New" w:hint="default"/>
      </w:rPr>
    </w:lvl>
    <w:lvl w:ilvl="2" w:tplc="AA74C7B2">
      <w:start w:val="1"/>
      <w:numFmt w:val="bullet"/>
      <w:lvlText w:val=""/>
      <w:lvlJc w:val="left"/>
      <w:pPr>
        <w:ind w:left="2160" w:hanging="360"/>
      </w:pPr>
      <w:rPr>
        <w:rFonts w:ascii="Wingdings" w:hAnsi="Wingdings" w:hint="default"/>
      </w:rPr>
    </w:lvl>
    <w:lvl w:ilvl="3" w:tplc="90BE5A90">
      <w:start w:val="1"/>
      <w:numFmt w:val="bullet"/>
      <w:lvlText w:val=""/>
      <w:lvlJc w:val="left"/>
      <w:pPr>
        <w:ind w:left="2880" w:hanging="360"/>
      </w:pPr>
      <w:rPr>
        <w:rFonts w:ascii="Symbol" w:hAnsi="Symbol" w:hint="default"/>
      </w:rPr>
    </w:lvl>
    <w:lvl w:ilvl="4" w:tplc="A650EA58">
      <w:start w:val="1"/>
      <w:numFmt w:val="bullet"/>
      <w:lvlText w:val="o"/>
      <w:lvlJc w:val="left"/>
      <w:pPr>
        <w:ind w:left="3600" w:hanging="360"/>
      </w:pPr>
      <w:rPr>
        <w:rFonts w:ascii="Courier New" w:hAnsi="Courier New" w:hint="default"/>
      </w:rPr>
    </w:lvl>
    <w:lvl w:ilvl="5" w:tplc="BD224DB4">
      <w:start w:val="1"/>
      <w:numFmt w:val="bullet"/>
      <w:lvlText w:val=""/>
      <w:lvlJc w:val="left"/>
      <w:pPr>
        <w:ind w:left="4320" w:hanging="360"/>
      </w:pPr>
      <w:rPr>
        <w:rFonts w:ascii="Wingdings" w:hAnsi="Wingdings" w:hint="default"/>
      </w:rPr>
    </w:lvl>
    <w:lvl w:ilvl="6" w:tplc="819223C2">
      <w:start w:val="1"/>
      <w:numFmt w:val="bullet"/>
      <w:lvlText w:val=""/>
      <w:lvlJc w:val="left"/>
      <w:pPr>
        <w:ind w:left="5040" w:hanging="360"/>
      </w:pPr>
      <w:rPr>
        <w:rFonts w:ascii="Symbol" w:hAnsi="Symbol" w:hint="default"/>
      </w:rPr>
    </w:lvl>
    <w:lvl w:ilvl="7" w:tplc="1BD06CFA">
      <w:start w:val="1"/>
      <w:numFmt w:val="bullet"/>
      <w:lvlText w:val="o"/>
      <w:lvlJc w:val="left"/>
      <w:pPr>
        <w:ind w:left="5760" w:hanging="360"/>
      </w:pPr>
      <w:rPr>
        <w:rFonts w:ascii="Courier New" w:hAnsi="Courier New" w:hint="default"/>
      </w:rPr>
    </w:lvl>
    <w:lvl w:ilvl="8" w:tplc="2CBCA3B4">
      <w:start w:val="1"/>
      <w:numFmt w:val="bullet"/>
      <w:lvlText w:val=""/>
      <w:lvlJc w:val="left"/>
      <w:pPr>
        <w:ind w:left="6480" w:hanging="360"/>
      </w:pPr>
      <w:rPr>
        <w:rFonts w:ascii="Wingdings" w:hAnsi="Wingdings" w:hint="default"/>
      </w:rPr>
    </w:lvl>
  </w:abstractNum>
  <w:abstractNum w:abstractNumId="4" w15:restartNumberingAfterBreak="0">
    <w:nsid w:val="6710C5FD"/>
    <w:multiLevelType w:val="hybridMultilevel"/>
    <w:tmpl w:val="23A4C9CC"/>
    <w:lvl w:ilvl="0" w:tplc="528E82FC">
      <w:start w:val="1"/>
      <w:numFmt w:val="decimal"/>
      <w:lvlText w:val="%1."/>
      <w:lvlJc w:val="left"/>
      <w:pPr>
        <w:ind w:left="720" w:hanging="360"/>
      </w:pPr>
    </w:lvl>
    <w:lvl w:ilvl="1" w:tplc="9C6C80AE">
      <w:start w:val="1"/>
      <w:numFmt w:val="lowerLetter"/>
      <w:lvlText w:val="%2."/>
      <w:lvlJc w:val="left"/>
      <w:pPr>
        <w:ind w:left="1440" w:hanging="360"/>
      </w:pPr>
    </w:lvl>
    <w:lvl w:ilvl="2" w:tplc="0F1E473E">
      <w:start w:val="1"/>
      <w:numFmt w:val="lowerRoman"/>
      <w:lvlText w:val="%3."/>
      <w:lvlJc w:val="right"/>
      <w:pPr>
        <w:ind w:left="2160" w:hanging="180"/>
      </w:pPr>
    </w:lvl>
    <w:lvl w:ilvl="3" w:tplc="99A24030">
      <w:start w:val="1"/>
      <w:numFmt w:val="decimal"/>
      <w:lvlText w:val="%4."/>
      <w:lvlJc w:val="left"/>
      <w:pPr>
        <w:ind w:left="2880" w:hanging="360"/>
      </w:pPr>
    </w:lvl>
    <w:lvl w:ilvl="4" w:tplc="FE90A726">
      <w:start w:val="1"/>
      <w:numFmt w:val="lowerLetter"/>
      <w:lvlText w:val="%5."/>
      <w:lvlJc w:val="left"/>
      <w:pPr>
        <w:ind w:left="3600" w:hanging="360"/>
      </w:pPr>
    </w:lvl>
    <w:lvl w:ilvl="5" w:tplc="CB4CCB16">
      <w:start w:val="1"/>
      <w:numFmt w:val="lowerRoman"/>
      <w:lvlText w:val="%6."/>
      <w:lvlJc w:val="right"/>
      <w:pPr>
        <w:ind w:left="4320" w:hanging="180"/>
      </w:pPr>
    </w:lvl>
    <w:lvl w:ilvl="6" w:tplc="7EE6D58A">
      <w:start w:val="1"/>
      <w:numFmt w:val="decimal"/>
      <w:lvlText w:val="%7."/>
      <w:lvlJc w:val="left"/>
      <w:pPr>
        <w:ind w:left="5040" w:hanging="360"/>
      </w:pPr>
    </w:lvl>
    <w:lvl w:ilvl="7" w:tplc="D03C064E">
      <w:start w:val="1"/>
      <w:numFmt w:val="lowerLetter"/>
      <w:lvlText w:val="%8."/>
      <w:lvlJc w:val="left"/>
      <w:pPr>
        <w:ind w:left="5760" w:hanging="360"/>
      </w:pPr>
    </w:lvl>
    <w:lvl w:ilvl="8" w:tplc="4AF4C970">
      <w:start w:val="1"/>
      <w:numFmt w:val="lowerRoman"/>
      <w:lvlText w:val="%9."/>
      <w:lvlJc w:val="right"/>
      <w:pPr>
        <w:ind w:left="6480" w:hanging="180"/>
      </w:pPr>
    </w:lvl>
  </w:abstractNum>
  <w:abstractNum w:abstractNumId="5" w15:restartNumberingAfterBreak="0">
    <w:nsid w:val="74A23F3B"/>
    <w:multiLevelType w:val="hybridMultilevel"/>
    <w:tmpl w:val="341A496A"/>
    <w:lvl w:ilvl="0" w:tplc="B8DAF9AC">
      <w:start w:val="1"/>
      <w:numFmt w:val="lowerLetter"/>
      <w:lvlText w:val="%1)"/>
      <w:lvlJc w:val="left"/>
      <w:pPr>
        <w:ind w:left="360" w:hanging="360"/>
      </w:pPr>
      <w:rPr>
        <w:rFonts w:hint="default"/>
        <w:b/>
        <w:bCs/>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num w:numId="1" w16cid:durableId="1840078087">
    <w:abstractNumId w:val="0"/>
  </w:num>
  <w:num w:numId="2" w16cid:durableId="1186745293">
    <w:abstractNumId w:val="2"/>
  </w:num>
  <w:num w:numId="3" w16cid:durableId="1536310914">
    <w:abstractNumId w:val="4"/>
  </w:num>
  <w:num w:numId="4" w16cid:durableId="1925456122">
    <w:abstractNumId w:val="1"/>
  </w:num>
  <w:num w:numId="5" w16cid:durableId="912157320">
    <w:abstractNumId w:val="3"/>
  </w:num>
  <w:num w:numId="6" w16cid:durableId="18932249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36DC67"/>
    <w:rsid w:val="0004268D"/>
    <w:rsid w:val="00052B17"/>
    <w:rsid w:val="000B7EBA"/>
    <w:rsid w:val="00102FA0"/>
    <w:rsid w:val="001463AB"/>
    <w:rsid w:val="001741A6"/>
    <w:rsid w:val="00183D91"/>
    <w:rsid w:val="00197D5A"/>
    <w:rsid w:val="001E1F44"/>
    <w:rsid w:val="00203979"/>
    <w:rsid w:val="002042C4"/>
    <w:rsid w:val="00207FD4"/>
    <w:rsid w:val="00210E8B"/>
    <w:rsid w:val="00244B6B"/>
    <w:rsid w:val="00253411"/>
    <w:rsid w:val="002548F9"/>
    <w:rsid w:val="00262ACF"/>
    <w:rsid w:val="00312484"/>
    <w:rsid w:val="003643BD"/>
    <w:rsid w:val="003776FA"/>
    <w:rsid w:val="003F099F"/>
    <w:rsid w:val="004320C9"/>
    <w:rsid w:val="004604B2"/>
    <w:rsid w:val="00486BB4"/>
    <w:rsid w:val="005F1E31"/>
    <w:rsid w:val="005F3C8C"/>
    <w:rsid w:val="00617A5B"/>
    <w:rsid w:val="00636A0E"/>
    <w:rsid w:val="00650448"/>
    <w:rsid w:val="0065056F"/>
    <w:rsid w:val="006B7586"/>
    <w:rsid w:val="00791CA2"/>
    <w:rsid w:val="007A217B"/>
    <w:rsid w:val="007A7D21"/>
    <w:rsid w:val="00821562"/>
    <w:rsid w:val="00893F36"/>
    <w:rsid w:val="00896F31"/>
    <w:rsid w:val="008E033E"/>
    <w:rsid w:val="00932860"/>
    <w:rsid w:val="0094566C"/>
    <w:rsid w:val="00950FBD"/>
    <w:rsid w:val="00971259"/>
    <w:rsid w:val="009B65B3"/>
    <w:rsid w:val="009D19F4"/>
    <w:rsid w:val="009E4D00"/>
    <w:rsid w:val="009F0BDD"/>
    <w:rsid w:val="00A13508"/>
    <w:rsid w:val="00A27B8C"/>
    <w:rsid w:val="00A611EF"/>
    <w:rsid w:val="00AA361C"/>
    <w:rsid w:val="00AB0B24"/>
    <w:rsid w:val="00AF35A3"/>
    <w:rsid w:val="00C170FE"/>
    <w:rsid w:val="00C17D20"/>
    <w:rsid w:val="00C53B79"/>
    <w:rsid w:val="00C54EBA"/>
    <w:rsid w:val="00CD7FCB"/>
    <w:rsid w:val="00DC686B"/>
    <w:rsid w:val="00E74529"/>
    <w:rsid w:val="00E9457F"/>
    <w:rsid w:val="00EB278B"/>
    <w:rsid w:val="00EC509E"/>
    <w:rsid w:val="00F04F90"/>
    <w:rsid w:val="00F165CE"/>
    <w:rsid w:val="00F172FD"/>
    <w:rsid w:val="00F1786E"/>
    <w:rsid w:val="00F42E10"/>
    <w:rsid w:val="00F51252"/>
    <w:rsid w:val="00F74E7F"/>
    <w:rsid w:val="00FA3FBA"/>
    <w:rsid w:val="00FC6DD7"/>
    <w:rsid w:val="00FF3763"/>
    <w:rsid w:val="012C9D9C"/>
    <w:rsid w:val="01A8D44A"/>
    <w:rsid w:val="01DFD6F1"/>
    <w:rsid w:val="02BE1103"/>
    <w:rsid w:val="03686425"/>
    <w:rsid w:val="03CB323E"/>
    <w:rsid w:val="0443FE7A"/>
    <w:rsid w:val="0448D793"/>
    <w:rsid w:val="0468DFB8"/>
    <w:rsid w:val="04697979"/>
    <w:rsid w:val="05502632"/>
    <w:rsid w:val="060453DF"/>
    <w:rsid w:val="061774AA"/>
    <w:rsid w:val="077B65A3"/>
    <w:rsid w:val="080BA151"/>
    <w:rsid w:val="08622DC6"/>
    <w:rsid w:val="08995C3F"/>
    <w:rsid w:val="0A1B8C55"/>
    <w:rsid w:val="0A7594CC"/>
    <w:rsid w:val="0A8D7AE4"/>
    <w:rsid w:val="0AD4CE23"/>
    <w:rsid w:val="0BF278D6"/>
    <w:rsid w:val="0D76F1AC"/>
    <w:rsid w:val="0DEBA197"/>
    <w:rsid w:val="0DF0CFF1"/>
    <w:rsid w:val="0EBB07F9"/>
    <w:rsid w:val="0F83A274"/>
    <w:rsid w:val="0F865669"/>
    <w:rsid w:val="10024D9C"/>
    <w:rsid w:val="101AD482"/>
    <w:rsid w:val="103A12F9"/>
    <w:rsid w:val="10CBD051"/>
    <w:rsid w:val="117F3B93"/>
    <w:rsid w:val="11BC7DA2"/>
    <w:rsid w:val="123251D0"/>
    <w:rsid w:val="12B2B076"/>
    <w:rsid w:val="12FF8DD0"/>
    <w:rsid w:val="13151F2B"/>
    <w:rsid w:val="136309B4"/>
    <w:rsid w:val="13EDE4E8"/>
    <w:rsid w:val="1425DDFB"/>
    <w:rsid w:val="1458DBF2"/>
    <w:rsid w:val="14AFB72B"/>
    <w:rsid w:val="14B2C6D0"/>
    <w:rsid w:val="14CD08D7"/>
    <w:rsid w:val="14FBFB8F"/>
    <w:rsid w:val="15875FED"/>
    <w:rsid w:val="15DF93DF"/>
    <w:rsid w:val="16045853"/>
    <w:rsid w:val="163E6C2A"/>
    <w:rsid w:val="16400451"/>
    <w:rsid w:val="16435BB9"/>
    <w:rsid w:val="16A8F06E"/>
    <w:rsid w:val="16E708C8"/>
    <w:rsid w:val="174710EB"/>
    <w:rsid w:val="179B2BF9"/>
    <w:rsid w:val="18A6D9F9"/>
    <w:rsid w:val="18E22554"/>
    <w:rsid w:val="18F78E35"/>
    <w:rsid w:val="190B5E24"/>
    <w:rsid w:val="190D3E7F"/>
    <w:rsid w:val="19227CF0"/>
    <w:rsid w:val="199EA394"/>
    <w:rsid w:val="1A40519F"/>
    <w:rsid w:val="1AF6C4BD"/>
    <w:rsid w:val="1B51AB55"/>
    <w:rsid w:val="1B7FFA1C"/>
    <w:rsid w:val="1B995BD9"/>
    <w:rsid w:val="1BA87D47"/>
    <w:rsid w:val="1BE2307A"/>
    <w:rsid w:val="1BFF034E"/>
    <w:rsid w:val="1C72A401"/>
    <w:rsid w:val="1C8BD6C8"/>
    <w:rsid w:val="1D021221"/>
    <w:rsid w:val="1D389927"/>
    <w:rsid w:val="1D7B9DC1"/>
    <w:rsid w:val="1D8B5E4A"/>
    <w:rsid w:val="1DD808F0"/>
    <w:rsid w:val="1E3CB575"/>
    <w:rsid w:val="1ED649C3"/>
    <w:rsid w:val="1F18878B"/>
    <w:rsid w:val="1FB9D756"/>
    <w:rsid w:val="1FCC019C"/>
    <w:rsid w:val="206D09D8"/>
    <w:rsid w:val="21C82B69"/>
    <w:rsid w:val="21E3E0EA"/>
    <w:rsid w:val="221616DE"/>
    <w:rsid w:val="22FB3EF0"/>
    <w:rsid w:val="230EBABA"/>
    <w:rsid w:val="23AE34D2"/>
    <w:rsid w:val="23BF097E"/>
    <w:rsid w:val="23F9456E"/>
    <w:rsid w:val="24339373"/>
    <w:rsid w:val="24852BC3"/>
    <w:rsid w:val="249FD810"/>
    <w:rsid w:val="25BDE90C"/>
    <w:rsid w:val="25DD8A01"/>
    <w:rsid w:val="25F7DF7D"/>
    <w:rsid w:val="260784C7"/>
    <w:rsid w:val="268C8693"/>
    <w:rsid w:val="26961055"/>
    <w:rsid w:val="26B9B84F"/>
    <w:rsid w:val="2730A88D"/>
    <w:rsid w:val="276DA1B0"/>
    <w:rsid w:val="278A12B0"/>
    <w:rsid w:val="286A3000"/>
    <w:rsid w:val="2A138366"/>
    <w:rsid w:val="2B368D37"/>
    <w:rsid w:val="2BA725D7"/>
    <w:rsid w:val="2D28EBF4"/>
    <w:rsid w:val="2D8D3012"/>
    <w:rsid w:val="2D981BD4"/>
    <w:rsid w:val="2DB320A0"/>
    <w:rsid w:val="2E2BA7A1"/>
    <w:rsid w:val="2E693D0F"/>
    <w:rsid w:val="2EBAD094"/>
    <w:rsid w:val="2EFDEDEA"/>
    <w:rsid w:val="2FE21FEF"/>
    <w:rsid w:val="30136D1D"/>
    <w:rsid w:val="3033C6F2"/>
    <w:rsid w:val="311E36A1"/>
    <w:rsid w:val="3129AAFE"/>
    <w:rsid w:val="31CD9210"/>
    <w:rsid w:val="32F02016"/>
    <w:rsid w:val="3353119D"/>
    <w:rsid w:val="3378D680"/>
    <w:rsid w:val="33B557B0"/>
    <w:rsid w:val="33F334A5"/>
    <w:rsid w:val="3420D13E"/>
    <w:rsid w:val="346E4F51"/>
    <w:rsid w:val="3473BDE3"/>
    <w:rsid w:val="34C3E3D9"/>
    <w:rsid w:val="34F49264"/>
    <w:rsid w:val="3505F542"/>
    <w:rsid w:val="3533AA95"/>
    <w:rsid w:val="356B79B9"/>
    <w:rsid w:val="357D6E1F"/>
    <w:rsid w:val="35C4FE45"/>
    <w:rsid w:val="35C6E74C"/>
    <w:rsid w:val="35CD3B75"/>
    <w:rsid w:val="36960591"/>
    <w:rsid w:val="36DBF75A"/>
    <w:rsid w:val="37205CD7"/>
    <w:rsid w:val="374B8B7C"/>
    <w:rsid w:val="376B8B76"/>
    <w:rsid w:val="37714417"/>
    <w:rsid w:val="377977FC"/>
    <w:rsid w:val="38C39BE4"/>
    <w:rsid w:val="38C481C9"/>
    <w:rsid w:val="38F9E512"/>
    <w:rsid w:val="39D2F1B5"/>
    <w:rsid w:val="3AA46D6F"/>
    <w:rsid w:val="3AA795DF"/>
    <w:rsid w:val="3ADC5104"/>
    <w:rsid w:val="3B19D833"/>
    <w:rsid w:val="3B1A93D3"/>
    <w:rsid w:val="3B520D99"/>
    <w:rsid w:val="3BFF577E"/>
    <w:rsid w:val="3C44F857"/>
    <w:rsid w:val="3C7C9E4E"/>
    <w:rsid w:val="3D19177D"/>
    <w:rsid w:val="3DC038D3"/>
    <w:rsid w:val="3FB7839A"/>
    <w:rsid w:val="3FE2342F"/>
    <w:rsid w:val="3FF8D7A1"/>
    <w:rsid w:val="40D0F6EA"/>
    <w:rsid w:val="40F99F40"/>
    <w:rsid w:val="4102DB6F"/>
    <w:rsid w:val="416C00CF"/>
    <w:rsid w:val="416D9EC7"/>
    <w:rsid w:val="41C6F7C4"/>
    <w:rsid w:val="41E50795"/>
    <w:rsid w:val="423618F8"/>
    <w:rsid w:val="429A3320"/>
    <w:rsid w:val="42B196A8"/>
    <w:rsid w:val="42D06E69"/>
    <w:rsid w:val="4304E410"/>
    <w:rsid w:val="43558037"/>
    <w:rsid w:val="436D251E"/>
    <w:rsid w:val="443B42BD"/>
    <w:rsid w:val="44827263"/>
    <w:rsid w:val="44BC1A9C"/>
    <w:rsid w:val="45793AAE"/>
    <w:rsid w:val="45F75F14"/>
    <w:rsid w:val="45FB990E"/>
    <w:rsid w:val="46AE927F"/>
    <w:rsid w:val="472ABF6B"/>
    <w:rsid w:val="481AF8E1"/>
    <w:rsid w:val="482D4D05"/>
    <w:rsid w:val="48C497B3"/>
    <w:rsid w:val="48D1BD1E"/>
    <w:rsid w:val="494D1B48"/>
    <w:rsid w:val="4A153B83"/>
    <w:rsid w:val="4A391359"/>
    <w:rsid w:val="4A46998C"/>
    <w:rsid w:val="4ABB2BBA"/>
    <w:rsid w:val="4B91B64A"/>
    <w:rsid w:val="4C6974BA"/>
    <w:rsid w:val="4D0E3C52"/>
    <w:rsid w:val="4D9F84A4"/>
    <w:rsid w:val="4DE9D23B"/>
    <w:rsid w:val="4E72A225"/>
    <w:rsid w:val="500A288C"/>
    <w:rsid w:val="501A2D78"/>
    <w:rsid w:val="5049EFB4"/>
    <w:rsid w:val="5057DA21"/>
    <w:rsid w:val="5065CF1E"/>
    <w:rsid w:val="507C5F29"/>
    <w:rsid w:val="5092CAB5"/>
    <w:rsid w:val="50DAE43A"/>
    <w:rsid w:val="51104769"/>
    <w:rsid w:val="511845EF"/>
    <w:rsid w:val="512DC771"/>
    <w:rsid w:val="51C4DF7D"/>
    <w:rsid w:val="52166947"/>
    <w:rsid w:val="526E6A41"/>
    <w:rsid w:val="529200D7"/>
    <w:rsid w:val="53E663A6"/>
    <w:rsid w:val="541C0C84"/>
    <w:rsid w:val="542C2E3D"/>
    <w:rsid w:val="544D8EA8"/>
    <w:rsid w:val="5475A41C"/>
    <w:rsid w:val="54AEA677"/>
    <w:rsid w:val="54BBCCBD"/>
    <w:rsid w:val="54E8FE16"/>
    <w:rsid w:val="550D64B6"/>
    <w:rsid w:val="5602EC73"/>
    <w:rsid w:val="5666B95B"/>
    <w:rsid w:val="56F1AEC5"/>
    <w:rsid w:val="56FC6871"/>
    <w:rsid w:val="57199638"/>
    <w:rsid w:val="57510EE1"/>
    <w:rsid w:val="578D0974"/>
    <w:rsid w:val="57B9DA63"/>
    <w:rsid w:val="5812F928"/>
    <w:rsid w:val="581C637F"/>
    <w:rsid w:val="587CBD73"/>
    <w:rsid w:val="59926D25"/>
    <w:rsid w:val="59F20141"/>
    <w:rsid w:val="5A2EF716"/>
    <w:rsid w:val="5B3EAD82"/>
    <w:rsid w:val="5B6CD58E"/>
    <w:rsid w:val="5BB8EE79"/>
    <w:rsid w:val="5BC3665D"/>
    <w:rsid w:val="5CB2729E"/>
    <w:rsid w:val="5CE2EFA1"/>
    <w:rsid w:val="5D110F65"/>
    <w:rsid w:val="5D1A2461"/>
    <w:rsid w:val="5D4C2776"/>
    <w:rsid w:val="5D674FCD"/>
    <w:rsid w:val="5E088B1B"/>
    <w:rsid w:val="5E3418A4"/>
    <w:rsid w:val="5EF48285"/>
    <w:rsid w:val="5F041844"/>
    <w:rsid w:val="5F07B2BF"/>
    <w:rsid w:val="5F08BF06"/>
    <w:rsid w:val="5F519DD6"/>
    <w:rsid w:val="5FCFDDEE"/>
    <w:rsid w:val="5FE1D8A0"/>
    <w:rsid w:val="607B4C1E"/>
    <w:rsid w:val="619FA425"/>
    <w:rsid w:val="6209AA34"/>
    <w:rsid w:val="62611179"/>
    <w:rsid w:val="627B290E"/>
    <w:rsid w:val="62853066"/>
    <w:rsid w:val="62CAAA38"/>
    <w:rsid w:val="631C291D"/>
    <w:rsid w:val="63B28F83"/>
    <w:rsid w:val="63B4D24F"/>
    <w:rsid w:val="63D28B81"/>
    <w:rsid w:val="647C126C"/>
    <w:rsid w:val="65926EDD"/>
    <w:rsid w:val="667B436F"/>
    <w:rsid w:val="67779DE1"/>
    <w:rsid w:val="687300C3"/>
    <w:rsid w:val="69F18DC8"/>
    <w:rsid w:val="6AE565F4"/>
    <w:rsid w:val="6B31C593"/>
    <w:rsid w:val="6B354F9E"/>
    <w:rsid w:val="6B3EA20D"/>
    <w:rsid w:val="6BFC9E15"/>
    <w:rsid w:val="6CF11BC8"/>
    <w:rsid w:val="6CF1A56C"/>
    <w:rsid w:val="6DD2340D"/>
    <w:rsid w:val="6DE444E5"/>
    <w:rsid w:val="6DFFE117"/>
    <w:rsid w:val="6E947664"/>
    <w:rsid w:val="6F05A20F"/>
    <w:rsid w:val="6F942AE5"/>
    <w:rsid w:val="708A18E0"/>
    <w:rsid w:val="70BE814B"/>
    <w:rsid w:val="70FA9EBF"/>
    <w:rsid w:val="710F72B4"/>
    <w:rsid w:val="7115B95E"/>
    <w:rsid w:val="71F430A5"/>
    <w:rsid w:val="735329FA"/>
    <w:rsid w:val="7427CA6F"/>
    <w:rsid w:val="74D17B74"/>
    <w:rsid w:val="750EBFE3"/>
    <w:rsid w:val="75390F0A"/>
    <w:rsid w:val="755D8F3F"/>
    <w:rsid w:val="763CE429"/>
    <w:rsid w:val="767059CC"/>
    <w:rsid w:val="768E2015"/>
    <w:rsid w:val="76B97A5F"/>
    <w:rsid w:val="77C97D20"/>
    <w:rsid w:val="77E5827D"/>
    <w:rsid w:val="78E22707"/>
    <w:rsid w:val="78F5B311"/>
    <w:rsid w:val="79396F8B"/>
    <w:rsid w:val="79940C83"/>
    <w:rsid w:val="799C109B"/>
    <w:rsid w:val="79CD2168"/>
    <w:rsid w:val="79F94B56"/>
    <w:rsid w:val="7A468A57"/>
    <w:rsid w:val="7ACF3DE6"/>
    <w:rsid w:val="7B129E6E"/>
    <w:rsid w:val="7B4E5F6C"/>
    <w:rsid w:val="7C36DC67"/>
    <w:rsid w:val="7C688C29"/>
    <w:rsid w:val="7C9F6CBD"/>
    <w:rsid w:val="7CC13902"/>
    <w:rsid w:val="7CC5B8AA"/>
    <w:rsid w:val="7D4D2FFE"/>
    <w:rsid w:val="7D8B1321"/>
    <w:rsid w:val="7F42379F"/>
    <w:rsid w:val="7FB3BECF"/>
    <w:rsid w:val="7FFB8F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6DC67"/>
  <w15:chartTrackingRefBased/>
  <w15:docId w15:val="{3AEA7F55-804B-49FD-A245-29323A316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D110F65"/>
    <w:rPr>
      <w:lang w:val="en-GB"/>
    </w:rPr>
  </w:style>
  <w:style w:type="paragraph" w:styleId="Heading1">
    <w:name w:val="heading 1"/>
    <w:basedOn w:val="Normal"/>
    <w:next w:val="Normal"/>
    <w:link w:val="Heading1Char"/>
    <w:uiPriority w:val="9"/>
    <w:qFormat/>
    <w:rsid w:val="00F04F9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4F4926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D110F65"/>
    <w:pPr>
      <w:tabs>
        <w:tab w:val="center" w:pos="4680"/>
        <w:tab w:val="right" w:pos="9360"/>
      </w:tabs>
      <w:spacing w:after="0" w:line="240" w:lineRule="auto"/>
    </w:pPr>
  </w:style>
  <w:style w:type="paragraph" w:styleId="Footer">
    <w:name w:val="footer"/>
    <w:basedOn w:val="Normal"/>
    <w:uiPriority w:val="99"/>
    <w:unhideWhenUsed/>
    <w:rsid w:val="5D110F6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7C9F6CBD"/>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table" w:styleId="GridTable5Dark-Accent4">
    <w:name w:val="Grid Table 5 Dark Accent 4"/>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customStyle="1" w:styleId="Heading1Char">
    <w:name w:val="Heading 1 Char"/>
    <w:basedOn w:val="DefaultParagraphFont"/>
    <w:link w:val="Heading1"/>
    <w:uiPriority w:val="9"/>
    <w:rsid w:val="00F04F90"/>
    <w:rPr>
      <w:rFonts w:asciiTheme="majorHAnsi" w:eastAsiaTheme="majorEastAsia" w:hAnsiTheme="majorHAnsi" w:cstheme="majorBidi"/>
      <w:color w:val="0F4761" w:themeColor="accent1" w:themeShade="BF"/>
      <w:sz w:val="32"/>
      <w:szCs w:val="32"/>
      <w:lang w:val="en-GB"/>
    </w:rPr>
  </w:style>
  <w:style w:type="paragraph" w:styleId="TOCHeading">
    <w:name w:val="TOC Heading"/>
    <w:basedOn w:val="Heading1"/>
    <w:next w:val="Normal"/>
    <w:uiPriority w:val="39"/>
    <w:unhideWhenUsed/>
    <w:qFormat/>
    <w:rsid w:val="00F04F90"/>
    <w:pPr>
      <w:spacing w:line="259" w:lineRule="auto"/>
      <w:outlineLvl w:val="9"/>
    </w:pPr>
    <w:rPr>
      <w:lang w:val="en-US" w:eastAsia="en-US"/>
    </w:rPr>
  </w:style>
  <w:style w:type="paragraph" w:styleId="TOC2">
    <w:name w:val="toc 2"/>
    <w:basedOn w:val="Normal"/>
    <w:next w:val="Normal"/>
    <w:autoRedefine/>
    <w:uiPriority w:val="39"/>
    <w:unhideWhenUsed/>
    <w:rsid w:val="00F04F90"/>
    <w:pPr>
      <w:spacing w:after="100"/>
      <w:ind w:left="240"/>
    </w:pPr>
  </w:style>
  <w:style w:type="paragraph" w:styleId="TOC3">
    <w:name w:val="toc 3"/>
    <w:basedOn w:val="Normal"/>
    <w:next w:val="Normal"/>
    <w:autoRedefine/>
    <w:uiPriority w:val="39"/>
    <w:unhideWhenUsed/>
    <w:rsid w:val="00F04F90"/>
    <w:pPr>
      <w:spacing w:after="100"/>
      <w:ind w:left="480"/>
    </w:pPr>
  </w:style>
  <w:style w:type="character" w:styleId="Hyperlink">
    <w:name w:val="Hyperlink"/>
    <w:basedOn w:val="DefaultParagraphFont"/>
    <w:uiPriority w:val="99"/>
    <w:unhideWhenUsed/>
    <w:rsid w:val="00F04F90"/>
    <w:rPr>
      <w:color w:val="467886" w:themeColor="hyperlink"/>
      <w:u w:val="single"/>
    </w:rPr>
  </w:style>
  <w:style w:type="paragraph" w:styleId="TOC1">
    <w:name w:val="toc 1"/>
    <w:basedOn w:val="Normal"/>
    <w:next w:val="Normal"/>
    <w:autoRedefine/>
    <w:uiPriority w:val="39"/>
    <w:unhideWhenUsed/>
    <w:rsid w:val="00AA361C"/>
    <w:pPr>
      <w:spacing w:after="100"/>
    </w:pPr>
  </w:style>
  <w:style w:type="character" w:styleId="UnresolvedMention">
    <w:name w:val="Unresolved Mention"/>
    <w:basedOn w:val="DefaultParagraphFont"/>
    <w:uiPriority w:val="99"/>
    <w:semiHidden/>
    <w:unhideWhenUsed/>
    <w:rsid w:val="00636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75-6773.1324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doi.org/10.1016/j.ijnurstu.2012.04.010%20%20" TargetMode="External"/><Relationship Id="rId4" Type="http://schemas.openxmlformats.org/officeDocument/2006/relationships/settings" Target="settings.xml"/><Relationship Id="rId9" Type="http://schemas.openxmlformats.org/officeDocument/2006/relationships/hyperlink" Target="https://doi.org/10.2196/jmir.877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08C67-3CD1-49C2-88F5-75344D65A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2914</Words>
  <Characters>16613</Characters>
  <Application>Microsoft Office Word</Application>
  <DocSecurity>0</DocSecurity>
  <Lines>138</Lines>
  <Paragraphs>38</Paragraphs>
  <ScaleCrop>false</ScaleCrop>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Timothy (2407528)</dc:creator>
  <cp:keywords/>
  <dc:description/>
  <cp:lastModifiedBy>Karen Houser</cp:lastModifiedBy>
  <cp:revision>44</cp:revision>
  <dcterms:created xsi:type="dcterms:W3CDTF">2025-10-22T09:59:00Z</dcterms:created>
  <dcterms:modified xsi:type="dcterms:W3CDTF">2025-11-12T10:01:00Z</dcterms:modified>
</cp:coreProperties>
</file>