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DEB7E" w14:textId="77777777" w:rsidR="00373322" w:rsidRPr="006D598B" w:rsidRDefault="00373322">
      <w:pPr>
        <w:pStyle w:val="Normal1"/>
        <w:spacing w:before="200" w:line="360" w:lineRule="auto"/>
        <w:jc w:val="center"/>
        <w:rPr>
          <w:b/>
          <w:sz w:val="32"/>
          <w:szCs w:val="32"/>
        </w:rPr>
      </w:pPr>
    </w:p>
    <w:p w14:paraId="03B01FB6" w14:textId="77777777" w:rsidR="00373322" w:rsidRPr="006D598B" w:rsidRDefault="00373322">
      <w:pPr>
        <w:pStyle w:val="Normal1"/>
        <w:spacing w:before="200" w:line="360" w:lineRule="auto"/>
        <w:jc w:val="center"/>
        <w:rPr>
          <w:b/>
          <w:sz w:val="32"/>
          <w:szCs w:val="32"/>
        </w:rPr>
      </w:pPr>
    </w:p>
    <w:p w14:paraId="16BD41EA" w14:textId="77777777" w:rsidR="00373322" w:rsidRPr="006D598B" w:rsidRDefault="00373322">
      <w:pPr>
        <w:pStyle w:val="Normal1"/>
        <w:spacing w:before="200" w:line="360" w:lineRule="auto"/>
        <w:jc w:val="center"/>
        <w:rPr>
          <w:b/>
          <w:sz w:val="32"/>
          <w:szCs w:val="32"/>
        </w:rPr>
      </w:pPr>
    </w:p>
    <w:p w14:paraId="75967BB5" w14:textId="77777777" w:rsidR="00373322" w:rsidRPr="006D598B" w:rsidRDefault="00373322">
      <w:pPr>
        <w:pStyle w:val="Normal1"/>
        <w:spacing w:before="200" w:line="360" w:lineRule="auto"/>
        <w:jc w:val="center"/>
        <w:rPr>
          <w:b/>
          <w:sz w:val="32"/>
          <w:szCs w:val="32"/>
        </w:rPr>
      </w:pPr>
    </w:p>
    <w:p w14:paraId="2914B675" w14:textId="77777777" w:rsidR="00373322" w:rsidRPr="006D598B" w:rsidRDefault="00373322">
      <w:pPr>
        <w:pStyle w:val="Normal1"/>
        <w:spacing w:before="200" w:line="360" w:lineRule="auto"/>
        <w:jc w:val="center"/>
        <w:rPr>
          <w:b/>
          <w:sz w:val="32"/>
          <w:szCs w:val="32"/>
        </w:rPr>
      </w:pPr>
    </w:p>
    <w:p w14:paraId="0DB311D9" w14:textId="77777777" w:rsidR="00E26C08" w:rsidRDefault="00AD7454">
      <w:pPr>
        <w:pStyle w:val="Normal1"/>
        <w:spacing w:before="200" w:line="360" w:lineRule="auto"/>
        <w:jc w:val="center"/>
        <w:rPr>
          <w:b/>
          <w:sz w:val="32"/>
          <w:szCs w:val="32"/>
        </w:rPr>
      </w:pPr>
      <w:r w:rsidRPr="006D598B">
        <w:rPr>
          <w:b/>
          <w:sz w:val="32"/>
          <w:szCs w:val="32"/>
        </w:rPr>
        <w:t>COMMON LAW</w:t>
      </w:r>
    </w:p>
    <w:p w14:paraId="6F5A9703" w14:textId="77777777" w:rsidR="00E26C08" w:rsidRDefault="00E26C08">
      <w:pPr>
        <w:pStyle w:val="Normal1"/>
        <w:spacing w:before="200" w:line="360" w:lineRule="auto"/>
        <w:jc w:val="center"/>
        <w:rPr>
          <w:bCs/>
          <w:sz w:val="32"/>
          <w:szCs w:val="32"/>
        </w:rPr>
      </w:pPr>
      <w:proofErr w:type="spellStart"/>
      <w:r>
        <w:rPr>
          <w:bCs/>
          <w:sz w:val="32"/>
          <w:szCs w:val="32"/>
        </w:rPr>
        <w:t>Syeda</w:t>
      </w:r>
      <w:proofErr w:type="spellEnd"/>
      <w:r>
        <w:rPr>
          <w:bCs/>
          <w:sz w:val="32"/>
          <w:szCs w:val="32"/>
        </w:rPr>
        <w:t xml:space="preserve"> Aysha </w:t>
      </w:r>
      <w:proofErr w:type="spellStart"/>
      <w:r>
        <w:rPr>
          <w:bCs/>
          <w:sz w:val="32"/>
          <w:szCs w:val="32"/>
        </w:rPr>
        <w:t>Siddika</w:t>
      </w:r>
      <w:proofErr w:type="spellEnd"/>
    </w:p>
    <w:p w14:paraId="1AA868F8" w14:textId="105557DF" w:rsidR="00373322" w:rsidRPr="006D598B" w:rsidRDefault="00E26C08">
      <w:pPr>
        <w:pStyle w:val="Normal1"/>
        <w:spacing w:before="200" w:line="360" w:lineRule="auto"/>
        <w:jc w:val="center"/>
        <w:rPr>
          <w:b/>
          <w:sz w:val="32"/>
          <w:szCs w:val="32"/>
        </w:rPr>
      </w:pPr>
      <w:r>
        <w:rPr>
          <w:bCs/>
          <w:sz w:val="32"/>
          <w:szCs w:val="32"/>
        </w:rPr>
        <w:t>2213918</w:t>
      </w:r>
      <w:r w:rsidR="00AD7454" w:rsidRPr="006D598B">
        <w:br w:type="page"/>
      </w:r>
    </w:p>
    <w:bookmarkStart w:id="0" w:name="_tpczfmif1fe3" w:colFirst="0" w:colLast="0" w:displacedByCustomXml="next"/>
    <w:bookmarkEnd w:id="0" w:displacedByCustomXml="next"/>
    <w:sdt>
      <w:sdtPr>
        <w:rPr>
          <w:rFonts w:ascii="Arial" w:eastAsia="Arial" w:hAnsi="Arial" w:cs="Arial"/>
          <w:b w:val="0"/>
          <w:bCs w:val="0"/>
          <w:color w:val="auto"/>
          <w:sz w:val="22"/>
          <w:szCs w:val="22"/>
          <w:lang w:val="en-GB"/>
        </w:rPr>
        <w:id w:val="11274095"/>
        <w:docPartObj>
          <w:docPartGallery w:val="Table of Contents"/>
          <w:docPartUnique/>
        </w:docPartObj>
      </w:sdtPr>
      <w:sdtContent>
        <w:p w14:paraId="49CFA9FD" w14:textId="77777777" w:rsidR="00F24543" w:rsidRPr="00F24543" w:rsidRDefault="00F24543" w:rsidP="00F24543">
          <w:pPr>
            <w:pStyle w:val="TOCHeading"/>
            <w:spacing w:line="360" w:lineRule="auto"/>
            <w:jc w:val="center"/>
            <w:rPr>
              <w:rFonts w:ascii="Arial" w:hAnsi="Arial" w:cs="Arial"/>
              <w:color w:val="auto"/>
              <w:sz w:val="24"/>
              <w:szCs w:val="24"/>
            </w:rPr>
          </w:pPr>
          <w:r w:rsidRPr="00F24543">
            <w:rPr>
              <w:rFonts w:ascii="Arial" w:hAnsi="Arial" w:cs="Arial"/>
              <w:color w:val="auto"/>
              <w:sz w:val="24"/>
              <w:szCs w:val="24"/>
            </w:rPr>
            <w:t>Table of Contents</w:t>
          </w:r>
        </w:p>
        <w:p w14:paraId="3EB93C15" w14:textId="77777777" w:rsidR="00F24543" w:rsidRPr="00F24543" w:rsidRDefault="00F24543" w:rsidP="00F24543">
          <w:pPr>
            <w:pStyle w:val="TOC1"/>
            <w:tabs>
              <w:tab w:val="right" w:leader="dot" w:pos="9350"/>
            </w:tabs>
            <w:spacing w:line="360" w:lineRule="auto"/>
            <w:jc w:val="both"/>
            <w:rPr>
              <w:noProof/>
              <w:sz w:val="24"/>
              <w:szCs w:val="24"/>
            </w:rPr>
          </w:pPr>
          <w:r w:rsidRPr="00F24543">
            <w:rPr>
              <w:sz w:val="24"/>
              <w:szCs w:val="24"/>
            </w:rPr>
            <w:fldChar w:fldCharType="begin"/>
          </w:r>
          <w:r w:rsidRPr="00F24543">
            <w:rPr>
              <w:sz w:val="24"/>
              <w:szCs w:val="24"/>
            </w:rPr>
            <w:instrText xml:space="preserve"> TOC \o "1-3" \h \z \u </w:instrText>
          </w:r>
          <w:r w:rsidRPr="00F24543">
            <w:rPr>
              <w:sz w:val="24"/>
              <w:szCs w:val="24"/>
            </w:rPr>
            <w:fldChar w:fldCharType="separate"/>
          </w:r>
          <w:hyperlink w:anchor="_Toc129189987" w:history="1">
            <w:r w:rsidRPr="00F24543">
              <w:rPr>
                <w:rStyle w:val="Hyperlink"/>
                <w:noProof/>
                <w:color w:val="auto"/>
                <w:sz w:val="24"/>
                <w:szCs w:val="24"/>
              </w:rPr>
              <w:t>Introduction</w:t>
            </w:r>
            <w:r w:rsidRPr="00F24543">
              <w:rPr>
                <w:noProof/>
                <w:webHidden/>
                <w:sz w:val="24"/>
                <w:szCs w:val="24"/>
              </w:rPr>
              <w:tab/>
            </w:r>
            <w:r w:rsidRPr="00F24543">
              <w:rPr>
                <w:noProof/>
                <w:webHidden/>
                <w:sz w:val="24"/>
                <w:szCs w:val="24"/>
              </w:rPr>
              <w:fldChar w:fldCharType="begin"/>
            </w:r>
            <w:r w:rsidRPr="00F24543">
              <w:rPr>
                <w:noProof/>
                <w:webHidden/>
                <w:sz w:val="24"/>
                <w:szCs w:val="24"/>
              </w:rPr>
              <w:instrText xml:space="preserve"> PAGEREF _Toc129189987 \h </w:instrText>
            </w:r>
            <w:r w:rsidRPr="00F24543">
              <w:rPr>
                <w:noProof/>
                <w:webHidden/>
                <w:sz w:val="24"/>
                <w:szCs w:val="24"/>
              </w:rPr>
            </w:r>
            <w:r w:rsidRPr="00F24543">
              <w:rPr>
                <w:noProof/>
                <w:webHidden/>
                <w:sz w:val="24"/>
                <w:szCs w:val="24"/>
              </w:rPr>
              <w:fldChar w:fldCharType="separate"/>
            </w:r>
            <w:r w:rsidRPr="00F24543">
              <w:rPr>
                <w:noProof/>
                <w:webHidden/>
                <w:sz w:val="24"/>
                <w:szCs w:val="24"/>
              </w:rPr>
              <w:t>1</w:t>
            </w:r>
            <w:r w:rsidRPr="00F24543">
              <w:rPr>
                <w:noProof/>
                <w:webHidden/>
                <w:sz w:val="24"/>
                <w:szCs w:val="24"/>
              </w:rPr>
              <w:fldChar w:fldCharType="end"/>
            </w:r>
          </w:hyperlink>
        </w:p>
        <w:p w14:paraId="6342BE0E" w14:textId="77777777" w:rsidR="00F24543" w:rsidRPr="00F24543" w:rsidRDefault="00000000" w:rsidP="00F24543">
          <w:pPr>
            <w:pStyle w:val="TOC1"/>
            <w:tabs>
              <w:tab w:val="right" w:leader="dot" w:pos="9350"/>
            </w:tabs>
            <w:spacing w:line="360" w:lineRule="auto"/>
            <w:jc w:val="both"/>
            <w:rPr>
              <w:noProof/>
              <w:sz w:val="24"/>
              <w:szCs w:val="24"/>
            </w:rPr>
          </w:pPr>
          <w:hyperlink w:anchor="_Toc129189988" w:history="1">
            <w:r w:rsidR="00F24543" w:rsidRPr="00F24543">
              <w:rPr>
                <w:rStyle w:val="Hyperlink"/>
                <w:noProof/>
                <w:color w:val="auto"/>
                <w:sz w:val="24"/>
                <w:szCs w:val="24"/>
              </w:rPr>
              <w:t>Main Body</w:t>
            </w:r>
            <w:r w:rsidR="00F24543" w:rsidRPr="00F24543">
              <w:rPr>
                <w:noProof/>
                <w:webHidden/>
                <w:sz w:val="24"/>
                <w:szCs w:val="24"/>
              </w:rPr>
              <w:tab/>
            </w:r>
            <w:r w:rsidR="00F24543" w:rsidRPr="00F24543">
              <w:rPr>
                <w:noProof/>
                <w:webHidden/>
                <w:sz w:val="24"/>
                <w:szCs w:val="24"/>
              </w:rPr>
              <w:fldChar w:fldCharType="begin"/>
            </w:r>
            <w:r w:rsidR="00F24543" w:rsidRPr="00F24543">
              <w:rPr>
                <w:noProof/>
                <w:webHidden/>
                <w:sz w:val="24"/>
                <w:szCs w:val="24"/>
              </w:rPr>
              <w:instrText xml:space="preserve"> PAGEREF _Toc129189988 \h </w:instrText>
            </w:r>
            <w:r w:rsidR="00F24543" w:rsidRPr="00F24543">
              <w:rPr>
                <w:noProof/>
                <w:webHidden/>
                <w:sz w:val="24"/>
                <w:szCs w:val="24"/>
              </w:rPr>
            </w:r>
            <w:r w:rsidR="00F24543" w:rsidRPr="00F24543">
              <w:rPr>
                <w:noProof/>
                <w:webHidden/>
                <w:sz w:val="24"/>
                <w:szCs w:val="24"/>
              </w:rPr>
              <w:fldChar w:fldCharType="separate"/>
            </w:r>
            <w:r w:rsidR="00F24543" w:rsidRPr="00F24543">
              <w:rPr>
                <w:noProof/>
                <w:webHidden/>
                <w:sz w:val="24"/>
                <w:szCs w:val="24"/>
              </w:rPr>
              <w:t>1</w:t>
            </w:r>
            <w:r w:rsidR="00F24543" w:rsidRPr="00F24543">
              <w:rPr>
                <w:noProof/>
                <w:webHidden/>
                <w:sz w:val="24"/>
                <w:szCs w:val="24"/>
              </w:rPr>
              <w:fldChar w:fldCharType="end"/>
            </w:r>
          </w:hyperlink>
        </w:p>
        <w:p w14:paraId="1282036B" w14:textId="77777777" w:rsidR="00F24543" w:rsidRPr="00F24543" w:rsidRDefault="00000000" w:rsidP="00F24543">
          <w:pPr>
            <w:pStyle w:val="TOC1"/>
            <w:tabs>
              <w:tab w:val="right" w:leader="dot" w:pos="9350"/>
            </w:tabs>
            <w:spacing w:line="360" w:lineRule="auto"/>
            <w:jc w:val="both"/>
            <w:rPr>
              <w:noProof/>
              <w:sz w:val="24"/>
              <w:szCs w:val="24"/>
            </w:rPr>
          </w:pPr>
          <w:hyperlink w:anchor="_Toc129189989" w:history="1">
            <w:r w:rsidR="00F24543" w:rsidRPr="00F24543">
              <w:rPr>
                <w:rStyle w:val="Hyperlink"/>
                <w:noProof/>
                <w:color w:val="auto"/>
                <w:sz w:val="24"/>
                <w:szCs w:val="24"/>
              </w:rPr>
              <w:t>Conclusion</w:t>
            </w:r>
            <w:r w:rsidR="00F24543" w:rsidRPr="00F24543">
              <w:rPr>
                <w:noProof/>
                <w:webHidden/>
                <w:sz w:val="24"/>
                <w:szCs w:val="24"/>
              </w:rPr>
              <w:tab/>
            </w:r>
            <w:r w:rsidR="00F24543" w:rsidRPr="00F24543">
              <w:rPr>
                <w:noProof/>
                <w:webHidden/>
                <w:sz w:val="24"/>
                <w:szCs w:val="24"/>
              </w:rPr>
              <w:fldChar w:fldCharType="begin"/>
            </w:r>
            <w:r w:rsidR="00F24543" w:rsidRPr="00F24543">
              <w:rPr>
                <w:noProof/>
                <w:webHidden/>
                <w:sz w:val="24"/>
                <w:szCs w:val="24"/>
              </w:rPr>
              <w:instrText xml:space="preserve"> PAGEREF _Toc129189989 \h </w:instrText>
            </w:r>
            <w:r w:rsidR="00F24543" w:rsidRPr="00F24543">
              <w:rPr>
                <w:noProof/>
                <w:webHidden/>
                <w:sz w:val="24"/>
                <w:szCs w:val="24"/>
              </w:rPr>
            </w:r>
            <w:r w:rsidR="00F24543" w:rsidRPr="00F24543">
              <w:rPr>
                <w:noProof/>
                <w:webHidden/>
                <w:sz w:val="24"/>
                <w:szCs w:val="24"/>
              </w:rPr>
              <w:fldChar w:fldCharType="separate"/>
            </w:r>
            <w:r w:rsidR="00F24543" w:rsidRPr="00F24543">
              <w:rPr>
                <w:noProof/>
                <w:webHidden/>
                <w:sz w:val="24"/>
                <w:szCs w:val="24"/>
              </w:rPr>
              <w:t>4</w:t>
            </w:r>
            <w:r w:rsidR="00F24543" w:rsidRPr="00F24543">
              <w:rPr>
                <w:noProof/>
                <w:webHidden/>
                <w:sz w:val="24"/>
                <w:szCs w:val="24"/>
              </w:rPr>
              <w:fldChar w:fldCharType="end"/>
            </w:r>
          </w:hyperlink>
        </w:p>
        <w:p w14:paraId="20C9DBAB" w14:textId="77777777" w:rsidR="00F24543" w:rsidRPr="00F24543" w:rsidRDefault="00000000" w:rsidP="00F24543">
          <w:pPr>
            <w:pStyle w:val="TOC1"/>
            <w:tabs>
              <w:tab w:val="right" w:leader="dot" w:pos="9350"/>
            </w:tabs>
            <w:spacing w:line="360" w:lineRule="auto"/>
            <w:jc w:val="both"/>
            <w:rPr>
              <w:noProof/>
              <w:sz w:val="24"/>
              <w:szCs w:val="24"/>
            </w:rPr>
          </w:pPr>
          <w:hyperlink w:anchor="_Toc129189990" w:history="1">
            <w:r w:rsidR="00F24543" w:rsidRPr="00F24543">
              <w:rPr>
                <w:rStyle w:val="Hyperlink"/>
                <w:noProof/>
                <w:color w:val="auto"/>
                <w:sz w:val="24"/>
                <w:szCs w:val="24"/>
              </w:rPr>
              <w:t>References</w:t>
            </w:r>
            <w:r w:rsidR="00F24543" w:rsidRPr="00F24543">
              <w:rPr>
                <w:noProof/>
                <w:webHidden/>
                <w:sz w:val="24"/>
                <w:szCs w:val="24"/>
              </w:rPr>
              <w:tab/>
            </w:r>
            <w:r w:rsidR="00F24543" w:rsidRPr="00F24543">
              <w:rPr>
                <w:noProof/>
                <w:webHidden/>
                <w:sz w:val="24"/>
                <w:szCs w:val="24"/>
              </w:rPr>
              <w:fldChar w:fldCharType="begin"/>
            </w:r>
            <w:r w:rsidR="00F24543" w:rsidRPr="00F24543">
              <w:rPr>
                <w:noProof/>
                <w:webHidden/>
                <w:sz w:val="24"/>
                <w:szCs w:val="24"/>
              </w:rPr>
              <w:instrText xml:space="preserve"> PAGEREF _Toc129189990 \h </w:instrText>
            </w:r>
            <w:r w:rsidR="00F24543" w:rsidRPr="00F24543">
              <w:rPr>
                <w:noProof/>
                <w:webHidden/>
                <w:sz w:val="24"/>
                <w:szCs w:val="24"/>
              </w:rPr>
            </w:r>
            <w:r w:rsidR="00F24543" w:rsidRPr="00F24543">
              <w:rPr>
                <w:noProof/>
                <w:webHidden/>
                <w:sz w:val="24"/>
                <w:szCs w:val="24"/>
              </w:rPr>
              <w:fldChar w:fldCharType="separate"/>
            </w:r>
            <w:r w:rsidR="00F24543" w:rsidRPr="00F24543">
              <w:rPr>
                <w:noProof/>
                <w:webHidden/>
                <w:sz w:val="24"/>
                <w:szCs w:val="24"/>
              </w:rPr>
              <w:t>5</w:t>
            </w:r>
            <w:r w:rsidR="00F24543" w:rsidRPr="00F24543">
              <w:rPr>
                <w:noProof/>
                <w:webHidden/>
                <w:sz w:val="24"/>
                <w:szCs w:val="24"/>
              </w:rPr>
              <w:fldChar w:fldCharType="end"/>
            </w:r>
          </w:hyperlink>
        </w:p>
        <w:p w14:paraId="7AFCE0A5" w14:textId="77777777" w:rsidR="00F24543" w:rsidRDefault="00F24543" w:rsidP="00F24543">
          <w:pPr>
            <w:spacing w:line="360" w:lineRule="auto"/>
            <w:jc w:val="both"/>
          </w:pPr>
          <w:r w:rsidRPr="00F24543">
            <w:rPr>
              <w:sz w:val="24"/>
              <w:szCs w:val="24"/>
            </w:rPr>
            <w:fldChar w:fldCharType="end"/>
          </w:r>
        </w:p>
      </w:sdtContent>
    </w:sdt>
    <w:p w14:paraId="52431C9E" w14:textId="77777777" w:rsidR="00F24543" w:rsidRDefault="00F24543">
      <w:pPr>
        <w:rPr>
          <w:b/>
          <w:sz w:val="24"/>
          <w:szCs w:val="24"/>
        </w:rPr>
      </w:pPr>
      <w:bookmarkStart w:id="1" w:name="_Toc129189987"/>
      <w:r>
        <w:br w:type="page"/>
      </w:r>
    </w:p>
    <w:p w14:paraId="73ADAAD8" w14:textId="77777777" w:rsidR="00373322" w:rsidRPr="006D598B" w:rsidRDefault="00AD7454">
      <w:pPr>
        <w:pStyle w:val="Heading1"/>
      </w:pPr>
      <w:r w:rsidRPr="006D598B">
        <w:lastRenderedPageBreak/>
        <w:t>Introduction</w:t>
      </w:r>
      <w:bookmarkEnd w:id="1"/>
    </w:p>
    <w:p w14:paraId="68800B50" w14:textId="77777777" w:rsidR="00373322" w:rsidRPr="006D598B" w:rsidRDefault="00AD7454">
      <w:pPr>
        <w:pStyle w:val="Normal1"/>
        <w:spacing w:line="360" w:lineRule="auto"/>
        <w:jc w:val="both"/>
        <w:rPr>
          <w:sz w:val="24"/>
          <w:szCs w:val="24"/>
        </w:rPr>
      </w:pPr>
      <w:r w:rsidRPr="006D598B">
        <w:rPr>
          <w:sz w:val="24"/>
          <w:szCs w:val="24"/>
        </w:rPr>
        <w:t>The English legal system is outlined by laws of the common and the judiciary system takes precedents from the common laws in making important decisions. Common laws can even be used in the decision-making process of unusual cases which needs further introspection beyond the civil laws. In this aspect, the English Legal System is one of the oldest judiciary systems to be governed by the principles of the common. The following essay defined the origination of common laws as the basis of the English legal system with a contrast and comparison of the system with civil laws in the country.</w:t>
      </w:r>
    </w:p>
    <w:p w14:paraId="133EFD2B" w14:textId="77777777" w:rsidR="00373322" w:rsidRPr="006D598B" w:rsidRDefault="00AD7454">
      <w:pPr>
        <w:pStyle w:val="Heading1"/>
      </w:pPr>
      <w:bookmarkStart w:id="2" w:name="_z61czanr88s6" w:colFirst="0" w:colLast="0"/>
      <w:bookmarkStart w:id="3" w:name="_Toc129189988"/>
      <w:bookmarkEnd w:id="2"/>
      <w:r w:rsidRPr="006D598B">
        <w:t>Main Body</w:t>
      </w:r>
      <w:bookmarkEnd w:id="3"/>
    </w:p>
    <w:p w14:paraId="72830CD2" w14:textId="77777777" w:rsidR="00373322" w:rsidRPr="006D598B" w:rsidRDefault="00AD7454">
      <w:pPr>
        <w:pStyle w:val="Normal1"/>
        <w:spacing w:line="360" w:lineRule="auto"/>
        <w:jc w:val="both"/>
        <w:rPr>
          <w:b/>
          <w:sz w:val="24"/>
          <w:szCs w:val="24"/>
        </w:rPr>
      </w:pPr>
      <w:r w:rsidRPr="006D598B">
        <w:rPr>
          <w:b/>
          <w:sz w:val="24"/>
          <w:szCs w:val="24"/>
        </w:rPr>
        <w:t>Definition of Common law</w:t>
      </w:r>
    </w:p>
    <w:p w14:paraId="288FC8F4" w14:textId="77777777" w:rsidR="00373322" w:rsidRPr="006D598B" w:rsidRDefault="00AD7454">
      <w:pPr>
        <w:pStyle w:val="Normal1"/>
        <w:spacing w:line="360" w:lineRule="auto"/>
        <w:jc w:val="both"/>
        <w:rPr>
          <w:sz w:val="24"/>
          <w:szCs w:val="24"/>
        </w:rPr>
      </w:pPr>
      <w:r w:rsidRPr="006D598B">
        <w:rPr>
          <w:sz w:val="24"/>
          <w:szCs w:val="24"/>
        </w:rPr>
        <w:t xml:space="preserve">Common laws refer to a body of unwritten law that is majorly based on legal precedents. These legal precedents are generally established by the legal courts. The influence of common law on a decision cannot be overridden or determined based on existing laws and statutes (Wijaya and </w:t>
      </w:r>
      <w:proofErr w:type="spellStart"/>
      <w:r w:rsidRPr="006D598B">
        <w:rPr>
          <w:sz w:val="24"/>
          <w:szCs w:val="24"/>
        </w:rPr>
        <w:t>Nasran</w:t>
      </w:r>
      <w:proofErr w:type="spellEnd"/>
      <w:r w:rsidRPr="006D598B">
        <w:rPr>
          <w:sz w:val="24"/>
          <w:szCs w:val="24"/>
        </w:rPr>
        <w:t>, 2021). The common law in England is also referred to as Case</w:t>
      </w:r>
      <w:r w:rsidRPr="006D598B">
        <w:rPr>
          <w:b/>
          <w:i/>
          <w:sz w:val="24"/>
          <w:szCs w:val="24"/>
        </w:rPr>
        <w:t xml:space="preserve"> law. </w:t>
      </w:r>
      <w:r w:rsidRPr="006D598B">
        <w:rPr>
          <w:sz w:val="24"/>
          <w:szCs w:val="24"/>
        </w:rPr>
        <w:t xml:space="preserve">These common laws are generally interpreted through the opinions of major institutions. These institutions commonly include public juries and other judicial authorities such as Parliament and the UK's </w:t>
      </w:r>
      <w:r w:rsidR="006D598B" w:rsidRPr="006D598B">
        <w:rPr>
          <w:sz w:val="24"/>
          <w:szCs w:val="24"/>
        </w:rPr>
        <w:t>Supreme Court</w:t>
      </w:r>
      <w:r w:rsidRPr="006D598B">
        <w:rPr>
          <w:sz w:val="24"/>
          <w:szCs w:val="24"/>
        </w:rPr>
        <w:t xml:space="preserve">. The common law in the English legal system consists of both substantive rules as well as procedural rules. For example, substantive offences such as murder and procedural rules derived from the court's </w:t>
      </w:r>
      <w:r w:rsidRPr="006D598B">
        <w:rPr>
          <w:b/>
          <w:i/>
          <w:sz w:val="24"/>
          <w:szCs w:val="24"/>
        </w:rPr>
        <w:t xml:space="preserve">“inherent jurisdiction” </w:t>
      </w:r>
      <w:r w:rsidRPr="006D598B">
        <w:rPr>
          <w:sz w:val="24"/>
          <w:szCs w:val="24"/>
        </w:rPr>
        <w:t xml:space="preserve">both fall under England's common law system (Iclr.co.uk, 2023).  Although the common law </w:t>
      </w:r>
      <w:proofErr w:type="gramStart"/>
      <w:r w:rsidRPr="006D598B">
        <w:rPr>
          <w:sz w:val="24"/>
          <w:szCs w:val="24"/>
        </w:rPr>
        <w:t>is considered to be</w:t>
      </w:r>
      <w:proofErr w:type="gramEnd"/>
      <w:r w:rsidRPr="006D598B">
        <w:rPr>
          <w:sz w:val="24"/>
          <w:szCs w:val="24"/>
        </w:rPr>
        <w:t xml:space="preserve"> the highest form of law statutes in England, these precedents can be sometimes replaced or superseded by primary sources of laws such as legislation.  </w:t>
      </w:r>
    </w:p>
    <w:p w14:paraId="2F1D0B70" w14:textId="77777777" w:rsidR="00373322" w:rsidRPr="006D598B" w:rsidRDefault="00AD7454">
      <w:pPr>
        <w:pStyle w:val="Normal1"/>
        <w:spacing w:line="360" w:lineRule="auto"/>
        <w:jc w:val="both"/>
        <w:rPr>
          <w:b/>
          <w:sz w:val="24"/>
          <w:szCs w:val="24"/>
        </w:rPr>
      </w:pPr>
      <w:r w:rsidRPr="006D598B">
        <w:rPr>
          <w:b/>
          <w:sz w:val="24"/>
          <w:szCs w:val="24"/>
        </w:rPr>
        <w:t>Definition of Civil Law</w:t>
      </w:r>
    </w:p>
    <w:p w14:paraId="084C9684" w14:textId="77777777" w:rsidR="00373322" w:rsidRPr="006D598B" w:rsidRDefault="00AD7454">
      <w:pPr>
        <w:pStyle w:val="Normal1"/>
        <w:spacing w:line="360" w:lineRule="auto"/>
        <w:jc w:val="both"/>
        <w:rPr>
          <w:sz w:val="24"/>
          <w:szCs w:val="24"/>
        </w:rPr>
      </w:pPr>
      <w:r w:rsidRPr="006D598B">
        <w:rPr>
          <w:sz w:val="24"/>
          <w:szCs w:val="24"/>
        </w:rPr>
        <w:t xml:space="preserve">Unlike common laws, civil laws seek to cover the properties of organisations or individuals. Any civil cases within England need to be taken to the country court and there are binding decisions from higher courts. For example, </w:t>
      </w:r>
      <w:r w:rsidRPr="006D598B">
        <w:rPr>
          <w:b/>
          <w:i/>
          <w:sz w:val="24"/>
          <w:szCs w:val="24"/>
        </w:rPr>
        <w:t xml:space="preserve">“Article 11 of the Human Rights Act 1998” </w:t>
      </w:r>
      <w:r w:rsidRPr="006D598B">
        <w:rPr>
          <w:sz w:val="24"/>
          <w:szCs w:val="24"/>
        </w:rPr>
        <w:t xml:space="preserve">is a precedent of such a civil law which ensures the complete freedom of an individual’s right to form a peaceful assembly or association with another (Legislation.gov.uk, 2023). The hierarchy of Civil laws falls under the </w:t>
      </w:r>
      <w:r w:rsidR="0000513F" w:rsidRPr="006D598B">
        <w:rPr>
          <w:sz w:val="24"/>
          <w:szCs w:val="24"/>
        </w:rPr>
        <w:t>Supreme Court</w:t>
      </w:r>
      <w:r w:rsidRPr="006D598B">
        <w:rPr>
          <w:sz w:val="24"/>
          <w:szCs w:val="24"/>
        </w:rPr>
        <w:t xml:space="preserve"> which was previously regarded as the </w:t>
      </w:r>
      <w:r w:rsidRPr="006D598B">
        <w:rPr>
          <w:b/>
          <w:i/>
          <w:sz w:val="24"/>
          <w:szCs w:val="24"/>
        </w:rPr>
        <w:t xml:space="preserve">House of Lords </w:t>
      </w:r>
      <w:r w:rsidRPr="006D598B">
        <w:rPr>
          <w:sz w:val="24"/>
          <w:szCs w:val="24"/>
        </w:rPr>
        <w:t xml:space="preserve">(Lecture 5 Slide 14). Civil law is </w:t>
      </w:r>
      <w:r w:rsidRPr="006D598B">
        <w:rPr>
          <w:sz w:val="24"/>
          <w:szCs w:val="24"/>
        </w:rPr>
        <w:lastRenderedPageBreak/>
        <w:t xml:space="preserve">different from criminal law in its treatment of individuals and organisations.  The focus of civil cases is primarily on preserving the rights and property of another individual or organisation during a lawsuit (Hudgellsolicitors.co.uk, 2022). There is no guilty or not guilty party in terms of civil cases, rather the court or tribunal holds the offender liable for breaching the rights of the victim. As per civil law, the liable person is usually charged a monetary amount in the form of compensation. </w:t>
      </w:r>
    </w:p>
    <w:p w14:paraId="7D36FCB9" w14:textId="77777777" w:rsidR="00373322" w:rsidRPr="006D598B" w:rsidRDefault="00AD7454">
      <w:pPr>
        <w:pStyle w:val="Normal1"/>
        <w:spacing w:line="360" w:lineRule="auto"/>
        <w:jc w:val="both"/>
        <w:rPr>
          <w:b/>
          <w:sz w:val="24"/>
          <w:szCs w:val="24"/>
        </w:rPr>
      </w:pPr>
      <w:r w:rsidRPr="006D598B">
        <w:rPr>
          <w:b/>
          <w:sz w:val="24"/>
          <w:szCs w:val="24"/>
        </w:rPr>
        <w:t>Differences between common law and civil law</w:t>
      </w:r>
    </w:p>
    <w:p w14:paraId="418A3CF1" w14:textId="77777777" w:rsidR="00373322" w:rsidRPr="006D598B" w:rsidRDefault="00AD7454">
      <w:pPr>
        <w:pStyle w:val="Normal1"/>
        <w:spacing w:line="360" w:lineRule="auto"/>
        <w:jc w:val="both"/>
        <w:rPr>
          <w:sz w:val="24"/>
          <w:szCs w:val="24"/>
        </w:rPr>
      </w:pPr>
      <w:r w:rsidRPr="006D598B">
        <w:rPr>
          <w:sz w:val="24"/>
          <w:szCs w:val="24"/>
        </w:rPr>
        <w:t xml:space="preserve">The main contrast between common law and the civil law system is the form of codification of the statutes and legislations. In terms of countries with common law systems such as current England, former British colonies, and the United States, there is not a definite presence of codified or written laws (Worldbank.org, 2022). On the other hand, countries with Civil law systems such as France, Germany, </w:t>
      </w:r>
      <w:proofErr w:type="gramStart"/>
      <w:r w:rsidRPr="006D598B">
        <w:rPr>
          <w:sz w:val="24"/>
          <w:szCs w:val="24"/>
        </w:rPr>
        <w:t>Spain</w:t>
      </w:r>
      <w:proofErr w:type="gramEnd"/>
      <w:r w:rsidRPr="006D598B">
        <w:rPr>
          <w:sz w:val="24"/>
          <w:szCs w:val="24"/>
        </w:rPr>
        <w:t xml:space="preserve"> and many others have written and codified law systems. The laws in the civil law system are codified on specific codes such as corporate law, administrative law, constitutional </w:t>
      </w:r>
      <w:proofErr w:type="gramStart"/>
      <w:r w:rsidRPr="006D598B">
        <w:rPr>
          <w:sz w:val="24"/>
          <w:szCs w:val="24"/>
        </w:rPr>
        <w:t>law</w:t>
      </w:r>
      <w:proofErr w:type="gramEnd"/>
      <w:r w:rsidRPr="006D598B">
        <w:rPr>
          <w:sz w:val="24"/>
          <w:szCs w:val="24"/>
        </w:rPr>
        <w:t xml:space="preserve"> and tax law (Worldbank.org, 2022). Hereby, as per the civil law systems, only enactment formed within legislations </w:t>
      </w:r>
      <w:proofErr w:type="gramStart"/>
      <w:r w:rsidRPr="006D598B">
        <w:rPr>
          <w:sz w:val="24"/>
          <w:szCs w:val="24"/>
        </w:rPr>
        <w:t>are considered to be</w:t>
      </w:r>
      <w:proofErr w:type="gramEnd"/>
      <w:r w:rsidRPr="006D598B">
        <w:rPr>
          <w:sz w:val="24"/>
          <w:szCs w:val="24"/>
        </w:rPr>
        <w:t xml:space="preserve"> legally binding and little scope is overseen to laws made by judges. However, the common law system allows the judges of its courts to take part in the </w:t>
      </w:r>
      <w:proofErr w:type="spellStart"/>
      <w:r w:rsidRPr="006D598B">
        <w:rPr>
          <w:sz w:val="24"/>
          <w:szCs w:val="24"/>
        </w:rPr>
        <w:t>lawmaking</w:t>
      </w:r>
      <w:proofErr w:type="spellEnd"/>
      <w:r w:rsidRPr="006D598B">
        <w:rPr>
          <w:sz w:val="24"/>
          <w:szCs w:val="24"/>
        </w:rPr>
        <w:t xml:space="preserve"> process as there is </w:t>
      </w:r>
      <w:r w:rsidRPr="006D598B">
        <w:rPr>
          <w:b/>
          <w:i/>
          <w:sz w:val="24"/>
          <w:szCs w:val="24"/>
        </w:rPr>
        <w:t xml:space="preserve">“extensive freedom of contract.” </w:t>
      </w:r>
      <w:r w:rsidRPr="006D598B">
        <w:rPr>
          <w:sz w:val="24"/>
          <w:szCs w:val="24"/>
        </w:rPr>
        <w:t xml:space="preserve">The judicial decisions made by tribunal courts can only be overruled by the same court or a court of higher authority </w:t>
      </w:r>
      <w:proofErr w:type="gramStart"/>
      <w:r w:rsidRPr="006D598B">
        <w:rPr>
          <w:sz w:val="24"/>
          <w:szCs w:val="24"/>
        </w:rPr>
        <w:t>e.g.</w:t>
      </w:r>
      <w:proofErr w:type="gramEnd"/>
      <w:r w:rsidRPr="006D598B">
        <w:rPr>
          <w:sz w:val="24"/>
          <w:szCs w:val="24"/>
        </w:rPr>
        <w:t xml:space="preserve"> supreme court. </w:t>
      </w:r>
    </w:p>
    <w:p w14:paraId="6F50CD94" w14:textId="77777777" w:rsidR="00373322" w:rsidRPr="006D598B" w:rsidRDefault="00AD7454">
      <w:pPr>
        <w:pStyle w:val="Normal1"/>
        <w:spacing w:line="360" w:lineRule="auto"/>
        <w:jc w:val="both"/>
        <w:rPr>
          <w:sz w:val="24"/>
          <w:szCs w:val="24"/>
        </w:rPr>
      </w:pPr>
      <w:r w:rsidRPr="006D598B">
        <w:rPr>
          <w:sz w:val="24"/>
          <w:szCs w:val="24"/>
        </w:rPr>
        <w:t xml:space="preserve">On the other hand, the rigidity of civil law systems is often criticised due to their codified systems with no freedom to the expression or underlying inhibitions within a situation. As per the views of </w:t>
      </w:r>
      <w:proofErr w:type="spellStart"/>
      <w:r w:rsidRPr="006D598B">
        <w:rPr>
          <w:sz w:val="24"/>
          <w:szCs w:val="24"/>
        </w:rPr>
        <w:t>Mackaay</w:t>
      </w:r>
      <w:proofErr w:type="spellEnd"/>
      <w:r w:rsidRPr="006D598B">
        <w:rPr>
          <w:sz w:val="24"/>
          <w:szCs w:val="24"/>
        </w:rPr>
        <w:t xml:space="preserve"> (2021), civil law systems are comparatively less amenable than common law systems in terms of codes such as economic analysis of law. The civil law system is essentially far more prescriptive than the systems followed in the common law. Therefore, in terms of civil law, governments </w:t>
      </w:r>
      <w:proofErr w:type="gramStart"/>
      <w:r w:rsidRPr="006D598B">
        <w:rPr>
          <w:sz w:val="24"/>
          <w:szCs w:val="24"/>
        </w:rPr>
        <w:t>have to</w:t>
      </w:r>
      <w:proofErr w:type="gramEnd"/>
      <w:r w:rsidRPr="006D598B">
        <w:rPr>
          <w:sz w:val="24"/>
          <w:szCs w:val="24"/>
        </w:rPr>
        <w:t xml:space="preserve"> consider the scope and connotations of certain restrictions before passing them as restrictions. In that case, oftentimes there could be separate "constitutional courts", "civil courts", and "administrative costs" that may stand solely for interpreting the underlying pretext of a specific code in practice. However, despite the clear-cut differences between the two legal systems, there may be a mixture between the two in certain cases. That is why it </w:t>
      </w:r>
      <w:r w:rsidRPr="006D598B">
        <w:rPr>
          <w:sz w:val="24"/>
          <w:szCs w:val="24"/>
        </w:rPr>
        <w:lastRenderedPageBreak/>
        <w:t xml:space="preserve">is important to understand the historical connotations between the two legal systems to understand their specific features in contrast to one another. </w:t>
      </w:r>
    </w:p>
    <w:p w14:paraId="09EB936A" w14:textId="77777777" w:rsidR="00373322" w:rsidRPr="006D598B" w:rsidRDefault="00AD7454">
      <w:pPr>
        <w:pStyle w:val="Normal1"/>
        <w:spacing w:line="360" w:lineRule="auto"/>
        <w:jc w:val="both"/>
        <w:rPr>
          <w:b/>
          <w:sz w:val="24"/>
          <w:szCs w:val="24"/>
        </w:rPr>
      </w:pPr>
      <w:r w:rsidRPr="006D598B">
        <w:rPr>
          <w:b/>
          <w:sz w:val="24"/>
          <w:szCs w:val="24"/>
        </w:rPr>
        <w:t>History of Common Law in the English Legal System</w:t>
      </w:r>
    </w:p>
    <w:p w14:paraId="2D830BAC" w14:textId="77777777" w:rsidR="00373322" w:rsidRPr="006D598B" w:rsidRDefault="00AD7454">
      <w:pPr>
        <w:pStyle w:val="Normal1"/>
        <w:spacing w:line="360" w:lineRule="auto"/>
        <w:jc w:val="both"/>
        <w:rPr>
          <w:sz w:val="24"/>
          <w:szCs w:val="24"/>
        </w:rPr>
      </w:pPr>
      <w:r w:rsidRPr="006D598B">
        <w:rPr>
          <w:sz w:val="24"/>
          <w:szCs w:val="24"/>
        </w:rPr>
        <w:t xml:space="preserve">The origin of Common law can be dated back to medieval England under the rule of Henry II. Henry II or Henry Plantagenet is often considered the </w:t>
      </w:r>
      <w:r w:rsidRPr="006D598B">
        <w:rPr>
          <w:b/>
          <w:i/>
          <w:sz w:val="24"/>
          <w:szCs w:val="24"/>
        </w:rPr>
        <w:t xml:space="preserve">“father of common law” </w:t>
      </w:r>
      <w:r w:rsidRPr="006D598B">
        <w:rPr>
          <w:sz w:val="24"/>
          <w:szCs w:val="24"/>
        </w:rPr>
        <w:t xml:space="preserve">(Tba.org, 2017). The imposition of order and common law under his rules came after decades of famine, civil war, feeble </w:t>
      </w:r>
      <w:proofErr w:type="gramStart"/>
      <w:r w:rsidRPr="006D598B">
        <w:rPr>
          <w:sz w:val="24"/>
          <w:szCs w:val="24"/>
        </w:rPr>
        <w:t>governance</w:t>
      </w:r>
      <w:proofErr w:type="gramEnd"/>
      <w:r w:rsidRPr="006D598B">
        <w:rPr>
          <w:sz w:val="24"/>
          <w:szCs w:val="24"/>
        </w:rPr>
        <w:t xml:space="preserve"> and corruption. Instead of baronial tribunals, the ruler imposed a national court system on both rich and poor, bringing a consolidated royal authority and denouncing all local authorities. On this account, it can be said that the Common law systems are created in terms of protecting the rights of people, regardless of their social standing. According to the views of </w:t>
      </w:r>
      <w:proofErr w:type="spellStart"/>
      <w:r w:rsidRPr="006D598B">
        <w:rPr>
          <w:sz w:val="24"/>
          <w:szCs w:val="24"/>
        </w:rPr>
        <w:t>Okediji</w:t>
      </w:r>
      <w:proofErr w:type="spellEnd"/>
      <w:r w:rsidRPr="006D598B">
        <w:rPr>
          <w:sz w:val="24"/>
          <w:szCs w:val="24"/>
        </w:rPr>
        <w:t xml:space="preserve"> (2021), civil law systems are not always designed to protect the rights of the minority or even indigenous people. Derived from law and precedents, the common law is delivered by the judges unlike in the civil law system. Initially, the common laws were administered only within the king's courts and equity was treated as a separate system that was administered by the Lord Chancellors (Iclr.co.uk, 2023). This equity system was created as an amenity to resolve the inflexible nature of common law and pass justice accordingly. However, since the </w:t>
      </w:r>
      <w:r w:rsidRPr="006D598B">
        <w:rPr>
          <w:b/>
          <w:i/>
          <w:sz w:val="24"/>
          <w:szCs w:val="24"/>
        </w:rPr>
        <w:t xml:space="preserve">“Judicature Acts of 1873-75”, </w:t>
      </w:r>
      <w:r w:rsidRPr="006D598B">
        <w:rPr>
          <w:sz w:val="24"/>
          <w:szCs w:val="24"/>
        </w:rPr>
        <w:t xml:space="preserve">equity and common law are no longer treated as separate entities and had been fused under one legal system in England and Wales. Since then, both legal and equitable solutions can be provided by all courts within the country. </w:t>
      </w:r>
    </w:p>
    <w:p w14:paraId="176387E0" w14:textId="77777777" w:rsidR="00373322" w:rsidRPr="006D598B" w:rsidRDefault="00AD7454">
      <w:pPr>
        <w:pStyle w:val="Normal1"/>
        <w:spacing w:line="360" w:lineRule="auto"/>
        <w:jc w:val="both"/>
        <w:rPr>
          <w:b/>
          <w:sz w:val="24"/>
          <w:szCs w:val="24"/>
        </w:rPr>
      </w:pPr>
      <w:r w:rsidRPr="006D598B">
        <w:rPr>
          <w:b/>
          <w:sz w:val="24"/>
          <w:szCs w:val="24"/>
        </w:rPr>
        <w:t>Examples of Common law working in practice</w:t>
      </w:r>
    </w:p>
    <w:p w14:paraId="60604D4D" w14:textId="77777777" w:rsidR="00373322" w:rsidRPr="006D598B" w:rsidRDefault="00AD7454">
      <w:pPr>
        <w:pStyle w:val="Normal1"/>
        <w:spacing w:line="360" w:lineRule="auto"/>
        <w:jc w:val="both"/>
        <w:rPr>
          <w:sz w:val="24"/>
          <w:szCs w:val="24"/>
        </w:rPr>
      </w:pPr>
      <w:r w:rsidRPr="006D598B">
        <w:rPr>
          <w:sz w:val="24"/>
          <w:szCs w:val="24"/>
        </w:rPr>
        <w:t xml:space="preserve">In today's worldview, there are many precedents of overlapping law systems. As of 2023, roughly 40 territories and countries in the world follow a common law system while 60 others use it as part of a mixed legal system (Worldpopulationreview.com, 2023). The origin of common law is rooted in medieval England. On this account, a major feature of countries using the common law system to this day is that most of them were previously a part of the British Colonies. In recent times, most of these former colonies have adopted a mix of the "British Legal system" with customary or religious laws where each community is subjugated to certain case laws based on their identity and cultural roots. Today, England's common-law system is defined by the key </w:t>
      </w:r>
      <w:r w:rsidRPr="006D598B">
        <w:rPr>
          <w:sz w:val="24"/>
          <w:szCs w:val="24"/>
        </w:rPr>
        <w:lastRenderedPageBreak/>
        <w:t xml:space="preserve">characteristics of judges sitting in the court and making decisions in the precedent of previous cases (Courtroomadvice.co.uk, 2023). The main objective of today's law system in England is that the law remains 'common' throughout the country without any alteration or discrimination based on local regions or customs. However, decisions made by the higher courts can bind the decisions made by lower courts in the precedence of the </w:t>
      </w:r>
      <w:r w:rsidRPr="006D598B">
        <w:rPr>
          <w:b/>
          <w:i/>
          <w:sz w:val="24"/>
          <w:szCs w:val="24"/>
        </w:rPr>
        <w:t xml:space="preserve">“Court of Appeal” </w:t>
      </w:r>
      <w:r w:rsidRPr="006D598B">
        <w:rPr>
          <w:sz w:val="24"/>
          <w:szCs w:val="24"/>
        </w:rPr>
        <w:t xml:space="preserve">and </w:t>
      </w:r>
      <w:r w:rsidRPr="006D598B">
        <w:rPr>
          <w:b/>
          <w:i/>
          <w:sz w:val="24"/>
          <w:szCs w:val="24"/>
        </w:rPr>
        <w:t xml:space="preserve">“House of Lords.” </w:t>
      </w:r>
      <w:r w:rsidRPr="006D598B">
        <w:rPr>
          <w:sz w:val="24"/>
          <w:szCs w:val="24"/>
        </w:rPr>
        <w:t xml:space="preserve">However, in terms of a case decided in foreign countries, the courts in the English legal system may choose to look at other courts such as the court of the commonwealth as guidance to maintain legal stability and allow flexibility in decision-making. </w:t>
      </w:r>
    </w:p>
    <w:p w14:paraId="69827443" w14:textId="77777777" w:rsidR="00373322" w:rsidRPr="006D598B" w:rsidRDefault="00AD7454">
      <w:pPr>
        <w:pStyle w:val="Heading1"/>
      </w:pPr>
      <w:bookmarkStart w:id="4" w:name="_w7esdxmwrr68" w:colFirst="0" w:colLast="0"/>
      <w:bookmarkStart w:id="5" w:name="_Toc129189989"/>
      <w:bookmarkEnd w:id="4"/>
      <w:r w:rsidRPr="006D598B">
        <w:t>Conclusion</w:t>
      </w:r>
      <w:bookmarkEnd w:id="5"/>
    </w:p>
    <w:p w14:paraId="4CB320C1" w14:textId="77777777" w:rsidR="00373322" w:rsidRPr="006D598B" w:rsidRDefault="00AD7454">
      <w:pPr>
        <w:pStyle w:val="Normal1"/>
        <w:spacing w:line="360" w:lineRule="auto"/>
        <w:jc w:val="both"/>
        <w:rPr>
          <w:sz w:val="24"/>
          <w:szCs w:val="24"/>
        </w:rPr>
      </w:pPr>
      <w:r w:rsidRPr="006D598B">
        <w:rPr>
          <w:sz w:val="24"/>
          <w:szCs w:val="24"/>
        </w:rPr>
        <w:t xml:space="preserve">In conclusion, it can be seen that the common law system in England is mostly in practice to this day within the UK and former British colonies. However, </w:t>
      </w:r>
      <w:proofErr w:type="gramStart"/>
      <w:r w:rsidRPr="006D598B">
        <w:rPr>
          <w:sz w:val="24"/>
          <w:szCs w:val="24"/>
        </w:rPr>
        <w:t>in light of</w:t>
      </w:r>
      <w:proofErr w:type="gramEnd"/>
      <w:r w:rsidRPr="006D598B">
        <w:rPr>
          <w:sz w:val="24"/>
          <w:szCs w:val="24"/>
        </w:rPr>
        <w:t xml:space="preserve"> today's worldview, many of such former colonies have opted to choose a mixed system by allowing flexibility within common, customary and religious law. In England, the case law system is observed as means of one 'common' statutory law across the country. However, in terms of cases decided or heard in a foreign country, the judges in the English legal system can look to other law-making bodies across the world as a form of guidance. Such practices bring flexibility and stability to the legal system. On the other hand, decisions taken in lower courts can often be overruled in higher courts such as high courts, and supreme courts. In comparison to the civil law system, the common laws in England aim to allow freedom of extent to the cases' interpretations. Hence, judges in the legal courts have the ability to make law by taking into account previous cases and decisions. </w:t>
      </w:r>
      <w:r w:rsidRPr="006D598B">
        <w:br w:type="page"/>
      </w:r>
    </w:p>
    <w:p w14:paraId="0EFC73F8" w14:textId="77777777" w:rsidR="00373322" w:rsidRPr="006D598B" w:rsidRDefault="00AD7454">
      <w:pPr>
        <w:pStyle w:val="Heading1"/>
        <w:spacing w:before="200"/>
      </w:pPr>
      <w:bookmarkStart w:id="6" w:name="_63qpi58jnjhk" w:colFirst="0" w:colLast="0"/>
      <w:bookmarkStart w:id="7" w:name="_Toc129189990"/>
      <w:bookmarkEnd w:id="6"/>
      <w:r w:rsidRPr="006D598B">
        <w:lastRenderedPageBreak/>
        <w:t>References</w:t>
      </w:r>
      <w:bookmarkEnd w:id="7"/>
    </w:p>
    <w:p w14:paraId="05F99B22" w14:textId="77777777" w:rsidR="008F76BA" w:rsidRPr="006D598B" w:rsidRDefault="008F76BA">
      <w:pPr>
        <w:pStyle w:val="Normal1"/>
        <w:spacing w:before="200" w:line="360" w:lineRule="auto"/>
        <w:jc w:val="both"/>
        <w:rPr>
          <w:sz w:val="24"/>
          <w:szCs w:val="24"/>
        </w:rPr>
      </w:pPr>
      <w:r w:rsidRPr="006D598B">
        <w:rPr>
          <w:sz w:val="24"/>
          <w:szCs w:val="24"/>
        </w:rPr>
        <w:t xml:space="preserve">“[Lecture 5 </w:t>
      </w:r>
      <w:r>
        <w:rPr>
          <w:sz w:val="24"/>
          <w:szCs w:val="24"/>
        </w:rPr>
        <w:t>Slide</w:t>
      </w:r>
      <w:r w:rsidRPr="006D598B">
        <w:rPr>
          <w:sz w:val="24"/>
          <w:szCs w:val="24"/>
        </w:rPr>
        <w:t xml:space="preserve"> 14]”</w:t>
      </w:r>
    </w:p>
    <w:p w14:paraId="53C11701" w14:textId="77777777" w:rsidR="008F76BA" w:rsidRPr="006D598B" w:rsidRDefault="008F76BA">
      <w:pPr>
        <w:pStyle w:val="Normal1"/>
        <w:spacing w:before="200" w:line="360" w:lineRule="auto"/>
        <w:jc w:val="both"/>
        <w:rPr>
          <w:sz w:val="24"/>
          <w:szCs w:val="24"/>
        </w:rPr>
      </w:pPr>
      <w:r w:rsidRPr="006D598B">
        <w:rPr>
          <w:sz w:val="24"/>
          <w:szCs w:val="24"/>
        </w:rPr>
        <w:t xml:space="preserve">“Courtroomadvice.co.uk, (2023), </w:t>
      </w:r>
      <w:r w:rsidRPr="006D598B">
        <w:rPr>
          <w:i/>
          <w:sz w:val="24"/>
          <w:szCs w:val="24"/>
        </w:rPr>
        <w:t xml:space="preserve">Common Law in England, </w:t>
      </w:r>
      <w:r w:rsidRPr="006D598B">
        <w:rPr>
          <w:sz w:val="24"/>
          <w:szCs w:val="24"/>
        </w:rPr>
        <w:t xml:space="preserve">Available </w:t>
      </w:r>
      <w:proofErr w:type="spellStart"/>
      <w:proofErr w:type="gramStart"/>
      <w:r w:rsidRPr="006D598B">
        <w:rPr>
          <w:sz w:val="24"/>
          <w:szCs w:val="24"/>
        </w:rPr>
        <w:t>at:https</w:t>
      </w:r>
      <w:proofErr w:type="spellEnd"/>
      <w:r w:rsidRPr="006D598B">
        <w:rPr>
          <w:sz w:val="24"/>
          <w:szCs w:val="24"/>
        </w:rPr>
        <w:t>://www.courtroomadvice.co.uk/common-law-england.html</w:t>
      </w:r>
      <w:proofErr w:type="gramEnd"/>
      <w:r w:rsidRPr="006D598B">
        <w:rPr>
          <w:sz w:val="24"/>
          <w:szCs w:val="24"/>
        </w:rPr>
        <w:t xml:space="preserve"> [Accessed on: 08.03.2023]”</w:t>
      </w:r>
    </w:p>
    <w:p w14:paraId="319C6F49" w14:textId="77777777" w:rsidR="008F76BA" w:rsidRPr="006D598B" w:rsidRDefault="008F76BA">
      <w:pPr>
        <w:pStyle w:val="Normal1"/>
        <w:spacing w:before="200" w:line="360" w:lineRule="auto"/>
        <w:jc w:val="both"/>
        <w:rPr>
          <w:sz w:val="24"/>
          <w:szCs w:val="24"/>
        </w:rPr>
      </w:pPr>
      <w:r w:rsidRPr="006D598B">
        <w:rPr>
          <w:sz w:val="24"/>
          <w:szCs w:val="24"/>
        </w:rPr>
        <w:t xml:space="preserve">“Hudgellsolicitors.co.uk, (2022), </w:t>
      </w:r>
      <w:r w:rsidRPr="006D598B">
        <w:rPr>
          <w:i/>
          <w:sz w:val="24"/>
          <w:szCs w:val="24"/>
        </w:rPr>
        <w:t xml:space="preserve">Criminal vs Civil Law - What is the Difference? </w:t>
      </w:r>
      <w:r w:rsidRPr="006D598B">
        <w:rPr>
          <w:sz w:val="24"/>
          <w:szCs w:val="24"/>
        </w:rPr>
        <w:t xml:space="preserve">Available </w:t>
      </w:r>
      <w:proofErr w:type="gramStart"/>
      <w:r w:rsidRPr="006D598B">
        <w:rPr>
          <w:sz w:val="24"/>
          <w:szCs w:val="24"/>
        </w:rPr>
        <w:t>at:https://www.hudgellsolicitors.co.uk/advice/criminal-vs-civil-law-what-is-the-difference/</w:t>
      </w:r>
      <w:proofErr w:type="gramEnd"/>
      <w:r w:rsidRPr="006D598B">
        <w:rPr>
          <w:sz w:val="24"/>
          <w:szCs w:val="24"/>
        </w:rPr>
        <w:t xml:space="preserve"> [Accessed on: 08.03.2023]”</w:t>
      </w:r>
    </w:p>
    <w:p w14:paraId="596608E7" w14:textId="77777777" w:rsidR="008F76BA" w:rsidRPr="006D598B" w:rsidRDefault="008F76BA">
      <w:pPr>
        <w:pStyle w:val="Normal1"/>
        <w:spacing w:before="200" w:line="360" w:lineRule="auto"/>
        <w:jc w:val="both"/>
        <w:rPr>
          <w:sz w:val="24"/>
          <w:szCs w:val="24"/>
        </w:rPr>
      </w:pPr>
      <w:r>
        <w:rPr>
          <w:sz w:val="24"/>
          <w:szCs w:val="24"/>
        </w:rPr>
        <w:t>“</w:t>
      </w:r>
      <w:r w:rsidRPr="006D598B">
        <w:rPr>
          <w:sz w:val="24"/>
          <w:szCs w:val="24"/>
        </w:rPr>
        <w:t xml:space="preserve">Iclr.co.uk, (2023), </w:t>
      </w:r>
      <w:r w:rsidRPr="006D598B">
        <w:rPr>
          <w:i/>
          <w:sz w:val="24"/>
          <w:szCs w:val="24"/>
        </w:rPr>
        <w:t xml:space="preserve">Knowledge, </w:t>
      </w:r>
      <w:r w:rsidRPr="006D598B">
        <w:rPr>
          <w:sz w:val="24"/>
          <w:szCs w:val="24"/>
        </w:rPr>
        <w:t xml:space="preserve">“Available </w:t>
      </w:r>
      <w:proofErr w:type="gramStart"/>
      <w:r w:rsidRPr="006D598B">
        <w:rPr>
          <w:sz w:val="24"/>
          <w:szCs w:val="24"/>
        </w:rPr>
        <w:t>at:https://www.iclr.co.uk/knowledge/topics/the-english-legal-system/</w:t>
      </w:r>
      <w:proofErr w:type="gramEnd"/>
      <w:r w:rsidRPr="006D598B">
        <w:rPr>
          <w:sz w:val="24"/>
          <w:szCs w:val="24"/>
        </w:rPr>
        <w:t xml:space="preserve"> [Accessed on: 08.03.2023]”</w:t>
      </w:r>
    </w:p>
    <w:p w14:paraId="3A706766" w14:textId="77777777" w:rsidR="008F76BA" w:rsidRPr="006D598B" w:rsidRDefault="008F76BA">
      <w:pPr>
        <w:pStyle w:val="Normal1"/>
        <w:spacing w:before="200" w:line="360" w:lineRule="auto"/>
        <w:jc w:val="both"/>
        <w:rPr>
          <w:sz w:val="24"/>
          <w:szCs w:val="24"/>
        </w:rPr>
      </w:pPr>
      <w:r w:rsidRPr="006D598B">
        <w:rPr>
          <w:sz w:val="24"/>
          <w:szCs w:val="24"/>
        </w:rPr>
        <w:t xml:space="preserve">“Legislation.gov.uk, (2023), </w:t>
      </w:r>
      <w:r w:rsidRPr="006D598B">
        <w:rPr>
          <w:i/>
          <w:sz w:val="24"/>
          <w:szCs w:val="24"/>
        </w:rPr>
        <w:t xml:space="preserve">Human Rights Act 1998, </w:t>
      </w:r>
      <w:r w:rsidRPr="006D598B">
        <w:rPr>
          <w:sz w:val="24"/>
          <w:szCs w:val="24"/>
        </w:rPr>
        <w:t xml:space="preserve">Available </w:t>
      </w:r>
      <w:proofErr w:type="gramStart"/>
      <w:r w:rsidRPr="006D598B">
        <w:rPr>
          <w:sz w:val="24"/>
          <w:szCs w:val="24"/>
        </w:rPr>
        <w:t>at:https://www.legislation.gov.uk/ukpga/1998/42/schedule/1/part/I/chapter/10</w:t>
      </w:r>
      <w:proofErr w:type="gramEnd"/>
      <w:r w:rsidRPr="006D598B">
        <w:rPr>
          <w:sz w:val="24"/>
          <w:szCs w:val="24"/>
        </w:rPr>
        <w:t xml:space="preserve"> [Accessed on: 08.03.2023]”</w:t>
      </w:r>
    </w:p>
    <w:p w14:paraId="053B99F6" w14:textId="77777777" w:rsidR="008F76BA" w:rsidRPr="006D598B" w:rsidRDefault="008F76BA">
      <w:pPr>
        <w:pStyle w:val="Normal1"/>
        <w:spacing w:before="200" w:line="360" w:lineRule="auto"/>
        <w:jc w:val="both"/>
        <w:rPr>
          <w:sz w:val="24"/>
          <w:szCs w:val="24"/>
        </w:rPr>
      </w:pPr>
      <w:r w:rsidRPr="006D598B">
        <w:rPr>
          <w:sz w:val="24"/>
          <w:szCs w:val="24"/>
        </w:rPr>
        <w:t>“</w:t>
      </w:r>
      <w:proofErr w:type="spellStart"/>
      <w:r w:rsidRPr="006D598B">
        <w:rPr>
          <w:sz w:val="24"/>
          <w:szCs w:val="24"/>
        </w:rPr>
        <w:t>Mackaay</w:t>
      </w:r>
      <w:proofErr w:type="spellEnd"/>
      <w:r w:rsidRPr="006D598B">
        <w:rPr>
          <w:sz w:val="24"/>
          <w:szCs w:val="24"/>
        </w:rPr>
        <w:t xml:space="preserve">, E., (2021). </w:t>
      </w:r>
      <w:r w:rsidRPr="006D598B">
        <w:rPr>
          <w:i/>
          <w:sz w:val="24"/>
          <w:szCs w:val="24"/>
        </w:rPr>
        <w:t>Law and economics for civil law systems</w:t>
      </w:r>
      <w:r w:rsidRPr="006D598B">
        <w:rPr>
          <w:sz w:val="24"/>
          <w:szCs w:val="24"/>
        </w:rPr>
        <w:t>. Edward Elgar Publishing.”</w:t>
      </w:r>
    </w:p>
    <w:p w14:paraId="5A8E270A" w14:textId="77777777" w:rsidR="008F76BA" w:rsidRPr="006D598B" w:rsidRDefault="008F76BA">
      <w:pPr>
        <w:pStyle w:val="Normal1"/>
        <w:spacing w:before="200" w:line="360" w:lineRule="auto"/>
        <w:jc w:val="both"/>
        <w:rPr>
          <w:sz w:val="24"/>
          <w:szCs w:val="24"/>
        </w:rPr>
      </w:pPr>
      <w:r w:rsidRPr="006D598B">
        <w:rPr>
          <w:sz w:val="24"/>
          <w:szCs w:val="24"/>
        </w:rPr>
        <w:t>“</w:t>
      </w:r>
      <w:proofErr w:type="spellStart"/>
      <w:r w:rsidRPr="006D598B">
        <w:rPr>
          <w:sz w:val="24"/>
          <w:szCs w:val="24"/>
        </w:rPr>
        <w:t>Okediji</w:t>
      </w:r>
      <w:proofErr w:type="spellEnd"/>
      <w:r w:rsidRPr="006D598B">
        <w:rPr>
          <w:sz w:val="24"/>
          <w:szCs w:val="24"/>
        </w:rPr>
        <w:t xml:space="preserve">, R.L., (2021). Grafting traditional knowledge onto a common law system. </w:t>
      </w:r>
      <w:r w:rsidRPr="006D598B">
        <w:rPr>
          <w:i/>
          <w:sz w:val="24"/>
          <w:szCs w:val="24"/>
        </w:rPr>
        <w:t>Geo. LJ</w:t>
      </w:r>
      <w:r w:rsidRPr="006D598B">
        <w:rPr>
          <w:sz w:val="24"/>
          <w:szCs w:val="24"/>
        </w:rPr>
        <w:t xml:space="preserve">, </w:t>
      </w:r>
      <w:r w:rsidRPr="006D598B">
        <w:rPr>
          <w:i/>
          <w:sz w:val="24"/>
          <w:szCs w:val="24"/>
        </w:rPr>
        <w:t>110</w:t>
      </w:r>
      <w:r w:rsidRPr="006D598B">
        <w:rPr>
          <w:sz w:val="24"/>
          <w:szCs w:val="24"/>
        </w:rPr>
        <w:t>, p.75.”</w:t>
      </w:r>
    </w:p>
    <w:p w14:paraId="1A7C9F13" w14:textId="77777777" w:rsidR="008F76BA" w:rsidRPr="006D598B" w:rsidRDefault="008F76BA">
      <w:pPr>
        <w:pStyle w:val="Normal1"/>
        <w:spacing w:before="200" w:line="360" w:lineRule="auto"/>
        <w:jc w:val="both"/>
        <w:rPr>
          <w:sz w:val="24"/>
          <w:szCs w:val="24"/>
        </w:rPr>
      </w:pPr>
      <w:r w:rsidRPr="006D598B">
        <w:rPr>
          <w:sz w:val="24"/>
          <w:szCs w:val="24"/>
        </w:rPr>
        <w:t xml:space="preserve">“Tba.org, (2017), </w:t>
      </w:r>
      <w:r w:rsidRPr="006D598B">
        <w:rPr>
          <w:i/>
          <w:sz w:val="24"/>
          <w:szCs w:val="24"/>
        </w:rPr>
        <w:t xml:space="preserve">Henry II: Father of the Common Law, </w:t>
      </w:r>
      <w:r w:rsidRPr="006D598B">
        <w:rPr>
          <w:sz w:val="24"/>
          <w:szCs w:val="24"/>
        </w:rPr>
        <w:t xml:space="preserve">Available </w:t>
      </w:r>
      <w:proofErr w:type="gramStart"/>
      <w:r w:rsidRPr="006D598B">
        <w:rPr>
          <w:sz w:val="24"/>
          <w:szCs w:val="24"/>
        </w:rPr>
        <w:t>at:https://www.tba.org/index.cfm?pg=LawBlog&amp;blAction=showEntry&amp;blogEntry=26853</w:t>
      </w:r>
      <w:proofErr w:type="gramEnd"/>
      <w:r w:rsidRPr="006D598B">
        <w:rPr>
          <w:sz w:val="24"/>
          <w:szCs w:val="24"/>
        </w:rPr>
        <w:t>[Accessed on: 08.03.2023]”</w:t>
      </w:r>
    </w:p>
    <w:p w14:paraId="39EF59B8" w14:textId="77777777" w:rsidR="008F76BA" w:rsidRPr="006D598B" w:rsidRDefault="008F76BA">
      <w:pPr>
        <w:pStyle w:val="Normal1"/>
        <w:spacing w:before="200" w:line="360" w:lineRule="auto"/>
        <w:jc w:val="both"/>
        <w:rPr>
          <w:sz w:val="24"/>
          <w:szCs w:val="24"/>
        </w:rPr>
      </w:pPr>
      <w:r w:rsidRPr="006D598B">
        <w:rPr>
          <w:sz w:val="24"/>
          <w:szCs w:val="24"/>
        </w:rPr>
        <w:t xml:space="preserve">“Wijaya, A. and </w:t>
      </w:r>
      <w:proofErr w:type="spellStart"/>
      <w:r w:rsidRPr="006D598B">
        <w:rPr>
          <w:sz w:val="24"/>
          <w:szCs w:val="24"/>
        </w:rPr>
        <w:t>Nasran</w:t>
      </w:r>
      <w:proofErr w:type="spellEnd"/>
      <w:r w:rsidRPr="006D598B">
        <w:rPr>
          <w:sz w:val="24"/>
          <w:szCs w:val="24"/>
        </w:rPr>
        <w:t xml:space="preserve">, N., (2021). Comparison Of Judicial Review: A Critical Approach </w:t>
      </w:r>
      <w:proofErr w:type="gramStart"/>
      <w:r w:rsidRPr="006D598B">
        <w:rPr>
          <w:sz w:val="24"/>
          <w:szCs w:val="24"/>
        </w:rPr>
        <w:t>To</w:t>
      </w:r>
      <w:proofErr w:type="gramEnd"/>
      <w:r w:rsidRPr="006D598B">
        <w:rPr>
          <w:sz w:val="24"/>
          <w:szCs w:val="24"/>
        </w:rPr>
        <w:t xml:space="preserve"> The Model In Several Countries. </w:t>
      </w:r>
      <w:proofErr w:type="spellStart"/>
      <w:r w:rsidRPr="006D598B">
        <w:rPr>
          <w:i/>
          <w:sz w:val="24"/>
          <w:szCs w:val="24"/>
        </w:rPr>
        <w:t>Jurnal</w:t>
      </w:r>
      <w:proofErr w:type="spellEnd"/>
      <w:r w:rsidRPr="006D598B">
        <w:rPr>
          <w:i/>
          <w:sz w:val="24"/>
          <w:szCs w:val="24"/>
        </w:rPr>
        <w:t xml:space="preserve"> </w:t>
      </w:r>
      <w:proofErr w:type="spellStart"/>
      <w:r w:rsidRPr="006D598B">
        <w:rPr>
          <w:i/>
          <w:sz w:val="24"/>
          <w:szCs w:val="24"/>
        </w:rPr>
        <w:t>Legalitas</w:t>
      </w:r>
      <w:proofErr w:type="spellEnd"/>
      <w:r w:rsidRPr="006D598B">
        <w:rPr>
          <w:sz w:val="24"/>
          <w:szCs w:val="24"/>
        </w:rPr>
        <w:t xml:space="preserve">, </w:t>
      </w:r>
      <w:r w:rsidRPr="006D598B">
        <w:rPr>
          <w:i/>
          <w:sz w:val="24"/>
          <w:szCs w:val="24"/>
        </w:rPr>
        <w:t>14</w:t>
      </w:r>
      <w:r w:rsidRPr="006D598B">
        <w:rPr>
          <w:sz w:val="24"/>
          <w:szCs w:val="24"/>
        </w:rPr>
        <w:t>(2), pp.85-106.”</w:t>
      </w:r>
    </w:p>
    <w:p w14:paraId="2E51BC11" w14:textId="77777777" w:rsidR="008F76BA" w:rsidRPr="006D598B" w:rsidRDefault="008F76BA">
      <w:pPr>
        <w:pStyle w:val="Normal1"/>
        <w:spacing w:before="200" w:line="360" w:lineRule="auto"/>
        <w:jc w:val="both"/>
        <w:rPr>
          <w:sz w:val="24"/>
          <w:szCs w:val="24"/>
        </w:rPr>
      </w:pPr>
      <w:r w:rsidRPr="006D598B">
        <w:rPr>
          <w:sz w:val="24"/>
          <w:szCs w:val="24"/>
        </w:rPr>
        <w:t xml:space="preserve">“Worldbank.org, (2022), </w:t>
      </w:r>
      <w:r w:rsidRPr="006D598B">
        <w:rPr>
          <w:i/>
          <w:sz w:val="24"/>
          <w:szCs w:val="24"/>
        </w:rPr>
        <w:t xml:space="preserve">Key Features of Common Law or Civil Law Systems, </w:t>
      </w:r>
      <w:r w:rsidRPr="006D598B">
        <w:rPr>
          <w:sz w:val="24"/>
          <w:szCs w:val="24"/>
        </w:rPr>
        <w:t>Available athttps://ppp.worldbank.org/public-private-partnership/legislation-regulation/framework-assessment/legal-systems/common-vs-civil-law [Accessed on: 08.03.2023]”</w:t>
      </w:r>
    </w:p>
    <w:p w14:paraId="10A891F3" w14:textId="77777777" w:rsidR="008F76BA" w:rsidRPr="006D598B" w:rsidRDefault="008F76BA">
      <w:pPr>
        <w:pStyle w:val="Normal1"/>
        <w:spacing w:before="200" w:line="360" w:lineRule="auto"/>
        <w:jc w:val="both"/>
        <w:rPr>
          <w:sz w:val="24"/>
          <w:szCs w:val="24"/>
        </w:rPr>
      </w:pPr>
      <w:r w:rsidRPr="006D598B">
        <w:rPr>
          <w:sz w:val="24"/>
          <w:szCs w:val="24"/>
        </w:rPr>
        <w:lastRenderedPageBreak/>
        <w:t xml:space="preserve">“Worldpopulationreview.com, (2023), </w:t>
      </w:r>
      <w:r w:rsidRPr="006D598B">
        <w:rPr>
          <w:i/>
          <w:sz w:val="24"/>
          <w:szCs w:val="24"/>
        </w:rPr>
        <w:t xml:space="preserve">Common Law Countries 2023, </w:t>
      </w:r>
      <w:r w:rsidRPr="006D598B">
        <w:rPr>
          <w:sz w:val="24"/>
          <w:szCs w:val="24"/>
        </w:rPr>
        <w:t xml:space="preserve">Available </w:t>
      </w:r>
      <w:proofErr w:type="gramStart"/>
      <w:r w:rsidRPr="006D598B">
        <w:rPr>
          <w:sz w:val="24"/>
          <w:szCs w:val="24"/>
        </w:rPr>
        <w:t>at:https://worldpopulationreview.com/country-rankings/common-law-countries</w:t>
      </w:r>
      <w:proofErr w:type="gramEnd"/>
      <w:r w:rsidRPr="006D598B">
        <w:rPr>
          <w:sz w:val="24"/>
          <w:szCs w:val="24"/>
        </w:rPr>
        <w:t xml:space="preserve"> [Accessed on: 08.03.2023]”</w:t>
      </w:r>
    </w:p>
    <w:p w14:paraId="2DF3CC7A" w14:textId="77777777" w:rsidR="00373322" w:rsidRPr="006D598B" w:rsidRDefault="00373322">
      <w:pPr>
        <w:pStyle w:val="Normal1"/>
        <w:spacing w:line="360" w:lineRule="auto"/>
        <w:jc w:val="both"/>
        <w:rPr>
          <w:sz w:val="24"/>
          <w:szCs w:val="24"/>
        </w:rPr>
      </w:pPr>
    </w:p>
    <w:sectPr w:rsidR="00373322" w:rsidRPr="006D598B" w:rsidSect="006D598B">
      <w:footerReference w:type="default" r:id="rId7"/>
      <w:pgSz w:w="12240" w:h="15840"/>
      <w:pgMar w:top="1440" w:right="1440" w:bottom="1440" w:left="1440" w:header="720" w:footer="720" w:gutter="0"/>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A7461" w14:textId="77777777" w:rsidR="002A74F0" w:rsidRDefault="002A74F0" w:rsidP="006D598B">
      <w:pPr>
        <w:spacing w:line="240" w:lineRule="auto"/>
      </w:pPr>
      <w:r>
        <w:separator/>
      </w:r>
    </w:p>
  </w:endnote>
  <w:endnote w:type="continuationSeparator" w:id="0">
    <w:p w14:paraId="2BF9EE81" w14:textId="77777777" w:rsidR="002A74F0" w:rsidRDefault="002A74F0" w:rsidP="006D59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4094"/>
      <w:docPartObj>
        <w:docPartGallery w:val="Page Numbers (Bottom of Page)"/>
        <w:docPartUnique/>
      </w:docPartObj>
    </w:sdtPr>
    <w:sdtEndPr>
      <w:rPr>
        <w:sz w:val="24"/>
      </w:rPr>
    </w:sdtEndPr>
    <w:sdtContent>
      <w:p w14:paraId="57582BB8" w14:textId="77777777" w:rsidR="006D598B" w:rsidRPr="006D598B" w:rsidRDefault="006D598B">
        <w:pPr>
          <w:pStyle w:val="Footer"/>
          <w:jc w:val="right"/>
          <w:rPr>
            <w:sz w:val="24"/>
          </w:rPr>
        </w:pPr>
        <w:r w:rsidRPr="006D598B">
          <w:rPr>
            <w:sz w:val="24"/>
          </w:rPr>
          <w:fldChar w:fldCharType="begin"/>
        </w:r>
        <w:r w:rsidRPr="006D598B">
          <w:rPr>
            <w:sz w:val="24"/>
          </w:rPr>
          <w:instrText xml:space="preserve"> PAGE   \* MERGEFORMAT </w:instrText>
        </w:r>
        <w:r w:rsidRPr="006D598B">
          <w:rPr>
            <w:sz w:val="24"/>
          </w:rPr>
          <w:fldChar w:fldCharType="separate"/>
        </w:r>
        <w:r w:rsidR="00F24543">
          <w:rPr>
            <w:noProof/>
            <w:sz w:val="24"/>
          </w:rPr>
          <w:t>1</w:t>
        </w:r>
        <w:r w:rsidRPr="006D598B">
          <w:rPr>
            <w:sz w:val="24"/>
          </w:rPr>
          <w:fldChar w:fldCharType="end"/>
        </w:r>
      </w:p>
    </w:sdtContent>
  </w:sdt>
  <w:p w14:paraId="6C921007" w14:textId="77777777" w:rsidR="006D598B" w:rsidRDefault="006D5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CCDC0" w14:textId="77777777" w:rsidR="002A74F0" w:rsidRDefault="002A74F0" w:rsidP="006D598B">
      <w:pPr>
        <w:spacing w:line="240" w:lineRule="auto"/>
      </w:pPr>
      <w:r>
        <w:separator/>
      </w:r>
    </w:p>
  </w:footnote>
  <w:footnote w:type="continuationSeparator" w:id="0">
    <w:p w14:paraId="76DEFE09" w14:textId="77777777" w:rsidR="002A74F0" w:rsidRDefault="002A74F0" w:rsidP="006D59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3322"/>
    <w:rsid w:val="0000513F"/>
    <w:rsid w:val="00117009"/>
    <w:rsid w:val="002A74F0"/>
    <w:rsid w:val="00373322"/>
    <w:rsid w:val="00697B72"/>
    <w:rsid w:val="006D598B"/>
    <w:rsid w:val="00784DB2"/>
    <w:rsid w:val="008F76BA"/>
    <w:rsid w:val="00AD7454"/>
    <w:rsid w:val="00E26C08"/>
    <w:rsid w:val="00F24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40CF9"/>
  <w15:docId w15:val="{2DF3ED42-A588-4E0E-86FC-4832ECBF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73322"/>
    <w:pPr>
      <w:keepNext/>
      <w:keepLines/>
      <w:spacing w:line="360" w:lineRule="auto"/>
      <w:jc w:val="both"/>
      <w:outlineLvl w:val="0"/>
    </w:pPr>
    <w:rPr>
      <w:b/>
      <w:sz w:val="24"/>
      <w:szCs w:val="24"/>
    </w:rPr>
  </w:style>
  <w:style w:type="paragraph" w:styleId="Heading2">
    <w:name w:val="heading 2"/>
    <w:basedOn w:val="Normal1"/>
    <w:next w:val="Normal1"/>
    <w:rsid w:val="00373322"/>
    <w:pPr>
      <w:keepNext/>
      <w:keepLines/>
      <w:spacing w:before="360" w:after="120"/>
      <w:outlineLvl w:val="1"/>
    </w:pPr>
    <w:rPr>
      <w:sz w:val="32"/>
      <w:szCs w:val="32"/>
    </w:rPr>
  </w:style>
  <w:style w:type="paragraph" w:styleId="Heading3">
    <w:name w:val="heading 3"/>
    <w:basedOn w:val="Normal1"/>
    <w:next w:val="Normal1"/>
    <w:rsid w:val="00373322"/>
    <w:pPr>
      <w:keepNext/>
      <w:keepLines/>
      <w:spacing w:before="320" w:after="80"/>
      <w:outlineLvl w:val="2"/>
    </w:pPr>
    <w:rPr>
      <w:color w:val="434343"/>
      <w:sz w:val="28"/>
      <w:szCs w:val="28"/>
    </w:rPr>
  </w:style>
  <w:style w:type="paragraph" w:styleId="Heading4">
    <w:name w:val="heading 4"/>
    <w:basedOn w:val="Normal1"/>
    <w:next w:val="Normal1"/>
    <w:rsid w:val="00373322"/>
    <w:pPr>
      <w:keepNext/>
      <w:keepLines/>
      <w:spacing w:before="280" w:after="80"/>
      <w:outlineLvl w:val="3"/>
    </w:pPr>
    <w:rPr>
      <w:color w:val="666666"/>
      <w:sz w:val="24"/>
      <w:szCs w:val="24"/>
    </w:rPr>
  </w:style>
  <w:style w:type="paragraph" w:styleId="Heading5">
    <w:name w:val="heading 5"/>
    <w:basedOn w:val="Normal1"/>
    <w:next w:val="Normal1"/>
    <w:rsid w:val="00373322"/>
    <w:pPr>
      <w:keepNext/>
      <w:keepLines/>
      <w:spacing w:before="240" w:after="80"/>
      <w:outlineLvl w:val="4"/>
    </w:pPr>
    <w:rPr>
      <w:color w:val="666666"/>
    </w:rPr>
  </w:style>
  <w:style w:type="paragraph" w:styleId="Heading6">
    <w:name w:val="heading 6"/>
    <w:basedOn w:val="Normal1"/>
    <w:next w:val="Normal1"/>
    <w:rsid w:val="003733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73322"/>
  </w:style>
  <w:style w:type="table" w:customStyle="1" w:styleId="TableNormal1">
    <w:name w:val="Table Normal1"/>
    <w:rsid w:val="00373322"/>
    <w:tblPr>
      <w:tblCellMar>
        <w:top w:w="0" w:type="dxa"/>
        <w:left w:w="0" w:type="dxa"/>
        <w:bottom w:w="0" w:type="dxa"/>
        <w:right w:w="0" w:type="dxa"/>
      </w:tblCellMar>
    </w:tblPr>
  </w:style>
  <w:style w:type="paragraph" w:styleId="Title">
    <w:name w:val="Title"/>
    <w:basedOn w:val="Normal1"/>
    <w:next w:val="Normal1"/>
    <w:rsid w:val="00373322"/>
    <w:pPr>
      <w:keepNext/>
      <w:keepLines/>
      <w:spacing w:after="60"/>
    </w:pPr>
    <w:rPr>
      <w:sz w:val="52"/>
      <w:szCs w:val="52"/>
    </w:rPr>
  </w:style>
  <w:style w:type="paragraph" w:styleId="Subtitle">
    <w:name w:val="Subtitle"/>
    <w:basedOn w:val="Normal1"/>
    <w:next w:val="Normal1"/>
    <w:rsid w:val="0037332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73322"/>
    <w:pPr>
      <w:spacing w:line="240" w:lineRule="auto"/>
    </w:pPr>
    <w:rPr>
      <w:sz w:val="20"/>
      <w:szCs w:val="20"/>
    </w:rPr>
  </w:style>
  <w:style w:type="character" w:customStyle="1" w:styleId="CommentTextChar">
    <w:name w:val="Comment Text Char"/>
    <w:basedOn w:val="DefaultParagraphFont"/>
    <w:link w:val="CommentText"/>
    <w:uiPriority w:val="99"/>
    <w:semiHidden/>
    <w:rsid w:val="00373322"/>
    <w:rPr>
      <w:sz w:val="20"/>
      <w:szCs w:val="20"/>
    </w:rPr>
  </w:style>
  <w:style w:type="character" w:styleId="CommentReference">
    <w:name w:val="annotation reference"/>
    <w:basedOn w:val="DefaultParagraphFont"/>
    <w:uiPriority w:val="99"/>
    <w:semiHidden/>
    <w:unhideWhenUsed/>
    <w:rsid w:val="00373322"/>
    <w:rPr>
      <w:sz w:val="16"/>
      <w:szCs w:val="16"/>
    </w:rPr>
  </w:style>
  <w:style w:type="paragraph" w:styleId="BalloonText">
    <w:name w:val="Balloon Text"/>
    <w:basedOn w:val="Normal"/>
    <w:link w:val="BalloonTextChar"/>
    <w:uiPriority w:val="99"/>
    <w:semiHidden/>
    <w:unhideWhenUsed/>
    <w:rsid w:val="006D59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98B"/>
    <w:rPr>
      <w:rFonts w:ascii="Tahoma" w:hAnsi="Tahoma" w:cs="Tahoma"/>
      <w:sz w:val="16"/>
      <w:szCs w:val="16"/>
    </w:rPr>
  </w:style>
  <w:style w:type="paragraph" w:styleId="Header">
    <w:name w:val="header"/>
    <w:basedOn w:val="Normal"/>
    <w:link w:val="HeaderChar"/>
    <w:uiPriority w:val="99"/>
    <w:semiHidden/>
    <w:unhideWhenUsed/>
    <w:rsid w:val="006D598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D598B"/>
  </w:style>
  <w:style w:type="paragraph" w:styleId="Footer">
    <w:name w:val="footer"/>
    <w:basedOn w:val="Normal"/>
    <w:link w:val="FooterChar"/>
    <w:uiPriority w:val="99"/>
    <w:unhideWhenUsed/>
    <w:rsid w:val="006D598B"/>
    <w:pPr>
      <w:tabs>
        <w:tab w:val="center" w:pos="4680"/>
        <w:tab w:val="right" w:pos="9360"/>
      </w:tabs>
      <w:spacing w:line="240" w:lineRule="auto"/>
    </w:pPr>
  </w:style>
  <w:style w:type="character" w:customStyle="1" w:styleId="FooterChar">
    <w:name w:val="Footer Char"/>
    <w:basedOn w:val="DefaultParagraphFont"/>
    <w:link w:val="Footer"/>
    <w:uiPriority w:val="99"/>
    <w:rsid w:val="006D598B"/>
  </w:style>
  <w:style w:type="paragraph" w:styleId="TOCHeading">
    <w:name w:val="TOC Heading"/>
    <w:basedOn w:val="Heading1"/>
    <w:next w:val="Normal"/>
    <w:uiPriority w:val="39"/>
    <w:semiHidden/>
    <w:unhideWhenUsed/>
    <w:qFormat/>
    <w:rsid w:val="00F24543"/>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24543"/>
    <w:pPr>
      <w:spacing w:after="100"/>
    </w:pPr>
  </w:style>
  <w:style w:type="character" w:styleId="Hyperlink">
    <w:name w:val="Hyperlink"/>
    <w:basedOn w:val="DefaultParagraphFont"/>
    <w:uiPriority w:val="99"/>
    <w:unhideWhenUsed/>
    <w:rsid w:val="00F245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A32B1E-A99C-42A2-BAC9-EB780B3D6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1672</Words>
  <Characters>9532</Characters>
  <Application>Microsoft Office Word</Application>
  <DocSecurity>0</DocSecurity>
  <Lines>79</Lines>
  <Paragraphs>22</Paragraphs>
  <ScaleCrop>false</ScaleCrop>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ayshasiddika1097@gmail.com</cp:lastModifiedBy>
  <cp:revision>3</cp:revision>
  <dcterms:created xsi:type="dcterms:W3CDTF">2023-03-08T21:33:00Z</dcterms:created>
  <dcterms:modified xsi:type="dcterms:W3CDTF">2023-03-08T21:34:00Z</dcterms:modified>
</cp:coreProperties>
</file>