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9845A" w14:textId="77777777" w:rsidR="00F65D3A" w:rsidRDefault="00F65D3A" w:rsidP="00F65D3A">
      <w:pPr>
        <w:spacing w:line="480" w:lineRule="auto"/>
      </w:pPr>
      <w:r>
        <w:t>“…We need a community-based healthcare system that can help guide as many people as possible, encouraging them to make the right choices to optimise their wellness. As it happens, this healthcare workforce is ready and waiting – it’s just dramatically under-utilised and marginalised by the mainstream healthcare system. In the UK, it’s estimated that around 9 million people use CAM and, in the EU, generally there are around 328,000 registered CAM providers made up of about 178,000 non-medical practitioners and 150,000 medical doctors. There’s a real need for better integration of these forms of healthcare into mainstream offerings, something that is more common practice in Germany and France than it is in the UK…” (Eaton, 2017, P.1)</w:t>
      </w:r>
    </w:p>
    <w:p w14:paraId="7ED71E2C" w14:textId="77777777" w:rsidR="00F65D3A" w:rsidRDefault="00F65D3A" w:rsidP="00F65D3A">
      <w:pPr>
        <w:spacing w:line="480" w:lineRule="auto"/>
      </w:pPr>
      <w:r>
        <w:t xml:space="preserve">Baron (2003), describes complementary and alternative medicine as an “umbrella term” of healing methods, enclosing all practices and health systems with the associated beliefs and theories other than the predominant, orthodox health system. CAMS are often used in the same category but are slightly different from one and other (NCCIH, 2018).  NCCIH (2018), defines “complementary” as a practice that works alongside orthodox medicine and “alternative” is considered an unconventional method that is used in place of orthodox medicine.   </w:t>
      </w:r>
    </w:p>
    <w:p w14:paraId="1DAD8801" w14:textId="77777777" w:rsidR="00F65D3A" w:rsidRDefault="00F65D3A" w:rsidP="00F65D3A">
      <w:pPr>
        <w:spacing w:line="480" w:lineRule="auto"/>
      </w:pPr>
      <w:r>
        <w:t xml:space="preserve">In the UK there has been a rapid growth in CAM yet little too no legislation surrounding the regulation of this field, this enables practitioners to pursue in any complementary health field they choose; without proving any ethical standard of practice (The Sectary State of Health, 2017). The lack of regulation means that public interest is ineffectively protected against any liability that may occur (SSH, 2017). The Common Law right to practise medicine means that in the UK anyone can treat a sick person even if they have no training in any type of healthcare whatsoever, provided that the individual treated has given informed consent (Baron, 2003). It is against the law for said practitioner to identify as a protected statute and to prescribe regulated, prescription-only drugs (SSH, 2017). </w:t>
      </w:r>
    </w:p>
    <w:p w14:paraId="25475852" w14:textId="77777777" w:rsidR="00F65D3A" w:rsidRDefault="00F65D3A" w:rsidP="00F65D3A">
      <w:pPr>
        <w:spacing w:line="480" w:lineRule="auto"/>
      </w:pPr>
      <w:r>
        <w:t xml:space="preserve">The principal purpose of regulation of any healthcare profession is to protect the public from unqualified or inadequately trained practitioners, thus in early 1999 the House of Lords Science and </w:t>
      </w:r>
      <w:r>
        <w:lastRenderedPageBreak/>
        <w:t>Technology Committee, under the chairmanship of Lord Winston agreed that CAM deserved closer analysis (Mills, 2001). The members of the Committee were aware that there was a considerable rise in the use of CAM among the public and that this would significantly impacting on health-care provision. Lord Winston then chaired a subcommittee of 11 peers to scrutinise the subject. The first call for evidence inviting submissions from any implicated parties, was issued in August 1999 and the final report was published in December of 1999 (Mills, 2001).</w:t>
      </w:r>
    </w:p>
    <w:p w14:paraId="3D13FFFB" w14:textId="77777777" w:rsidR="00F65D3A" w:rsidRDefault="00F65D3A" w:rsidP="00F65D3A">
      <w:pPr>
        <w:spacing w:line="480" w:lineRule="auto"/>
      </w:pPr>
      <w:r>
        <w:t xml:space="preserve">The </w:t>
      </w:r>
      <w:proofErr w:type="spellStart"/>
      <w:r>
        <w:t>Secutary</w:t>
      </w:r>
      <w:proofErr w:type="spellEnd"/>
      <w:r>
        <w:t xml:space="preserve"> state of health (2007), states that CAMs be divided into three groups, the third subdivided into two further groups. Group one consists of therapies with individual techniques and approaches, with well-documented success in the CAMs sector. Chiropract and osteopathy are group one and are the only two therapies in the UK that are protected by statutory law (Morgan et al. 1998). Group two includes, therapies which do not embrace diagnostic technique and are most often used to complement orthodox medicine (SSH, 2007).  Group three includes therapies that cannot be supported unless convincing research evidence of efficacy, grounded upon successful results (Eaton, 2017). The evidence must be successful of showing that the therapy is greater than the placebo response. The subdivision in group 3 therapies hold no methodical evidence of existence of efficiency (SSH, 2007).  </w:t>
      </w:r>
    </w:p>
    <w:p w14:paraId="435010E2" w14:textId="77777777" w:rsidR="00F65D3A" w:rsidRDefault="00F65D3A" w:rsidP="00F65D3A">
      <w:pPr>
        <w:spacing w:line="480" w:lineRule="auto"/>
      </w:pPr>
      <w:r>
        <w:t xml:space="preserve">  Most CAM professions with more than one regulatory body, have developed a clear, professional structure with specific standards of practice, with publicly available registers their members can sign up too (NCCIH). </w:t>
      </w:r>
    </w:p>
    <w:p w14:paraId="71A479A0" w14:textId="77777777" w:rsidR="00F65D3A" w:rsidRDefault="00F65D3A" w:rsidP="00F65D3A">
      <w:pPr>
        <w:spacing w:line="480" w:lineRule="auto"/>
      </w:pPr>
      <w:r>
        <w:t xml:space="preserve">The regulation of chiropract in the UK is implemented by The General Chiropractic Council (GCC) and the aim of the organisation is to ensure safety of patients undergoing chiropractic treatment (General Chiropract Council, 2016). The GCC is a self-governing, statutory body established by parliament and is protected by (The Chiropract Act 1994). The act has been implemented to provide regulation for chiropractic field, including professional, education and conduct, in addition to the registration and monitoring of practitioners in the UK (GCC, 2016). To ensure the efficiency of </w:t>
      </w:r>
      <w:r>
        <w:lastRenderedPageBreak/>
        <w:t xml:space="preserve">educational standards within chiropract, the GCC has developed a guide for education trainers in the form of a Quality Assurance Handbook. The General Chiropract Council, (2016) describes the handbook a provisional guide to the degree approval process, that enables potential and existing providers of chiropractic qualifications, to guarantee they can develop successful programmes that meet the GCC standards. </w:t>
      </w:r>
    </w:p>
    <w:p w14:paraId="4DDAF2EC" w14:textId="77777777" w:rsidR="00F65D3A" w:rsidRDefault="00F65D3A" w:rsidP="00F65D3A">
      <w:pPr>
        <w:spacing w:line="480" w:lineRule="auto"/>
      </w:pPr>
      <w:r>
        <w:t>The GCC has prepared a set of standards for performance, ethics and conduct to ensure the safe and competent practice; of which their members have too meet to be identified as a chiropractor in the UK, this is called The Code (GCC, 2016). The code specifies standards and principles applicable to chiropractors, who have a duty to promote the health and well-being of their patients.  There are eight main principles of which all chiropractors must apply to their work, each of which incorporate several specifications involving behaviour, conduct and ethics. These are:</w:t>
      </w:r>
    </w:p>
    <w:p w14:paraId="63A6350E" w14:textId="77777777" w:rsidR="00F65D3A" w:rsidRDefault="00F65D3A" w:rsidP="00F65D3A">
      <w:pPr>
        <w:spacing w:line="480" w:lineRule="auto"/>
      </w:pPr>
      <w:r>
        <w:t>•</w:t>
      </w:r>
      <w:r>
        <w:tab/>
        <w:t>Act with honesty and integrity and maintain the highest of standards and professional and personal conduct</w:t>
      </w:r>
    </w:p>
    <w:p w14:paraId="7A4E3472" w14:textId="77777777" w:rsidR="00F65D3A" w:rsidRDefault="00F65D3A" w:rsidP="00F65D3A">
      <w:pPr>
        <w:spacing w:line="480" w:lineRule="auto"/>
      </w:pPr>
      <w:r>
        <w:t>•</w:t>
      </w:r>
      <w:r>
        <w:tab/>
        <w:t xml:space="preserve">Communicate properly and effectively with patients, colleagues and other healthcare professionals </w:t>
      </w:r>
    </w:p>
    <w:p w14:paraId="253EFBDE" w14:textId="77777777" w:rsidR="00F65D3A" w:rsidRDefault="00F65D3A" w:rsidP="00F65D3A">
      <w:pPr>
        <w:spacing w:line="480" w:lineRule="auto"/>
      </w:pPr>
      <w:r>
        <w:t>•</w:t>
      </w:r>
      <w:r>
        <w:tab/>
        <w:t>Establish and maintain a professional relationship with patients</w:t>
      </w:r>
    </w:p>
    <w:p w14:paraId="7C513043" w14:textId="77777777" w:rsidR="00F65D3A" w:rsidRDefault="00F65D3A" w:rsidP="00F65D3A">
      <w:pPr>
        <w:spacing w:line="480" w:lineRule="auto"/>
      </w:pPr>
      <w:r>
        <w:t>•</w:t>
      </w:r>
      <w:r>
        <w:tab/>
        <w:t>Provide a good standard of clinical care and practice</w:t>
      </w:r>
    </w:p>
    <w:p w14:paraId="51B57885" w14:textId="77777777" w:rsidR="00F65D3A" w:rsidRDefault="00F65D3A" w:rsidP="00F65D3A">
      <w:pPr>
        <w:spacing w:line="480" w:lineRule="auto"/>
      </w:pPr>
      <w:r>
        <w:t>•</w:t>
      </w:r>
      <w:r>
        <w:tab/>
        <w:t>Obtain informed consent for all aspects of patients care</w:t>
      </w:r>
    </w:p>
    <w:p w14:paraId="39DD5BA9" w14:textId="77777777" w:rsidR="00F65D3A" w:rsidRDefault="00F65D3A" w:rsidP="00F65D3A">
      <w:pPr>
        <w:spacing w:line="480" w:lineRule="auto"/>
      </w:pPr>
      <w:r>
        <w:t>•</w:t>
      </w:r>
      <w:r>
        <w:tab/>
        <w:t>Put the health of the patient first</w:t>
      </w:r>
    </w:p>
    <w:p w14:paraId="7C1237F6" w14:textId="77777777" w:rsidR="00F65D3A" w:rsidRDefault="00F65D3A" w:rsidP="00F65D3A">
      <w:pPr>
        <w:spacing w:line="480" w:lineRule="auto"/>
      </w:pPr>
      <w:r>
        <w:t>•</w:t>
      </w:r>
      <w:r>
        <w:tab/>
        <w:t xml:space="preserve">Maintain, develop work within your professional skills and knowledge </w:t>
      </w:r>
    </w:p>
    <w:p w14:paraId="61F9C2D7" w14:textId="77777777" w:rsidR="00F65D3A" w:rsidRDefault="00F65D3A" w:rsidP="00F65D3A">
      <w:pPr>
        <w:spacing w:line="480" w:lineRule="auto"/>
      </w:pPr>
      <w:r>
        <w:t>•</w:t>
      </w:r>
      <w:r>
        <w:tab/>
        <w:t>Maintain and protect patient information</w:t>
      </w:r>
    </w:p>
    <w:p w14:paraId="45B4904A" w14:textId="77777777" w:rsidR="00F65D3A" w:rsidRDefault="00F65D3A" w:rsidP="00F65D3A">
      <w:pPr>
        <w:spacing w:line="480" w:lineRule="auto"/>
      </w:pPr>
    </w:p>
    <w:p w14:paraId="3B104D16" w14:textId="77777777" w:rsidR="00F65D3A" w:rsidRDefault="00F65D3A" w:rsidP="00F65D3A">
      <w:pPr>
        <w:spacing w:line="480" w:lineRule="auto"/>
      </w:pPr>
      <w:r>
        <w:lastRenderedPageBreak/>
        <w:t xml:space="preserve">The General Osteopathic Council regulates the practice of osteopathy in the United Kingdom. By the Osteopathy Act 1993, osteopaths must hold the correct qualification to be registered with the </w:t>
      </w:r>
      <w:proofErr w:type="spellStart"/>
      <w:r>
        <w:t>GOsC</w:t>
      </w:r>
      <w:proofErr w:type="spellEnd"/>
      <w:r>
        <w:t xml:space="preserve">, in order to practise in the UK (General Osteopathic. Council, 2019). All osteopathic education and training is undertaken at </w:t>
      </w:r>
      <w:proofErr w:type="spellStart"/>
      <w:proofErr w:type="gramStart"/>
      <w:r>
        <w:t>Bsc</w:t>
      </w:r>
      <w:proofErr w:type="spellEnd"/>
      <w:r>
        <w:t>(</w:t>
      </w:r>
      <w:proofErr w:type="gramEnd"/>
      <w:r>
        <w:t xml:space="preserve">Hons), </w:t>
      </w:r>
      <w:proofErr w:type="spellStart"/>
      <w:r>
        <w:t>MOst</w:t>
      </w:r>
      <w:proofErr w:type="spellEnd"/>
      <w:r>
        <w:t xml:space="preserve">, </w:t>
      </w:r>
      <w:proofErr w:type="spellStart"/>
      <w:r>
        <w:t>BOst</w:t>
      </w:r>
      <w:proofErr w:type="spellEnd"/>
      <w:r>
        <w:t xml:space="preserve"> and </w:t>
      </w:r>
      <w:proofErr w:type="spellStart"/>
      <w:r>
        <w:t>BostMed</w:t>
      </w:r>
      <w:proofErr w:type="spellEnd"/>
      <w:r>
        <w:t xml:space="preserve"> (Osteopathic Act, 1993) . Osteopathic students now follow a four- or five-year degree course, combining academic and clinical practice (</w:t>
      </w:r>
      <w:proofErr w:type="spellStart"/>
      <w:r>
        <w:t>GOsC</w:t>
      </w:r>
      <w:proofErr w:type="spellEnd"/>
      <w:r>
        <w:t xml:space="preserve">, 2019). At least 1,000 hours of clinical training experience with patients is mandatory for aspiring osteopathy careers. Morgan et al. (1998) explains that there are in excess of 5,300 osteopaths registered with the </w:t>
      </w:r>
      <w:proofErr w:type="spellStart"/>
      <w:r>
        <w:t>GOsc</w:t>
      </w:r>
      <w:proofErr w:type="spellEnd"/>
      <w:r>
        <w:t xml:space="preserve">, including professionals who practice over-seas. The predominance of osteopaths works in England, with 86 percent, 7.8 percent practice over-seas, 3 percent in Scotland, 2.7 percent in Wales and 0.5 percent in Northern Ireland. National Health Service, (2019) states that most osteopaths work in the private sector and are self-employed, but some are acknowledged to work with multi-disciplinary teams within the NHS; but remains mainly a form of private healthcare with more than 80% of patients funding their own treatment. </w:t>
      </w:r>
    </w:p>
    <w:p w14:paraId="7B6A1589" w14:textId="77777777" w:rsidR="00F65D3A" w:rsidRDefault="00F65D3A" w:rsidP="00F65D3A">
      <w:pPr>
        <w:spacing w:line="480" w:lineRule="auto"/>
      </w:pPr>
      <w:proofErr w:type="spellStart"/>
      <w:r>
        <w:t>GOsC</w:t>
      </w:r>
      <w:proofErr w:type="spellEnd"/>
      <w:r>
        <w:t xml:space="preserve">, (2019) describe that their organisation analyses the quality of all UK osteopathy courses leading to registration, to ensure that training and education providers are preparing students to practise knowledgeably and safely as osteopaths. Morgan et al. (1998) states that as part of that current monitoring, the </w:t>
      </w:r>
      <w:proofErr w:type="spellStart"/>
      <w:r>
        <w:t>GOsc</w:t>
      </w:r>
      <w:proofErr w:type="spellEnd"/>
      <w:r>
        <w:t xml:space="preserve"> conduct regular reviews of each course. They work in liaison with the Quality Assurance Agency for Higher Education (QAA) which commences a programme of visits to education organisations commissioned by the </w:t>
      </w:r>
      <w:proofErr w:type="spellStart"/>
      <w:r>
        <w:t>GOsC</w:t>
      </w:r>
      <w:proofErr w:type="spellEnd"/>
      <w:r>
        <w:t xml:space="preserve">. The </w:t>
      </w:r>
      <w:proofErr w:type="spellStart"/>
      <w:r>
        <w:t>GOsc</w:t>
      </w:r>
      <w:proofErr w:type="spellEnd"/>
      <w:r>
        <w:t xml:space="preserve"> also ensure that osteopaths undertake continuing professional development throughout their career (Morgan et al, 1998).</w:t>
      </w:r>
    </w:p>
    <w:p w14:paraId="0426369A" w14:textId="77777777" w:rsidR="00865754" w:rsidRDefault="00865754" w:rsidP="00865754">
      <w:pPr>
        <w:spacing w:line="480" w:lineRule="auto"/>
      </w:pPr>
    </w:p>
    <w:p w14:paraId="5D131A5B" w14:textId="40E6ECBA" w:rsidR="00F94DCE" w:rsidRDefault="00F94DCE" w:rsidP="00865754">
      <w:pPr>
        <w:spacing w:line="480" w:lineRule="auto"/>
      </w:pPr>
      <w:bookmarkStart w:id="0" w:name="_Hlk534900979"/>
    </w:p>
    <w:bookmarkEnd w:id="0"/>
    <w:p w14:paraId="091B10F2" w14:textId="6E65B900" w:rsidR="00F94DCE" w:rsidRDefault="00F94DCE"/>
    <w:p w14:paraId="4F7731D4" w14:textId="2ABF8389" w:rsidR="00F94DCE" w:rsidRDefault="00F94DCE"/>
    <w:p w14:paraId="1025D95E" w14:textId="1710A047" w:rsidR="00F94DCE" w:rsidRDefault="00F94DCE"/>
    <w:p w14:paraId="5EAA6FF2" w14:textId="77777777" w:rsidR="00F65D3A" w:rsidRDefault="00F65D3A">
      <w:bookmarkStart w:id="1" w:name="_GoBack"/>
      <w:r>
        <w:rPr>
          <w:i/>
        </w:rPr>
        <w:lastRenderedPageBreak/>
        <w:t xml:space="preserve">Chiropract Act 1994. </w:t>
      </w:r>
      <w:r>
        <w:t xml:space="preserve">(CM.17). London: The Stationery Office. </w:t>
      </w:r>
    </w:p>
    <w:p w14:paraId="4B958AD4" w14:textId="77777777" w:rsidR="00F65D3A" w:rsidRDefault="00F65D3A">
      <w:r w:rsidRPr="00F94DCE">
        <w:t xml:space="preserve">Eaton, R. (2017). </w:t>
      </w:r>
      <w:r w:rsidRPr="00F94DCE">
        <w:rPr>
          <w:i/>
        </w:rPr>
        <w:t>Collage of Medicine and Integrated Health</w:t>
      </w:r>
      <w:r w:rsidRPr="00F94DCE">
        <w:t xml:space="preserve">. [Online]. [Accessed 18th December 2018].  </w:t>
      </w:r>
      <w:hyperlink r:id="rId4" w:history="1">
        <w:r w:rsidRPr="00A22080">
          <w:rPr>
            <w:rStyle w:val="Hyperlink"/>
          </w:rPr>
          <w:t>https://collegeofmedicine.org.uk/complementary-medicine-roundup-december-2017/</w:t>
        </w:r>
      </w:hyperlink>
      <w:r w:rsidRPr="00F94DCE">
        <w:t xml:space="preserve"> </w:t>
      </w:r>
    </w:p>
    <w:p w14:paraId="42FBC0C8" w14:textId="77777777" w:rsidR="00F65D3A" w:rsidRDefault="00F65D3A">
      <w:r>
        <w:t xml:space="preserve">General Chiropract Council. (2016). </w:t>
      </w:r>
      <w:r>
        <w:rPr>
          <w:i/>
        </w:rPr>
        <w:t xml:space="preserve">The Code. </w:t>
      </w:r>
      <w:r>
        <w:t xml:space="preserve">London: Park House. </w:t>
      </w:r>
    </w:p>
    <w:p w14:paraId="4F1F835C" w14:textId="77777777" w:rsidR="00F65D3A" w:rsidRDefault="00F65D3A">
      <w:r>
        <w:t xml:space="preserve">General Osteopathic Council. (2019). </w:t>
      </w:r>
      <w:r>
        <w:rPr>
          <w:i/>
        </w:rPr>
        <w:t xml:space="preserve">Standards. </w:t>
      </w:r>
      <w:r>
        <w:t>[Online]. [Accessed 4</w:t>
      </w:r>
      <w:r w:rsidRPr="00F65D3A">
        <w:rPr>
          <w:vertAlign w:val="superscript"/>
        </w:rPr>
        <w:t>th</w:t>
      </w:r>
      <w:r>
        <w:t xml:space="preserve"> January 2019]. Available at: </w:t>
      </w:r>
      <w:hyperlink r:id="rId5" w:history="1">
        <w:r w:rsidRPr="00572126">
          <w:rPr>
            <w:rStyle w:val="Hyperlink"/>
          </w:rPr>
          <w:t>https://www.osteopathy.org.uk/standards/</w:t>
        </w:r>
      </w:hyperlink>
      <w:r>
        <w:t xml:space="preserve"> </w:t>
      </w:r>
    </w:p>
    <w:p w14:paraId="06FF3DF0" w14:textId="77777777" w:rsidR="00F65D3A" w:rsidRPr="00F65D3A" w:rsidRDefault="00F65D3A">
      <w:r>
        <w:t xml:space="preserve">General </w:t>
      </w:r>
      <w:proofErr w:type="spellStart"/>
      <w:r>
        <w:t>Ostepothaic</w:t>
      </w:r>
      <w:proofErr w:type="spellEnd"/>
      <w:r>
        <w:t xml:space="preserve"> Council. (2019). [Online]. [Accessed January 1</w:t>
      </w:r>
      <w:r w:rsidRPr="00F65D3A">
        <w:rPr>
          <w:vertAlign w:val="superscript"/>
        </w:rPr>
        <w:t>st</w:t>
      </w:r>
      <w:r>
        <w:t xml:space="preserve"> </w:t>
      </w:r>
      <w:proofErr w:type="gramStart"/>
      <w:r>
        <w:t>2018 ]</w:t>
      </w:r>
      <w:proofErr w:type="gramEnd"/>
      <w:r>
        <w:t xml:space="preserve">. Available at: </w:t>
      </w:r>
      <w:hyperlink r:id="rId6" w:history="1">
        <w:r w:rsidRPr="00572126">
          <w:rPr>
            <w:rStyle w:val="Hyperlink"/>
          </w:rPr>
          <w:t>https://www.osteopathy.org.uk/standards/</w:t>
        </w:r>
      </w:hyperlink>
      <w:r>
        <w:t xml:space="preserve"> </w:t>
      </w:r>
    </w:p>
    <w:p w14:paraId="08F7C7AE" w14:textId="77777777" w:rsidR="00F65D3A" w:rsidRPr="00F65D3A" w:rsidRDefault="00F65D3A">
      <w:r>
        <w:t xml:space="preserve">Mills, S. Y. (2001). The House of Lords Report on Complementary Medicine: A summary. </w:t>
      </w:r>
      <w:r>
        <w:rPr>
          <w:i/>
        </w:rPr>
        <w:t xml:space="preserve">Complementary Therapies in Medicine. </w:t>
      </w:r>
      <w:r>
        <w:t>9 (1). PP.34-39.</w:t>
      </w:r>
    </w:p>
    <w:p w14:paraId="24B40720" w14:textId="77777777" w:rsidR="00F65D3A" w:rsidRDefault="00F65D3A">
      <w:r>
        <w:t xml:space="preserve">Morgan, D., </w:t>
      </w:r>
      <w:proofErr w:type="spellStart"/>
      <w:proofErr w:type="gramStart"/>
      <w:r>
        <w:t>Maris,S</w:t>
      </w:r>
      <w:proofErr w:type="spellEnd"/>
      <w:r>
        <w:t>.</w:t>
      </w:r>
      <w:proofErr w:type="gramEnd"/>
      <w:r>
        <w:t xml:space="preserve"> and Nathanson, V. Education and Training in Complementary and Alternative Medicine: A Postal Survey of UK universities, Medical Schools and Faculties of Nurse Education. 6. (2). PP. 64-70. </w:t>
      </w:r>
    </w:p>
    <w:p w14:paraId="298210D9" w14:textId="77777777" w:rsidR="00F65D3A" w:rsidRPr="00F65D3A" w:rsidRDefault="00F65D3A">
      <w:r w:rsidRPr="00F65D3A">
        <w:t xml:space="preserve">National Centre for Complementary and Integrative Health. </w:t>
      </w:r>
      <w:r>
        <w:t>(</w:t>
      </w:r>
      <w:r w:rsidRPr="00F65D3A">
        <w:t>2018</w:t>
      </w:r>
      <w:r>
        <w:t>)</w:t>
      </w:r>
      <w:r w:rsidRPr="00F65D3A">
        <w:t xml:space="preserve">. </w:t>
      </w:r>
      <w:r w:rsidRPr="00F65D3A">
        <w:rPr>
          <w:i/>
        </w:rPr>
        <w:t xml:space="preserve">Complementary, Alternative or </w:t>
      </w:r>
      <w:proofErr w:type="spellStart"/>
      <w:r w:rsidRPr="00F65D3A">
        <w:rPr>
          <w:i/>
        </w:rPr>
        <w:t>Intergrative</w:t>
      </w:r>
      <w:proofErr w:type="spellEnd"/>
      <w:r w:rsidRPr="00F65D3A">
        <w:rPr>
          <w:i/>
        </w:rPr>
        <w:t xml:space="preserve"> Health: What’s in a name?</w:t>
      </w:r>
      <w:r w:rsidRPr="00F65D3A">
        <w:t xml:space="preserve"> [Online]. [Accessed on 17th October 2018]. Available at: </w:t>
      </w:r>
      <w:hyperlink r:id="rId7" w:history="1">
        <w:r w:rsidRPr="00572126">
          <w:rPr>
            <w:rStyle w:val="Hyperlink"/>
          </w:rPr>
          <w:t>https://nccih.nih.gov/health/integrative-health</w:t>
        </w:r>
      </w:hyperlink>
      <w:r>
        <w:t xml:space="preserve"> </w:t>
      </w:r>
    </w:p>
    <w:p w14:paraId="7DCD0D79" w14:textId="77777777" w:rsidR="00F65D3A" w:rsidRDefault="00F65D3A">
      <w:proofErr w:type="spellStart"/>
      <w:r w:rsidRPr="00F65D3A">
        <w:rPr>
          <w:i/>
        </w:rPr>
        <w:t>Oestiopaths</w:t>
      </w:r>
      <w:proofErr w:type="spellEnd"/>
      <w:r w:rsidRPr="00F65D3A">
        <w:rPr>
          <w:i/>
        </w:rPr>
        <w:t xml:space="preserve"> Act 1993</w:t>
      </w:r>
      <w:r>
        <w:t>. (C.21). London: The stationery Office.</w:t>
      </w:r>
    </w:p>
    <w:p w14:paraId="3E8AE773" w14:textId="77777777" w:rsidR="00F65D3A" w:rsidRDefault="00F65D3A">
      <w:pPr>
        <w:rPr>
          <w:i/>
        </w:rPr>
      </w:pPr>
      <w:r>
        <w:t xml:space="preserve">The Sectary State of Health. (2007). </w:t>
      </w:r>
      <w:r>
        <w:rPr>
          <w:i/>
        </w:rPr>
        <w:t>Trust, Assurance and Safety: Regulation of the 21</w:t>
      </w:r>
      <w:r w:rsidRPr="00F65D3A">
        <w:rPr>
          <w:i/>
          <w:vertAlign w:val="superscript"/>
        </w:rPr>
        <w:t>st</w:t>
      </w:r>
      <w:r>
        <w:rPr>
          <w:i/>
        </w:rPr>
        <w:t xml:space="preserve"> Century. </w:t>
      </w:r>
      <w:r>
        <w:t xml:space="preserve">(Cm.5) London: The Stationery Office. </w:t>
      </w:r>
      <w:bookmarkEnd w:id="1"/>
    </w:p>
    <w:sectPr w:rsidR="00F65D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5A"/>
    <w:rsid w:val="00031FA3"/>
    <w:rsid w:val="0004285E"/>
    <w:rsid w:val="001C4526"/>
    <w:rsid w:val="002B30BE"/>
    <w:rsid w:val="002C2987"/>
    <w:rsid w:val="004906FD"/>
    <w:rsid w:val="00500D41"/>
    <w:rsid w:val="005822CA"/>
    <w:rsid w:val="006A1B73"/>
    <w:rsid w:val="0084745C"/>
    <w:rsid w:val="00865754"/>
    <w:rsid w:val="008940DF"/>
    <w:rsid w:val="008A21F3"/>
    <w:rsid w:val="009507CC"/>
    <w:rsid w:val="009A0C5F"/>
    <w:rsid w:val="00AD665A"/>
    <w:rsid w:val="00B02AC4"/>
    <w:rsid w:val="00D20CC2"/>
    <w:rsid w:val="00D974FD"/>
    <w:rsid w:val="00E54093"/>
    <w:rsid w:val="00F2025D"/>
    <w:rsid w:val="00F65D3A"/>
    <w:rsid w:val="00F94DCE"/>
    <w:rsid w:val="00FD2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9AF7C"/>
  <w15:chartTrackingRefBased/>
  <w15:docId w15:val="{4F52251D-09E8-4AFD-A979-9021435D5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DCE"/>
    <w:rPr>
      <w:color w:val="0563C1" w:themeColor="hyperlink"/>
      <w:u w:val="single"/>
    </w:rPr>
  </w:style>
  <w:style w:type="character" w:styleId="UnresolvedMention">
    <w:name w:val="Unresolved Mention"/>
    <w:basedOn w:val="DefaultParagraphFont"/>
    <w:uiPriority w:val="99"/>
    <w:semiHidden/>
    <w:unhideWhenUsed/>
    <w:rsid w:val="00F94DCE"/>
    <w:rPr>
      <w:color w:val="605E5C"/>
      <w:shd w:val="clear" w:color="auto" w:fill="E1DFDD"/>
    </w:rPr>
  </w:style>
  <w:style w:type="character" w:styleId="CommentReference">
    <w:name w:val="annotation reference"/>
    <w:basedOn w:val="DefaultParagraphFont"/>
    <w:uiPriority w:val="99"/>
    <w:semiHidden/>
    <w:unhideWhenUsed/>
    <w:rsid w:val="001C4526"/>
    <w:rPr>
      <w:sz w:val="16"/>
      <w:szCs w:val="16"/>
    </w:rPr>
  </w:style>
  <w:style w:type="paragraph" w:styleId="CommentText">
    <w:name w:val="annotation text"/>
    <w:basedOn w:val="Normal"/>
    <w:link w:val="CommentTextChar"/>
    <w:uiPriority w:val="99"/>
    <w:semiHidden/>
    <w:unhideWhenUsed/>
    <w:rsid w:val="001C4526"/>
    <w:pPr>
      <w:spacing w:line="240" w:lineRule="auto"/>
    </w:pPr>
    <w:rPr>
      <w:sz w:val="20"/>
      <w:szCs w:val="20"/>
    </w:rPr>
  </w:style>
  <w:style w:type="character" w:customStyle="1" w:styleId="CommentTextChar">
    <w:name w:val="Comment Text Char"/>
    <w:basedOn w:val="DefaultParagraphFont"/>
    <w:link w:val="CommentText"/>
    <w:uiPriority w:val="99"/>
    <w:semiHidden/>
    <w:rsid w:val="001C4526"/>
    <w:rPr>
      <w:sz w:val="20"/>
      <w:szCs w:val="20"/>
    </w:rPr>
  </w:style>
  <w:style w:type="paragraph" w:styleId="CommentSubject">
    <w:name w:val="annotation subject"/>
    <w:basedOn w:val="CommentText"/>
    <w:next w:val="CommentText"/>
    <w:link w:val="CommentSubjectChar"/>
    <w:uiPriority w:val="99"/>
    <w:semiHidden/>
    <w:unhideWhenUsed/>
    <w:rsid w:val="001C4526"/>
    <w:rPr>
      <w:b/>
      <w:bCs/>
    </w:rPr>
  </w:style>
  <w:style w:type="character" w:customStyle="1" w:styleId="CommentSubjectChar">
    <w:name w:val="Comment Subject Char"/>
    <w:basedOn w:val="CommentTextChar"/>
    <w:link w:val="CommentSubject"/>
    <w:uiPriority w:val="99"/>
    <w:semiHidden/>
    <w:rsid w:val="001C4526"/>
    <w:rPr>
      <w:b/>
      <w:bCs/>
      <w:sz w:val="20"/>
      <w:szCs w:val="20"/>
    </w:rPr>
  </w:style>
  <w:style w:type="paragraph" w:styleId="BalloonText">
    <w:name w:val="Balloon Text"/>
    <w:basedOn w:val="Normal"/>
    <w:link w:val="BalloonTextChar"/>
    <w:uiPriority w:val="99"/>
    <w:semiHidden/>
    <w:unhideWhenUsed/>
    <w:rsid w:val="001C45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45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nccih.nih.gov/health/integrative-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steopathy.org.uk/standards/" TargetMode="External"/><Relationship Id="rId5" Type="http://schemas.openxmlformats.org/officeDocument/2006/relationships/hyperlink" Target="https://www.osteopathy.org.uk/standards/" TargetMode="External"/><Relationship Id="rId4" Type="http://schemas.openxmlformats.org/officeDocument/2006/relationships/hyperlink" Target="https://collegeofmedicine.org.uk/complementary-medicine-roundup-december-201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chelcie key</dc:creator>
  <cp:keywords/>
  <dc:description/>
  <cp:lastModifiedBy>chelcie key</cp:lastModifiedBy>
  <cp:revision>2</cp:revision>
  <dcterms:created xsi:type="dcterms:W3CDTF">2019-01-11T23:35:00Z</dcterms:created>
  <dcterms:modified xsi:type="dcterms:W3CDTF">2019-01-11T23:35:00Z</dcterms:modified>
</cp:coreProperties>
</file>