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62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4"/>
      </w:tblGrid>
      <w:tr w:rsidR="00F927A1" w:rsidRPr="005D3F07" w14:paraId="68CAA39D" w14:textId="77777777" w:rsidTr="00D67B88">
        <w:tc>
          <w:tcPr>
            <w:tcW w:w="11624" w:type="dxa"/>
          </w:tcPr>
          <w:p w14:paraId="02F8EE88" w14:textId="323AB54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67B88">
              <w:rPr>
                <w:rFonts w:ascii="Times New Roman" w:hAnsi="Times New Roman" w:cs="Times New Roman"/>
                <w:b/>
                <w:color w:val="auto"/>
                <w:sz w:val="48"/>
              </w:rPr>
              <w:t>Sian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A69300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67B88">
              <w:t xml:space="preserve"> </w:t>
            </w:r>
            <w:r w:rsidR="00D67B88" w:rsidRPr="00D67B88">
              <w:rPr>
                <w:rFonts w:ascii="Times New Roman" w:hAnsi="Times New Roman" w:cs="Times New Roman"/>
                <w:b/>
                <w:color w:val="auto"/>
                <w:sz w:val="48"/>
              </w:rPr>
              <w:t>1604911@student.uwtsd.ac.uk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BCFE1B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67B88">
              <w:t xml:space="preserve"> </w:t>
            </w:r>
            <w:r w:rsidR="00D67B88" w:rsidRPr="00D67B88">
              <w:rPr>
                <w:rFonts w:ascii="Times New Roman" w:hAnsi="Times New Roman" w:cs="Times New Roman"/>
                <w:b/>
                <w:color w:val="auto"/>
                <w:sz w:val="48"/>
              </w:rPr>
              <w:t>1604911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D67B88">
            <w:pPr>
              <w:spacing w:line="360" w:lineRule="auto"/>
              <w:jc w:val="both"/>
              <w:rPr>
                <w:sz w:val="24"/>
                <w:szCs w:val="24"/>
              </w:rPr>
            </w:pPr>
          </w:p>
          <w:p w14:paraId="7DA48FEA" w14:textId="77777777" w:rsidR="00D67B88" w:rsidRDefault="00D67B88" w:rsidP="00D67B88">
            <w:pPr>
              <w:spacing w:line="360" w:lineRule="auto"/>
              <w:jc w:val="both"/>
              <w:rPr>
                <w:sz w:val="24"/>
                <w:szCs w:val="24"/>
              </w:rPr>
            </w:pPr>
            <w:r w:rsidRPr="00D67B88">
              <w:rPr>
                <w:sz w:val="24"/>
                <w:szCs w:val="24"/>
              </w:rPr>
              <w:t>In Wales, adult social work is underpinned by a robust legislative and policy framework designed to uphold rights, promote well-being, and ensure safe and lawful practice. The Social Services and Well-being (Wales) Act 2014 (SSWBA) forms the basis of this framework which, reshaped social work practice by emphasising personal outcomes, co-production, and strengths-based approaches (Welsh Government, 2014b).</w:t>
            </w:r>
          </w:p>
          <w:p w14:paraId="432356B4" w14:textId="77777777" w:rsidR="00D67B88" w:rsidRPr="00D67B88" w:rsidRDefault="00D67B88" w:rsidP="00D67B88">
            <w:pPr>
              <w:spacing w:line="360" w:lineRule="auto"/>
              <w:jc w:val="both"/>
              <w:rPr>
                <w:sz w:val="24"/>
                <w:szCs w:val="24"/>
              </w:rPr>
            </w:pPr>
          </w:p>
          <w:p w14:paraId="2D31FCB8" w14:textId="77777777" w:rsidR="00D67B88" w:rsidRDefault="00D67B88" w:rsidP="00D67B88">
            <w:pPr>
              <w:spacing w:line="360" w:lineRule="auto"/>
              <w:jc w:val="both"/>
              <w:rPr>
                <w:sz w:val="24"/>
                <w:szCs w:val="24"/>
              </w:rPr>
            </w:pPr>
            <w:r w:rsidRPr="00D67B88">
              <w:rPr>
                <w:sz w:val="24"/>
                <w:szCs w:val="24"/>
              </w:rPr>
              <w:t>Safeguarding duties are set out in Part 7 of the SSWBA, outlining practitioners’ responsibilities when identifying and responding to adults at risk (Welsh Government, 2014a). The definition of an adult at risk is outlined in Section 126(1) of the act an adult at risk as an individual who has care and support needs and who is experiencing, or is at risk of, abuse or neglect, which in turn limits their ability to protect themselves (Social Care Wales, 2026c). Understanding this definition is essential for practitioners to appropriately identify and respond to safeguarding concerns.</w:t>
            </w:r>
          </w:p>
          <w:p w14:paraId="56F9AEAD" w14:textId="77777777" w:rsidR="00D67B88" w:rsidRPr="00D67B88" w:rsidRDefault="00D67B88" w:rsidP="00D67B88">
            <w:pPr>
              <w:spacing w:line="360" w:lineRule="auto"/>
              <w:jc w:val="both"/>
              <w:rPr>
                <w:sz w:val="24"/>
                <w:szCs w:val="24"/>
              </w:rPr>
            </w:pPr>
          </w:p>
          <w:p w14:paraId="71B8EA4B" w14:textId="77777777" w:rsidR="00D67B88" w:rsidRDefault="00D67B88" w:rsidP="00D67B88">
            <w:pPr>
              <w:spacing w:line="360" w:lineRule="auto"/>
              <w:jc w:val="both"/>
              <w:rPr>
                <w:sz w:val="24"/>
                <w:szCs w:val="24"/>
              </w:rPr>
            </w:pPr>
            <w:r w:rsidRPr="00D67B88">
              <w:rPr>
                <w:sz w:val="24"/>
                <w:szCs w:val="24"/>
              </w:rPr>
              <w:t xml:space="preserve">Abuse can take many forms, including physical, financial, sexual, emotional abuse, and self-neglect (SCIE, 2015). The ability to recognise signs of abuse in a timely manner is crucial to effective safeguarding practice (North Wales Safeguarding Board, 2026). Practitioners must be vigilant to indicators of abuse, which may include specific events or changes in behaviour. </w:t>
            </w:r>
            <w:r w:rsidRPr="00D67B88">
              <w:rPr>
                <w:sz w:val="24"/>
                <w:szCs w:val="24"/>
              </w:rPr>
              <w:lastRenderedPageBreak/>
              <w:t>However, the presence of a single indicator does not confirm abuse; further assessment is required to determine risk and appropriate intervention (SICE, 2015).</w:t>
            </w:r>
          </w:p>
          <w:p w14:paraId="2D6B233A" w14:textId="77777777" w:rsidR="00D67B88" w:rsidRPr="00D67B88" w:rsidRDefault="00D67B88" w:rsidP="00D67B88">
            <w:pPr>
              <w:spacing w:line="360" w:lineRule="auto"/>
              <w:jc w:val="both"/>
              <w:rPr>
                <w:sz w:val="24"/>
                <w:szCs w:val="24"/>
              </w:rPr>
            </w:pPr>
          </w:p>
          <w:p w14:paraId="5E013C13" w14:textId="77777777" w:rsidR="00D67B88" w:rsidRDefault="00D67B88" w:rsidP="00D67B88">
            <w:pPr>
              <w:spacing w:line="360" w:lineRule="auto"/>
              <w:jc w:val="both"/>
              <w:rPr>
                <w:sz w:val="24"/>
                <w:szCs w:val="24"/>
              </w:rPr>
            </w:pPr>
            <w:r w:rsidRPr="00D67B88">
              <w:rPr>
                <w:sz w:val="24"/>
                <w:szCs w:val="24"/>
              </w:rPr>
              <w:t>The Wales Safeguarding Procedures 2019 support the application of the SSWBA 2014 by providing clear, step-by-step guidance on roles, responsibilities, and processes for safeguarding individuals (Social Care Wales, 2024). These procedures ensure consistent responses across agencies and clarify thresholds for action, information sharing, and multi-agency coordination.</w:t>
            </w:r>
          </w:p>
          <w:p w14:paraId="03E19468" w14:textId="77777777" w:rsidR="00D67B88" w:rsidRPr="00D67B88" w:rsidRDefault="00D67B88" w:rsidP="00D67B88">
            <w:pPr>
              <w:spacing w:line="360" w:lineRule="auto"/>
              <w:jc w:val="both"/>
              <w:rPr>
                <w:sz w:val="24"/>
                <w:szCs w:val="24"/>
              </w:rPr>
            </w:pPr>
          </w:p>
          <w:p w14:paraId="706A966B" w14:textId="6E284330" w:rsidR="00D67B88" w:rsidRDefault="00D67B88" w:rsidP="00D67B88">
            <w:pPr>
              <w:spacing w:line="360" w:lineRule="auto"/>
              <w:jc w:val="both"/>
              <w:rPr>
                <w:sz w:val="24"/>
                <w:szCs w:val="24"/>
              </w:rPr>
            </w:pPr>
            <w:r w:rsidRPr="00D67B88">
              <w:rPr>
                <w:sz w:val="24"/>
                <w:szCs w:val="24"/>
              </w:rPr>
              <w:t>The SSWBA places a statutory duty on individuals to report concerns about adults at risk. This means that anyone who believes an adult is experiencing, or may experience, abuse or neglect must report their concerns to the local authority or the police (Social Care Wales, 202</w:t>
            </w:r>
            <w:r w:rsidR="00602024">
              <w:rPr>
                <w:sz w:val="24"/>
                <w:szCs w:val="24"/>
              </w:rPr>
              <w:t>6</w:t>
            </w:r>
            <w:r w:rsidR="00EE45A1">
              <w:rPr>
                <w:sz w:val="24"/>
                <w:szCs w:val="24"/>
              </w:rPr>
              <w:t>c</w:t>
            </w:r>
            <w:r w:rsidRPr="00D67B88">
              <w:rPr>
                <w:sz w:val="24"/>
                <w:szCs w:val="24"/>
              </w:rPr>
              <w:t>). Social services and the police are granted statutory powers to investigate safeguarding concerns where necessary.</w:t>
            </w:r>
          </w:p>
          <w:p w14:paraId="290A8BDA" w14:textId="77777777" w:rsidR="00D67B88" w:rsidRPr="00D67B88" w:rsidRDefault="00D67B88" w:rsidP="00D67B88">
            <w:pPr>
              <w:spacing w:line="360" w:lineRule="auto"/>
              <w:jc w:val="both"/>
              <w:rPr>
                <w:sz w:val="24"/>
                <w:szCs w:val="24"/>
              </w:rPr>
            </w:pPr>
          </w:p>
          <w:p w14:paraId="441967D4" w14:textId="740DCED9" w:rsidR="00D67B88" w:rsidRDefault="00D67B88" w:rsidP="00D67B88">
            <w:pPr>
              <w:spacing w:line="360" w:lineRule="auto"/>
              <w:jc w:val="both"/>
              <w:rPr>
                <w:sz w:val="24"/>
                <w:szCs w:val="24"/>
              </w:rPr>
            </w:pPr>
            <w:r w:rsidRPr="00D67B88">
              <w:rPr>
                <w:sz w:val="24"/>
                <w:szCs w:val="24"/>
              </w:rPr>
              <w:t>Consent is a key principle within safeguarding practice. The Wales Safeguarding Procedures state that practitioners should seek the adult’s consent before making a safeguarding report wherever possible (Social Care Wales, 202</w:t>
            </w:r>
            <w:r w:rsidR="002A1F63">
              <w:rPr>
                <w:sz w:val="24"/>
                <w:szCs w:val="24"/>
              </w:rPr>
              <w:t>6d</w:t>
            </w:r>
            <w:r w:rsidRPr="00D67B88">
              <w:rPr>
                <w:sz w:val="24"/>
                <w:szCs w:val="24"/>
              </w:rPr>
              <w:t>). For consent to be valid, the adult must be fully informed and have the capacity to make the decision. The Mental Capacity Act 2005 requires that capacity is assumed unless it is shown that the person lacks it (Brown, Barber &amp; Martin, 2015).</w:t>
            </w:r>
          </w:p>
          <w:p w14:paraId="20F1CEFE" w14:textId="77777777" w:rsidR="00D67B88" w:rsidRPr="00D67B88" w:rsidRDefault="00D67B88" w:rsidP="00D67B88">
            <w:pPr>
              <w:spacing w:line="360" w:lineRule="auto"/>
              <w:jc w:val="both"/>
              <w:rPr>
                <w:sz w:val="24"/>
                <w:szCs w:val="24"/>
              </w:rPr>
            </w:pPr>
          </w:p>
          <w:p w14:paraId="1DB10BA8" w14:textId="5869A45E" w:rsidR="00D67B88" w:rsidRDefault="00D67B88" w:rsidP="00D67B88">
            <w:pPr>
              <w:spacing w:line="360" w:lineRule="auto"/>
              <w:jc w:val="both"/>
              <w:rPr>
                <w:sz w:val="24"/>
                <w:szCs w:val="24"/>
              </w:rPr>
            </w:pPr>
            <w:r w:rsidRPr="00D67B88">
              <w:rPr>
                <w:sz w:val="24"/>
                <w:szCs w:val="24"/>
              </w:rPr>
              <w:t xml:space="preserve">There are circumstances where consent may need to be overridden, particularly when there is a high risk of serious harm. In such situations, it may be necessary to report concerns without consent if this </w:t>
            </w:r>
            <w:proofErr w:type="gramStart"/>
            <w:r w:rsidRPr="00D67B88">
              <w:rPr>
                <w:sz w:val="24"/>
                <w:szCs w:val="24"/>
              </w:rPr>
              <w:t>is considered to be</w:t>
            </w:r>
            <w:proofErr w:type="gramEnd"/>
            <w:r w:rsidRPr="00D67B88">
              <w:rPr>
                <w:sz w:val="24"/>
                <w:szCs w:val="24"/>
              </w:rPr>
              <w:t xml:space="preserve"> in the person’s best interests (Social Care Wales, 20</w:t>
            </w:r>
            <w:r w:rsidR="00EE45A1">
              <w:rPr>
                <w:sz w:val="24"/>
                <w:szCs w:val="24"/>
              </w:rPr>
              <w:t>26e</w:t>
            </w:r>
            <w:r w:rsidRPr="00D67B88">
              <w:rPr>
                <w:sz w:val="24"/>
                <w:szCs w:val="24"/>
              </w:rPr>
              <w:t>).</w:t>
            </w:r>
          </w:p>
          <w:p w14:paraId="1DA7C7F4" w14:textId="77777777" w:rsidR="00D67B88" w:rsidRPr="00D67B88" w:rsidRDefault="00D67B88" w:rsidP="00D67B88">
            <w:pPr>
              <w:spacing w:line="360" w:lineRule="auto"/>
              <w:jc w:val="both"/>
              <w:rPr>
                <w:sz w:val="24"/>
                <w:szCs w:val="24"/>
              </w:rPr>
            </w:pPr>
          </w:p>
          <w:p w14:paraId="2C18E521" w14:textId="08ED1D91" w:rsidR="00D67B88" w:rsidRPr="00D67B88" w:rsidRDefault="00D67B88" w:rsidP="00D67B88">
            <w:pPr>
              <w:spacing w:line="360" w:lineRule="auto"/>
              <w:jc w:val="both"/>
              <w:rPr>
                <w:sz w:val="24"/>
                <w:szCs w:val="24"/>
              </w:rPr>
            </w:pPr>
            <w:r w:rsidRPr="00D67B88">
              <w:rPr>
                <w:sz w:val="24"/>
                <w:szCs w:val="24"/>
              </w:rPr>
              <w:t>The North Wales Safeguarding Board oversees multi-agency safeguarding arrangements and ensures the effective implementation of the SSWBWA 2014 and Wales safeguarding procedures 2025 (</w:t>
            </w:r>
            <w:r w:rsidR="00EE45A1">
              <w:rPr>
                <w:sz w:val="24"/>
                <w:szCs w:val="24"/>
              </w:rPr>
              <w:t>North Wales Safeguarding Board, 2026</w:t>
            </w:r>
            <w:r w:rsidRPr="00D67B88">
              <w:rPr>
                <w:sz w:val="24"/>
                <w:szCs w:val="24"/>
              </w:rPr>
              <w:t>). This multi-agency approach promotes accountability and consistent safeguarding practice across services.</w:t>
            </w:r>
          </w:p>
          <w:p w14:paraId="521AE633" w14:textId="601D8061" w:rsidR="00D67B88" w:rsidRPr="00D67B88" w:rsidRDefault="00D67B88" w:rsidP="00D67B88">
            <w:pPr>
              <w:spacing w:line="360" w:lineRule="auto"/>
              <w:jc w:val="both"/>
              <w:rPr>
                <w:sz w:val="24"/>
                <w:szCs w:val="24"/>
              </w:rPr>
            </w:pPr>
            <w:r w:rsidRPr="00D67B88">
              <w:rPr>
                <w:sz w:val="24"/>
                <w:szCs w:val="24"/>
              </w:rPr>
              <w:lastRenderedPageBreak/>
              <w:t>At an organisational level, my employing authority has policies aligned with the Social Care Wales Code of Professional Practice, ensuring adherence to legal and ethical requirements (Social Care Wales, 2017</w:t>
            </w:r>
            <w:r w:rsidR="002A1F63">
              <w:rPr>
                <w:sz w:val="24"/>
                <w:szCs w:val="24"/>
              </w:rPr>
              <w:t>a</w:t>
            </w:r>
            <w:r w:rsidRPr="00D67B88">
              <w:rPr>
                <w:sz w:val="24"/>
                <w:szCs w:val="24"/>
              </w:rPr>
              <w:t>). These policies emphasise staff responsibilities to report any concerns about abuse or neglect and to work in ways that safeguard adults.</w:t>
            </w:r>
          </w:p>
          <w:p w14:paraId="0318E819" w14:textId="6CFE09BE" w:rsidR="00FC0334" w:rsidRPr="00D67B88" w:rsidRDefault="00D67B88" w:rsidP="00D67B88">
            <w:pPr>
              <w:jc w:val="both"/>
              <w:rPr>
                <w:b/>
                <w:bCs/>
                <w:sz w:val="24"/>
                <w:szCs w:val="24"/>
              </w:rPr>
            </w:pPr>
            <w:r w:rsidRPr="00D67B88">
              <w:rPr>
                <w:b/>
                <w:bCs/>
                <w:sz w:val="24"/>
                <w:szCs w:val="24"/>
              </w:rPr>
              <w:t>Word Count - 544</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3FD57444"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r w:rsidR="00BA545B">
              <w:rPr>
                <w:sz w:val="24"/>
                <w:szCs w:val="24"/>
              </w:rPr>
              <w:t>.</w:t>
            </w:r>
          </w:p>
          <w:p w14:paraId="0C94B44C" w14:textId="77777777" w:rsidR="00BA545B" w:rsidRDefault="00BA545B" w:rsidP="00FC0334">
            <w:pPr>
              <w:jc w:val="both"/>
              <w:rPr>
                <w:sz w:val="24"/>
                <w:szCs w:val="24"/>
              </w:rPr>
            </w:pPr>
          </w:p>
          <w:p w14:paraId="38E32FD2" w14:textId="77777777" w:rsidR="00BA545B" w:rsidRPr="00BA545B" w:rsidRDefault="00BA545B" w:rsidP="00BA545B">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BA545B">
              <w:rPr>
                <w:rFonts w:eastAsia="Aptos"/>
                <w:color w:val="auto"/>
                <w:kern w:val="2"/>
                <w:sz w:val="24"/>
                <w:szCs w:val="24"/>
                <w:lang w:eastAsia="en-US"/>
                <w14:ligatures w14:val="standardContextual"/>
              </w:rPr>
              <w:t xml:space="preserve">Safeguarding is an important aspect of social work practice. Safeguarding guidance for children and adults </w:t>
            </w:r>
            <w:proofErr w:type="gramStart"/>
            <w:r w:rsidRPr="00BA545B">
              <w:rPr>
                <w:rFonts w:eastAsia="Aptos"/>
                <w:color w:val="auto"/>
                <w:kern w:val="2"/>
                <w:sz w:val="24"/>
                <w:szCs w:val="24"/>
                <w:lang w:eastAsia="en-US"/>
                <w14:ligatures w14:val="standardContextual"/>
              </w:rPr>
              <w:t>are</w:t>
            </w:r>
            <w:proofErr w:type="gramEnd"/>
            <w:r w:rsidRPr="00BA545B">
              <w:rPr>
                <w:rFonts w:eastAsia="Aptos"/>
                <w:color w:val="auto"/>
                <w:kern w:val="2"/>
                <w:sz w:val="24"/>
                <w:szCs w:val="24"/>
                <w:lang w:eastAsia="en-US"/>
                <w14:ligatures w14:val="standardContextual"/>
              </w:rPr>
              <w:t xml:space="preserve"> outlined in the Wales Safeguarding Procedures 2019, which are based on the Social Services and Well</w:t>
            </w:r>
            <w:r w:rsidRPr="00BA545B">
              <w:rPr>
                <w:rFonts w:eastAsia="Aptos"/>
                <w:color w:val="auto"/>
                <w:kern w:val="2"/>
                <w:sz w:val="24"/>
                <w:szCs w:val="24"/>
                <w:lang w:eastAsia="en-US"/>
                <w14:ligatures w14:val="standardContextual"/>
              </w:rPr>
              <w:noBreakHyphen/>
              <w:t>being (Wales) Act 2014. How concerns are identified and managed depends on whether the individual is a child or an adult (Welsh Government, 2022b)</w:t>
            </w:r>
          </w:p>
          <w:p w14:paraId="7EAE5DA2" w14:textId="77777777" w:rsidR="00BA545B" w:rsidRPr="00BA545B" w:rsidRDefault="00BA545B" w:rsidP="00BA545B">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BA545B">
              <w:rPr>
                <w:rFonts w:eastAsia="Aptos"/>
                <w:color w:val="auto"/>
                <w:kern w:val="2"/>
                <w:sz w:val="24"/>
                <w:szCs w:val="24"/>
                <w:lang w:eastAsia="en-US"/>
                <w14:ligatures w14:val="standardContextual"/>
              </w:rPr>
              <w:t>A child at risk is anyone under eighteen who may be exposed to harm or neglect because of their age or circumstances (Social Care Wales, 2026a). An adult at risk is someone aged eighteen or over who, due to care or support needs, may be unable to protect themselves from abuse or neglect (Social Care Wales, 2026c).</w:t>
            </w:r>
          </w:p>
          <w:p w14:paraId="024B0199" w14:textId="77777777" w:rsidR="00BA545B" w:rsidRPr="00BA545B" w:rsidRDefault="00BA545B" w:rsidP="00BA545B">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BA545B">
              <w:rPr>
                <w:rFonts w:eastAsia="Aptos"/>
                <w:color w:val="auto"/>
                <w:kern w:val="2"/>
                <w:sz w:val="24"/>
                <w:szCs w:val="24"/>
                <w:lang w:eastAsia="en-US"/>
                <w14:ligatures w14:val="standardContextual"/>
              </w:rPr>
              <w:t>The Children Act 1989, gives professionals the authority to step in when a child’s welfare is at risk. If there are concerns that a child is experiencing, or could experience, abuse or neglect, professionals have a legal duty to act. In all situations, the child’s safety and well</w:t>
            </w:r>
            <w:r w:rsidRPr="00BA545B">
              <w:rPr>
                <w:rFonts w:ascii="Cambria Math" w:eastAsia="Aptos" w:hAnsi="Cambria Math" w:cs="Cambria Math"/>
                <w:color w:val="auto"/>
                <w:kern w:val="2"/>
                <w:sz w:val="24"/>
                <w:szCs w:val="24"/>
                <w:lang w:eastAsia="en-US"/>
                <w14:ligatures w14:val="standardContextual"/>
              </w:rPr>
              <w:t>‑</w:t>
            </w:r>
            <w:proofErr w:type="gramStart"/>
            <w:r w:rsidRPr="00BA545B">
              <w:rPr>
                <w:rFonts w:eastAsia="Aptos"/>
                <w:color w:val="auto"/>
                <w:kern w:val="2"/>
                <w:sz w:val="24"/>
                <w:szCs w:val="24"/>
                <w:lang w:eastAsia="en-US"/>
                <w14:ligatures w14:val="standardContextual"/>
              </w:rPr>
              <w:t>being must be</w:t>
            </w:r>
            <w:proofErr w:type="gramEnd"/>
            <w:r w:rsidRPr="00BA545B">
              <w:rPr>
                <w:rFonts w:eastAsia="Aptos"/>
                <w:color w:val="auto"/>
                <w:kern w:val="2"/>
                <w:sz w:val="24"/>
                <w:szCs w:val="24"/>
                <w:lang w:eastAsia="en-US"/>
                <w14:ligatures w14:val="standardContextual"/>
              </w:rPr>
              <w:t xml:space="preserve"> paramount.</w:t>
            </w:r>
          </w:p>
          <w:p w14:paraId="1288F3DF" w14:textId="77777777" w:rsidR="00BA545B" w:rsidRPr="00BA545B" w:rsidRDefault="00BA545B" w:rsidP="00BA545B">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BA545B">
              <w:rPr>
                <w:rFonts w:eastAsia="Aptos"/>
                <w:color w:val="auto"/>
                <w:kern w:val="2"/>
                <w:sz w:val="24"/>
                <w:szCs w:val="24"/>
                <w:lang w:eastAsia="en-US"/>
                <w14:ligatures w14:val="standardContextual"/>
              </w:rPr>
              <w:t>In adult safeguarding, consent should be obtained before reporting concerns, and it should only be overridden when the adult lacks capacity and reporting is in their best interests. Autonomy must still be respected, even when individuals choose to live with some level of risk. However, a safeguarding referral can be made without consent when there is a risk of serious harm, when the adult lacks capacity, or when seeking consent would increase the risk or delay protection (Welsh Government, 2018).</w:t>
            </w:r>
          </w:p>
          <w:p w14:paraId="2B0068B7" w14:textId="77777777" w:rsidR="00BA545B" w:rsidRPr="00BA545B" w:rsidRDefault="00BA545B" w:rsidP="00BA545B">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BA545B">
              <w:rPr>
                <w:rFonts w:eastAsia="Aptos"/>
                <w:color w:val="auto"/>
                <w:kern w:val="2"/>
                <w:sz w:val="24"/>
                <w:szCs w:val="24"/>
                <w:lang w:eastAsia="en-US"/>
                <w14:ligatures w14:val="standardContextual"/>
              </w:rPr>
              <w:lastRenderedPageBreak/>
              <w:t>Safeguarding requires balancing individual rights with preventing harm (Welsh Government, 2022b). Under the Human Rights Act (1998), absolute rights like the right to life must always be protected, while non</w:t>
            </w:r>
            <w:r w:rsidRPr="00BA545B">
              <w:rPr>
                <w:rFonts w:ascii="Cambria Math" w:eastAsia="Aptos" w:hAnsi="Cambria Math" w:cs="Cambria Math"/>
                <w:color w:val="auto"/>
                <w:kern w:val="2"/>
                <w:sz w:val="24"/>
                <w:szCs w:val="24"/>
                <w:lang w:eastAsia="en-US"/>
                <w14:ligatures w14:val="standardContextual"/>
              </w:rPr>
              <w:t>‑</w:t>
            </w:r>
            <w:r w:rsidRPr="00BA545B">
              <w:rPr>
                <w:rFonts w:eastAsia="Aptos"/>
                <w:color w:val="auto"/>
                <w:kern w:val="2"/>
                <w:sz w:val="24"/>
                <w:szCs w:val="24"/>
                <w:lang w:eastAsia="en-US"/>
                <w14:ligatures w14:val="standardContextual"/>
              </w:rPr>
              <w:t>absolute rights such as Article 8 can be limited to safeguard an adult from abuse or neglect. Information sharing or intervention without consent can also be necessary to prevent harm (Welsh Government, 2018).  The Mental Capacity Act 2005 states that adults are not assumed to lack capacity because of unwise decisions but can be questioned if they cannot understand or weigh risk and face serious harm (legislation.gov.uk, 2011).</w:t>
            </w:r>
          </w:p>
          <w:p w14:paraId="49BDEF86" w14:textId="77777777" w:rsidR="00BA545B" w:rsidRPr="00BA545B" w:rsidRDefault="00BA545B" w:rsidP="00BA545B">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bookmarkStart w:id="0" w:name="_Hlk217911061"/>
            <w:r w:rsidRPr="00BA545B">
              <w:rPr>
                <w:rFonts w:eastAsia="Aptos"/>
                <w:color w:val="auto"/>
                <w:kern w:val="2"/>
                <w:sz w:val="24"/>
                <w:szCs w:val="24"/>
                <w:lang w:eastAsia="en-US"/>
                <w14:ligatures w14:val="standardContextual"/>
              </w:rPr>
              <w:t>Children’s rights are upheld by the United Nations Convention on the Rights of the Child (1989). Article 12 requires that children’s views are taken seriously in decisions affecting them (</w:t>
            </w:r>
            <w:proofErr w:type="spellStart"/>
            <w:r w:rsidRPr="00BA545B">
              <w:rPr>
                <w:rFonts w:eastAsia="Aptos"/>
                <w:color w:val="auto"/>
                <w:kern w:val="2"/>
                <w:sz w:val="24"/>
                <w:szCs w:val="24"/>
                <w:lang w:eastAsia="en-US"/>
                <w14:ligatures w14:val="standardContextual"/>
              </w:rPr>
              <w:t>Adminwillowbrook</w:t>
            </w:r>
            <w:proofErr w:type="spellEnd"/>
            <w:r w:rsidRPr="00BA545B">
              <w:rPr>
                <w:rFonts w:eastAsia="Aptos"/>
                <w:color w:val="auto"/>
                <w:kern w:val="2"/>
                <w:sz w:val="24"/>
                <w:szCs w:val="24"/>
                <w:lang w:eastAsia="en-US"/>
                <w14:ligatures w14:val="standardContextual"/>
              </w:rPr>
              <w:t>, 2023). Safeguarding concerns do not remove a child’s right to be heard but may limit how much influence their wishes have on outcomes (NSPCC, 2024). Gillick competence also allows some under</w:t>
            </w:r>
            <w:r w:rsidRPr="00BA545B">
              <w:rPr>
                <w:rFonts w:ascii="Cambria Math" w:eastAsia="Aptos" w:hAnsi="Cambria Math" w:cs="Cambria Math"/>
                <w:color w:val="auto"/>
                <w:kern w:val="2"/>
                <w:sz w:val="24"/>
                <w:szCs w:val="24"/>
                <w:lang w:eastAsia="en-US"/>
                <w14:ligatures w14:val="standardContextual"/>
              </w:rPr>
              <w:t>‑</w:t>
            </w:r>
            <w:r w:rsidRPr="00BA545B">
              <w:rPr>
                <w:rFonts w:eastAsia="Aptos"/>
                <w:color w:val="auto"/>
                <w:kern w:val="2"/>
                <w:sz w:val="24"/>
                <w:szCs w:val="24"/>
                <w:lang w:eastAsia="en-US"/>
                <w14:ligatures w14:val="standardContextual"/>
              </w:rPr>
              <w:t>sixteens to make independent decisions if sufficiently mature (NSPCC, 2022), though safeguarding duties always take priority.</w:t>
            </w:r>
          </w:p>
          <w:p w14:paraId="169AC69E" w14:textId="77777777" w:rsidR="00BA545B" w:rsidRPr="00BA545B" w:rsidRDefault="00BA545B" w:rsidP="00BA545B">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BA545B">
              <w:rPr>
                <w:rFonts w:eastAsia="Aptos"/>
                <w:color w:val="auto"/>
                <w:kern w:val="2"/>
                <w:sz w:val="24"/>
                <w:szCs w:val="24"/>
                <w:lang w:eastAsia="en-US"/>
                <w14:ligatures w14:val="standardContextual"/>
              </w:rPr>
              <w:t xml:space="preserve">In conclusion, child safeguarding focuses on protection and prevention, while adult safeguarding balances safety with autonomy and human rights. </w:t>
            </w:r>
          </w:p>
          <w:bookmarkEnd w:id="0"/>
          <w:p w14:paraId="4AC25432" w14:textId="77777777" w:rsidR="00BA545B" w:rsidRPr="00BA545B" w:rsidRDefault="00BA545B" w:rsidP="00BA545B">
            <w:pPr>
              <w:jc w:val="both"/>
              <w:rPr>
                <w:b/>
                <w:bCs/>
                <w:sz w:val="24"/>
                <w:szCs w:val="24"/>
              </w:rPr>
            </w:pPr>
            <w:r w:rsidRPr="00BA545B">
              <w:rPr>
                <w:b/>
                <w:bCs/>
                <w:sz w:val="24"/>
                <w:szCs w:val="24"/>
              </w:rPr>
              <w:t>Word Count - 435</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25A1D" w14:textId="77777777" w:rsidR="007268F8" w:rsidRDefault="007268F8">
      <w:r>
        <w:separator/>
      </w:r>
    </w:p>
  </w:endnote>
  <w:endnote w:type="continuationSeparator" w:id="0">
    <w:p w14:paraId="001AA712" w14:textId="77777777" w:rsidR="007268F8" w:rsidRDefault="00726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0E4B3" w14:textId="77777777" w:rsidR="007268F8" w:rsidRDefault="007268F8">
      <w:r>
        <w:separator/>
      </w:r>
    </w:p>
  </w:footnote>
  <w:footnote w:type="continuationSeparator" w:id="0">
    <w:p w14:paraId="263C7B6C" w14:textId="77777777" w:rsidR="007268F8" w:rsidRDefault="00726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1708"/>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1F63"/>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3B4"/>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2024"/>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77E4E"/>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68F8"/>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3D7F"/>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1CB"/>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545B"/>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7B8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5A1"/>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1197</Words>
  <Characters>6681</Characters>
  <Application>Microsoft Office Word</Application>
  <DocSecurity>0</DocSecurity>
  <Lines>145</Lines>
  <Paragraphs>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Louise Evans (OEDOLION)</cp:lastModifiedBy>
  <cp:revision>5</cp:revision>
  <cp:lastPrinted>2020-02-11T19:20:00Z</cp:lastPrinted>
  <dcterms:created xsi:type="dcterms:W3CDTF">2026-02-21T21:34:00Z</dcterms:created>
  <dcterms:modified xsi:type="dcterms:W3CDTF">2026-02-23T22:18:00Z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