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58233" w14:textId="1037949B" w:rsidR="00015F69" w:rsidRDefault="00015F69"/>
    <w:sdt>
      <w:sdtPr>
        <w:id w:val="1548183832"/>
        <w:docPartObj>
          <w:docPartGallery w:val="Cover Pages"/>
          <w:docPartUnique/>
        </w:docPartObj>
      </w:sdtPr>
      <w:sdtEndPr/>
      <w:sdtContent>
        <w:p w14:paraId="3E3AF44B" w14:textId="7FA020C1" w:rsidR="00ED00A1" w:rsidRDefault="00ED00A1">
          <w:r>
            <w:rPr>
              <w:noProof/>
            </w:rPr>
            <mc:AlternateContent>
              <mc:Choice Requires="wpg">
                <w:drawing>
                  <wp:anchor distT="0" distB="0" distL="114300" distR="114300" simplePos="0" relativeHeight="251684864" behindDoc="0" locked="0" layoutInCell="1" allowOverlap="1" wp14:anchorId="76BAB803" wp14:editId="743231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2AF174" id="Group 157" o:spid="_x0000_s1026" style="position:absolute;margin-left:0;margin-top:0;width:8in;height:95.7pt;z-index:2516848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22BDED18" w14:textId="5C3CCF80" w:rsidR="000D3C28" w:rsidRDefault="00022963" w:rsidP="00225568">
          <w:pPr>
            <w:jc w:val="right"/>
          </w:pPr>
          <w:r>
            <w:rPr>
              <w:noProof/>
            </w:rPr>
            <mc:AlternateContent>
              <mc:Choice Requires="wps">
                <w:drawing>
                  <wp:anchor distT="45720" distB="45720" distL="114300" distR="114300" simplePos="0" relativeHeight="251688960" behindDoc="0" locked="0" layoutInCell="1" allowOverlap="1" wp14:anchorId="08484B0F" wp14:editId="1465E64D">
                    <wp:simplePos x="0" y="0"/>
                    <wp:positionH relativeFrom="margin">
                      <wp:posOffset>957943</wp:posOffset>
                    </wp:positionH>
                    <wp:positionV relativeFrom="paragraph">
                      <wp:posOffset>6879499</wp:posOffset>
                    </wp:positionV>
                    <wp:extent cx="4768850" cy="1409247"/>
                    <wp:effectExtent l="0" t="0" r="0" b="635"/>
                    <wp:wrapSquare wrapText="bothSides"/>
                    <wp:docPr id="756027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8850" cy="1409247"/>
                            </a:xfrm>
                            <a:prstGeom prst="rect">
                              <a:avLst/>
                            </a:prstGeom>
                            <a:noFill/>
                            <a:ln w="9525">
                              <a:noFill/>
                              <a:miter lim="800000"/>
                              <a:headEnd/>
                              <a:tailEnd/>
                            </a:ln>
                          </wps:spPr>
                          <wps:txbx>
                            <w:txbxContent>
                              <w:p w14:paraId="714046CC" w14:textId="24807B14" w:rsidR="00015F69" w:rsidRPr="00022963" w:rsidRDefault="00B3166A" w:rsidP="00AD0CE0">
                                <w:pPr>
                                  <w:jc w:val="right"/>
                                  <w:rPr>
                                    <w:rFonts w:ascii="Cambria" w:hAnsi="Cambria"/>
                                    <w:color w:val="333333"/>
                                    <w:sz w:val="28"/>
                                    <w:szCs w:val="28"/>
                                  </w:rPr>
                                </w:pPr>
                                <w:r w:rsidRPr="00022963">
                                  <w:rPr>
                                    <w:rFonts w:ascii="Cambria" w:hAnsi="Cambria"/>
                                    <w:color w:val="333333"/>
                                    <w:sz w:val="28"/>
                                    <w:szCs w:val="28"/>
                                  </w:rPr>
                                  <w:t>ANA CHICAIZA ASIMBAYA (2115194)</w:t>
                                </w:r>
                              </w:p>
                              <w:p w14:paraId="0F73CB1E" w14:textId="7DD32D64" w:rsidR="00B3166A" w:rsidRPr="00022963" w:rsidRDefault="00B3166A" w:rsidP="00AD0CE0">
                                <w:pPr>
                                  <w:jc w:val="right"/>
                                  <w:rPr>
                                    <w:rFonts w:ascii="Cambria" w:hAnsi="Cambria"/>
                                    <w:color w:val="333333"/>
                                    <w:sz w:val="28"/>
                                    <w:szCs w:val="28"/>
                                  </w:rPr>
                                </w:pPr>
                                <w:r w:rsidRPr="00022963">
                                  <w:rPr>
                                    <w:rFonts w:ascii="Cambria" w:hAnsi="Cambria"/>
                                    <w:color w:val="333333"/>
                                    <w:sz w:val="28"/>
                                    <w:szCs w:val="28"/>
                                  </w:rPr>
                                  <w:t xml:space="preserve">Advanced Cybersecurity </w:t>
                                </w:r>
                                <w:r w:rsidR="00AD0CE0" w:rsidRPr="00022963">
                                  <w:rPr>
                                    <w:rFonts w:ascii="Cambria" w:hAnsi="Cambria"/>
                                    <w:color w:val="333333"/>
                                    <w:sz w:val="28"/>
                                    <w:szCs w:val="28"/>
                                  </w:rPr>
                                  <w:t>–</w:t>
                                </w:r>
                                <w:r w:rsidRPr="00022963">
                                  <w:rPr>
                                    <w:rFonts w:ascii="Cambria" w:hAnsi="Cambria"/>
                                    <w:color w:val="333333"/>
                                    <w:sz w:val="28"/>
                                    <w:szCs w:val="28"/>
                                  </w:rPr>
                                  <w:t xml:space="preserve"> </w:t>
                                </w:r>
                                <w:r w:rsidR="00AD0CE0" w:rsidRPr="00022963">
                                  <w:rPr>
                                    <w:rFonts w:ascii="Cambria" w:hAnsi="Cambria"/>
                                    <w:color w:val="333333"/>
                                    <w:sz w:val="28"/>
                                    <w:szCs w:val="28"/>
                                  </w:rPr>
                                  <w:t>ACCB6000</w:t>
                                </w:r>
                              </w:p>
                              <w:p w14:paraId="632B0399" w14:textId="58A9AD37" w:rsidR="00AD0CE0" w:rsidRPr="00022963" w:rsidRDefault="00AD0CE0" w:rsidP="00AD0CE0">
                                <w:pPr>
                                  <w:jc w:val="right"/>
                                  <w:rPr>
                                    <w:rFonts w:ascii="Cambria" w:hAnsi="Cambria"/>
                                    <w:color w:val="333333"/>
                                    <w:sz w:val="28"/>
                                    <w:szCs w:val="28"/>
                                  </w:rPr>
                                </w:pPr>
                                <w:r w:rsidRPr="00022963">
                                  <w:rPr>
                                    <w:rFonts w:ascii="Cambria" w:hAnsi="Cambria"/>
                                    <w:color w:val="333333"/>
                                    <w:sz w:val="28"/>
                                    <w:szCs w:val="28"/>
                                  </w:rPr>
                                  <w:t>University of Wales Trinity Saint David</w:t>
                                </w:r>
                              </w:p>
                              <w:p w14:paraId="0C8FA7A8" w14:textId="399C4693" w:rsidR="00AD0CE0" w:rsidRPr="00022963" w:rsidRDefault="00AD0CE0" w:rsidP="00AD0CE0">
                                <w:pPr>
                                  <w:jc w:val="right"/>
                                  <w:rPr>
                                    <w:rFonts w:ascii="Cambria" w:hAnsi="Cambria"/>
                                    <w:color w:val="333333"/>
                                    <w:sz w:val="28"/>
                                    <w:szCs w:val="28"/>
                                  </w:rPr>
                                </w:pPr>
                                <w:r w:rsidRPr="00022963">
                                  <w:rPr>
                                    <w:rFonts w:ascii="Cambria" w:hAnsi="Cambria"/>
                                    <w:color w:val="333333"/>
                                    <w:sz w:val="28"/>
                                    <w:szCs w:val="28"/>
                                  </w:rPr>
                                  <w:t>London Campus</w:t>
                                </w:r>
                              </w:p>
                              <w:p w14:paraId="0B49B882" w14:textId="618DC0C4" w:rsidR="00225568" w:rsidRPr="00AD0CE0" w:rsidRDefault="00225568" w:rsidP="00AD0CE0">
                                <w:pPr>
                                  <w:jc w:val="right"/>
                                  <w:rPr>
                                    <w:color w:val="33333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484B0F" id="_x0000_t202" coordsize="21600,21600" o:spt="202" path="m,l,21600r21600,l21600,xe">
                    <v:stroke joinstyle="miter"/>
                    <v:path gradientshapeok="t" o:connecttype="rect"/>
                  </v:shapetype>
                  <v:shape id="Text Box 2" o:spid="_x0000_s1026" type="#_x0000_t202" style="position:absolute;left:0;text-align:left;margin-left:75.45pt;margin-top:541.7pt;width:375.5pt;height:110.9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" filled="f" stroked="f">
                    <v:textbox>
                      <w:txbxContent>
                        <w:p w14:paraId="714046CC" w14:textId="24807B14" w:rsidR="00015F69" w:rsidRPr="00022963" w:rsidRDefault="00B3166A" w:rsidP="00AD0CE0">
                          <w:pPr>
                            <w:jc w:val="right"/>
                            <w:rPr>
                              <w:rFonts w:ascii="Cambria" w:hAnsi="Cambria"/>
                              <w:color w:val="333333"/>
                              <w:sz w:val="28"/>
                              <w:szCs w:val="28"/>
                            </w:rPr>
                          </w:pPr>
                          <w:r w:rsidRPr="00022963">
                            <w:rPr>
                              <w:rFonts w:ascii="Cambria" w:hAnsi="Cambria"/>
                              <w:color w:val="333333"/>
                              <w:sz w:val="28"/>
                              <w:szCs w:val="28"/>
                            </w:rPr>
                            <w:t>ANA CHICAIZA ASIMBAYA (2115194)</w:t>
                          </w:r>
                        </w:p>
                        <w:p w14:paraId="0F73CB1E" w14:textId="7DD32D64" w:rsidR="00B3166A" w:rsidRPr="00022963" w:rsidRDefault="00B3166A" w:rsidP="00AD0CE0">
                          <w:pPr>
                            <w:jc w:val="right"/>
                            <w:rPr>
                              <w:rFonts w:ascii="Cambria" w:hAnsi="Cambria"/>
                              <w:color w:val="333333"/>
                              <w:sz w:val="28"/>
                              <w:szCs w:val="28"/>
                            </w:rPr>
                          </w:pPr>
                          <w:r w:rsidRPr="00022963">
                            <w:rPr>
                              <w:rFonts w:ascii="Cambria" w:hAnsi="Cambria"/>
                              <w:color w:val="333333"/>
                              <w:sz w:val="28"/>
                              <w:szCs w:val="28"/>
                            </w:rPr>
                            <w:t xml:space="preserve">Advanced Cybersecurity </w:t>
                          </w:r>
                          <w:r w:rsidR="00AD0CE0" w:rsidRPr="00022963">
                            <w:rPr>
                              <w:rFonts w:ascii="Cambria" w:hAnsi="Cambria"/>
                              <w:color w:val="333333"/>
                              <w:sz w:val="28"/>
                              <w:szCs w:val="28"/>
                            </w:rPr>
                            <w:t>–</w:t>
                          </w:r>
                          <w:r w:rsidRPr="00022963">
                            <w:rPr>
                              <w:rFonts w:ascii="Cambria" w:hAnsi="Cambria"/>
                              <w:color w:val="333333"/>
                              <w:sz w:val="28"/>
                              <w:szCs w:val="28"/>
                            </w:rPr>
                            <w:t xml:space="preserve"> </w:t>
                          </w:r>
                          <w:r w:rsidR="00AD0CE0" w:rsidRPr="00022963">
                            <w:rPr>
                              <w:rFonts w:ascii="Cambria" w:hAnsi="Cambria"/>
                              <w:color w:val="333333"/>
                              <w:sz w:val="28"/>
                              <w:szCs w:val="28"/>
                            </w:rPr>
                            <w:t>ACCB6000</w:t>
                          </w:r>
                        </w:p>
                        <w:p w14:paraId="632B0399" w14:textId="58A9AD37" w:rsidR="00AD0CE0" w:rsidRPr="00022963" w:rsidRDefault="00AD0CE0" w:rsidP="00AD0CE0">
                          <w:pPr>
                            <w:jc w:val="right"/>
                            <w:rPr>
                              <w:rFonts w:ascii="Cambria" w:hAnsi="Cambria"/>
                              <w:color w:val="333333"/>
                              <w:sz w:val="28"/>
                              <w:szCs w:val="28"/>
                            </w:rPr>
                          </w:pPr>
                          <w:r w:rsidRPr="00022963">
                            <w:rPr>
                              <w:rFonts w:ascii="Cambria" w:hAnsi="Cambria"/>
                              <w:color w:val="333333"/>
                              <w:sz w:val="28"/>
                              <w:szCs w:val="28"/>
                            </w:rPr>
                            <w:t>University of Wales Trinity Saint David</w:t>
                          </w:r>
                        </w:p>
                        <w:p w14:paraId="0C8FA7A8" w14:textId="399C4693" w:rsidR="00AD0CE0" w:rsidRPr="00022963" w:rsidRDefault="00AD0CE0" w:rsidP="00AD0CE0">
                          <w:pPr>
                            <w:jc w:val="right"/>
                            <w:rPr>
                              <w:rFonts w:ascii="Cambria" w:hAnsi="Cambria"/>
                              <w:color w:val="333333"/>
                              <w:sz w:val="28"/>
                              <w:szCs w:val="28"/>
                            </w:rPr>
                          </w:pPr>
                          <w:r w:rsidRPr="00022963">
                            <w:rPr>
                              <w:rFonts w:ascii="Cambria" w:hAnsi="Cambria"/>
                              <w:color w:val="333333"/>
                              <w:sz w:val="28"/>
                              <w:szCs w:val="28"/>
                            </w:rPr>
                            <w:t>London Campus</w:t>
                          </w:r>
                        </w:p>
                        <w:p w14:paraId="0B49B882" w14:textId="618DC0C4" w:rsidR="00225568" w:rsidRPr="00AD0CE0" w:rsidRDefault="00225568" w:rsidP="00AD0CE0">
                          <w:pPr>
                            <w:jc w:val="right"/>
                            <w:rPr>
                              <w:color w:val="333333"/>
                            </w:rPr>
                          </w:pPr>
                        </w:p>
                      </w:txbxContent>
                    </v:textbox>
                    <w10:wrap type="square" anchorx="margin"/>
                  </v:shape>
                </w:pict>
              </mc:Fallback>
            </mc:AlternateContent>
          </w:r>
          <w:r w:rsidR="00741AB6">
            <w:rPr>
              <w:noProof/>
            </w:rPr>
            <mc:AlternateContent>
              <mc:Choice Requires="wps">
                <w:drawing>
                  <wp:anchor distT="45720" distB="45720" distL="114300" distR="114300" simplePos="0" relativeHeight="251686912" behindDoc="0" locked="0" layoutInCell="1" allowOverlap="1" wp14:anchorId="0232BECC" wp14:editId="390A7741">
                    <wp:simplePos x="0" y="0"/>
                    <wp:positionH relativeFrom="margin">
                      <wp:align>right</wp:align>
                    </wp:positionH>
                    <wp:positionV relativeFrom="paragraph">
                      <wp:posOffset>107496</wp:posOffset>
                    </wp:positionV>
                    <wp:extent cx="5708650" cy="3303905"/>
                    <wp:effectExtent l="0" t="0" r="0" b="0"/>
                    <wp:wrapNone/>
                    <wp:docPr id="117915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3303905"/>
                            </a:xfrm>
                            <a:prstGeom prst="rect">
                              <a:avLst/>
                            </a:prstGeom>
                            <a:noFill/>
                            <a:ln w="9525">
                              <a:noFill/>
                              <a:miter lim="800000"/>
                              <a:headEnd/>
                              <a:tailEnd/>
                            </a:ln>
                          </wps:spPr>
                          <wps:txbx>
                            <w:txbxContent>
                              <w:p w14:paraId="2A34CA62" w14:textId="77777777" w:rsidR="00E029F3" w:rsidRDefault="00621B75" w:rsidP="00E029F3">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029F3" w:rsidRPr="00ED00A1">
                                      <w:rPr>
                                        <w:caps/>
                                        <w:color w:val="156082" w:themeColor="accent1"/>
                                        <w:sz w:val="64"/>
                                        <w:szCs w:val="64"/>
                                      </w:rPr>
                                      <w:t>Evolving Blue Team Operations for Effective Threat Detection and Response</w:t>
                                    </w:r>
                                  </w:sdtContent>
                                </w:sdt>
                              </w:p>
                              <w:p w14:paraId="4EC1ECE2" w14:textId="1617E8C2" w:rsidR="00E029F3" w:rsidRDefault="00E029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2BECC" id="_x0000_s1027" type="#_x0000_t202" style="position:absolute;left:0;text-align:left;margin-left:398.3pt;margin-top:8.45pt;width:449.5pt;height:260.15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" filled="f" stroked="f">
                    <v:textbox>
                      <w:txbxContent>
                        <w:p w14:paraId="2A34CA62" w14:textId="77777777" w:rsidR="00E029F3" w:rsidRDefault="00621B75" w:rsidP="00E029F3">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029F3" w:rsidRPr="00ED00A1">
                                <w:rPr>
                                  <w:caps/>
                                  <w:color w:val="156082" w:themeColor="accent1"/>
                                  <w:sz w:val="64"/>
                                  <w:szCs w:val="64"/>
                                </w:rPr>
                                <w:t>Evolving Blue Team Operations for Effective Threat Detection and Response</w:t>
                              </w:r>
                            </w:sdtContent>
                          </w:sdt>
                        </w:p>
                        <w:p w14:paraId="4EC1ECE2" w14:textId="1617E8C2" w:rsidR="00E029F3" w:rsidRDefault="00E029F3"/>
                      </w:txbxContent>
                    </v:textbox>
                    <w10:wrap anchorx="margin"/>
                  </v:shape>
                </w:pict>
              </mc:Fallback>
            </mc:AlternateContent>
          </w:r>
          <w:r w:rsidR="00741AB6">
            <w:rPr>
              <w:noProof/>
            </w:rPr>
            <w:drawing>
              <wp:anchor distT="0" distB="0" distL="114300" distR="114300" simplePos="0" relativeHeight="251694080" behindDoc="0" locked="0" layoutInCell="1" allowOverlap="1" wp14:anchorId="47ED6A2B" wp14:editId="12B6E25D">
                <wp:simplePos x="0" y="0"/>
                <wp:positionH relativeFrom="margin">
                  <wp:posOffset>1023257</wp:posOffset>
                </wp:positionH>
                <wp:positionV relativeFrom="paragraph">
                  <wp:posOffset>2770414</wp:posOffset>
                </wp:positionV>
                <wp:extent cx="3875314" cy="3505107"/>
                <wp:effectExtent l="0" t="0" r="0" b="635"/>
                <wp:wrapNone/>
                <wp:docPr id="235039709" name="Picture 12" descr="A blue lock with orang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39709" name="Picture 12" descr="A blue lock with orange dot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86848" cy="3515540"/>
                        </a:xfrm>
                        <a:prstGeom prst="rect">
                          <a:avLst/>
                        </a:prstGeom>
                      </pic:spPr>
                    </pic:pic>
                  </a:graphicData>
                </a:graphic>
                <wp14:sizeRelH relativeFrom="margin">
                  <wp14:pctWidth>0</wp14:pctWidth>
                </wp14:sizeRelH>
                <wp14:sizeRelV relativeFrom="margin">
                  <wp14:pctHeight>0</wp14:pctHeight>
                </wp14:sizeRelV>
              </wp:anchor>
            </w:drawing>
          </w:r>
          <w:r w:rsidR="00ED00A1">
            <w:br w:type="page"/>
          </w:r>
        </w:p>
      </w:sdtContent>
    </w:sdt>
    <w:sdt>
      <w:sdtPr>
        <w:id w:val="-152123272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6578AD9" w14:textId="767DC98E" w:rsidR="00022963" w:rsidRDefault="00022963" w:rsidP="00022963">
          <w:pPr>
            <w:pStyle w:val="TOCHeading"/>
            <w:jc w:val="center"/>
            <w:rPr>
              <w:rStyle w:val="Heading1Char"/>
            </w:rPr>
          </w:pPr>
          <w:r w:rsidRPr="00022963">
            <w:rPr>
              <w:rStyle w:val="Heading1Char"/>
            </w:rPr>
            <w:t>Table of Contents</w:t>
          </w:r>
        </w:p>
        <w:p w14:paraId="49EBA561" w14:textId="77777777" w:rsidR="008E3999" w:rsidRPr="008E3999" w:rsidRDefault="008E3999" w:rsidP="008E3999">
          <w:pPr>
            <w:rPr>
              <w:lang w:val="en-US"/>
            </w:rPr>
          </w:pPr>
        </w:p>
        <w:p w14:paraId="649A93C9" w14:textId="198CA1C2" w:rsidR="00022963" w:rsidRPr="008E3999" w:rsidRDefault="00022963">
          <w:pPr>
            <w:pStyle w:val="TOC1"/>
            <w:tabs>
              <w:tab w:val="right" w:leader="dot" w:pos="9016"/>
            </w:tabs>
            <w:rPr>
              <w:rFonts w:ascii="Cambria" w:eastAsiaTheme="minorEastAsia" w:hAnsi="Cambria"/>
              <w:noProof/>
              <w:sz w:val="28"/>
              <w:szCs w:val="28"/>
              <w:lang w:eastAsia="en-GB"/>
            </w:rPr>
          </w:pPr>
          <w:r w:rsidRPr="008E3999">
            <w:rPr>
              <w:rFonts w:ascii="Cambria" w:hAnsi="Cambria"/>
              <w:sz w:val="24"/>
              <w:szCs w:val="24"/>
            </w:rPr>
            <w:fldChar w:fldCharType="begin"/>
          </w:r>
          <w:r w:rsidRPr="008E3999">
            <w:rPr>
              <w:rFonts w:ascii="Cambria" w:hAnsi="Cambria"/>
              <w:sz w:val="24"/>
              <w:szCs w:val="24"/>
            </w:rPr>
            <w:instrText xml:space="preserve"> TOC \o "1-3" \h \z \u </w:instrText>
          </w:r>
          <w:r w:rsidRPr="008E3999">
            <w:rPr>
              <w:rFonts w:ascii="Cambria" w:hAnsi="Cambria"/>
              <w:sz w:val="24"/>
              <w:szCs w:val="24"/>
            </w:rPr>
            <w:fldChar w:fldCharType="separate"/>
          </w:r>
          <w:hyperlink w:anchor="_Toc216123288" w:history="1">
            <w:r w:rsidRPr="008E3999">
              <w:rPr>
                <w:rStyle w:val="Hyperlink"/>
                <w:rFonts w:ascii="Cambria" w:hAnsi="Cambria"/>
                <w:noProof/>
                <w:sz w:val="24"/>
                <w:szCs w:val="24"/>
              </w:rPr>
              <w:t>ABSTRACT</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_Toc216123288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2</w:t>
            </w:r>
            <w:r w:rsidRPr="008E3999">
              <w:rPr>
                <w:rFonts w:ascii="Cambria" w:hAnsi="Cambria"/>
                <w:noProof/>
                <w:webHidden/>
                <w:sz w:val="24"/>
                <w:szCs w:val="24"/>
              </w:rPr>
              <w:fldChar w:fldCharType="end"/>
            </w:r>
          </w:hyperlink>
        </w:p>
        <w:p w14:paraId="19246FAC" w14:textId="2F0B6EFE" w:rsidR="00022963" w:rsidRPr="008E3999" w:rsidRDefault="00022963">
          <w:pPr>
            <w:pStyle w:val="TOC1"/>
            <w:tabs>
              <w:tab w:val="right" w:leader="dot" w:pos="9016"/>
            </w:tabs>
            <w:rPr>
              <w:rFonts w:ascii="Cambria" w:eastAsiaTheme="minorEastAsia" w:hAnsi="Cambria"/>
              <w:noProof/>
              <w:sz w:val="28"/>
              <w:szCs w:val="28"/>
              <w:lang w:eastAsia="en-GB"/>
            </w:rPr>
          </w:pPr>
          <w:hyperlink w:anchor="_Toc216123289" w:history="1">
            <w:r w:rsidRPr="008E3999">
              <w:rPr>
                <w:rStyle w:val="Hyperlink"/>
                <w:rFonts w:ascii="Cambria" w:hAnsi="Cambria"/>
                <w:noProof/>
                <w:sz w:val="24"/>
                <w:szCs w:val="24"/>
              </w:rPr>
              <w:t>INTRODUCTION</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_Toc216123289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3</w:t>
            </w:r>
            <w:r w:rsidRPr="008E3999">
              <w:rPr>
                <w:rFonts w:ascii="Cambria" w:hAnsi="Cambria"/>
                <w:noProof/>
                <w:webHidden/>
                <w:sz w:val="24"/>
                <w:szCs w:val="24"/>
              </w:rPr>
              <w:fldChar w:fldCharType="end"/>
            </w:r>
          </w:hyperlink>
        </w:p>
        <w:p w14:paraId="25DCD14F" w14:textId="7D0B6F3F" w:rsidR="00022963" w:rsidRPr="008E3999" w:rsidRDefault="00022963">
          <w:pPr>
            <w:pStyle w:val="TOC1"/>
            <w:tabs>
              <w:tab w:val="right" w:leader="dot" w:pos="9016"/>
            </w:tabs>
            <w:rPr>
              <w:rFonts w:ascii="Cambria" w:eastAsiaTheme="minorEastAsia" w:hAnsi="Cambria"/>
              <w:noProof/>
              <w:sz w:val="28"/>
              <w:szCs w:val="28"/>
              <w:lang w:eastAsia="en-GB"/>
            </w:rPr>
          </w:pPr>
          <w:hyperlink w:anchor="_Toc216123290" w:history="1">
            <w:r w:rsidRPr="008E3999">
              <w:rPr>
                <w:rStyle w:val="Hyperlink"/>
                <w:rFonts w:ascii="Cambria" w:hAnsi="Cambria"/>
                <w:noProof/>
                <w:sz w:val="24"/>
                <w:szCs w:val="24"/>
              </w:rPr>
              <w:t>SIEM-CENTRIC DETECTION: STRENGTHS AND LIMITATIONS</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_Toc216123290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4</w:t>
            </w:r>
            <w:r w:rsidRPr="008E3999">
              <w:rPr>
                <w:rFonts w:ascii="Cambria" w:hAnsi="Cambria"/>
                <w:noProof/>
                <w:webHidden/>
                <w:sz w:val="24"/>
                <w:szCs w:val="24"/>
              </w:rPr>
              <w:fldChar w:fldCharType="end"/>
            </w:r>
          </w:hyperlink>
        </w:p>
        <w:p w14:paraId="2356838A" w14:textId="37F00C69" w:rsidR="00022963" w:rsidRPr="008E3999" w:rsidRDefault="00022963">
          <w:pPr>
            <w:pStyle w:val="TOC1"/>
            <w:tabs>
              <w:tab w:val="right" w:leader="dot" w:pos="9016"/>
            </w:tabs>
            <w:rPr>
              <w:rFonts w:ascii="Cambria" w:eastAsiaTheme="minorEastAsia" w:hAnsi="Cambria"/>
              <w:noProof/>
              <w:sz w:val="28"/>
              <w:szCs w:val="28"/>
              <w:lang w:eastAsia="en-GB"/>
            </w:rPr>
          </w:pPr>
          <w:hyperlink w:anchor="_Toc216123291" w:history="1">
            <w:r w:rsidRPr="008E3999">
              <w:rPr>
                <w:rStyle w:val="Hyperlink"/>
                <w:rFonts w:ascii="Cambria" w:hAnsi="Cambria"/>
                <w:noProof/>
                <w:sz w:val="24"/>
                <w:szCs w:val="24"/>
              </w:rPr>
              <w:t>INCIDENT RESPONSE: FROM REACTIVE PLAYBOOKS TO CONTINUOUS READINESS</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_Toc216123291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5</w:t>
            </w:r>
            <w:r w:rsidRPr="008E3999">
              <w:rPr>
                <w:rFonts w:ascii="Cambria" w:hAnsi="Cambria"/>
                <w:noProof/>
                <w:webHidden/>
                <w:sz w:val="24"/>
                <w:szCs w:val="24"/>
              </w:rPr>
              <w:fldChar w:fldCharType="end"/>
            </w:r>
          </w:hyperlink>
        </w:p>
        <w:p w14:paraId="490115AE" w14:textId="48985E48" w:rsidR="00022963" w:rsidRPr="008E3999" w:rsidRDefault="00022963">
          <w:pPr>
            <w:pStyle w:val="TOC1"/>
            <w:tabs>
              <w:tab w:val="right" w:leader="dot" w:pos="9016"/>
            </w:tabs>
            <w:rPr>
              <w:rFonts w:ascii="Cambria" w:eastAsiaTheme="minorEastAsia" w:hAnsi="Cambria"/>
              <w:noProof/>
              <w:sz w:val="28"/>
              <w:szCs w:val="28"/>
              <w:lang w:eastAsia="en-GB"/>
            </w:rPr>
          </w:pPr>
          <w:hyperlink w:anchor="_Toc216123292" w:history="1">
            <w:r w:rsidRPr="008E3999">
              <w:rPr>
                <w:rStyle w:val="Hyperlink"/>
                <w:rFonts w:ascii="Cambria" w:hAnsi="Cambria"/>
                <w:noProof/>
                <w:sz w:val="24"/>
                <w:szCs w:val="24"/>
              </w:rPr>
              <w:t>THREAT HUNTING AND PROACTIVE DEFENCE</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_Toc216123292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6</w:t>
            </w:r>
            <w:r w:rsidRPr="008E3999">
              <w:rPr>
                <w:rFonts w:ascii="Cambria" w:hAnsi="Cambria"/>
                <w:noProof/>
                <w:webHidden/>
                <w:sz w:val="24"/>
                <w:szCs w:val="24"/>
              </w:rPr>
              <w:fldChar w:fldCharType="end"/>
            </w:r>
          </w:hyperlink>
        </w:p>
        <w:p w14:paraId="49A9982A" w14:textId="15BAD986" w:rsidR="00022963" w:rsidRPr="008E3999" w:rsidRDefault="00022963">
          <w:pPr>
            <w:pStyle w:val="TOC1"/>
            <w:tabs>
              <w:tab w:val="right" w:leader="dot" w:pos="9016"/>
            </w:tabs>
            <w:rPr>
              <w:rFonts w:ascii="Cambria" w:eastAsiaTheme="minorEastAsia" w:hAnsi="Cambria"/>
              <w:noProof/>
              <w:sz w:val="28"/>
              <w:szCs w:val="28"/>
              <w:lang w:eastAsia="en-GB"/>
            </w:rPr>
          </w:pPr>
          <w:hyperlink w:anchor="_Toc216123293" w:history="1">
            <w:r w:rsidRPr="008E3999">
              <w:rPr>
                <w:rStyle w:val="Hyperlink"/>
                <w:rFonts w:ascii="Cambria" w:hAnsi="Cambria"/>
                <w:noProof/>
                <w:sz w:val="24"/>
                <w:szCs w:val="24"/>
              </w:rPr>
              <w:t>Human factors and SOC optimisation</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_Toc216123293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7</w:t>
            </w:r>
            <w:r w:rsidRPr="008E3999">
              <w:rPr>
                <w:rFonts w:ascii="Cambria" w:hAnsi="Cambria"/>
                <w:noProof/>
                <w:webHidden/>
                <w:sz w:val="24"/>
                <w:szCs w:val="24"/>
              </w:rPr>
              <w:fldChar w:fldCharType="end"/>
            </w:r>
          </w:hyperlink>
        </w:p>
        <w:p w14:paraId="0A3F68F0" w14:textId="3FC2549B" w:rsidR="00022963" w:rsidRPr="008E3999" w:rsidRDefault="00022963">
          <w:pPr>
            <w:pStyle w:val="TOC1"/>
            <w:tabs>
              <w:tab w:val="right" w:leader="dot" w:pos="9016"/>
            </w:tabs>
            <w:rPr>
              <w:rFonts w:ascii="Cambria" w:eastAsiaTheme="minorEastAsia" w:hAnsi="Cambria"/>
              <w:noProof/>
              <w:sz w:val="28"/>
              <w:szCs w:val="28"/>
              <w:lang w:eastAsia="en-GB"/>
            </w:rPr>
          </w:pPr>
          <w:hyperlink w:anchor="_Toc216123294" w:history="1">
            <w:r w:rsidRPr="008E3999">
              <w:rPr>
                <w:rStyle w:val="Hyperlink"/>
                <w:rFonts w:ascii="Cambria" w:hAnsi="Cambria"/>
                <w:noProof/>
                <w:sz w:val="24"/>
                <w:szCs w:val="24"/>
              </w:rPr>
              <w:t>CONCLUSION</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_Toc216123294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8</w:t>
            </w:r>
            <w:r w:rsidRPr="008E3999">
              <w:rPr>
                <w:rFonts w:ascii="Cambria" w:hAnsi="Cambria"/>
                <w:noProof/>
                <w:webHidden/>
                <w:sz w:val="24"/>
                <w:szCs w:val="24"/>
              </w:rPr>
              <w:fldChar w:fldCharType="end"/>
            </w:r>
          </w:hyperlink>
        </w:p>
        <w:p w14:paraId="3DA98552" w14:textId="035F36C5" w:rsidR="00022963" w:rsidRPr="008E3999" w:rsidRDefault="00022963">
          <w:pPr>
            <w:pStyle w:val="TOC1"/>
            <w:tabs>
              <w:tab w:val="right" w:leader="dot" w:pos="9016"/>
            </w:tabs>
            <w:rPr>
              <w:rFonts w:ascii="Cambria" w:eastAsiaTheme="minorEastAsia" w:hAnsi="Cambria"/>
              <w:noProof/>
              <w:sz w:val="28"/>
              <w:szCs w:val="28"/>
              <w:lang w:eastAsia="en-GB"/>
            </w:rPr>
          </w:pPr>
          <w:hyperlink w:anchor="_Toc216123295" w:history="1">
            <w:r w:rsidRPr="008E3999">
              <w:rPr>
                <w:rStyle w:val="Hyperlink"/>
                <w:rFonts w:ascii="Cambria" w:hAnsi="Cambria"/>
                <w:noProof/>
                <w:sz w:val="24"/>
                <w:szCs w:val="24"/>
              </w:rPr>
              <w:t>REFERENCES</w:t>
            </w:r>
            <w:r w:rsidRPr="008E3999">
              <w:rPr>
                <w:rFonts w:ascii="Cambria" w:hAnsi="Cambria"/>
                <w:noProof/>
                <w:webHidden/>
                <w:sz w:val="24"/>
                <w:szCs w:val="24"/>
              </w:rPr>
              <w:tab/>
            </w:r>
            <w:r w:rsidRPr="008E3999">
              <w:rPr>
                <w:rFonts w:ascii="Cambria" w:hAnsi="Cambria"/>
                <w:noProof/>
                <w:webHidden/>
                <w:sz w:val="24"/>
                <w:szCs w:val="24"/>
              </w:rPr>
              <w:fldChar w:fldCharType="begin"/>
            </w:r>
            <w:r w:rsidRPr="008E3999">
              <w:rPr>
                <w:rFonts w:ascii="Cambria" w:hAnsi="Cambria"/>
                <w:noProof/>
                <w:webHidden/>
                <w:sz w:val="24"/>
                <w:szCs w:val="24"/>
              </w:rPr>
              <w:instrText xml:space="preserve"> PAGEREF _Toc216123295 \h </w:instrText>
            </w:r>
            <w:r w:rsidRPr="008E3999">
              <w:rPr>
                <w:rFonts w:ascii="Cambria" w:hAnsi="Cambria"/>
                <w:noProof/>
                <w:webHidden/>
                <w:sz w:val="24"/>
                <w:szCs w:val="24"/>
              </w:rPr>
            </w:r>
            <w:r w:rsidRPr="008E3999">
              <w:rPr>
                <w:rFonts w:ascii="Cambria" w:hAnsi="Cambria"/>
                <w:noProof/>
                <w:webHidden/>
                <w:sz w:val="24"/>
                <w:szCs w:val="24"/>
              </w:rPr>
              <w:fldChar w:fldCharType="separate"/>
            </w:r>
            <w:r w:rsidRPr="008E3999">
              <w:rPr>
                <w:rFonts w:ascii="Cambria" w:hAnsi="Cambria"/>
                <w:noProof/>
                <w:webHidden/>
                <w:sz w:val="24"/>
                <w:szCs w:val="24"/>
              </w:rPr>
              <w:t>9</w:t>
            </w:r>
            <w:r w:rsidRPr="008E3999">
              <w:rPr>
                <w:rFonts w:ascii="Cambria" w:hAnsi="Cambria"/>
                <w:noProof/>
                <w:webHidden/>
                <w:sz w:val="24"/>
                <w:szCs w:val="24"/>
              </w:rPr>
              <w:fldChar w:fldCharType="end"/>
            </w:r>
          </w:hyperlink>
        </w:p>
        <w:p w14:paraId="1776A743" w14:textId="76C4C9C7" w:rsidR="00022963" w:rsidRDefault="00022963">
          <w:r w:rsidRPr="008E3999">
            <w:rPr>
              <w:rFonts w:ascii="Cambria" w:hAnsi="Cambria"/>
              <w:b/>
              <w:bCs/>
              <w:noProof/>
              <w:sz w:val="24"/>
              <w:szCs w:val="24"/>
            </w:rPr>
            <w:fldChar w:fldCharType="end"/>
          </w:r>
        </w:p>
      </w:sdtContent>
    </w:sdt>
    <w:p w14:paraId="01F13BC6" w14:textId="5DA50671" w:rsidR="000D3C28" w:rsidRDefault="000D3C28" w:rsidP="00022963">
      <w:pPr>
        <w:pStyle w:val="TOCHeading"/>
      </w:pPr>
    </w:p>
    <w:p w14:paraId="64D3DD02" w14:textId="77777777" w:rsidR="000D3C28" w:rsidRDefault="000D3C28"/>
    <w:p w14:paraId="5EA68A74" w14:textId="77777777" w:rsidR="000D3C28" w:rsidRDefault="000D3C28"/>
    <w:p w14:paraId="2CE1D45D" w14:textId="77777777" w:rsidR="000D3C28" w:rsidRDefault="000D3C28"/>
    <w:p w14:paraId="110A9EFB" w14:textId="77777777" w:rsidR="000D3C28" w:rsidRDefault="000D3C28"/>
    <w:p w14:paraId="0F2F38B9" w14:textId="77777777" w:rsidR="000D3C28" w:rsidRDefault="000D3C28"/>
    <w:p w14:paraId="0B8DE520" w14:textId="77777777" w:rsidR="000D3C28" w:rsidRDefault="000D3C28"/>
    <w:p w14:paraId="3A6913FA" w14:textId="77777777" w:rsidR="000D3C28" w:rsidRDefault="000D3C28"/>
    <w:p w14:paraId="11585A1F" w14:textId="77777777" w:rsidR="000D3C28" w:rsidRDefault="000D3C28"/>
    <w:p w14:paraId="029BC33B" w14:textId="77777777" w:rsidR="000D3C28" w:rsidRDefault="000D3C28"/>
    <w:p w14:paraId="2F1D9E29" w14:textId="77777777" w:rsidR="000D3C28" w:rsidRDefault="000D3C28"/>
    <w:p w14:paraId="00D57008" w14:textId="77777777" w:rsidR="000D3C28" w:rsidRDefault="000D3C28"/>
    <w:p w14:paraId="4CBBC650" w14:textId="77777777" w:rsidR="000D3C28" w:rsidRDefault="000D3C28"/>
    <w:p w14:paraId="40C76EC2" w14:textId="77777777" w:rsidR="000D3C28" w:rsidRDefault="000D3C28"/>
    <w:p w14:paraId="16062158" w14:textId="05B268AE" w:rsidR="00361366" w:rsidRDefault="00361366"/>
    <w:p w14:paraId="28669A14" w14:textId="6B3EC45A" w:rsidR="00361366" w:rsidRPr="00BF46A8" w:rsidRDefault="00361366" w:rsidP="00BF46A8">
      <w:pPr>
        <w:pStyle w:val="Heading1"/>
        <w:jc w:val="center"/>
      </w:pPr>
      <w:r>
        <w:br w:type="page"/>
      </w:r>
      <w:bookmarkStart w:id="0" w:name="_Toc216123256"/>
      <w:bookmarkStart w:id="1" w:name="_Toc216123288"/>
      <w:r w:rsidRPr="00BF46A8">
        <w:lastRenderedPageBreak/>
        <w:t>ABSTRACT</w:t>
      </w:r>
      <w:bookmarkEnd w:id="0"/>
      <w:bookmarkEnd w:id="1"/>
    </w:p>
    <w:p w14:paraId="272710D7" w14:textId="7304F383" w:rsidR="00361366" w:rsidRDefault="00361366" w:rsidP="00361366"/>
    <w:p w14:paraId="746514AE" w14:textId="1FFEECB1" w:rsidR="00361366" w:rsidRDefault="00361366" w:rsidP="00361366">
      <w:r>
        <w:rPr>
          <w:noProof/>
        </w:rPr>
        <mc:AlternateContent>
          <mc:Choice Requires="wps">
            <w:drawing>
              <wp:anchor distT="45720" distB="45720" distL="114300" distR="114300" simplePos="0" relativeHeight="251691008" behindDoc="0" locked="0" layoutInCell="1" allowOverlap="1" wp14:anchorId="545481A5" wp14:editId="72610E45">
                <wp:simplePos x="0" y="0"/>
                <wp:positionH relativeFrom="margin">
                  <wp:align>right</wp:align>
                </wp:positionH>
                <wp:positionV relativeFrom="paragraph">
                  <wp:posOffset>90805</wp:posOffset>
                </wp:positionV>
                <wp:extent cx="5719445" cy="8077200"/>
                <wp:effectExtent l="0" t="0" r="0" b="0"/>
                <wp:wrapNone/>
                <wp:docPr id="2783597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8077200"/>
                        </a:xfrm>
                        <a:prstGeom prst="rect">
                          <a:avLst/>
                        </a:prstGeom>
                        <a:noFill/>
                        <a:ln w="9525">
                          <a:noFill/>
                          <a:miter lim="800000"/>
                          <a:headEnd/>
                          <a:tailEnd/>
                        </a:ln>
                      </wps:spPr>
                      <wps:txbx>
                        <w:txbxContent>
                          <w:p w14:paraId="6F84F812" w14:textId="1F793693" w:rsidR="00321C6A" w:rsidRPr="00321C6A" w:rsidRDefault="00321C6A" w:rsidP="008E3999">
                            <w:pPr>
                              <w:spacing w:line="360" w:lineRule="auto"/>
                              <w:rPr>
                                <w:rFonts w:ascii="Cambria" w:hAnsi="Cambria"/>
                                <w:color w:val="333333"/>
                                <w:sz w:val="28"/>
                                <w:szCs w:val="28"/>
                              </w:rPr>
                            </w:pPr>
                            <w:r w:rsidRPr="00321C6A">
                              <w:rPr>
                                <w:rFonts w:ascii="Cambria" w:hAnsi="Cambria"/>
                                <w:color w:val="333333"/>
                                <w:sz w:val="28"/>
                                <w:szCs w:val="28"/>
                              </w:rPr>
                              <w:t xml:space="preserve">The rapid growth of </w:t>
                            </w:r>
                            <w:r w:rsidR="007D2780" w:rsidRPr="008E3999">
                              <w:rPr>
                                <w:rFonts w:ascii="Cambria" w:hAnsi="Cambria"/>
                                <w:color w:val="333333"/>
                                <w:sz w:val="28"/>
                                <w:szCs w:val="28"/>
                              </w:rPr>
                              <w:t>cyber-attacks</w:t>
                            </w:r>
                            <w:r w:rsidRPr="00321C6A">
                              <w:rPr>
                                <w:rFonts w:ascii="Cambria" w:hAnsi="Cambria"/>
                                <w:color w:val="333333"/>
                                <w:sz w:val="28"/>
                                <w:szCs w:val="28"/>
                              </w:rPr>
                              <w:t xml:space="preserve"> on UK organisations, with 50% of businesses reporting a breach or attack in 2024, compared to 32% among smaller firms previously, underlines the critical importance of mature blue-team operations for threat detection and response [1]. Modern Security Operations </w:t>
                            </w:r>
                            <w:proofErr w:type="spellStart"/>
                            <w:r w:rsidRPr="00321C6A">
                              <w:rPr>
                                <w:rFonts w:ascii="Cambria" w:hAnsi="Cambria"/>
                                <w:color w:val="333333"/>
                                <w:sz w:val="28"/>
                                <w:szCs w:val="28"/>
                              </w:rPr>
                              <w:t>Centers</w:t>
                            </w:r>
                            <w:proofErr w:type="spellEnd"/>
                            <w:r w:rsidRPr="00321C6A">
                              <w:rPr>
                                <w:rFonts w:ascii="Cambria" w:hAnsi="Cambria"/>
                                <w:color w:val="333333"/>
                                <w:sz w:val="28"/>
                                <w:szCs w:val="28"/>
                              </w:rPr>
                              <w:t xml:space="preserve"> (SOCs) depend on Security Information and Event Management (SIEM) platforms, incident response (IR) processes, and threat hunting to detect, investigate, and contain attacks. However, empirical studies show persistent gaps, including alert fatigue, limited cloud visibility, and human-factor weaknesses [2]</w:t>
                            </w:r>
                            <w:proofErr w:type="gramStart"/>
                            <w:r w:rsidRPr="00321C6A">
                              <w:rPr>
                                <w:rFonts w:ascii="Cambria" w:hAnsi="Cambria"/>
                                <w:color w:val="333333"/>
                                <w:sz w:val="28"/>
                                <w:szCs w:val="28"/>
                              </w:rPr>
                              <w:t>–[</w:t>
                            </w:r>
                            <w:proofErr w:type="gramEnd"/>
                            <w:r w:rsidRPr="00321C6A">
                              <w:rPr>
                                <w:rFonts w:ascii="Cambria" w:hAnsi="Cambria"/>
                                <w:color w:val="333333"/>
                                <w:sz w:val="28"/>
                                <w:szCs w:val="28"/>
                              </w:rPr>
                              <w:t>4]. This report critically appraises current blue-team methodologies, tools, and strategies, drawing on recent surveys, threat landscape reports, and academic work. It argues that while SIEM-centric SOCs have improved detection speed and automation, their effectiveness is constrained by poor data quality, immature metrics, and overreliance on signature-based analytics. Case studies and surveys highlight the shift towards proactive hunting, AI-assisted analysis, and unified platforms combining SIEM with Extended Detection and Response (XDR). Yet these advances also introduce new challenges around analyst trust, skills, and governance. The report concludes that the most effective blue teams blend robust engineering (telemetry, playbooks, metrics) with human-centric practices such as structured threat hunting, continuous training, and realistic red-team exercises.</w:t>
                            </w:r>
                          </w:p>
                          <w:p w14:paraId="11BC4737" w14:textId="25049625" w:rsidR="00361366" w:rsidRDefault="003613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481A5" id="_x0000_s1028" type="#_x0000_t202" style="position:absolute;margin-left:399.15pt;margin-top:7.15pt;width:450.35pt;height:636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" filled="f" stroked="f">
                <v:textbox>
                  <w:txbxContent>
                    <w:p w14:paraId="6F84F812" w14:textId="1F793693" w:rsidR="00321C6A" w:rsidRPr="00321C6A" w:rsidRDefault="00321C6A" w:rsidP="008E3999">
                      <w:pPr>
                        <w:spacing w:line="360" w:lineRule="auto"/>
                        <w:rPr>
                          <w:rFonts w:ascii="Cambria" w:hAnsi="Cambria"/>
                          <w:color w:val="333333"/>
                          <w:sz w:val="28"/>
                          <w:szCs w:val="28"/>
                        </w:rPr>
                      </w:pPr>
                      <w:r w:rsidRPr="00321C6A">
                        <w:rPr>
                          <w:rFonts w:ascii="Cambria" w:hAnsi="Cambria"/>
                          <w:color w:val="333333"/>
                          <w:sz w:val="28"/>
                          <w:szCs w:val="28"/>
                        </w:rPr>
                        <w:t xml:space="preserve">The rapid growth of </w:t>
                      </w:r>
                      <w:r w:rsidR="007D2780" w:rsidRPr="008E3999">
                        <w:rPr>
                          <w:rFonts w:ascii="Cambria" w:hAnsi="Cambria"/>
                          <w:color w:val="333333"/>
                          <w:sz w:val="28"/>
                          <w:szCs w:val="28"/>
                        </w:rPr>
                        <w:t>cyber-attacks</w:t>
                      </w:r>
                      <w:r w:rsidRPr="00321C6A">
                        <w:rPr>
                          <w:rFonts w:ascii="Cambria" w:hAnsi="Cambria"/>
                          <w:color w:val="333333"/>
                          <w:sz w:val="28"/>
                          <w:szCs w:val="28"/>
                        </w:rPr>
                        <w:t xml:space="preserve"> on UK organisations, with 50% of businesses reporting a breach or attack in 2024, compared to 32% among smaller firms previously, underlines the critical importance of mature blue-team operations for threat detection and response [1]. Modern Security Operations </w:t>
                      </w:r>
                      <w:proofErr w:type="spellStart"/>
                      <w:r w:rsidRPr="00321C6A">
                        <w:rPr>
                          <w:rFonts w:ascii="Cambria" w:hAnsi="Cambria"/>
                          <w:color w:val="333333"/>
                          <w:sz w:val="28"/>
                          <w:szCs w:val="28"/>
                        </w:rPr>
                        <w:t>Centers</w:t>
                      </w:r>
                      <w:proofErr w:type="spellEnd"/>
                      <w:r w:rsidRPr="00321C6A">
                        <w:rPr>
                          <w:rFonts w:ascii="Cambria" w:hAnsi="Cambria"/>
                          <w:color w:val="333333"/>
                          <w:sz w:val="28"/>
                          <w:szCs w:val="28"/>
                        </w:rPr>
                        <w:t xml:space="preserve"> (SOCs) depend on Security Information and Event Management (SIEM) platforms, incident response (IR) processes, and threat hunting to detect, investigate, and contain attacks. However, empirical studies show persistent gaps, including alert fatigue, limited cloud visibility, and human-factor weaknesses [2]</w:t>
                      </w:r>
                      <w:proofErr w:type="gramStart"/>
                      <w:r w:rsidRPr="00321C6A">
                        <w:rPr>
                          <w:rFonts w:ascii="Cambria" w:hAnsi="Cambria"/>
                          <w:color w:val="333333"/>
                          <w:sz w:val="28"/>
                          <w:szCs w:val="28"/>
                        </w:rPr>
                        <w:t>–[</w:t>
                      </w:r>
                      <w:proofErr w:type="gramEnd"/>
                      <w:r w:rsidRPr="00321C6A">
                        <w:rPr>
                          <w:rFonts w:ascii="Cambria" w:hAnsi="Cambria"/>
                          <w:color w:val="333333"/>
                          <w:sz w:val="28"/>
                          <w:szCs w:val="28"/>
                        </w:rPr>
                        <w:t>4]. This report critically appraises current blue-team methodologies, tools, and strategies, drawing on recent surveys, threat landscape reports, and academic work. It argues that while SIEM-centric SOCs have improved detection speed and automation, their effectiveness is constrained by poor data quality, immature metrics, and overreliance on signature-based analytics. Case studies and surveys highlight the shift towards proactive hunting, AI-assisted analysis, and unified platforms combining SIEM with Extended Detection and Response (XDR). Yet these advances also introduce new challenges around analyst trust, skills, and governance. The report concludes that the most effective blue teams blend robust engineering (telemetry, playbooks, metrics) with human-centric practices such as structured threat hunting, continuous training, and realistic red-team exercises.</w:t>
                      </w:r>
                    </w:p>
                    <w:p w14:paraId="11BC4737" w14:textId="25049625" w:rsidR="00361366" w:rsidRDefault="00361366"/>
                  </w:txbxContent>
                </v:textbox>
                <w10:wrap anchorx="margin"/>
              </v:shape>
            </w:pict>
          </mc:Fallback>
        </mc:AlternateContent>
      </w:r>
    </w:p>
    <w:p w14:paraId="32E29F09" w14:textId="77777777" w:rsidR="00361366" w:rsidRDefault="00361366" w:rsidP="00361366"/>
    <w:p w14:paraId="6AF2F1D2" w14:textId="77777777" w:rsidR="00361366" w:rsidRDefault="00361366" w:rsidP="00361366"/>
    <w:p w14:paraId="36DAAF12" w14:textId="77777777" w:rsidR="00361366" w:rsidRDefault="00361366" w:rsidP="00361366"/>
    <w:p w14:paraId="54BD3A6B" w14:textId="77777777" w:rsidR="00361366" w:rsidRDefault="00361366" w:rsidP="00361366"/>
    <w:p w14:paraId="411AF5D7" w14:textId="77777777" w:rsidR="00361366" w:rsidRDefault="00361366" w:rsidP="00361366"/>
    <w:p w14:paraId="7B669C7B" w14:textId="77777777" w:rsidR="00361366" w:rsidRDefault="00361366" w:rsidP="00361366"/>
    <w:p w14:paraId="25462F45" w14:textId="77777777" w:rsidR="00361366" w:rsidRDefault="00361366" w:rsidP="00361366"/>
    <w:p w14:paraId="074DE6B1" w14:textId="77777777" w:rsidR="00361366" w:rsidRDefault="00361366" w:rsidP="00361366"/>
    <w:p w14:paraId="25F176C8" w14:textId="77777777" w:rsidR="00361366" w:rsidRDefault="00361366" w:rsidP="00361366"/>
    <w:p w14:paraId="6CFB3067" w14:textId="77777777" w:rsidR="00361366" w:rsidRDefault="00361366" w:rsidP="00361366"/>
    <w:p w14:paraId="7D8AEBE3" w14:textId="77777777" w:rsidR="00361366" w:rsidRDefault="00361366" w:rsidP="00361366"/>
    <w:p w14:paraId="6A8CFE13" w14:textId="77777777" w:rsidR="00361366" w:rsidRDefault="00361366" w:rsidP="00361366"/>
    <w:p w14:paraId="0B08CE95" w14:textId="77777777" w:rsidR="00361366" w:rsidRDefault="00361366" w:rsidP="00361366"/>
    <w:p w14:paraId="0429C908" w14:textId="77777777" w:rsidR="00361366" w:rsidRPr="00361366" w:rsidRDefault="00361366" w:rsidP="00361366"/>
    <w:p w14:paraId="7C453295" w14:textId="77777777" w:rsidR="000D3C28" w:rsidRDefault="000D3C28"/>
    <w:p w14:paraId="191E1401" w14:textId="77777777" w:rsidR="00361366" w:rsidRDefault="00361366" w:rsidP="00361366">
      <w:pPr>
        <w:pStyle w:val="Heading1"/>
        <w:jc w:val="center"/>
      </w:pPr>
    </w:p>
    <w:p w14:paraId="2FAEFB72" w14:textId="77777777" w:rsidR="00361366" w:rsidRDefault="00361366" w:rsidP="00361366">
      <w:pPr>
        <w:pStyle w:val="Heading1"/>
        <w:jc w:val="center"/>
      </w:pPr>
    </w:p>
    <w:p w14:paraId="4673CB37" w14:textId="77777777" w:rsidR="00361366" w:rsidRDefault="00361366" w:rsidP="00361366">
      <w:pPr>
        <w:pStyle w:val="Heading1"/>
        <w:jc w:val="center"/>
      </w:pPr>
    </w:p>
    <w:p w14:paraId="54C9F651" w14:textId="77777777" w:rsidR="00361366" w:rsidRDefault="00361366" w:rsidP="00361366">
      <w:pPr>
        <w:pStyle w:val="Heading1"/>
        <w:jc w:val="center"/>
      </w:pPr>
    </w:p>
    <w:p w14:paraId="79050ACD" w14:textId="77777777" w:rsidR="00361366" w:rsidRDefault="00361366" w:rsidP="00361366">
      <w:pPr>
        <w:pStyle w:val="Heading1"/>
      </w:pPr>
    </w:p>
    <w:p w14:paraId="3A84143A" w14:textId="77777777" w:rsidR="00361366" w:rsidRPr="00361366" w:rsidRDefault="00361366" w:rsidP="00361366"/>
    <w:p w14:paraId="3C613BB5" w14:textId="28EBCC30" w:rsidR="000D3C28" w:rsidRPr="00BF46A8" w:rsidRDefault="00315755" w:rsidP="00BF46A8">
      <w:pPr>
        <w:pStyle w:val="Heading1"/>
        <w:jc w:val="center"/>
      </w:pPr>
      <w:bookmarkStart w:id="2" w:name="_Toc216123257"/>
      <w:bookmarkStart w:id="3" w:name="_Toc216123289"/>
      <w:r w:rsidRPr="00BF46A8">
        <w:lastRenderedPageBreak/>
        <w:t>INTRODUCTION</w:t>
      </w:r>
      <w:bookmarkEnd w:id="2"/>
      <w:bookmarkEnd w:id="3"/>
    </w:p>
    <w:p w14:paraId="3F317BA9" w14:textId="40C0D379" w:rsidR="005E1794" w:rsidRDefault="005E1794" w:rsidP="005E1794"/>
    <w:p w14:paraId="0C73252C" w14:textId="12697EFA" w:rsidR="005E1794" w:rsidRDefault="00392735" w:rsidP="005E1794">
      <w:r>
        <w:rPr>
          <w:noProof/>
        </w:rPr>
        <mc:AlternateContent>
          <mc:Choice Requires="wps">
            <w:drawing>
              <wp:anchor distT="45720" distB="45720" distL="114300" distR="114300" simplePos="0" relativeHeight="251659264" behindDoc="0" locked="0" layoutInCell="1" allowOverlap="1" wp14:anchorId="3856E176" wp14:editId="617BFBE7">
                <wp:simplePos x="0" y="0"/>
                <wp:positionH relativeFrom="margin">
                  <wp:align>left</wp:align>
                </wp:positionH>
                <wp:positionV relativeFrom="paragraph">
                  <wp:posOffset>6177</wp:posOffset>
                </wp:positionV>
                <wp:extent cx="5703179" cy="8250381"/>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3179" cy="8250381"/>
                        </a:xfrm>
                        <a:prstGeom prst="rect">
                          <a:avLst/>
                        </a:prstGeom>
                        <a:noFill/>
                        <a:ln w="9525">
                          <a:noFill/>
                          <a:miter lim="800000"/>
                          <a:headEnd/>
                          <a:tailEnd/>
                        </a:ln>
                      </wps:spPr>
                      <wps:txbx>
                        <w:txbxContent>
                          <w:p w14:paraId="08293EDD" w14:textId="3734B948" w:rsidR="00E73A3D" w:rsidRPr="00E73A3D" w:rsidRDefault="00E73A3D" w:rsidP="00621B75">
                            <w:pPr>
                              <w:spacing w:line="360" w:lineRule="auto"/>
                              <w:rPr>
                                <w:rFonts w:ascii="Cambria" w:hAnsi="Cambria" w:cs="Times New Roman"/>
                                <w:color w:val="333333"/>
                                <w:sz w:val="28"/>
                                <w:szCs w:val="28"/>
                              </w:rPr>
                            </w:pPr>
                            <w:r w:rsidRPr="00E73A3D">
                              <w:rPr>
                                <w:rFonts w:ascii="Cambria" w:hAnsi="Cambria" w:cs="Times New Roman"/>
                                <w:color w:val="333333"/>
                                <w:sz w:val="28"/>
                                <w:szCs w:val="28"/>
                              </w:rPr>
                              <w:t xml:space="preserve">Recent national and industry reports agree that organisations face a high and growing level of cyber risk. The UK Cyber Security Breaches Survey 2024 reports that around half of businesses identified </w:t>
                            </w:r>
                            <w:r w:rsidRPr="008E3999">
                              <w:rPr>
                                <w:rFonts w:ascii="Cambria" w:hAnsi="Cambria" w:cs="Times New Roman"/>
                                <w:color w:val="333333"/>
                                <w:sz w:val="28"/>
                                <w:szCs w:val="28"/>
                              </w:rPr>
                              <w:t>cyber-attacks</w:t>
                            </w:r>
                            <w:r w:rsidRPr="00E73A3D">
                              <w:rPr>
                                <w:rFonts w:ascii="Cambria" w:hAnsi="Cambria" w:cs="Times New Roman"/>
                                <w:color w:val="333333"/>
                                <w:sz w:val="28"/>
                                <w:szCs w:val="28"/>
                              </w:rPr>
                              <w:t>, with particularly sharp increases among smaller organisations [1]. Verizon’s 2024 Data Breach Investigations Report (DBIR) similarly finds that ransomware and extortion account for roughly a third of breaches, affecting over 90% of industries [2]. ENISA’s threat landscape reporting for the EU emphasises continuous, campaign-style operations in which attackers rapidly exploit newly disclosed vulnerabilities [3]. In this environment, blue teams—SOCs, incident responders, and defenders—must detect and contain attacks quickly, while accepting that complete prevention is unrealistic. Their effectiveness depends not just on tools, but on how telemetry, processes, and people integrate in practice.</w:t>
                            </w:r>
                          </w:p>
                          <w:p w14:paraId="67A54864" w14:textId="731567B3" w:rsidR="005E1794" w:rsidRPr="00392735" w:rsidRDefault="005E1794" w:rsidP="00392735">
                            <w:pPr>
                              <w:spacing w:line="360" w:lineRule="auto"/>
                              <w:jc w:val="both"/>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6E176" id="_x0000_s1029" type="#_x0000_t202" style="position:absolute;margin-left:0;margin-top:.5pt;width:449.05pt;height:649.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" filled="f" stroked="f">
                <v:textbox>
                  <w:txbxContent>
                    <w:p w14:paraId="08293EDD" w14:textId="3734B948" w:rsidR="00E73A3D" w:rsidRPr="00E73A3D" w:rsidRDefault="00E73A3D" w:rsidP="00621B75">
                      <w:pPr>
                        <w:spacing w:line="360" w:lineRule="auto"/>
                        <w:rPr>
                          <w:rFonts w:ascii="Cambria" w:hAnsi="Cambria" w:cs="Times New Roman"/>
                          <w:color w:val="333333"/>
                          <w:sz w:val="28"/>
                          <w:szCs w:val="28"/>
                        </w:rPr>
                      </w:pPr>
                      <w:r w:rsidRPr="00E73A3D">
                        <w:rPr>
                          <w:rFonts w:ascii="Cambria" w:hAnsi="Cambria" w:cs="Times New Roman"/>
                          <w:color w:val="333333"/>
                          <w:sz w:val="28"/>
                          <w:szCs w:val="28"/>
                        </w:rPr>
                        <w:t xml:space="preserve">Recent national and industry reports agree that organisations face a high and growing level of cyber risk. The UK Cyber Security Breaches Survey 2024 reports that around half of businesses identified </w:t>
                      </w:r>
                      <w:r w:rsidRPr="008E3999">
                        <w:rPr>
                          <w:rFonts w:ascii="Cambria" w:hAnsi="Cambria" w:cs="Times New Roman"/>
                          <w:color w:val="333333"/>
                          <w:sz w:val="28"/>
                          <w:szCs w:val="28"/>
                        </w:rPr>
                        <w:t>cyber-attacks</w:t>
                      </w:r>
                      <w:r w:rsidRPr="00E73A3D">
                        <w:rPr>
                          <w:rFonts w:ascii="Cambria" w:hAnsi="Cambria" w:cs="Times New Roman"/>
                          <w:color w:val="333333"/>
                          <w:sz w:val="28"/>
                          <w:szCs w:val="28"/>
                        </w:rPr>
                        <w:t>, with particularly sharp increases among smaller organisations [1]. Verizon’s 2024 Data Breach Investigations Report (DBIR) similarly finds that ransomware and extortion account for roughly a third of breaches, affecting over 90% of industries [2]. ENISA’s threat landscape reporting for the EU emphasises continuous, campaign-style operations in which attackers rapidly exploit newly disclosed vulnerabilities [3]. In this environment, blue teams—SOCs, incident responders, and defenders—must detect and contain attacks quickly, while accepting that complete prevention is unrealistic. Their effectiveness depends not just on tools, but on how telemetry, processes, and people integrate in practice.</w:t>
                      </w:r>
                    </w:p>
                    <w:p w14:paraId="67A54864" w14:textId="731567B3" w:rsidR="005E1794" w:rsidRPr="00392735" w:rsidRDefault="005E1794" w:rsidP="00392735">
                      <w:pPr>
                        <w:spacing w:line="360" w:lineRule="auto"/>
                        <w:jc w:val="both"/>
                        <w:rPr>
                          <w:rFonts w:ascii="Times New Roman" w:hAnsi="Times New Roman" w:cs="Times New Roman"/>
                          <w:sz w:val="24"/>
                          <w:szCs w:val="24"/>
                        </w:rPr>
                      </w:pPr>
                    </w:p>
                  </w:txbxContent>
                </v:textbox>
                <w10:wrap anchorx="margin"/>
              </v:shape>
            </w:pict>
          </mc:Fallback>
        </mc:AlternateContent>
      </w:r>
    </w:p>
    <w:p w14:paraId="59561918" w14:textId="3359ADB3" w:rsidR="005E1794" w:rsidRDefault="005E1794" w:rsidP="005E1794"/>
    <w:p w14:paraId="3D5880B4" w14:textId="72510515" w:rsidR="005E1794" w:rsidRDefault="005E1794" w:rsidP="005E1794"/>
    <w:p w14:paraId="6C5916B3" w14:textId="3C4C16CC" w:rsidR="005E1794" w:rsidRDefault="005E1794" w:rsidP="005E1794"/>
    <w:p w14:paraId="3CD85ABE" w14:textId="48DB96E0" w:rsidR="005E1794" w:rsidRDefault="005E1794" w:rsidP="005E1794"/>
    <w:p w14:paraId="0A67E50B" w14:textId="696F4BED" w:rsidR="005E1794" w:rsidRDefault="005E1794" w:rsidP="005E1794"/>
    <w:p w14:paraId="77E1CF21" w14:textId="0059DC5B" w:rsidR="005E1794" w:rsidRDefault="005E1794" w:rsidP="005E1794"/>
    <w:p w14:paraId="20CAF6AE" w14:textId="4901CBE4" w:rsidR="005E1794" w:rsidRDefault="005E1794" w:rsidP="005E1794"/>
    <w:p w14:paraId="73852343" w14:textId="77777777" w:rsidR="005E1794" w:rsidRDefault="005E1794" w:rsidP="005E1794"/>
    <w:p w14:paraId="67BBEA8E" w14:textId="77777777" w:rsidR="005E1794" w:rsidRDefault="005E1794" w:rsidP="005E1794"/>
    <w:p w14:paraId="6E63EE4A" w14:textId="33AA2B69" w:rsidR="005E1794" w:rsidRDefault="005E1794" w:rsidP="005E1794"/>
    <w:p w14:paraId="7D28063A" w14:textId="77777777" w:rsidR="005E1794" w:rsidRDefault="005E1794" w:rsidP="005E1794"/>
    <w:p w14:paraId="3DB615D4" w14:textId="1395BA54" w:rsidR="005E1794" w:rsidRDefault="005E1794" w:rsidP="005E1794"/>
    <w:p w14:paraId="691B6440" w14:textId="4AE2E748" w:rsidR="005E1794" w:rsidRDefault="005E1794" w:rsidP="005E1794"/>
    <w:p w14:paraId="2F92A2D4" w14:textId="1D0817F4" w:rsidR="005E1794" w:rsidRDefault="005E1794" w:rsidP="005E1794"/>
    <w:p w14:paraId="400B639D" w14:textId="752E833A" w:rsidR="005E1794" w:rsidRDefault="005E1794" w:rsidP="005E1794"/>
    <w:p w14:paraId="124F2620" w14:textId="77777777" w:rsidR="005E1794" w:rsidRDefault="005E1794" w:rsidP="005E1794"/>
    <w:p w14:paraId="454678B5" w14:textId="757F3DBD" w:rsidR="005E1794" w:rsidRDefault="005E1794" w:rsidP="005E1794"/>
    <w:p w14:paraId="76FF0CD5" w14:textId="180CC827" w:rsidR="005E1794" w:rsidRDefault="005E1794" w:rsidP="005E1794"/>
    <w:p w14:paraId="1A8ACEEE" w14:textId="77777777" w:rsidR="005E1794" w:rsidRDefault="005E1794" w:rsidP="005E1794"/>
    <w:p w14:paraId="62AB788C" w14:textId="77777777" w:rsidR="005E1794" w:rsidRDefault="005E1794" w:rsidP="005E1794"/>
    <w:p w14:paraId="7A7DA3D6" w14:textId="1F4D91AD" w:rsidR="005E1794" w:rsidRPr="005E1794" w:rsidRDefault="005E1794" w:rsidP="005E1794"/>
    <w:p w14:paraId="65BA60E1" w14:textId="77777777" w:rsidR="005E1794" w:rsidRDefault="005E1794" w:rsidP="00791AB3">
      <w:pPr>
        <w:pStyle w:val="Heading1"/>
        <w:jc w:val="center"/>
        <w:rPr>
          <w:sz w:val="28"/>
          <w:szCs w:val="28"/>
        </w:rPr>
      </w:pPr>
    </w:p>
    <w:p w14:paraId="7F3BB03E" w14:textId="77777777" w:rsidR="005E1794" w:rsidRDefault="005E1794" w:rsidP="00791AB3">
      <w:pPr>
        <w:pStyle w:val="Heading1"/>
        <w:jc w:val="center"/>
        <w:rPr>
          <w:sz w:val="28"/>
          <w:szCs w:val="28"/>
        </w:rPr>
      </w:pPr>
    </w:p>
    <w:p w14:paraId="05925FC6" w14:textId="77777777" w:rsidR="005E1794" w:rsidRDefault="005E1794" w:rsidP="005E1794">
      <w:pPr>
        <w:pStyle w:val="Heading1"/>
        <w:rPr>
          <w:sz w:val="28"/>
          <w:szCs w:val="28"/>
        </w:rPr>
      </w:pPr>
    </w:p>
    <w:p w14:paraId="257989E3" w14:textId="77777777" w:rsidR="005E1794" w:rsidRPr="005E1794" w:rsidRDefault="005E1794" w:rsidP="005E1794"/>
    <w:p w14:paraId="3415EC01" w14:textId="2873E930" w:rsidR="00315755" w:rsidRPr="00BF46A8" w:rsidRDefault="003236F2" w:rsidP="00BF46A8">
      <w:pPr>
        <w:pStyle w:val="Heading1"/>
        <w:jc w:val="center"/>
      </w:pPr>
      <w:bookmarkStart w:id="4" w:name="_Toc216123258"/>
      <w:bookmarkStart w:id="5" w:name="_Toc216123290"/>
      <w:r w:rsidRPr="00BF46A8">
        <w:lastRenderedPageBreak/>
        <w:t>SIEM-CENTRIC DETECTION: STRENGTHS AND LIMITATIONS</w:t>
      </w:r>
      <w:bookmarkEnd w:id="4"/>
      <w:bookmarkEnd w:id="5"/>
    </w:p>
    <w:p w14:paraId="4B6E727C" w14:textId="5F4CA185" w:rsidR="005E1794" w:rsidRDefault="005E1794" w:rsidP="005E1794"/>
    <w:p w14:paraId="72ACA42D" w14:textId="3D41308E" w:rsidR="005E1794" w:rsidRDefault="00E922E9" w:rsidP="005E1794">
      <w:r>
        <w:rPr>
          <w:noProof/>
        </w:rPr>
        <mc:AlternateContent>
          <mc:Choice Requires="wps">
            <w:drawing>
              <wp:anchor distT="45720" distB="45720" distL="114300" distR="114300" simplePos="0" relativeHeight="251661312" behindDoc="0" locked="0" layoutInCell="1" allowOverlap="1" wp14:anchorId="71328432" wp14:editId="1CF99A70">
                <wp:simplePos x="0" y="0"/>
                <wp:positionH relativeFrom="margin">
                  <wp:posOffset>10886</wp:posOffset>
                </wp:positionH>
                <wp:positionV relativeFrom="paragraph">
                  <wp:posOffset>125821</wp:posOffset>
                </wp:positionV>
                <wp:extent cx="5720520" cy="8479971"/>
                <wp:effectExtent l="0" t="0" r="0" b="0"/>
                <wp:wrapNone/>
                <wp:docPr id="1866920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520" cy="8479971"/>
                        </a:xfrm>
                        <a:prstGeom prst="rect">
                          <a:avLst/>
                        </a:prstGeom>
                        <a:noFill/>
                        <a:ln w="9525">
                          <a:noFill/>
                          <a:miter lim="800000"/>
                          <a:headEnd/>
                          <a:tailEnd/>
                        </a:ln>
                      </wps:spPr>
                      <wps:txbx>
                        <w:txbxContent>
                          <w:p w14:paraId="173B044D" w14:textId="77777777" w:rsidR="001C035E" w:rsidRPr="001C035E" w:rsidRDefault="001C035E" w:rsidP="008E3999">
                            <w:pPr>
                              <w:spacing w:line="360" w:lineRule="auto"/>
                              <w:rPr>
                                <w:rFonts w:ascii="Cambria" w:hAnsi="Cambria" w:cs="Times New Roman"/>
                                <w:color w:val="333333"/>
                                <w:sz w:val="28"/>
                                <w:szCs w:val="28"/>
                              </w:rPr>
                            </w:pPr>
                            <w:r w:rsidRPr="001C035E">
                              <w:rPr>
                                <w:rFonts w:ascii="Cambria" w:hAnsi="Cambria" w:cs="Times New Roman"/>
                                <w:color w:val="333333"/>
                                <w:sz w:val="28"/>
                                <w:szCs w:val="28"/>
                              </w:rPr>
                              <w:t>SIEM platforms remain the technical backbone of most SOCs, aggregating logs from endpoints, network devices and cloud services for correlation and alerting [4], [5]. Modern architectures integrate threat intelligence feeds, User and Entity Behaviour Analytics (UEBA), and, increasingly, machine learning models to reduce noise and highlight anomalies. Case studies in both industry white papers and academic work show that centralized SIEM deployment can significantly reduce mean time to detect by providing unified visibility and standardized playbooks [5], [6]. For example, one SOC metrics framework demonstrates how tracking time from detection to containment across SIEM alerts helped identify bottlenecks in analyst triage, leading to measurable improvements [6].</w:t>
                            </w:r>
                          </w:p>
                          <w:p w14:paraId="4E20CB00" w14:textId="7A9FB3D0" w:rsidR="001C035E" w:rsidRPr="001C035E" w:rsidRDefault="001C035E" w:rsidP="008E3999">
                            <w:pPr>
                              <w:spacing w:line="360" w:lineRule="auto"/>
                              <w:rPr>
                                <w:rFonts w:ascii="Cambria" w:hAnsi="Cambria" w:cs="Times New Roman"/>
                                <w:color w:val="333333"/>
                                <w:sz w:val="28"/>
                                <w:szCs w:val="28"/>
                              </w:rPr>
                            </w:pPr>
                            <w:r w:rsidRPr="001C035E">
                              <w:rPr>
                                <w:rFonts w:ascii="Cambria" w:hAnsi="Cambria" w:cs="Times New Roman"/>
                                <w:color w:val="333333"/>
                                <w:sz w:val="28"/>
                                <w:szCs w:val="28"/>
                              </w:rPr>
                              <w:t xml:space="preserve">However, SIEMs also embody several weaknesses. First, many organizations ingest large volumes of low-quality or redundant logs, which inflate costs and produce excessive alerts with limited context [4]. This contributes to alert fatigue, where genuinely malicious activity is missed because analysts are overwhelmed. Second, static correlation rules struggle with novel attack techniques and “low-and-slow” campaigns, particularly in cloud-native environments where ephemeral workloads and microservices create complex telemetry [3], [7]. Third, integration across </w:t>
                            </w:r>
                            <w:r w:rsidRPr="008E3999">
                              <w:rPr>
                                <w:rFonts w:ascii="Cambria" w:hAnsi="Cambria" w:cs="Times New Roman"/>
                                <w:color w:val="333333"/>
                                <w:sz w:val="28"/>
                                <w:szCs w:val="28"/>
                              </w:rPr>
                              <w:t>on-premises</w:t>
                            </w:r>
                            <w:r w:rsidRPr="001C035E">
                              <w:rPr>
                                <w:rFonts w:ascii="Cambria" w:hAnsi="Cambria" w:cs="Times New Roman"/>
                                <w:color w:val="333333"/>
                                <w:sz w:val="28"/>
                                <w:szCs w:val="28"/>
                              </w:rPr>
                              <w:t>, multi-cloud and SaaS platforms is often incomplete, resulting in “blind spots” that adversaries can exploit. These limitations show that SIEM is necessary but not sufficient; blue teams must complement it with better engineering, tuning and proactive analysis.</w:t>
                            </w:r>
                          </w:p>
                          <w:p w14:paraId="25069082" w14:textId="6D4CBE8E" w:rsidR="002460DF" w:rsidRPr="008E3999" w:rsidRDefault="002460DF" w:rsidP="001C035E">
                            <w:pPr>
                              <w:spacing w:line="360" w:lineRule="auto"/>
                              <w:jc w:val="both"/>
                              <w:rPr>
                                <w:rFonts w:ascii="Times New Roman" w:hAnsi="Times New Roman" w:cs="Times New Roman"/>
                                <w:b/>
                                <w:bCs/>
                                <w:color w:val="333333"/>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328432" id="_x0000_s1030" type="#_x0000_t202" style="position:absolute;margin-left:.85pt;margin-top:9.9pt;width:450.45pt;height:66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" filled="f" stroked="f">
                <v:textbox>
                  <w:txbxContent>
                    <w:p w14:paraId="173B044D" w14:textId="77777777" w:rsidR="001C035E" w:rsidRPr="001C035E" w:rsidRDefault="001C035E" w:rsidP="008E3999">
                      <w:pPr>
                        <w:spacing w:line="360" w:lineRule="auto"/>
                        <w:rPr>
                          <w:rFonts w:ascii="Cambria" w:hAnsi="Cambria" w:cs="Times New Roman"/>
                          <w:color w:val="333333"/>
                          <w:sz w:val="28"/>
                          <w:szCs w:val="28"/>
                        </w:rPr>
                      </w:pPr>
                      <w:r w:rsidRPr="001C035E">
                        <w:rPr>
                          <w:rFonts w:ascii="Cambria" w:hAnsi="Cambria" w:cs="Times New Roman"/>
                          <w:color w:val="333333"/>
                          <w:sz w:val="28"/>
                          <w:szCs w:val="28"/>
                        </w:rPr>
                        <w:t>SIEM platforms remain the technical backbone of most SOCs, aggregating logs from endpoints, network devices and cloud services for correlation and alerting [4], [5]. Modern architectures integrate threat intelligence feeds, User and Entity Behaviour Analytics (UEBA), and, increasingly, machine learning models to reduce noise and highlight anomalies. Case studies in both industry white papers and academic work show that centralized SIEM deployment can significantly reduce mean time to detect by providing unified visibility and standardized playbooks [5], [6]. For example, one SOC metrics framework demonstrates how tracking time from detection to containment across SIEM alerts helped identify bottlenecks in analyst triage, leading to measurable improvements [6].</w:t>
                      </w:r>
                    </w:p>
                    <w:p w14:paraId="4E20CB00" w14:textId="7A9FB3D0" w:rsidR="001C035E" w:rsidRPr="001C035E" w:rsidRDefault="001C035E" w:rsidP="008E3999">
                      <w:pPr>
                        <w:spacing w:line="360" w:lineRule="auto"/>
                        <w:rPr>
                          <w:rFonts w:ascii="Cambria" w:hAnsi="Cambria" w:cs="Times New Roman"/>
                          <w:color w:val="333333"/>
                          <w:sz w:val="28"/>
                          <w:szCs w:val="28"/>
                        </w:rPr>
                      </w:pPr>
                      <w:r w:rsidRPr="001C035E">
                        <w:rPr>
                          <w:rFonts w:ascii="Cambria" w:hAnsi="Cambria" w:cs="Times New Roman"/>
                          <w:color w:val="333333"/>
                          <w:sz w:val="28"/>
                          <w:szCs w:val="28"/>
                        </w:rPr>
                        <w:t xml:space="preserve">However, SIEMs also embody several weaknesses. First, many organizations ingest large volumes of low-quality or redundant logs, which inflate costs and produce excessive alerts with limited context [4]. This contributes to alert fatigue, where genuinely malicious activity is missed because analysts are overwhelmed. Second, static correlation rules struggle with novel attack techniques and “low-and-slow” campaigns, particularly in cloud-native environments where ephemeral workloads and microservices create complex telemetry [3], [7]. Third, integration across </w:t>
                      </w:r>
                      <w:r w:rsidRPr="008E3999">
                        <w:rPr>
                          <w:rFonts w:ascii="Cambria" w:hAnsi="Cambria" w:cs="Times New Roman"/>
                          <w:color w:val="333333"/>
                          <w:sz w:val="28"/>
                          <w:szCs w:val="28"/>
                        </w:rPr>
                        <w:t>on-premises</w:t>
                      </w:r>
                      <w:r w:rsidRPr="001C035E">
                        <w:rPr>
                          <w:rFonts w:ascii="Cambria" w:hAnsi="Cambria" w:cs="Times New Roman"/>
                          <w:color w:val="333333"/>
                          <w:sz w:val="28"/>
                          <w:szCs w:val="28"/>
                        </w:rPr>
                        <w:t>, multi-cloud and SaaS platforms is often incomplete, resulting in “blind spots” that adversaries can exploit. These limitations show that SIEM is necessary but not sufficient; blue teams must complement it with better engineering, tuning and proactive analysis.</w:t>
                      </w:r>
                    </w:p>
                    <w:p w14:paraId="25069082" w14:textId="6D4CBE8E" w:rsidR="002460DF" w:rsidRPr="008E3999" w:rsidRDefault="002460DF" w:rsidP="001C035E">
                      <w:pPr>
                        <w:spacing w:line="360" w:lineRule="auto"/>
                        <w:jc w:val="both"/>
                        <w:rPr>
                          <w:rFonts w:ascii="Times New Roman" w:hAnsi="Times New Roman" w:cs="Times New Roman"/>
                          <w:b/>
                          <w:bCs/>
                          <w:color w:val="333333"/>
                          <w:sz w:val="28"/>
                          <w:szCs w:val="28"/>
                        </w:rPr>
                      </w:pPr>
                    </w:p>
                  </w:txbxContent>
                </v:textbox>
                <w10:wrap anchorx="margin"/>
              </v:shape>
            </w:pict>
          </mc:Fallback>
        </mc:AlternateContent>
      </w:r>
    </w:p>
    <w:p w14:paraId="3881EFCC" w14:textId="49896615" w:rsidR="005E1794" w:rsidRDefault="005E1794" w:rsidP="005E1794"/>
    <w:p w14:paraId="07E666BD" w14:textId="64877FDD" w:rsidR="005E1794" w:rsidRDefault="005E1794" w:rsidP="005E1794"/>
    <w:p w14:paraId="76DD96B6" w14:textId="77777777" w:rsidR="005E1794" w:rsidRDefault="005E1794" w:rsidP="005E1794"/>
    <w:p w14:paraId="486454B5" w14:textId="77777777" w:rsidR="005E1794" w:rsidRDefault="005E1794" w:rsidP="005E1794"/>
    <w:p w14:paraId="7F1802FA" w14:textId="77777777" w:rsidR="005E1794" w:rsidRDefault="005E1794" w:rsidP="005E1794"/>
    <w:p w14:paraId="7D2F5007" w14:textId="77777777" w:rsidR="005E1794" w:rsidRDefault="005E1794" w:rsidP="005E1794"/>
    <w:p w14:paraId="6B7E5183" w14:textId="2494885A" w:rsidR="005E1794" w:rsidRDefault="005E1794" w:rsidP="005E1794"/>
    <w:p w14:paraId="6065A76D" w14:textId="77777777" w:rsidR="005E1794" w:rsidRDefault="005E1794" w:rsidP="005E1794"/>
    <w:p w14:paraId="61855639" w14:textId="77777777" w:rsidR="009E2999" w:rsidRDefault="009E2999" w:rsidP="005E1794"/>
    <w:p w14:paraId="4B04A57F" w14:textId="77777777" w:rsidR="009E2999" w:rsidRDefault="009E2999" w:rsidP="005E1794"/>
    <w:p w14:paraId="216149F5" w14:textId="77777777" w:rsidR="009E2999" w:rsidRDefault="009E2999" w:rsidP="005E1794"/>
    <w:p w14:paraId="564057DD" w14:textId="77777777" w:rsidR="009E2999" w:rsidRPr="005E1794" w:rsidRDefault="009E2999" w:rsidP="005E1794"/>
    <w:p w14:paraId="56F8A4EB" w14:textId="77777777" w:rsidR="005E1794" w:rsidRDefault="005E1794" w:rsidP="005E1794"/>
    <w:p w14:paraId="417836EA" w14:textId="77777777" w:rsidR="009E2999" w:rsidRDefault="009E2999" w:rsidP="005E1794"/>
    <w:p w14:paraId="64BDBF60" w14:textId="77777777" w:rsidR="009E2999" w:rsidRDefault="009E2999" w:rsidP="005E1794"/>
    <w:p w14:paraId="0F6820CA" w14:textId="77777777" w:rsidR="009E2999" w:rsidRDefault="009E2999" w:rsidP="005E1794"/>
    <w:p w14:paraId="2323857B" w14:textId="77777777" w:rsidR="009E2999" w:rsidRDefault="009E2999" w:rsidP="005E1794"/>
    <w:p w14:paraId="1A205EBC" w14:textId="77777777" w:rsidR="009E2999" w:rsidRDefault="009E2999" w:rsidP="005E1794"/>
    <w:p w14:paraId="79E7D851" w14:textId="77777777" w:rsidR="009E2999" w:rsidRDefault="009E2999" w:rsidP="005E1794"/>
    <w:p w14:paraId="718A4AB1" w14:textId="77777777" w:rsidR="009E2999" w:rsidRDefault="009E2999" w:rsidP="005E1794"/>
    <w:p w14:paraId="45F8455C" w14:textId="77777777" w:rsidR="009E2999" w:rsidRDefault="009E2999" w:rsidP="005E1794"/>
    <w:p w14:paraId="6BB31946" w14:textId="77777777" w:rsidR="009E2999" w:rsidRDefault="009E2999" w:rsidP="005E1794"/>
    <w:p w14:paraId="1D4F1F8F" w14:textId="77777777" w:rsidR="009E2999" w:rsidRDefault="009E2999" w:rsidP="005E1794"/>
    <w:p w14:paraId="5A0E1DC3" w14:textId="77777777" w:rsidR="009E2999" w:rsidRDefault="009E2999" w:rsidP="005E1794"/>
    <w:p w14:paraId="7DD1A972" w14:textId="77777777" w:rsidR="009E2999" w:rsidRDefault="009E2999" w:rsidP="005E1794"/>
    <w:p w14:paraId="66B4E871" w14:textId="77777777" w:rsidR="009E2999" w:rsidRPr="005E1794" w:rsidRDefault="009E2999" w:rsidP="005E1794"/>
    <w:p w14:paraId="7287555C" w14:textId="7023A092" w:rsidR="001C6785" w:rsidRPr="00BF46A8" w:rsidRDefault="006A2CEF" w:rsidP="00BF46A8">
      <w:pPr>
        <w:pStyle w:val="Heading1"/>
        <w:jc w:val="center"/>
      </w:pPr>
      <w:bookmarkStart w:id="6" w:name="_Toc216123259"/>
      <w:bookmarkStart w:id="7" w:name="_Toc216123291"/>
      <w:r w:rsidRPr="00BF46A8">
        <w:lastRenderedPageBreak/>
        <w:t>INCIDENT RESPONSE: FROM REACTIVE PLAYBOOKS TO CONTINUOUS READINESS</w:t>
      </w:r>
      <w:bookmarkEnd w:id="6"/>
      <w:bookmarkEnd w:id="7"/>
    </w:p>
    <w:p w14:paraId="72A11E46" w14:textId="1F237F46" w:rsidR="009E2999" w:rsidRDefault="009E2999" w:rsidP="009E2999"/>
    <w:p w14:paraId="43F25D3A" w14:textId="268C274E" w:rsidR="00E922E9" w:rsidRDefault="00FE40D1" w:rsidP="009E2999">
      <w:r>
        <w:rPr>
          <w:noProof/>
        </w:rPr>
        <mc:AlternateContent>
          <mc:Choice Requires="wps">
            <w:drawing>
              <wp:anchor distT="45720" distB="45720" distL="114300" distR="114300" simplePos="0" relativeHeight="251665408" behindDoc="0" locked="0" layoutInCell="1" allowOverlap="1" wp14:anchorId="0D7985FB" wp14:editId="3CE9D389">
                <wp:simplePos x="0" y="0"/>
                <wp:positionH relativeFrom="margin">
                  <wp:align>right</wp:align>
                </wp:positionH>
                <wp:positionV relativeFrom="paragraph">
                  <wp:posOffset>8255</wp:posOffset>
                </wp:positionV>
                <wp:extent cx="5706110" cy="8267700"/>
                <wp:effectExtent l="0" t="0" r="0" b="0"/>
                <wp:wrapNone/>
                <wp:docPr id="29730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8267700"/>
                        </a:xfrm>
                        <a:prstGeom prst="rect">
                          <a:avLst/>
                        </a:prstGeom>
                        <a:noFill/>
                        <a:ln w="9525">
                          <a:noFill/>
                          <a:miter lim="800000"/>
                          <a:headEnd/>
                          <a:tailEnd/>
                        </a:ln>
                      </wps:spPr>
                      <wps:txbx>
                        <w:txbxContent>
                          <w:p w14:paraId="116CD2AB" w14:textId="77777777" w:rsidR="00B8118E" w:rsidRPr="00B8118E" w:rsidRDefault="00B8118E" w:rsidP="00621B75">
                            <w:pPr>
                              <w:spacing w:line="360" w:lineRule="auto"/>
                              <w:rPr>
                                <w:rFonts w:ascii="Cambria" w:hAnsi="Cambria"/>
                                <w:color w:val="333333"/>
                                <w:sz w:val="28"/>
                                <w:szCs w:val="28"/>
                              </w:rPr>
                            </w:pPr>
                            <w:r w:rsidRPr="00B8118E">
                              <w:rPr>
                                <w:rFonts w:ascii="Cambria" w:hAnsi="Cambria"/>
                                <w:color w:val="333333"/>
                                <w:sz w:val="28"/>
                                <w:szCs w:val="28"/>
                              </w:rPr>
                              <w:t>Incident response frameworks, such as those aligned with NIST guidance, define structured phases: preparation, detection, analysis, containment, eradication, and recovery [7]. Surveys of IR teams by SANS indicate progress: more organisations now have formal IR plans, dedicated teams, and post-incident reviews than at pre-pandemic baselines [7]. In practice, strong IR capability allows blue teams to limit dwell time and business impact when SIEM or endpoint tools raise an alert. For example, DBIR case data show that swift containment actions—such as isolating endpoints and revoking credentials—can prevent ransomware from spreading across entire networks [2].</w:t>
                            </w:r>
                          </w:p>
                          <w:p w14:paraId="16DAAF6F" w14:textId="77777777" w:rsidR="00B8118E" w:rsidRPr="00B8118E" w:rsidRDefault="00B8118E" w:rsidP="00621B75">
                            <w:pPr>
                              <w:spacing w:line="360" w:lineRule="auto"/>
                              <w:rPr>
                                <w:rFonts w:ascii="Cambria" w:hAnsi="Cambria"/>
                                <w:color w:val="333333"/>
                                <w:sz w:val="28"/>
                                <w:szCs w:val="28"/>
                              </w:rPr>
                            </w:pPr>
                            <w:r w:rsidRPr="00B8118E">
                              <w:rPr>
                                <w:rFonts w:ascii="Cambria" w:hAnsi="Cambria"/>
                                <w:color w:val="333333"/>
                                <w:sz w:val="28"/>
                                <w:szCs w:val="28"/>
                              </w:rPr>
                              <w:t>Yet empirical evidence suggests IR is still often reactive and siloed. Many organisations treat incident response as a technical exercise rather than a cross-functional capability involving legal, HR, and senior management, which delays decision-making and communication [7]. Post-incident “lessons learned” are not consistently translated into updated playbooks, new SIEM detection rules, or improved asset inventories. Additionally, ENISA’s reporting highlights that supply-chain and third-party incidents expose weaknesses in IR coordination across organisational boundaries [3].  enisa.europa.eu+1 To move beyond checkbox compliance, blue teams need continuous exercises—such as tabletop simulations and red/blue exercises—that test both technical steps and organisational decision-making.</w:t>
                            </w:r>
                          </w:p>
                          <w:p w14:paraId="727F13B7" w14:textId="77777777" w:rsidR="00F9408A" w:rsidRPr="00F9408A" w:rsidRDefault="00F9408A" w:rsidP="00F940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985FB" id="_x0000_s1031" type="#_x0000_t202" style="position:absolute;margin-left:398.1pt;margin-top:.65pt;width:449.3pt;height:651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" filled="f" stroked="f">
                <v:textbox>
                  <w:txbxContent>
                    <w:p w14:paraId="116CD2AB" w14:textId="77777777" w:rsidR="00B8118E" w:rsidRPr="00B8118E" w:rsidRDefault="00B8118E" w:rsidP="00621B75">
                      <w:pPr>
                        <w:spacing w:line="360" w:lineRule="auto"/>
                        <w:rPr>
                          <w:rFonts w:ascii="Cambria" w:hAnsi="Cambria"/>
                          <w:color w:val="333333"/>
                          <w:sz w:val="28"/>
                          <w:szCs w:val="28"/>
                        </w:rPr>
                      </w:pPr>
                      <w:r w:rsidRPr="00B8118E">
                        <w:rPr>
                          <w:rFonts w:ascii="Cambria" w:hAnsi="Cambria"/>
                          <w:color w:val="333333"/>
                          <w:sz w:val="28"/>
                          <w:szCs w:val="28"/>
                        </w:rPr>
                        <w:t>Incident response frameworks, such as those aligned with NIST guidance, define structured phases: preparation, detection, analysis, containment, eradication, and recovery [7]. Surveys of IR teams by SANS indicate progress: more organisations now have formal IR plans, dedicated teams, and post-incident reviews than at pre-pandemic baselines [7]. In practice, strong IR capability allows blue teams to limit dwell time and business impact when SIEM or endpoint tools raise an alert. For example, DBIR case data show that swift containment actions—such as isolating endpoints and revoking credentials—can prevent ransomware from spreading across entire networks [2].</w:t>
                      </w:r>
                    </w:p>
                    <w:p w14:paraId="16DAAF6F" w14:textId="77777777" w:rsidR="00B8118E" w:rsidRPr="00B8118E" w:rsidRDefault="00B8118E" w:rsidP="00621B75">
                      <w:pPr>
                        <w:spacing w:line="360" w:lineRule="auto"/>
                        <w:rPr>
                          <w:rFonts w:ascii="Cambria" w:hAnsi="Cambria"/>
                          <w:color w:val="333333"/>
                          <w:sz w:val="28"/>
                          <w:szCs w:val="28"/>
                        </w:rPr>
                      </w:pPr>
                      <w:r w:rsidRPr="00B8118E">
                        <w:rPr>
                          <w:rFonts w:ascii="Cambria" w:hAnsi="Cambria"/>
                          <w:color w:val="333333"/>
                          <w:sz w:val="28"/>
                          <w:szCs w:val="28"/>
                        </w:rPr>
                        <w:t>Yet empirical evidence suggests IR is still often reactive and siloed. Many organisations treat incident response as a technical exercise rather than a cross-functional capability involving legal, HR, and senior management, which delays decision-making and communication [7]. Post-incident “lessons learned” are not consistently translated into updated playbooks, new SIEM detection rules, or improved asset inventories. Additionally, ENISA’s reporting highlights that supply-chain and third-party incidents expose weaknesses in IR coordination across organisational boundaries [3].  enisa.europa.eu+1 To move beyond checkbox compliance, blue teams need continuous exercises—such as tabletop simulations and red/blue exercises—that test both technical steps and organisational decision-making.</w:t>
                      </w:r>
                    </w:p>
                    <w:p w14:paraId="727F13B7" w14:textId="77777777" w:rsidR="00F9408A" w:rsidRPr="00F9408A" w:rsidRDefault="00F9408A" w:rsidP="00F9408A"/>
                  </w:txbxContent>
                </v:textbox>
                <w10:wrap anchorx="margin"/>
              </v:shape>
            </w:pict>
          </mc:Fallback>
        </mc:AlternateContent>
      </w:r>
    </w:p>
    <w:p w14:paraId="2CE16E2D" w14:textId="064FEB4D" w:rsidR="00E922E9" w:rsidRDefault="00E922E9" w:rsidP="009E2999"/>
    <w:p w14:paraId="0C127E38" w14:textId="2A840A4E" w:rsidR="00E922E9" w:rsidRDefault="00E922E9" w:rsidP="009E2999"/>
    <w:p w14:paraId="342404C1" w14:textId="77777777" w:rsidR="00E922E9" w:rsidRDefault="00E922E9" w:rsidP="009E2999"/>
    <w:p w14:paraId="15B81857" w14:textId="77777777" w:rsidR="00E922E9" w:rsidRDefault="00E922E9" w:rsidP="009E2999"/>
    <w:p w14:paraId="66A7B932" w14:textId="77777777" w:rsidR="00E922E9" w:rsidRDefault="00E922E9" w:rsidP="009E2999"/>
    <w:p w14:paraId="1F935508" w14:textId="77777777" w:rsidR="00E922E9" w:rsidRDefault="00E922E9" w:rsidP="009E2999"/>
    <w:p w14:paraId="72A78A92" w14:textId="77777777" w:rsidR="00E922E9" w:rsidRDefault="00E922E9" w:rsidP="009E2999"/>
    <w:p w14:paraId="04C6521B" w14:textId="77777777" w:rsidR="00E922E9" w:rsidRDefault="00E922E9" w:rsidP="009E2999"/>
    <w:p w14:paraId="2F14A183" w14:textId="77777777" w:rsidR="00E922E9" w:rsidRDefault="00E922E9" w:rsidP="009E2999"/>
    <w:p w14:paraId="5148732C" w14:textId="77777777" w:rsidR="00E922E9" w:rsidRDefault="00E922E9" w:rsidP="009E2999"/>
    <w:p w14:paraId="6DC287A8" w14:textId="77777777" w:rsidR="00E922E9" w:rsidRDefault="00E922E9" w:rsidP="009E2999"/>
    <w:p w14:paraId="59AAA94E" w14:textId="77777777" w:rsidR="00E922E9" w:rsidRDefault="00E922E9" w:rsidP="009E2999"/>
    <w:p w14:paraId="682775B9" w14:textId="77777777" w:rsidR="00E922E9" w:rsidRDefault="00E922E9" w:rsidP="009E2999"/>
    <w:p w14:paraId="6516A4ED" w14:textId="77777777" w:rsidR="00E922E9" w:rsidRDefault="00E922E9" w:rsidP="009E2999"/>
    <w:p w14:paraId="35F8183E" w14:textId="77777777" w:rsidR="00E922E9" w:rsidRDefault="00E922E9" w:rsidP="009E2999"/>
    <w:p w14:paraId="07C9EC43" w14:textId="77777777" w:rsidR="00E922E9" w:rsidRDefault="00E922E9" w:rsidP="009E2999"/>
    <w:p w14:paraId="4041CE65" w14:textId="77777777" w:rsidR="00E922E9" w:rsidRDefault="00E922E9" w:rsidP="009E2999"/>
    <w:p w14:paraId="47F459FA" w14:textId="77777777" w:rsidR="00E922E9" w:rsidRDefault="00E922E9" w:rsidP="009E2999"/>
    <w:p w14:paraId="031B862F" w14:textId="77777777" w:rsidR="00E922E9" w:rsidRDefault="00E922E9" w:rsidP="009E2999"/>
    <w:p w14:paraId="287E90BA" w14:textId="77777777" w:rsidR="00E922E9" w:rsidRDefault="00E922E9" w:rsidP="009E2999"/>
    <w:p w14:paraId="467BB382" w14:textId="77777777" w:rsidR="00E922E9" w:rsidRDefault="00E922E9" w:rsidP="009E2999"/>
    <w:p w14:paraId="4796C62E" w14:textId="77777777" w:rsidR="00E922E9" w:rsidRDefault="00E922E9" w:rsidP="009E2999"/>
    <w:p w14:paraId="14E22E74" w14:textId="77777777" w:rsidR="00E922E9" w:rsidRDefault="00E922E9" w:rsidP="009E2999"/>
    <w:p w14:paraId="100414F3" w14:textId="77777777" w:rsidR="00E922E9" w:rsidRDefault="00E922E9" w:rsidP="009E2999"/>
    <w:p w14:paraId="6B388786" w14:textId="2CEF1545" w:rsidR="00FE40D1" w:rsidRDefault="00FE40D1" w:rsidP="009E2999"/>
    <w:p w14:paraId="4AD7680D" w14:textId="48B2BD7F" w:rsidR="00E922E9" w:rsidRPr="009E2999" w:rsidRDefault="00FE40D1" w:rsidP="009E2999">
      <w:r>
        <w:br w:type="page"/>
      </w:r>
    </w:p>
    <w:p w14:paraId="2923C5A4" w14:textId="0547D2E3" w:rsidR="001C6785" w:rsidRPr="00BF46A8" w:rsidRDefault="005D710E" w:rsidP="00BF46A8">
      <w:pPr>
        <w:pStyle w:val="Heading1"/>
        <w:jc w:val="center"/>
      </w:pPr>
      <w:bookmarkStart w:id="8" w:name="_Toc216123260"/>
      <w:bookmarkStart w:id="9" w:name="_Toc216123292"/>
      <w:r w:rsidRPr="00BF46A8">
        <w:lastRenderedPageBreak/>
        <w:t>THREAT HUNTING AND PROACTIVE DEFENCE</w:t>
      </w:r>
      <w:bookmarkEnd w:id="8"/>
      <w:bookmarkEnd w:id="9"/>
    </w:p>
    <w:p w14:paraId="22937C58" w14:textId="77777777" w:rsidR="009E2999" w:rsidRDefault="009E2999" w:rsidP="009E2999"/>
    <w:p w14:paraId="0B632021" w14:textId="68D8B01B" w:rsidR="00E922E9" w:rsidRDefault="00327537" w:rsidP="009E2999">
      <w:r>
        <w:rPr>
          <w:noProof/>
        </w:rPr>
        <mc:AlternateContent>
          <mc:Choice Requires="wps">
            <w:drawing>
              <wp:anchor distT="45720" distB="45720" distL="114300" distR="114300" simplePos="0" relativeHeight="251667456" behindDoc="0" locked="0" layoutInCell="1" allowOverlap="1" wp14:anchorId="260122F9" wp14:editId="74A0C5FA">
                <wp:simplePos x="0" y="0"/>
                <wp:positionH relativeFrom="margin">
                  <wp:align>left</wp:align>
                </wp:positionH>
                <wp:positionV relativeFrom="paragraph">
                  <wp:posOffset>8255</wp:posOffset>
                </wp:positionV>
                <wp:extent cx="5707380" cy="8244840"/>
                <wp:effectExtent l="0" t="0" r="0" b="3810"/>
                <wp:wrapNone/>
                <wp:docPr id="1607817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8244840"/>
                        </a:xfrm>
                        <a:prstGeom prst="rect">
                          <a:avLst/>
                        </a:prstGeom>
                        <a:noFill/>
                        <a:ln w="9525">
                          <a:noFill/>
                          <a:miter lim="800000"/>
                          <a:headEnd/>
                          <a:tailEnd/>
                        </a:ln>
                      </wps:spPr>
                      <wps:txbx>
                        <w:txbxContent>
                          <w:p w14:paraId="116A97F3" w14:textId="77777777" w:rsidR="005753F5" w:rsidRPr="005753F5" w:rsidRDefault="005753F5" w:rsidP="00621B75">
                            <w:pPr>
                              <w:spacing w:line="360" w:lineRule="auto"/>
                              <w:rPr>
                                <w:rFonts w:ascii="Cambria" w:hAnsi="Cambria" w:cs="Times New Roman"/>
                                <w:color w:val="333333"/>
                                <w:sz w:val="28"/>
                                <w:szCs w:val="28"/>
                              </w:rPr>
                            </w:pPr>
                            <w:r w:rsidRPr="005753F5">
                              <w:rPr>
                                <w:rFonts w:ascii="Cambria" w:hAnsi="Cambria" w:cs="Times New Roman"/>
                                <w:color w:val="333333"/>
                                <w:sz w:val="28"/>
                                <w:szCs w:val="28"/>
                              </w:rPr>
                              <w:t>SANS’ 2023 SOC survey reports that around 75% of SOCs detect incidents before external notification, and a non-trivial portion attributes this to proactive threat hunting rather than passive alert triage [4]. Threat hunting involves forming hypotheses (“If an attacker abused this cloud identity, what traces would they leave?”) and actively searching across logs, endpoints and network flows. This practice can reveal stealthy behaviours such as lateral movement using legitimate tools, which might bypass conventional rule-based alerts [4], [8].</w:t>
                            </w:r>
                          </w:p>
                          <w:p w14:paraId="04FC8B40" w14:textId="77777777" w:rsidR="0093587A" w:rsidRPr="0093587A" w:rsidRDefault="0093587A" w:rsidP="00621B75">
                            <w:pPr>
                              <w:spacing w:line="360" w:lineRule="auto"/>
                              <w:rPr>
                                <w:rFonts w:ascii="Cambria" w:hAnsi="Cambria" w:cs="Times New Roman"/>
                                <w:color w:val="333333"/>
                                <w:sz w:val="28"/>
                                <w:szCs w:val="28"/>
                              </w:rPr>
                            </w:pPr>
                            <w:r w:rsidRPr="0093587A">
                              <w:rPr>
                                <w:rFonts w:ascii="Cambria" w:hAnsi="Cambria" w:cs="Times New Roman"/>
                                <w:color w:val="333333"/>
                                <w:sz w:val="28"/>
                                <w:szCs w:val="28"/>
                              </w:rPr>
                              <w:t>Academic and industry work increasingly explores AI-augmented threat hunting, where machine-learning models and large language models (LLMs) help analysts sift through large telemetry sets and generate candidate queries [8], [9]. Experimental platforms combining SIEM, XDR and AI-driven analytics show promise in reducing triage time and highlighting anomalous behaviours that would be difficult to find manually [8]. However, these systems can introduce “</w:t>
                            </w:r>
                            <w:proofErr w:type="gramStart"/>
                            <w:r w:rsidRPr="0093587A">
                              <w:rPr>
                                <w:rFonts w:ascii="Cambria" w:hAnsi="Cambria" w:cs="Times New Roman"/>
                                <w:color w:val="333333"/>
                                <w:sz w:val="28"/>
                                <w:szCs w:val="28"/>
                              </w:rPr>
                              <w:t>black-box</w:t>
                            </w:r>
                            <w:proofErr w:type="gramEnd"/>
                            <w:r w:rsidRPr="0093587A">
                              <w:rPr>
                                <w:rFonts w:ascii="Cambria" w:hAnsi="Cambria" w:cs="Times New Roman"/>
                                <w:color w:val="333333"/>
                                <w:sz w:val="28"/>
                                <w:szCs w:val="28"/>
                              </w:rPr>
                              <w:t>” reasoning and over-reliance risks: if analysts do not understand why detections are raised, they may either ignore important alerts or accept false positives uncritically [9]. High-performing blue teams therefore treat AI as an assistant, embedding it within rigorous validation workflows and peer review rather than delegating decisions entirely.</w:t>
                            </w:r>
                          </w:p>
                          <w:p w14:paraId="6D3C0631" w14:textId="03D5C0FA" w:rsidR="009628CA" w:rsidRPr="009628CA" w:rsidRDefault="009628CA" w:rsidP="005753F5">
                            <w:pPr>
                              <w:spacing w:line="360" w:lineRule="auto"/>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122F9" id="_x0000_s1032" type="#_x0000_t202" style="position:absolute;margin-left:0;margin-top:.65pt;width:449.4pt;height:649.2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" filled="f" stroked="f">
                <v:textbox>
                  <w:txbxContent>
                    <w:p w14:paraId="116A97F3" w14:textId="77777777" w:rsidR="005753F5" w:rsidRPr="005753F5" w:rsidRDefault="005753F5" w:rsidP="00621B75">
                      <w:pPr>
                        <w:spacing w:line="360" w:lineRule="auto"/>
                        <w:rPr>
                          <w:rFonts w:ascii="Cambria" w:hAnsi="Cambria" w:cs="Times New Roman"/>
                          <w:color w:val="333333"/>
                          <w:sz w:val="28"/>
                          <w:szCs w:val="28"/>
                        </w:rPr>
                      </w:pPr>
                      <w:r w:rsidRPr="005753F5">
                        <w:rPr>
                          <w:rFonts w:ascii="Cambria" w:hAnsi="Cambria" w:cs="Times New Roman"/>
                          <w:color w:val="333333"/>
                          <w:sz w:val="28"/>
                          <w:szCs w:val="28"/>
                        </w:rPr>
                        <w:t>SANS’ 2023 SOC survey reports that around 75% of SOCs detect incidents before external notification, and a non-trivial portion attributes this to proactive threat hunting rather than passive alert triage [4]. Threat hunting involves forming hypotheses (“If an attacker abused this cloud identity, what traces would they leave?”) and actively searching across logs, endpoints and network flows. This practice can reveal stealthy behaviours such as lateral movement using legitimate tools, which might bypass conventional rule-based alerts [4], [8].</w:t>
                      </w:r>
                    </w:p>
                    <w:p w14:paraId="04FC8B40" w14:textId="77777777" w:rsidR="0093587A" w:rsidRPr="0093587A" w:rsidRDefault="0093587A" w:rsidP="00621B75">
                      <w:pPr>
                        <w:spacing w:line="360" w:lineRule="auto"/>
                        <w:rPr>
                          <w:rFonts w:ascii="Cambria" w:hAnsi="Cambria" w:cs="Times New Roman"/>
                          <w:color w:val="333333"/>
                          <w:sz w:val="28"/>
                          <w:szCs w:val="28"/>
                        </w:rPr>
                      </w:pPr>
                      <w:r w:rsidRPr="0093587A">
                        <w:rPr>
                          <w:rFonts w:ascii="Cambria" w:hAnsi="Cambria" w:cs="Times New Roman"/>
                          <w:color w:val="333333"/>
                          <w:sz w:val="28"/>
                          <w:szCs w:val="28"/>
                        </w:rPr>
                        <w:t>Academic and industry work increasingly explores AI-augmented threat hunting, where machine-learning models and large language models (LLMs) help analysts sift through large telemetry sets and generate candidate queries [8], [9]. Experimental platforms combining SIEM, XDR and AI-driven analytics show promise in reducing triage time and highlighting anomalous behaviours that would be difficult to find manually [8]. However, these systems can introduce “</w:t>
                      </w:r>
                      <w:proofErr w:type="gramStart"/>
                      <w:r w:rsidRPr="0093587A">
                        <w:rPr>
                          <w:rFonts w:ascii="Cambria" w:hAnsi="Cambria" w:cs="Times New Roman"/>
                          <w:color w:val="333333"/>
                          <w:sz w:val="28"/>
                          <w:szCs w:val="28"/>
                        </w:rPr>
                        <w:t>black-box</w:t>
                      </w:r>
                      <w:proofErr w:type="gramEnd"/>
                      <w:r w:rsidRPr="0093587A">
                        <w:rPr>
                          <w:rFonts w:ascii="Cambria" w:hAnsi="Cambria" w:cs="Times New Roman"/>
                          <w:color w:val="333333"/>
                          <w:sz w:val="28"/>
                          <w:szCs w:val="28"/>
                        </w:rPr>
                        <w:t>” reasoning and over-reliance risks: if analysts do not understand why detections are raised, they may either ignore important alerts or accept false positives uncritically [9]. High-performing blue teams therefore treat AI as an assistant, embedding it within rigorous validation workflows and peer review rather than delegating decisions entirely.</w:t>
                      </w:r>
                    </w:p>
                    <w:p w14:paraId="6D3C0631" w14:textId="03D5C0FA" w:rsidR="009628CA" w:rsidRPr="009628CA" w:rsidRDefault="009628CA" w:rsidP="005753F5">
                      <w:pPr>
                        <w:spacing w:line="360" w:lineRule="auto"/>
                        <w:rPr>
                          <w:rFonts w:ascii="Times New Roman" w:hAnsi="Times New Roman" w:cs="Times New Roman"/>
                          <w:sz w:val="24"/>
                          <w:szCs w:val="24"/>
                        </w:rPr>
                      </w:pPr>
                    </w:p>
                  </w:txbxContent>
                </v:textbox>
                <w10:wrap anchorx="margin"/>
              </v:shape>
            </w:pict>
          </mc:Fallback>
        </mc:AlternateContent>
      </w:r>
    </w:p>
    <w:p w14:paraId="61DBA2D9" w14:textId="5FDE2906" w:rsidR="00E922E9" w:rsidRDefault="00E922E9" w:rsidP="009E2999"/>
    <w:p w14:paraId="4D8798A9" w14:textId="77777777" w:rsidR="00E922E9" w:rsidRDefault="00E922E9" w:rsidP="009E2999"/>
    <w:p w14:paraId="6D4F1429" w14:textId="77777777" w:rsidR="00E922E9" w:rsidRDefault="00E922E9" w:rsidP="009E2999"/>
    <w:p w14:paraId="2849E9B6" w14:textId="77777777" w:rsidR="00E922E9" w:rsidRDefault="00E922E9" w:rsidP="009E2999"/>
    <w:p w14:paraId="4FCA8CFB" w14:textId="77777777" w:rsidR="00E922E9" w:rsidRDefault="00E922E9" w:rsidP="009E2999"/>
    <w:p w14:paraId="0A8F4D44" w14:textId="77777777" w:rsidR="00E922E9" w:rsidRDefault="00E922E9" w:rsidP="009E2999"/>
    <w:p w14:paraId="7BD93D37" w14:textId="77777777" w:rsidR="00E922E9" w:rsidRDefault="00E922E9" w:rsidP="009E2999"/>
    <w:p w14:paraId="37E3AB86" w14:textId="77777777" w:rsidR="00E922E9" w:rsidRDefault="00E922E9" w:rsidP="009E2999"/>
    <w:p w14:paraId="7125630A" w14:textId="77777777" w:rsidR="00E922E9" w:rsidRDefault="00E922E9" w:rsidP="009E2999"/>
    <w:p w14:paraId="00C9CF6A" w14:textId="77777777" w:rsidR="00E922E9" w:rsidRDefault="00E922E9" w:rsidP="009E2999"/>
    <w:p w14:paraId="57BC2B0D" w14:textId="77777777" w:rsidR="00E922E9" w:rsidRDefault="00E922E9" w:rsidP="009E2999"/>
    <w:p w14:paraId="1E50F23B" w14:textId="77777777" w:rsidR="00E922E9" w:rsidRDefault="00E922E9" w:rsidP="009E2999"/>
    <w:p w14:paraId="6E77205B" w14:textId="77777777" w:rsidR="00E922E9" w:rsidRDefault="00E922E9" w:rsidP="009E2999"/>
    <w:p w14:paraId="1539031A" w14:textId="77777777" w:rsidR="00E922E9" w:rsidRDefault="00E922E9" w:rsidP="009E2999"/>
    <w:p w14:paraId="637F9059" w14:textId="77777777" w:rsidR="00E922E9" w:rsidRDefault="00E922E9" w:rsidP="009E2999"/>
    <w:p w14:paraId="66207850" w14:textId="77777777" w:rsidR="00E922E9" w:rsidRDefault="00E922E9" w:rsidP="009E2999"/>
    <w:p w14:paraId="1E0DEC9F" w14:textId="77777777" w:rsidR="00E922E9" w:rsidRDefault="00E922E9" w:rsidP="009E2999"/>
    <w:p w14:paraId="003F51DD" w14:textId="77777777" w:rsidR="00E922E9" w:rsidRDefault="00E922E9" w:rsidP="009E2999"/>
    <w:p w14:paraId="3778B446" w14:textId="77777777" w:rsidR="00E922E9" w:rsidRDefault="00E922E9" w:rsidP="009E2999"/>
    <w:p w14:paraId="0F52EE19" w14:textId="77777777" w:rsidR="00E922E9" w:rsidRDefault="00E922E9" w:rsidP="009E2999"/>
    <w:p w14:paraId="6D1E9583" w14:textId="77777777" w:rsidR="00DF272C" w:rsidRDefault="00DF272C" w:rsidP="009E2999"/>
    <w:p w14:paraId="368E7E7F" w14:textId="77777777" w:rsidR="00DF272C" w:rsidRDefault="00DF272C" w:rsidP="009E2999"/>
    <w:p w14:paraId="7DB9FB82" w14:textId="77777777" w:rsidR="00DF272C" w:rsidRDefault="00DF272C" w:rsidP="009E2999"/>
    <w:p w14:paraId="1BD9A468" w14:textId="77777777" w:rsidR="00DF272C" w:rsidRDefault="00DF272C" w:rsidP="009E2999"/>
    <w:p w14:paraId="53D76899" w14:textId="77777777" w:rsidR="00DF272C" w:rsidRDefault="00DF272C" w:rsidP="009E2999"/>
    <w:p w14:paraId="669F65E9" w14:textId="070F265B" w:rsidR="000E285F" w:rsidRDefault="000E285F" w:rsidP="009E2999"/>
    <w:p w14:paraId="6B3F225C" w14:textId="77777777" w:rsidR="000E285F" w:rsidRDefault="000E285F">
      <w:r>
        <w:br w:type="page"/>
      </w:r>
    </w:p>
    <w:p w14:paraId="0F7E9B0E" w14:textId="1FE26431" w:rsidR="000E285F" w:rsidRDefault="00BF46A8" w:rsidP="00BF46A8">
      <w:pPr>
        <w:pStyle w:val="Heading1"/>
        <w:jc w:val="center"/>
      </w:pPr>
      <w:bookmarkStart w:id="10" w:name="_Toc216123261"/>
      <w:bookmarkStart w:id="11" w:name="_Toc216123293"/>
      <w:r w:rsidRPr="00BF46A8">
        <w:lastRenderedPageBreak/>
        <w:t>Human factors and SOC optimisation</w:t>
      </w:r>
      <w:bookmarkEnd w:id="10"/>
      <w:bookmarkEnd w:id="11"/>
    </w:p>
    <w:p w14:paraId="199E62B0" w14:textId="525234AB" w:rsidR="00DF272C" w:rsidRPr="009E2999" w:rsidRDefault="00BF46A8" w:rsidP="009E2999">
      <w:r>
        <w:rPr>
          <w:noProof/>
        </w:rPr>
        <mc:AlternateContent>
          <mc:Choice Requires="wps">
            <w:drawing>
              <wp:anchor distT="45720" distB="45720" distL="114300" distR="114300" simplePos="0" relativeHeight="251693056" behindDoc="0" locked="0" layoutInCell="1" allowOverlap="1" wp14:anchorId="36BB78B6" wp14:editId="48AD0389">
                <wp:simplePos x="0" y="0"/>
                <wp:positionH relativeFrom="margin">
                  <wp:align>left</wp:align>
                </wp:positionH>
                <wp:positionV relativeFrom="paragraph">
                  <wp:posOffset>208371</wp:posOffset>
                </wp:positionV>
                <wp:extent cx="5707380" cy="8109857"/>
                <wp:effectExtent l="0" t="0" r="0" b="5715"/>
                <wp:wrapNone/>
                <wp:docPr id="1126762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8109857"/>
                        </a:xfrm>
                        <a:prstGeom prst="rect">
                          <a:avLst/>
                        </a:prstGeom>
                        <a:noFill/>
                        <a:ln w="9525">
                          <a:noFill/>
                          <a:miter lim="800000"/>
                          <a:headEnd/>
                          <a:tailEnd/>
                        </a:ln>
                      </wps:spPr>
                      <wps:txbx>
                        <w:txbxContent>
                          <w:p w14:paraId="611B3BC8" w14:textId="77777777" w:rsidR="004B0500" w:rsidRPr="004B0500" w:rsidRDefault="004B0500" w:rsidP="00621B75">
                            <w:pPr>
                              <w:spacing w:line="360" w:lineRule="auto"/>
                              <w:rPr>
                                <w:rFonts w:ascii="Cambria" w:hAnsi="Cambria" w:cs="Times New Roman"/>
                                <w:color w:val="333333"/>
                                <w:sz w:val="28"/>
                                <w:szCs w:val="28"/>
                              </w:rPr>
                            </w:pPr>
                            <w:r w:rsidRPr="004B0500">
                              <w:rPr>
                                <w:rFonts w:ascii="Cambria" w:hAnsi="Cambria" w:cs="Times New Roman"/>
                                <w:color w:val="333333"/>
                                <w:sz w:val="28"/>
                                <w:szCs w:val="28"/>
                              </w:rPr>
                              <w:t xml:space="preserve">Across multiple reports, the “human element” remains central. DBIR data consistently show that </w:t>
                            </w:r>
                            <w:proofErr w:type="gramStart"/>
                            <w:r w:rsidRPr="004B0500">
                              <w:rPr>
                                <w:rFonts w:ascii="Cambria" w:hAnsi="Cambria" w:cs="Times New Roman"/>
                                <w:color w:val="333333"/>
                                <w:sz w:val="28"/>
                                <w:szCs w:val="28"/>
                              </w:rPr>
                              <w:t>a majority of</w:t>
                            </w:r>
                            <w:proofErr w:type="gramEnd"/>
                            <w:r w:rsidRPr="004B0500">
                              <w:rPr>
                                <w:rFonts w:ascii="Cambria" w:hAnsi="Cambria" w:cs="Times New Roman"/>
                                <w:color w:val="333333"/>
                                <w:sz w:val="28"/>
                                <w:szCs w:val="28"/>
                              </w:rPr>
                              <w:t xml:space="preserve"> breaches involve human actions, such as phishing clicks, misconfigurations, or credential misuse [2]. At the same time, SOC analysts themselves operate under a high cognitive load. Recent work on SOC metrics suggests that many organisations measure only basic operational statistics (number of alerts closed, incidents handled) rather than deeper indicators such as false-positive rates, knowledge reuse, or analyst burnout [6]. Blue-team fundamentals research also notes a lack of standardisation in SOC roles and training paths, which complicates career development and creates skill gaps in areas such as cloud forensics and OT (operational technology) security [5], [10].</w:t>
                            </w:r>
                          </w:p>
                          <w:p w14:paraId="6CD14B89" w14:textId="77777777" w:rsidR="004B0500" w:rsidRPr="004B0500" w:rsidRDefault="004B0500" w:rsidP="00621B75">
                            <w:pPr>
                              <w:spacing w:line="360" w:lineRule="auto"/>
                              <w:rPr>
                                <w:rFonts w:ascii="Cambria" w:hAnsi="Cambria" w:cs="Times New Roman"/>
                                <w:color w:val="333333"/>
                                <w:sz w:val="28"/>
                                <w:szCs w:val="28"/>
                              </w:rPr>
                            </w:pPr>
                            <w:r w:rsidRPr="004B0500">
                              <w:rPr>
                                <w:rFonts w:ascii="Cambria" w:hAnsi="Cambria" w:cs="Times New Roman"/>
                                <w:color w:val="333333"/>
                                <w:sz w:val="28"/>
                                <w:szCs w:val="28"/>
                              </w:rPr>
                              <w:t>Concrete examples illustrate these issues. In several publicised incidents, misconfigured cloud storage or exposed administrative interfaces were exploited despite the presence of advanced tools, because responsibility for configuration was unclear between IT and security teams [3]. Conversely, organisations that run regular red-team vs blue-team exercises report improved detection coverage and faster response, as defenders gain hands-on experience with realistic attacker techniques [10]. Optimising blue-team performance, therefore, requires investment in training, clear role definitions, psychologically safe cultures for reporting mistakes, and metrics that value quality of detection over sheer volume of tickets closed.</w:t>
                            </w:r>
                          </w:p>
                          <w:p w14:paraId="577583E8" w14:textId="77777777" w:rsidR="00BF46A8" w:rsidRPr="009628CA" w:rsidRDefault="00BF46A8" w:rsidP="00BF46A8">
                            <w:pPr>
                              <w:spacing w:line="360" w:lineRule="auto"/>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B78B6" id="_x0000_s1033" type="#_x0000_t202" style="position:absolute;margin-left:0;margin-top:16.4pt;width:449.4pt;height:638.5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" filled="f" stroked="f">
                <v:textbox>
                  <w:txbxContent>
                    <w:p w14:paraId="611B3BC8" w14:textId="77777777" w:rsidR="004B0500" w:rsidRPr="004B0500" w:rsidRDefault="004B0500" w:rsidP="00621B75">
                      <w:pPr>
                        <w:spacing w:line="360" w:lineRule="auto"/>
                        <w:rPr>
                          <w:rFonts w:ascii="Cambria" w:hAnsi="Cambria" w:cs="Times New Roman"/>
                          <w:color w:val="333333"/>
                          <w:sz w:val="28"/>
                          <w:szCs w:val="28"/>
                        </w:rPr>
                      </w:pPr>
                      <w:r w:rsidRPr="004B0500">
                        <w:rPr>
                          <w:rFonts w:ascii="Cambria" w:hAnsi="Cambria" w:cs="Times New Roman"/>
                          <w:color w:val="333333"/>
                          <w:sz w:val="28"/>
                          <w:szCs w:val="28"/>
                        </w:rPr>
                        <w:t xml:space="preserve">Across multiple reports, the “human element” remains central. DBIR data consistently show that </w:t>
                      </w:r>
                      <w:proofErr w:type="gramStart"/>
                      <w:r w:rsidRPr="004B0500">
                        <w:rPr>
                          <w:rFonts w:ascii="Cambria" w:hAnsi="Cambria" w:cs="Times New Roman"/>
                          <w:color w:val="333333"/>
                          <w:sz w:val="28"/>
                          <w:szCs w:val="28"/>
                        </w:rPr>
                        <w:t>a majority of</w:t>
                      </w:r>
                      <w:proofErr w:type="gramEnd"/>
                      <w:r w:rsidRPr="004B0500">
                        <w:rPr>
                          <w:rFonts w:ascii="Cambria" w:hAnsi="Cambria" w:cs="Times New Roman"/>
                          <w:color w:val="333333"/>
                          <w:sz w:val="28"/>
                          <w:szCs w:val="28"/>
                        </w:rPr>
                        <w:t xml:space="preserve"> breaches involve human actions, such as phishing clicks, misconfigurations, or credential misuse [2]. At the same time, SOC analysts themselves operate under a high cognitive load. Recent work on SOC metrics suggests that many organisations measure only basic operational statistics (number of alerts closed, incidents handled) rather than deeper indicators such as false-positive rates, knowledge reuse, or analyst burnout [6]. Blue-team fundamentals research also notes a lack of standardisation in SOC roles and training paths, which complicates career development and creates skill gaps in areas such as cloud forensics and OT (operational technology) security [5], [10].</w:t>
                      </w:r>
                    </w:p>
                    <w:p w14:paraId="6CD14B89" w14:textId="77777777" w:rsidR="004B0500" w:rsidRPr="004B0500" w:rsidRDefault="004B0500" w:rsidP="00621B75">
                      <w:pPr>
                        <w:spacing w:line="360" w:lineRule="auto"/>
                        <w:rPr>
                          <w:rFonts w:ascii="Cambria" w:hAnsi="Cambria" w:cs="Times New Roman"/>
                          <w:color w:val="333333"/>
                          <w:sz w:val="28"/>
                          <w:szCs w:val="28"/>
                        </w:rPr>
                      </w:pPr>
                      <w:r w:rsidRPr="004B0500">
                        <w:rPr>
                          <w:rFonts w:ascii="Cambria" w:hAnsi="Cambria" w:cs="Times New Roman"/>
                          <w:color w:val="333333"/>
                          <w:sz w:val="28"/>
                          <w:szCs w:val="28"/>
                        </w:rPr>
                        <w:t>Concrete examples illustrate these issues. In several publicised incidents, misconfigured cloud storage or exposed administrative interfaces were exploited despite the presence of advanced tools, because responsibility for configuration was unclear between IT and security teams [3]. Conversely, organisations that run regular red-team vs blue-team exercises report improved detection coverage and faster response, as defenders gain hands-on experience with realistic attacker techniques [10]. Optimising blue-team performance, therefore, requires investment in training, clear role definitions, psychologically safe cultures for reporting mistakes, and metrics that value quality of detection over sheer volume of tickets closed.</w:t>
                      </w:r>
                    </w:p>
                    <w:p w14:paraId="577583E8" w14:textId="77777777" w:rsidR="00BF46A8" w:rsidRPr="009628CA" w:rsidRDefault="00BF46A8" w:rsidP="00BF46A8">
                      <w:pPr>
                        <w:spacing w:line="360" w:lineRule="auto"/>
                        <w:rPr>
                          <w:rFonts w:ascii="Times New Roman" w:hAnsi="Times New Roman" w:cs="Times New Roman"/>
                          <w:sz w:val="24"/>
                          <w:szCs w:val="24"/>
                        </w:rPr>
                      </w:pPr>
                    </w:p>
                  </w:txbxContent>
                </v:textbox>
                <w10:wrap anchorx="margin"/>
              </v:shape>
            </w:pict>
          </mc:Fallback>
        </mc:AlternateContent>
      </w:r>
      <w:r w:rsidR="000E285F">
        <w:br w:type="page"/>
      </w:r>
    </w:p>
    <w:p w14:paraId="406DD627" w14:textId="18069842" w:rsidR="00B23E53" w:rsidRPr="004B0500" w:rsidRDefault="00791AB3" w:rsidP="004B0500">
      <w:pPr>
        <w:pStyle w:val="Heading1"/>
        <w:jc w:val="center"/>
      </w:pPr>
      <w:bookmarkStart w:id="12" w:name="_Toc216123262"/>
      <w:bookmarkStart w:id="13" w:name="_Toc216123294"/>
      <w:r w:rsidRPr="004B0500">
        <w:lastRenderedPageBreak/>
        <w:t>CONCLUSION</w:t>
      </w:r>
      <w:bookmarkEnd w:id="12"/>
      <w:bookmarkEnd w:id="13"/>
    </w:p>
    <w:p w14:paraId="647C0571" w14:textId="1192FA22" w:rsidR="00E922E9" w:rsidRDefault="001C24C0" w:rsidP="00E922E9">
      <w:r>
        <w:rPr>
          <w:noProof/>
        </w:rPr>
        <mc:AlternateContent>
          <mc:Choice Requires="wps">
            <w:drawing>
              <wp:anchor distT="45720" distB="45720" distL="114300" distR="114300" simplePos="0" relativeHeight="251673600" behindDoc="0" locked="0" layoutInCell="1" allowOverlap="1" wp14:anchorId="4485683D" wp14:editId="573C0587">
                <wp:simplePos x="0" y="0"/>
                <wp:positionH relativeFrom="margin">
                  <wp:posOffset>138430</wp:posOffset>
                </wp:positionH>
                <wp:positionV relativeFrom="paragraph">
                  <wp:posOffset>289560</wp:posOffset>
                </wp:positionV>
                <wp:extent cx="5575935" cy="8263890"/>
                <wp:effectExtent l="0" t="0" r="0" b="3810"/>
                <wp:wrapNone/>
                <wp:docPr id="20507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935" cy="8263890"/>
                        </a:xfrm>
                        <a:prstGeom prst="rect">
                          <a:avLst/>
                        </a:prstGeom>
                        <a:noFill/>
                        <a:ln w="9525">
                          <a:noFill/>
                          <a:miter lim="800000"/>
                          <a:headEnd/>
                          <a:tailEnd/>
                        </a:ln>
                      </wps:spPr>
                      <wps:txbx>
                        <w:txbxContent>
                          <w:p w14:paraId="5E94CC8C" w14:textId="2E7727BB" w:rsidR="001E3249" w:rsidRPr="001E3249" w:rsidRDefault="001E3249" w:rsidP="00621B75">
                            <w:pPr>
                              <w:spacing w:line="360" w:lineRule="auto"/>
                              <w:rPr>
                                <w:rFonts w:ascii="Cambria" w:hAnsi="Cambria"/>
                                <w:color w:val="333333"/>
                                <w:sz w:val="28"/>
                                <w:szCs w:val="28"/>
                              </w:rPr>
                            </w:pPr>
                            <w:r w:rsidRPr="001E3249">
                              <w:rPr>
                                <w:rFonts w:ascii="Cambria" w:hAnsi="Cambria"/>
                                <w:color w:val="333333"/>
                                <w:sz w:val="28"/>
                                <w:szCs w:val="28"/>
                              </w:rPr>
                              <w:t>Overall, the literature shows that blue team operations have matured significantly, with SIEM-centric SOCs, structured incident response, and proactive threat hunting improving detection speed and resilience in an increasingly hostile threat landscape [1]</w:t>
                            </w:r>
                            <w:r w:rsidRPr="00621B75">
                              <w:rPr>
                                <w:rFonts w:ascii="Cambria" w:hAnsi="Cambria"/>
                                <w:color w:val="333333"/>
                                <w:sz w:val="28"/>
                                <w:szCs w:val="28"/>
                              </w:rPr>
                              <w:t xml:space="preserve"> </w:t>
                            </w:r>
                            <w:r w:rsidRPr="001E3249">
                              <w:rPr>
                                <w:rFonts w:ascii="Cambria" w:hAnsi="Cambria"/>
                                <w:color w:val="333333"/>
                                <w:sz w:val="28"/>
                                <w:szCs w:val="28"/>
                              </w:rPr>
                              <w:t>[4]. Nonetheless, important limitations remain: SIEM deployments are often noisy and fragmented; incident response can be reactive and organisationally isolated; and human factors, including skills, fatigue, and communication, constrain the impact of technical investments. Emerging approaches—AI-assisted analytics, unified SIEM/XDR platforms, and red-team exercises—offer promising enhancements but also create new dependencies and trust challenges [7]</w:t>
                            </w:r>
                            <w:r w:rsidRPr="00621B75">
                              <w:rPr>
                                <w:rFonts w:ascii="Cambria" w:hAnsi="Cambria"/>
                                <w:color w:val="333333"/>
                                <w:sz w:val="28"/>
                                <w:szCs w:val="28"/>
                              </w:rPr>
                              <w:t xml:space="preserve"> </w:t>
                            </w:r>
                            <w:r w:rsidRPr="001E3249">
                              <w:rPr>
                                <w:rFonts w:ascii="Cambria" w:hAnsi="Cambria"/>
                                <w:color w:val="333333"/>
                                <w:sz w:val="28"/>
                                <w:szCs w:val="28"/>
                              </w:rPr>
                              <w:t>[9]. The most effective blue teams adopt a socio-technical perspective: engineering high-quality telemetry and playbooks, measuring what truly matters, and continuously developing their people through realistic practice and cross-functional collaboration. For organisations seeking to improve cyber resilience, investing in balanced, evidence-based blue-team operations is no longer optional; it is essential.</w:t>
                            </w:r>
                          </w:p>
                          <w:p w14:paraId="6D38B993" w14:textId="7AE15736" w:rsidR="001C24C0" w:rsidRDefault="001C24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5683D" id="_x0000_s1034" type="#_x0000_t202" style="position:absolute;margin-left:10.9pt;margin-top:22.8pt;width:439.05pt;height:650.7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" filled="f" stroked="f">
                <v:textbox>
                  <w:txbxContent>
                    <w:p w14:paraId="5E94CC8C" w14:textId="2E7727BB" w:rsidR="001E3249" w:rsidRPr="001E3249" w:rsidRDefault="001E3249" w:rsidP="00621B75">
                      <w:pPr>
                        <w:spacing w:line="360" w:lineRule="auto"/>
                        <w:rPr>
                          <w:rFonts w:ascii="Cambria" w:hAnsi="Cambria"/>
                          <w:color w:val="333333"/>
                          <w:sz w:val="28"/>
                          <w:szCs w:val="28"/>
                        </w:rPr>
                      </w:pPr>
                      <w:r w:rsidRPr="001E3249">
                        <w:rPr>
                          <w:rFonts w:ascii="Cambria" w:hAnsi="Cambria"/>
                          <w:color w:val="333333"/>
                          <w:sz w:val="28"/>
                          <w:szCs w:val="28"/>
                        </w:rPr>
                        <w:t>Overall, the literature shows that blue team operations have matured significantly, with SIEM-centric SOCs, structured incident response, and proactive threat hunting improving detection speed and resilience in an increasingly hostile threat landscape [1]</w:t>
                      </w:r>
                      <w:r w:rsidRPr="00621B75">
                        <w:rPr>
                          <w:rFonts w:ascii="Cambria" w:hAnsi="Cambria"/>
                          <w:color w:val="333333"/>
                          <w:sz w:val="28"/>
                          <w:szCs w:val="28"/>
                        </w:rPr>
                        <w:t xml:space="preserve"> </w:t>
                      </w:r>
                      <w:r w:rsidRPr="001E3249">
                        <w:rPr>
                          <w:rFonts w:ascii="Cambria" w:hAnsi="Cambria"/>
                          <w:color w:val="333333"/>
                          <w:sz w:val="28"/>
                          <w:szCs w:val="28"/>
                        </w:rPr>
                        <w:t>[4]. Nonetheless, important limitations remain: SIEM deployments are often noisy and fragmented; incident response can be reactive and organisationally isolated; and human factors, including skills, fatigue, and communication, constrain the impact of technical investments. Emerging approaches—AI-assisted analytics, unified SIEM/XDR platforms, and red-team exercises—offer promising enhancements but also create new dependencies and trust challenges [7]</w:t>
                      </w:r>
                      <w:r w:rsidRPr="00621B75">
                        <w:rPr>
                          <w:rFonts w:ascii="Cambria" w:hAnsi="Cambria"/>
                          <w:color w:val="333333"/>
                          <w:sz w:val="28"/>
                          <w:szCs w:val="28"/>
                        </w:rPr>
                        <w:t xml:space="preserve"> </w:t>
                      </w:r>
                      <w:r w:rsidRPr="001E3249">
                        <w:rPr>
                          <w:rFonts w:ascii="Cambria" w:hAnsi="Cambria"/>
                          <w:color w:val="333333"/>
                          <w:sz w:val="28"/>
                          <w:szCs w:val="28"/>
                        </w:rPr>
                        <w:t>[9]. The most effective blue teams adopt a socio-technical perspective: engineering high-quality telemetry and playbooks, measuring what truly matters, and continuously developing their people through realistic practice and cross-functional collaboration. For organisations seeking to improve cyber resilience, investing in balanced, evidence-based blue-team operations is no longer optional; it is essential.</w:t>
                      </w:r>
                    </w:p>
                    <w:p w14:paraId="6D38B993" w14:textId="7AE15736" w:rsidR="001C24C0" w:rsidRDefault="001C24C0"/>
                  </w:txbxContent>
                </v:textbox>
                <w10:wrap anchorx="margin"/>
              </v:shape>
            </w:pict>
          </mc:Fallback>
        </mc:AlternateContent>
      </w:r>
    </w:p>
    <w:p w14:paraId="5DAFD9B4" w14:textId="00672F6C" w:rsidR="00E922E9" w:rsidRDefault="00E922E9" w:rsidP="00E922E9"/>
    <w:p w14:paraId="426D588A" w14:textId="587B0D7B" w:rsidR="00E922E9" w:rsidRDefault="00E922E9" w:rsidP="00E922E9"/>
    <w:p w14:paraId="27830BA5" w14:textId="1A9C6F77" w:rsidR="00E922E9" w:rsidRDefault="00E922E9" w:rsidP="00E922E9"/>
    <w:p w14:paraId="2D4CE109" w14:textId="77777777" w:rsidR="00E922E9" w:rsidRDefault="00E922E9" w:rsidP="00E922E9"/>
    <w:p w14:paraId="00A09286" w14:textId="77777777" w:rsidR="00E922E9" w:rsidRDefault="00E922E9" w:rsidP="00E922E9"/>
    <w:p w14:paraId="000F0994" w14:textId="77777777" w:rsidR="00E922E9" w:rsidRDefault="00E922E9" w:rsidP="00E922E9"/>
    <w:p w14:paraId="0857F28E" w14:textId="77777777" w:rsidR="00E922E9" w:rsidRDefault="00E922E9" w:rsidP="00E922E9"/>
    <w:p w14:paraId="6B7E04E0" w14:textId="77777777" w:rsidR="00E922E9" w:rsidRDefault="00E922E9" w:rsidP="00E922E9"/>
    <w:p w14:paraId="480458EC" w14:textId="77777777" w:rsidR="00E922E9" w:rsidRDefault="00E922E9" w:rsidP="00E922E9"/>
    <w:p w14:paraId="6A928AFE" w14:textId="77777777" w:rsidR="00E922E9" w:rsidRDefault="00E922E9" w:rsidP="00E922E9"/>
    <w:p w14:paraId="3715E504" w14:textId="77777777" w:rsidR="00E922E9" w:rsidRDefault="00E922E9" w:rsidP="00E922E9"/>
    <w:p w14:paraId="528C3A28" w14:textId="77777777" w:rsidR="00E922E9" w:rsidRDefault="00E922E9" w:rsidP="00E922E9"/>
    <w:p w14:paraId="411ED5A2" w14:textId="77777777" w:rsidR="00E922E9" w:rsidRDefault="00E922E9" w:rsidP="00E922E9"/>
    <w:p w14:paraId="36BEC30A" w14:textId="77777777" w:rsidR="00E922E9" w:rsidRDefault="00E922E9" w:rsidP="00E922E9"/>
    <w:p w14:paraId="2C0D636D" w14:textId="77777777" w:rsidR="00E922E9" w:rsidRDefault="00E922E9" w:rsidP="00E922E9"/>
    <w:p w14:paraId="465D7972" w14:textId="77777777" w:rsidR="00E922E9" w:rsidRDefault="00E922E9" w:rsidP="00E922E9"/>
    <w:p w14:paraId="161AB110" w14:textId="77777777" w:rsidR="00E922E9" w:rsidRDefault="00E922E9" w:rsidP="00E922E9"/>
    <w:p w14:paraId="2E9B253D" w14:textId="77777777" w:rsidR="00E922E9" w:rsidRDefault="00E922E9" w:rsidP="00E922E9"/>
    <w:p w14:paraId="5E0B2BEE" w14:textId="77777777" w:rsidR="00E922E9" w:rsidRDefault="00E922E9" w:rsidP="00E922E9"/>
    <w:p w14:paraId="31F3C1C7" w14:textId="77777777" w:rsidR="00E922E9" w:rsidRDefault="00E922E9" w:rsidP="00E922E9"/>
    <w:p w14:paraId="2697886E" w14:textId="77777777" w:rsidR="00E922E9" w:rsidRDefault="00E922E9" w:rsidP="00E922E9"/>
    <w:p w14:paraId="189EBAFE" w14:textId="77777777" w:rsidR="00E922E9" w:rsidRDefault="00E922E9" w:rsidP="00E922E9"/>
    <w:p w14:paraId="0BDFC967" w14:textId="77777777" w:rsidR="00E922E9" w:rsidRDefault="00E922E9" w:rsidP="00E922E9"/>
    <w:p w14:paraId="63ED2A93" w14:textId="77777777" w:rsidR="00E922E9" w:rsidRDefault="00E922E9" w:rsidP="00E922E9"/>
    <w:p w14:paraId="33A8F772" w14:textId="77777777" w:rsidR="00E922E9" w:rsidRDefault="00E922E9" w:rsidP="00E922E9"/>
    <w:p w14:paraId="60AD0854" w14:textId="77777777" w:rsidR="00E922E9" w:rsidRDefault="00E922E9" w:rsidP="00E922E9"/>
    <w:p w14:paraId="595FD7B1" w14:textId="77777777" w:rsidR="00E922E9" w:rsidRDefault="00E922E9" w:rsidP="00E922E9"/>
    <w:p w14:paraId="086122AA" w14:textId="77777777" w:rsidR="00E922E9" w:rsidRPr="00E922E9" w:rsidRDefault="00E922E9" w:rsidP="00E922E9"/>
    <w:p w14:paraId="110A2129" w14:textId="7D30626C" w:rsidR="00791AB3" w:rsidRPr="00500C40" w:rsidRDefault="00791AB3" w:rsidP="00500C40">
      <w:pPr>
        <w:pStyle w:val="Heading1"/>
        <w:jc w:val="center"/>
      </w:pPr>
      <w:bookmarkStart w:id="14" w:name="_Toc216123263"/>
      <w:bookmarkStart w:id="15" w:name="_Toc216123295"/>
      <w:r w:rsidRPr="00500C40">
        <w:lastRenderedPageBreak/>
        <w:t>REFERENCES</w:t>
      </w:r>
      <w:bookmarkEnd w:id="14"/>
      <w:bookmarkEnd w:id="15"/>
    </w:p>
    <w:sdt>
      <w:sdtPr>
        <w:id w:val="800034656"/>
        <w:docPartObj>
          <w:docPartGallery w:val="Bibliographies"/>
          <w:docPartUnique/>
        </w:docPartObj>
      </w:sdtPr>
      <w:sdtEndPr>
        <w:rPr>
          <w:rFonts w:asciiTheme="minorHAnsi" w:eastAsiaTheme="minorHAnsi" w:hAnsiTheme="minorHAnsi" w:cstheme="minorBidi"/>
          <w:color w:val="auto"/>
          <w:sz w:val="22"/>
          <w:szCs w:val="22"/>
        </w:rPr>
      </w:sdtEndPr>
      <w:sdtContent>
        <w:p w14:paraId="63D27459" w14:textId="56C2E0BD" w:rsidR="00500C40" w:rsidRDefault="00500C40">
          <w:pPr>
            <w:pStyle w:val="Heading1"/>
          </w:pPr>
        </w:p>
        <w:sdt>
          <w:sdtPr>
            <w:id w:val="-573587230"/>
            <w:bibliography/>
          </w:sdtPr>
          <w:sdtContent>
            <w:p w14:paraId="03884610" w14:textId="77777777" w:rsidR="00500C40" w:rsidRDefault="00500C4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9"/>
                <w:gridCol w:w="8517"/>
              </w:tblGrid>
              <w:tr w:rsidR="00500C40" w14:paraId="77FF4B87" w14:textId="77777777">
                <w:trPr>
                  <w:divId w:val="1443379505"/>
                  <w:tblCellSpacing w:w="15" w:type="dxa"/>
                </w:trPr>
                <w:tc>
                  <w:tcPr>
                    <w:tcW w:w="50" w:type="pct"/>
                    <w:hideMark/>
                  </w:tcPr>
                  <w:p w14:paraId="32CE7823" w14:textId="49F97EF4" w:rsidR="00500C40" w:rsidRPr="00621B75" w:rsidRDefault="00500C40" w:rsidP="00621B75">
                    <w:pPr>
                      <w:pStyle w:val="Bibliography"/>
                      <w:spacing w:line="360" w:lineRule="auto"/>
                      <w:rPr>
                        <w:rFonts w:ascii="Cambria" w:hAnsi="Cambria"/>
                        <w:noProof/>
                        <w:color w:val="333333"/>
                        <w:kern w:val="0"/>
                        <w:sz w:val="24"/>
                        <w:szCs w:val="24"/>
                        <w14:ligatures w14:val="none"/>
                      </w:rPr>
                    </w:pPr>
                    <w:r w:rsidRPr="00621B75">
                      <w:rPr>
                        <w:rFonts w:ascii="Cambria" w:hAnsi="Cambria"/>
                        <w:noProof/>
                        <w:color w:val="333333"/>
                        <w:sz w:val="24"/>
                        <w:szCs w:val="24"/>
                      </w:rPr>
                      <w:t xml:space="preserve">[1] </w:t>
                    </w:r>
                  </w:p>
                </w:tc>
                <w:tc>
                  <w:tcPr>
                    <w:tcW w:w="0" w:type="auto"/>
                    <w:hideMark/>
                  </w:tcPr>
                  <w:p w14:paraId="35E39CB3"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I. a. T. Department for Science, “Cyber Security Breaches Survey 2024,” UK Government, London, 2024.</w:t>
                    </w:r>
                  </w:p>
                </w:tc>
              </w:tr>
              <w:tr w:rsidR="00500C40" w14:paraId="0781A3D9" w14:textId="77777777">
                <w:trPr>
                  <w:divId w:val="1443379505"/>
                  <w:tblCellSpacing w:w="15" w:type="dxa"/>
                </w:trPr>
                <w:tc>
                  <w:tcPr>
                    <w:tcW w:w="50" w:type="pct"/>
                    <w:hideMark/>
                  </w:tcPr>
                  <w:p w14:paraId="18016558"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[2] </w:t>
                    </w:r>
                  </w:p>
                </w:tc>
                <w:tc>
                  <w:tcPr>
                    <w:tcW w:w="0" w:type="auto"/>
                    <w:hideMark/>
                  </w:tcPr>
                  <w:p w14:paraId="089998A5"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V. E. Solutions, “2024 Data Breach Investigations Report,” Verizon, New York, 2024.</w:t>
                    </w:r>
                  </w:p>
                </w:tc>
              </w:tr>
              <w:tr w:rsidR="00500C40" w14:paraId="5ADF7A6E" w14:textId="77777777">
                <w:trPr>
                  <w:divId w:val="1443379505"/>
                  <w:tblCellSpacing w:w="15" w:type="dxa"/>
                </w:trPr>
                <w:tc>
                  <w:tcPr>
                    <w:tcW w:w="50" w:type="pct"/>
                    <w:hideMark/>
                  </w:tcPr>
                  <w:p w14:paraId="13776E43"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[3] </w:t>
                    </w:r>
                  </w:p>
                </w:tc>
                <w:tc>
                  <w:tcPr>
                    <w:tcW w:w="0" w:type="auto"/>
                    <w:hideMark/>
                  </w:tcPr>
                  <w:p w14:paraId="67CDBD2E"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E. U. A. f. C. (ENISA), “ENISA Threat Landscape 2024,” ENISA, Athens, Greece, 2024.</w:t>
                    </w:r>
                  </w:p>
                </w:tc>
              </w:tr>
              <w:tr w:rsidR="00500C40" w14:paraId="59C65C73" w14:textId="77777777">
                <w:trPr>
                  <w:divId w:val="1443379505"/>
                  <w:tblCellSpacing w:w="15" w:type="dxa"/>
                </w:trPr>
                <w:tc>
                  <w:tcPr>
                    <w:tcW w:w="50" w:type="pct"/>
                    <w:hideMark/>
                  </w:tcPr>
                  <w:p w14:paraId="4A68BD4E"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[4] </w:t>
                    </w:r>
                  </w:p>
                </w:tc>
                <w:tc>
                  <w:tcPr>
                    <w:tcW w:w="0" w:type="auto"/>
                    <w:hideMark/>
                  </w:tcPr>
                  <w:p w14:paraId="2F333008"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C. e. a. Crowley, “SANS 2023 SOC Survey,” SANS Institute, 2023.</w:t>
                    </w:r>
                  </w:p>
                </w:tc>
              </w:tr>
              <w:tr w:rsidR="00500C40" w14:paraId="6074DBF0" w14:textId="77777777">
                <w:trPr>
                  <w:divId w:val="1443379505"/>
                  <w:tblCellSpacing w:w="15" w:type="dxa"/>
                </w:trPr>
                <w:tc>
                  <w:tcPr>
                    <w:tcW w:w="50" w:type="pct"/>
                    <w:hideMark/>
                  </w:tcPr>
                  <w:p w14:paraId="29D594CD"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[5] </w:t>
                    </w:r>
                  </w:p>
                </w:tc>
                <w:tc>
                  <w:tcPr>
                    <w:tcW w:w="0" w:type="auto"/>
                    <w:hideMark/>
                  </w:tcPr>
                  <w:p w14:paraId="01BA3AF8"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R. Meier, “Blue Team Fundamentals: Roles and Tools in a Security Operations Center,” Independent Publication, 2024.</w:t>
                    </w:r>
                  </w:p>
                </w:tc>
              </w:tr>
              <w:tr w:rsidR="00500C40" w14:paraId="044E5CC7" w14:textId="77777777">
                <w:trPr>
                  <w:divId w:val="1443379505"/>
                  <w:tblCellSpacing w:w="15" w:type="dxa"/>
                </w:trPr>
                <w:tc>
                  <w:tcPr>
                    <w:tcW w:w="50" w:type="pct"/>
                    <w:hideMark/>
                  </w:tcPr>
                  <w:p w14:paraId="7E266798"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[6] </w:t>
                    </w:r>
                  </w:p>
                </w:tc>
                <w:tc>
                  <w:tcPr>
                    <w:tcW w:w="0" w:type="auto"/>
                    <w:hideMark/>
                  </w:tcPr>
                  <w:p w14:paraId="22612828"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J. e. a. Forsberg, “Technical Performance Metrics of a Security Operations Center,” </w:t>
                    </w:r>
                    <w:r w:rsidRPr="00621B75">
                      <w:rPr>
                        <w:rFonts w:ascii="Cambria" w:hAnsi="Cambria"/>
                        <w:i/>
                        <w:iCs/>
                        <w:noProof/>
                        <w:color w:val="333333"/>
                        <w:sz w:val="24"/>
                        <w:szCs w:val="24"/>
                      </w:rPr>
                      <w:t xml:space="preserve">Computers &amp; Security, </w:t>
                    </w:r>
                    <w:r w:rsidRPr="00621B75">
                      <w:rPr>
                        <w:rFonts w:ascii="Cambria" w:hAnsi="Cambria"/>
                        <w:noProof/>
                        <w:color w:val="333333"/>
                        <w:sz w:val="24"/>
                        <w:szCs w:val="24"/>
                      </w:rPr>
                      <w:t xml:space="preserve">2023. </w:t>
                    </w:r>
                  </w:p>
                </w:tc>
              </w:tr>
              <w:tr w:rsidR="00500C40" w14:paraId="6AFD4BB8" w14:textId="77777777">
                <w:trPr>
                  <w:divId w:val="1443379505"/>
                  <w:tblCellSpacing w:w="15" w:type="dxa"/>
                </w:trPr>
                <w:tc>
                  <w:tcPr>
                    <w:tcW w:w="50" w:type="pct"/>
                    <w:hideMark/>
                  </w:tcPr>
                  <w:p w14:paraId="4D49F464"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[7] </w:t>
                    </w:r>
                  </w:p>
                </w:tc>
                <w:tc>
                  <w:tcPr>
                    <w:tcW w:w="0" w:type="auto"/>
                    <w:hideMark/>
                  </w:tcPr>
                  <w:p w14:paraId="29317FB7"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S. Institute, “SANS 2023 Incident Response Survey,” SANS Institute , 2023.</w:t>
                    </w:r>
                  </w:p>
                </w:tc>
              </w:tr>
              <w:tr w:rsidR="00500C40" w14:paraId="774179FA" w14:textId="77777777">
                <w:trPr>
                  <w:divId w:val="1443379505"/>
                  <w:tblCellSpacing w:w="15" w:type="dxa"/>
                </w:trPr>
                <w:tc>
                  <w:tcPr>
                    <w:tcW w:w="50" w:type="pct"/>
                    <w:hideMark/>
                  </w:tcPr>
                  <w:p w14:paraId="124ED38C"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[8] </w:t>
                    </w:r>
                  </w:p>
                </w:tc>
                <w:tc>
                  <w:tcPr>
                    <w:tcW w:w="0" w:type="auto"/>
                    <w:hideMark/>
                  </w:tcPr>
                  <w:p w14:paraId="75166584"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“Unified Threat Detection Platform with AI, SIEM and XDR,” 2025.</w:t>
                    </w:r>
                  </w:p>
                </w:tc>
              </w:tr>
              <w:tr w:rsidR="00500C40" w14:paraId="0DEAFF44" w14:textId="77777777">
                <w:trPr>
                  <w:divId w:val="1443379505"/>
                  <w:tblCellSpacing w:w="15" w:type="dxa"/>
                </w:trPr>
                <w:tc>
                  <w:tcPr>
                    <w:tcW w:w="50" w:type="pct"/>
                    <w:hideMark/>
                  </w:tcPr>
                  <w:p w14:paraId="25F163EF"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[9] </w:t>
                    </w:r>
                  </w:p>
                </w:tc>
                <w:tc>
                  <w:tcPr>
                    <w:tcW w:w="0" w:type="auto"/>
                    <w:hideMark/>
                  </w:tcPr>
                  <w:p w14:paraId="389381E5"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A. e. a. Dijk, “Next Steps in Cyber Blue Team Automation—Leveraging AI for SOC Operations,” in </w:t>
                    </w:r>
                    <w:r w:rsidRPr="00621B75">
                      <w:rPr>
                        <w:rFonts w:ascii="Cambria" w:hAnsi="Cambria"/>
                        <w:i/>
                        <w:iCs/>
                        <w:noProof/>
                        <w:color w:val="333333"/>
                        <w:sz w:val="24"/>
                        <w:szCs w:val="24"/>
                      </w:rPr>
                      <w:t>CyCon</w:t>
                    </w:r>
                    <w:r w:rsidRPr="00621B75">
                      <w:rPr>
                        <w:rFonts w:ascii="Cambria" w:hAnsi="Cambria"/>
                        <w:noProof/>
                        <w:color w:val="333333"/>
                        <w:sz w:val="24"/>
                        <w:szCs w:val="24"/>
                      </w:rPr>
                      <w:t xml:space="preserve">, 2025. </w:t>
                    </w:r>
                  </w:p>
                </w:tc>
              </w:tr>
              <w:tr w:rsidR="00500C40" w14:paraId="36C1FC09" w14:textId="77777777">
                <w:trPr>
                  <w:divId w:val="1443379505"/>
                  <w:tblCellSpacing w:w="15" w:type="dxa"/>
                </w:trPr>
                <w:tc>
                  <w:tcPr>
                    <w:tcW w:w="50" w:type="pct"/>
                    <w:hideMark/>
                  </w:tcPr>
                  <w:p w14:paraId="0B4F9BB6"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 xml:space="preserve">[10] </w:t>
                    </w:r>
                  </w:p>
                </w:tc>
                <w:tc>
                  <w:tcPr>
                    <w:tcW w:w="0" w:type="auto"/>
                    <w:hideMark/>
                  </w:tcPr>
                  <w:p w14:paraId="08155DF4" w14:textId="77777777" w:rsidR="00500C40" w:rsidRPr="00621B75" w:rsidRDefault="00500C40" w:rsidP="00621B75">
                    <w:pPr>
                      <w:pStyle w:val="Bibliography"/>
                      <w:spacing w:line="360" w:lineRule="auto"/>
                      <w:rPr>
                        <w:rFonts w:ascii="Cambria" w:hAnsi="Cambria"/>
                        <w:noProof/>
                        <w:color w:val="333333"/>
                        <w:sz w:val="24"/>
                        <w:szCs w:val="24"/>
                      </w:rPr>
                    </w:pPr>
                    <w:r w:rsidRPr="00621B75">
                      <w:rPr>
                        <w:rFonts w:ascii="Cambria" w:hAnsi="Cambria"/>
                        <w:noProof/>
                        <w:color w:val="333333"/>
                        <w:sz w:val="24"/>
                        <w:szCs w:val="24"/>
                      </w:rPr>
                      <w:t>“Red Team vs Blue Team: Assessing Cybersecurity Resilience Through Simulated Attacks,” 2020.</w:t>
                    </w:r>
                  </w:p>
                </w:tc>
              </w:tr>
            </w:tbl>
            <w:p w14:paraId="4AEEA70E" w14:textId="77777777" w:rsidR="00500C40" w:rsidRDefault="00500C40">
              <w:pPr>
                <w:divId w:val="1443379505"/>
                <w:rPr>
                  <w:rFonts w:eastAsia="Times New Roman"/>
                  <w:noProof/>
                </w:rPr>
              </w:pPr>
            </w:p>
            <w:p w14:paraId="1BC66EB3" w14:textId="49898CF5" w:rsidR="00500C40" w:rsidRDefault="00500C40">
              <w:r>
                <w:rPr>
                  <w:b/>
                  <w:bCs/>
                  <w:noProof/>
                </w:rPr>
                <w:fldChar w:fldCharType="end"/>
              </w:r>
            </w:p>
          </w:sdtContent>
        </w:sdt>
      </w:sdtContent>
    </w:sdt>
    <w:p w14:paraId="3F8C190B" w14:textId="77777777" w:rsidR="007D53C9" w:rsidRPr="007D53C9" w:rsidRDefault="007D53C9" w:rsidP="007D53C9"/>
    <w:p w14:paraId="120305CA" w14:textId="21AB67CD" w:rsidR="00B41A33" w:rsidRPr="00B41A33" w:rsidRDefault="00B41A33" w:rsidP="00B41A33"/>
    <w:sectPr w:rsidR="00B41A33" w:rsidRPr="00B41A33" w:rsidSect="00ED00A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2F7F0" w14:textId="77777777" w:rsidR="00104D57" w:rsidRDefault="00104D57" w:rsidP="00FE40D1">
      <w:pPr>
        <w:spacing w:after="0" w:line="240" w:lineRule="auto"/>
      </w:pPr>
      <w:r>
        <w:separator/>
      </w:r>
    </w:p>
  </w:endnote>
  <w:endnote w:type="continuationSeparator" w:id="0">
    <w:p w14:paraId="0096B645" w14:textId="77777777" w:rsidR="00104D57" w:rsidRDefault="00104D57" w:rsidP="00FE4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9CCEC" w14:textId="77777777" w:rsidR="00104D57" w:rsidRDefault="00104D57" w:rsidP="00FE40D1">
      <w:pPr>
        <w:spacing w:after="0" w:line="240" w:lineRule="auto"/>
      </w:pPr>
      <w:r>
        <w:separator/>
      </w:r>
    </w:p>
  </w:footnote>
  <w:footnote w:type="continuationSeparator" w:id="0">
    <w:p w14:paraId="2846AA17" w14:textId="77777777" w:rsidR="00104D57" w:rsidRDefault="00104D57" w:rsidP="00FE4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D048B"/>
    <w:multiLevelType w:val="hybridMultilevel"/>
    <w:tmpl w:val="8E88584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96000"/>
    <w:multiLevelType w:val="hybridMultilevel"/>
    <w:tmpl w:val="D3200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F66031"/>
    <w:multiLevelType w:val="hybridMultilevel"/>
    <w:tmpl w:val="EAFC69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315770"/>
    <w:multiLevelType w:val="hybridMultilevel"/>
    <w:tmpl w:val="519648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3AB3F4E"/>
    <w:multiLevelType w:val="hybridMultilevel"/>
    <w:tmpl w:val="825EE83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B037C26"/>
    <w:multiLevelType w:val="hybridMultilevel"/>
    <w:tmpl w:val="0BFC2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C7F15"/>
    <w:multiLevelType w:val="hybridMultilevel"/>
    <w:tmpl w:val="28C8EE6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675C94"/>
    <w:multiLevelType w:val="hybridMultilevel"/>
    <w:tmpl w:val="E6B086B2"/>
    <w:lvl w:ilvl="0" w:tplc="4EFA5B3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ADC6D82"/>
    <w:multiLevelType w:val="hybridMultilevel"/>
    <w:tmpl w:val="C5D64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44083D"/>
    <w:multiLevelType w:val="hybridMultilevel"/>
    <w:tmpl w:val="DAF80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8014552">
    <w:abstractNumId w:val="8"/>
  </w:num>
  <w:num w:numId="2" w16cid:durableId="1380741016">
    <w:abstractNumId w:val="9"/>
  </w:num>
  <w:num w:numId="3" w16cid:durableId="1023241881">
    <w:abstractNumId w:val="2"/>
  </w:num>
  <w:num w:numId="4" w16cid:durableId="573315667">
    <w:abstractNumId w:val="3"/>
  </w:num>
  <w:num w:numId="5" w16cid:durableId="1022971226">
    <w:abstractNumId w:val="5"/>
  </w:num>
  <w:num w:numId="6" w16cid:durableId="1563372744">
    <w:abstractNumId w:val="4"/>
  </w:num>
  <w:num w:numId="7" w16cid:durableId="176429536">
    <w:abstractNumId w:val="1"/>
  </w:num>
  <w:num w:numId="8" w16cid:durableId="1263950654">
    <w:abstractNumId w:val="6"/>
  </w:num>
  <w:num w:numId="9" w16cid:durableId="1751348172">
    <w:abstractNumId w:val="7"/>
  </w:num>
  <w:num w:numId="10" w16cid:durableId="1440443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9F7"/>
    <w:rsid w:val="00015F69"/>
    <w:rsid w:val="00022963"/>
    <w:rsid w:val="000266B5"/>
    <w:rsid w:val="00052E8A"/>
    <w:rsid w:val="00063B23"/>
    <w:rsid w:val="000741D3"/>
    <w:rsid w:val="00075E36"/>
    <w:rsid w:val="00076790"/>
    <w:rsid w:val="000938BD"/>
    <w:rsid w:val="00095DED"/>
    <w:rsid w:val="000A6BF4"/>
    <w:rsid w:val="000B49AF"/>
    <w:rsid w:val="000D3C28"/>
    <w:rsid w:val="000E285F"/>
    <w:rsid w:val="000E2BBD"/>
    <w:rsid w:val="000E62CD"/>
    <w:rsid w:val="000F3540"/>
    <w:rsid w:val="00104D57"/>
    <w:rsid w:val="001259A6"/>
    <w:rsid w:val="00137F8D"/>
    <w:rsid w:val="00163E0A"/>
    <w:rsid w:val="001B190D"/>
    <w:rsid w:val="001B4F7C"/>
    <w:rsid w:val="001C035E"/>
    <w:rsid w:val="001C24C0"/>
    <w:rsid w:val="001C6785"/>
    <w:rsid w:val="001E0CCE"/>
    <w:rsid w:val="001E3249"/>
    <w:rsid w:val="001E39EF"/>
    <w:rsid w:val="001F7DA6"/>
    <w:rsid w:val="00207032"/>
    <w:rsid w:val="0022357C"/>
    <w:rsid w:val="00225568"/>
    <w:rsid w:val="00240C63"/>
    <w:rsid w:val="002460DF"/>
    <w:rsid w:val="00260430"/>
    <w:rsid w:val="00272511"/>
    <w:rsid w:val="002A122B"/>
    <w:rsid w:val="002B2204"/>
    <w:rsid w:val="002E700A"/>
    <w:rsid w:val="0031564E"/>
    <w:rsid w:val="00315755"/>
    <w:rsid w:val="00321C6A"/>
    <w:rsid w:val="003236F2"/>
    <w:rsid w:val="00327537"/>
    <w:rsid w:val="00334F28"/>
    <w:rsid w:val="00350D56"/>
    <w:rsid w:val="00361366"/>
    <w:rsid w:val="0037493D"/>
    <w:rsid w:val="00374984"/>
    <w:rsid w:val="003764EB"/>
    <w:rsid w:val="00383E36"/>
    <w:rsid w:val="00392735"/>
    <w:rsid w:val="003A221F"/>
    <w:rsid w:val="003A3E79"/>
    <w:rsid w:val="003B171F"/>
    <w:rsid w:val="003C7A93"/>
    <w:rsid w:val="003E6CFB"/>
    <w:rsid w:val="003E7641"/>
    <w:rsid w:val="00420056"/>
    <w:rsid w:val="00420D93"/>
    <w:rsid w:val="004355A2"/>
    <w:rsid w:val="004603A9"/>
    <w:rsid w:val="0047599D"/>
    <w:rsid w:val="004A3EE3"/>
    <w:rsid w:val="004B0500"/>
    <w:rsid w:val="004D4030"/>
    <w:rsid w:val="00500C40"/>
    <w:rsid w:val="00517CE1"/>
    <w:rsid w:val="005552FC"/>
    <w:rsid w:val="005753F5"/>
    <w:rsid w:val="005C549C"/>
    <w:rsid w:val="005D684B"/>
    <w:rsid w:val="005D710E"/>
    <w:rsid w:val="005E1794"/>
    <w:rsid w:val="005F0862"/>
    <w:rsid w:val="00621B75"/>
    <w:rsid w:val="00642D08"/>
    <w:rsid w:val="006600DE"/>
    <w:rsid w:val="006A0251"/>
    <w:rsid w:val="006A093D"/>
    <w:rsid w:val="006A2CEF"/>
    <w:rsid w:val="006A6620"/>
    <w:rsid w:val="006C101F"/>
    <w:rsid w:val="006D4958"/>
    <w:rsid w:val="006F19AA"/>
    <w:rsid w:val="0070428D"/>
    <w:rsid w:val="00741AB6"/>
    <w:rsid w:val="00741F6B"/>
    <w:rsid w:val="007600DE"/>
    <w:rsid w:val="00776CEB"/>
    <w:rsid w:val="00791AB3"/>
    <w:rsid w:val="007932E0"/>
    <w:rsid w:val="0079353B"/>
    <w:rsid w:val="007B43D5"/>
    <w:rsid w:val="007B6474"/>
    <w:rsid w:val="007C0CD4"/>
    <w:rsid w:val="007D2780"/>
    <w:rsid w:val="007D53C9"/>
    <w:rsid w:val="00823ECB"/>
    <w:rsid w:val="00835E16"/>
    <w:rsid w:val="00837F0D"/>
    <w:rsid w:val="00845EDA"/>
    <w:rsid w:val="008616BE"/>
    <w:rsid w:val="00861C58"/>
    <w:rsid w:val="008658F6"/>
    <w:rsid w:val="008766E9"/>
    <w:rsid w:val="00881B7E"/>
    <w:rsid w:val="008E3999"/>
    <w:rsid w:val="008F7AD5"/>
    <w:rsid w:val="009060DA"/>
    <w:rsid w:val="0093587A"/>
    <w:rsid w:val="00940DFF"/>
    <w:rsid w:val="00942DDA"/>
    <w:rsid w:val="00950E89"/>
    <w:rsid w:val="00956757"/>
    <w:rsid w:val="009628CA"/>
    <w:rsid w:val="00965BA0"/>
    <w:rsid w:val="009A78AD"/>
    <w:rsid w:val="009E2999"/>
    <w:rsid w:val="009E71ED"/>
    <w:rsid w:val="00A1144D"/>
    <w:rsid w:val="00A249F7"/>
    <w:rsid w:val="00A547B1"/>
    <w:rsid w:val="00A65952"/>
    <w:rsid w:val="00A9017B"/>
    <w:rsid w:val="00AB344A"/>
    <w:rsid w:val="00AD0CE0"/>
    <w:rsid w:val="00AF13B3"/>
    <w:rsid w:val="00B07A44"/>
    <w:rsid w:val="00B1082D"/>
    <w:rsid w:val="00B217B9"/>
    <w:rsid w:val="00B23E53"/>
    <w:rsid w:val="00B3166A"/>
    <w:rsid w:val="00B41A33"/>
    <w:rsid w:val="00B43DC5"/>
    <w:rsid w:val="00B8118E"/>
    <w:rsid w:val="00B81647"/>
    <w:rsid w:val="00BD3E83"/>
    <w:rsid w:val="00BF46A8"/>
    <w:rsid w:val="00C06C78"/>
    <w:rsid w:val="00C175F3"/>
    <w:rsid w:val="00C8790B"/>
    <w:rsid w:val="00CE39B3"/>
    <w:rsid w:val="00CE7EDB"/>
    <w:rsid w:val="00D21929"/>
    <w:rsid w:val="00D72B62"/>
    <w:rsid w:val="00DB68F1"/>
    <w:rsid w:val="00DD01D1"/>
    <w:rsid w:val="00DF272C"/>
    <w:rsid w:val="00E0198E"/>
    <w:rsid w:val="00E029F3"/>
    <w:rsid w:val="00E05EE6"/>
    <w:rsid w:val="00E060E0"/>
    <w:rsid w:val="00E10952"/>
    <w:rsid w:val="00E17F88"/>
    <w:rsid w:val="00E421B6"/>
    <w:rsid w:val="00E4278D"/>
    <w:rsid w:val="00E45DF2"/>
    <w:rsid w:val="00E620E8"/>
    <w:rsid w:val="00E73A3D"/>
    <w:rsid w:val="00E74BB8"/>
    <w:rsid w:val="00E83220"/>
    <w:rsid w:val="00E922E9"/>
    <w:rsid w:val="00E93005"/>
    <w:rsid w:val="00E96A6E"/>
    <w:rsid w:val="00EA0280"/>
    <w:rsid w:val="00EA40E3"/>
    <w:rsid w:val="00EB3D8E"/>
    <w:rsid w:val="00EC7068"/>
    <w:rsid w:val="00ED00A1"/>
    <w:rsid w:val="00F2700E"/>
    <w:rsid w:val="00F503B7"/>
    <w:rsid w:val="00F52103"/>
    <w:rsid w:val="00F52613"/>
    <w:rsid w:val="00F570F3"/>
    <w:rsid w:val="00F73BF0"/>
    <w:rsid w:val="00F929F0"/>
    <w:rsid w:val="00F9408A"/>
    <w:rsid w:val="00FD42A8"/>
    <w:rsid w:val="00FE40D1"/>
    <w:rsid w:val="00FE608A"/>
    <w:rsid w:val="00FF095D"/>
    <w:rsid w:val="00FF2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99B95"/>
  <w15:chartTrackingRefBased/>
  <w15:docId w15:val="{04B7AFE1-3278-48A7-B462-513A4F8C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9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9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49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9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9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9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9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9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9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9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9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9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9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9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9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9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9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9F7"/>
    <w:rPr>
      <w:rFonts w:eastAsiaTheme="majorEastAsia" w:cstheme="majorBidi"/>
      <w:color w:val="272727" w:themeColor="text1" w:themeTint="D8"/>
    </w:rPr>
  </w:style>
  <w:style w:type="paragraph" w:styleId="Title">
    <w:name w:val="Title"/>
    <w:basedOn w:val="Normal"/>
    <w:next w:val="Normal"/>
    <w:link w:val="TitleChar"/>
    <w:uiPriority w:val="10"/>
    <w:qFormat/>
    <w:rsid w:val="00A249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9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9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9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9F7"/>
    <w:pPr>
      <w:spacing w:before="160"/>
      <w:jc w:val="center"/>
    </w:pPr>
    <w:rPr>
      <w:i/>
      <w:iCs/>
      <w:color w:val="404040" w:themeColor="text1" w:themeTint="BF"/>
    </w:rPr>
  </w:style>
  <w:style w:type="character" w:customStyle="1" w:styleId="QuoteChar">
    <w:name w:val="Quote Char"/>
    <w:basedOn w:val="DefaultParagraphFont"/>
    <w:link w:val="Quote"/>
    <w:uiPriority w:val="29"/>
    <w:rsid w:val="00A249F7"/>
    <w:rPr>
      <w:i/>
      <w:iCs/>
      <w:color w:val="404040" w:themeColor="text1" w:themeTint="BF"/>
    </w:rPr>
  </w:style>
  <w:style w:type="paragraph" w:styleId="ListParagraph">
    <w:name w:val="List Paragraph"/>
    <w:basedOn w:val="Normal"/>
    <w:uiPriority w:val="34"/>
    <w:qFormat/>
    <w:rsid w:val="00A249F7"/>
    <w:pPr>
      <w:ind w:left="720"/>
      <w:contextualSpacing/>
    </w:pPr>
  </w:style>
  <w:style w:type="character" w:styleId="IntenseEmphasis">
    <w:name w:val="Intense Emphasis"/>
    <w:basedOn w:val="DefaultParagraphFont"/>
    <w:uiPriority w:val="21"/>
    <w:qFormat/>
    <w:rsid w:val="00A249F7"/>
    <w:rPr>
      <w:i/>
      <w:iCs/>
      <w:color w:val="0F4761" w:themeColor="accent1" w:themeShade="BF"/>
    </w:rPr>
  </w:style>
  <w:style w:type="paragraph" w:styleId="IntenseQuote">
    <w:name w:val="Intense Quote"/>
    <w:basedOn w:val="Normal"/>
    <w:next w:val="Normal"/>
    <w:link w:val="IntenseQuoteChar"/>
    <w:uiPriority w:val="30"/>
    <w:qFormat/>
    <w:rsid w:val="00A249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9F7"/>
    <w:rPr>
      <w:i/>
      <w:iCs/>
      <w:color w:val="0F4761" w:themeColor="accent1" w:themeShade="BF"/>
    </w:rPr>
  </w:style>
  <w:style w:type="character" w:styleId="IntenseReference">
    <w:name w:val="Intense Reference"/>
    <w:basedOn w:val="DefaultParagraphFont"/>
    <w:uiPriority w:val="32"/>
    <w:qFormat/>
    <w:rsid w:val="00A249F7"/>
    <w:rPr>
      <w:b/>
      <w:bCs/>
      <w:smallCaps/>
      <w:color w:val="0F4761" w:themeColor="accent1" w:themeShade="BF"/>
      <w:spacing w:val="5"/>
    </w:rPr>
  </w:style>
  <w:style w:type="paragraph" w:styleId="TOCHeading">
    <w:name w:val="TOC Heading"/>
    <w:basedOn w:val="Heading1"/>
    <w:next w:val="Normal"/>
    <w:uiPriority w:val="39"/>
    <w:unhideWhenUsed/>
    <w:qFormat/>
    <w:rsid w:val="00F5261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2613"/>
    <w:pPr>
      <w:spacing w:after="100"/>
    </w:pPr>
  </w:style>
  <w:style w:type="character" w:styleId="Hyperlink">
    <w:name w:val="Hyperlink"/>
    <w:basedOn w:val="DefaultParagraphFont"/>
    <w:uiPriority w:val="99"/>
    <w:unhideWhenUsed/>
    <w:rsid w:val="00F52613"/>
    <w:rPr>
      <w:color w:val="467886" w:themeColor="hyperlink"/>
      <w:u w:val="single"/>
    </w:rPr>
  </w:style>
  <w:style w:type="paragraph" w:styleId="Header">
    <w:name w:val="header"/>
    <w:basedOn w:val="Normal"/>
    <w:link w:val="HeaderChar"/>
    <w:uiPriority w:val="99"/>
    <w:unhideWhenUsed/>
    <w:rsid w:val="00FE4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0D1"/>
  </w:style>
  <w:style w:type="paragraph" w:styleId="Footer">
    <w:name w:val="footer"/>
    <w:basedOn w:val="Normal"/>
    <w:link w:val="FooterChar"/>
    <w:uiPriority w:val="99"/>
    <w:unhideWhenUsed/>
    <w:rsid w:val="00FE4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0D1"/>
  </w:style>
  <w:style w:type="paragraph" w:styleId="Bibliography">
    <w:name w:val="Bibliography"/>
    <w:basedOn w:val="Normal"/>
    <w:next w:val="Normal"/>
    <w:uiPriority w:val="37"/>
    <w:unhideWhenUsed/>
    <w:rsid w:val="00E620E8"/>
  </w:style>
  <w:style w:type="paragraph" w:styleId="NoSpacing">
    <w:name w:val="No Spacing"/>
    <w:link w:val="NoSpacingChar"/>
    <w:uiPriority w:val="1"/>
    <w:qFormat/>
    <w:rsid w:val="00ED00A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D00A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280">
      <w:bodyDiv w:val="1"/>
      <w:marLeft w:val="0"/>
      <w:marRight w:val="0"/>
      <w:marTop w:val="0"/>
      <w:marBottom w:val="0"/>
      <w:divBdr>
        <w:top w:val="none" w:sz="0" w:space="0" w:color="auto"/>
        <w:left w:val="none" w:sz="0" w:space="0" w:color="auto"/>
        <w:bottom w:val="none" w:sz="0" w:space="0" w:color="auto"/>
        <w:right w:val="none" w:sz="0" w:space="0" w:color="auto"/>
      </w:divBdr>
    </w:div>
    <w:div w:id="89010986">
      <w:bodyDiv w:val="1"/>
      <w:marLeft w:val="0"/>
      <w:marRight w:val="0"/>
      <w:marTop w:val="0"/>
      <w:marBottom w:val="0"/>
      <w:divBdr>
        <w:top w:val="none" w:sz="0" w:space="0" w:color="auto"/>
        <w:left w:val="none" w:sz="0" w:space="0" w:color="auto"/>
        <w:bottom w:val="none" w:sz="0" w:space="0" w:color="auto"/>
        <w:right w:val="none" w:sz="0" w:space="0" w:color="auto"/>
      </w:divBdr>
    </w:div>
    <w:div w:id="94835247">
      <w:bodyDiv w:val="1"/>
      <w:marLeft w:val="0"/>
      <w:marRight w:val="0"/>
      <w:marTop w:val="0"/>
      <w:marBottom w:val="0"/>
      <w:divBdr>
        <w:top w:val="none" w:sz="0" w:space="0" w:color="auto"/>
        <w:left w:val="none" w:sz="0" w:space="0" w:color="auto"/>
        <w:bottom w:val="none" w:sz="0" w:space="0" w:color="auto"/>
        <w:right w:val="none" w:sz="0" w:space="0" w:color="auto"/>
      </w:divBdr>
    </w:div>
    <w:div w:id="188641320">
      <w:bodyDiv w:val="1"/>
      <w:marLeft w:val="0"/>
      <w:marRight w:val="0"/>
      <w:marTop w:val="0"/>
      <w:marBottom w:val="0"/>
      <w:divBdr>
        <w:top w:val="none" w:sz="0" w:space="0" w:color="auto"/>
        <w:left w:val="none" w:sz="0" w:space="0" w:color="auto"/>
        <w:bottom w:val="none" w:sz="0" w:space="0" w:color="auto"/>
        <w:right w:val="none" w:sz="0" w:space="0" w:color="auto"/>
      </w:divBdr>
    </w:div>
    <w:div w:id="200555974">
      <w:bodyDiv w:val="1"/>
      <w:marLeft w:val="0"/>
      <w:marRight w:val="0"/>
      <w:marTop w:val="0"/>
      <w:marBottom w:val="0"/>
      <w:divBdr>
        <w:top w:val="none" w:sz="0" w:space="0" w:color="auto"/>
        <w:left w:val="none" w:sz="0" w:space="0" w:color="auto"/>
        <w:bottom w:val="none" w:sz="0" w:space="0" w:color="auto"/>
        <w:right w:val="none" w:sz="0" w:space="0" w:color="auto"/>
      </w:divBdr>
    </w:div>
    <w:div w:id="221989694">
      <w:bodyDiv w:val="1"/>
      <w:marLeft w:val="0"/>
      <w:marRight w:val="0"/>
      <w:marTop w:val="0"/>
      <w:marBottom w:val="0"/>
      <w:divBdr>
        <w:top w:val="none" w:sz="0" w:space="0" w:color="auto"/>
        <w:left w:val="none" w:sz="0" w:space="0" w:color="auto"/>
        <w:bottom w:val="none" w:sz="0" w:space="0" w:color="auto"/>
        <w:right w:val="none" w:sz="0" w:space="0" w:color="auto"/>
      </w:divBdr>
    </w:div>
    <w:div w:id="223638093">
      <w:bodyDiv w:val="1"/>
      <w:marLeft w:val="0"/>
      <w:marRight w:val="0"/>
      <w:marTop w:val="0"/>
      <w:marBottom w:val="0"/>
      <w:divBdr>
        <w:top w:val="none" w:sz="0" w:space="0" w:color="auto"/>
        <w:left w:val="none" w:sz="0" w:space="0" w:color="auto"/>
        <w:bottom w:val="none" w:sz="0" w:space="0" w:color="auto"/>
        <w:right w:val="none" w:sz="0" w:space="0" w:color="auto"/>
      </w:divBdr>
    </w:div>
    <w:div w:id="226261490">
      <w:bodyDiv w:val="1"/>
      <w:marLeft w:val="0"/>
      <w:marRight w:val="0"/>
      <w:marTop w:val="0"/>
      <w:marBottom w:val="0"/>
      <w:divBdr>
        <w:top w:val="none" w:sz="0" w:space="0" w:color="auto"/>
        <w:left w:val="none" w:sz="0" w:space="0" w:color="auto"/>
        <w:bottom w:val="none" w:sz="0" w:space="0" w:color="auto"/>
        <w:right w:val="none" w:sz="0" w:space="0" w:color="auto"/>
      </w:divBdr>
    </w:div>
    <w:div w:id="245188969">
      <w:bodyDiv w:val="1"/>
      <w:marLeft w:val="0"/>
      <w:marRight w:val="0"/>
      <w:marTop w:val="0"/>
      <w:marBottom w:val="0"/>
      <w:divBdr>
        <w:top w:val="none" w:sz="0" w:space="0" w:color="auto"/>
        <w:left w:val="none" w:sz="0" w:space="0" w:color="auto"/>
        <w:bottom w:val="none" w:sz="0" w:space="0" w:color="auto"/>
        <w:right w:val="none" w:sz="0" w:space="0" w:color="auto"/>
      </w:divBdr>
    </w:div>
    <w:div w:id="256671108">
      <w:bodyDiv w:val="1"/>
      <w:marLeft w:val="0"/>
      <w:marRight w:val="0"/>
      <w:marTop w:val="0"/>
      <w:marBottom w:val="0"/>
      <w:divBdr>
        <w:top w:val="none" w:sz="0" w:space="0" w:color="auto"/>
        <w:left w:val="none" w:sz="0" w:space="0" w:color="auto"/>
        <w:bottom w:val="none" w:sz="0" w:space="0" w:color="auto"/>
        <w:right w:val="none" w:sz="0" w:space="0" w:color="auto"/>
      </w:divBdr>
    </w:div>
    <w:div w:id="322707312">
      <w:bodyDiv w:val="1"/>
      <w:marLeft w:val="0"/>
      <w:marRight w:val="0"/>
      <w:marTop w:val="0"/>
      <w:marBottom w:val="0"/>
      <w:divBdr>
        <w:top w:val="none" w:sz="0" w:space="0" w:color="auto"/>
        <w:left w:val="none" w:sz="0" w:space="0" w:color="auto"/>
        <w:bottom w:val="none" w:sz="0" w:space="0" w:color="auto"/>
        <w:right w:val="none" w:sz="0" w:space="0" w:color="auto"/>
      </w:divBdr>
    </w:div>
    <w:div w:id="327438684">
      <w:bodyDiv w:val="1"/>
      <w:marLeft w:val="0"/>
      <w:marRight w:val="0"/>
      <w:marTop w:val="0"/>
      <w:marBottom w:val="0"/>
      <w:divBdr>
        <w:top w:val="none" w:sz="0" w:space="0" w:color="auto"/>
        <w:left w:val="none" w:sz="0" w:space="0" w:color="auto"/>
        <w:bottom w:val="none" w:sz="0" w:space="0" w:color="auto"/>
        <w:right w:val="none" w:sz="0" w:space="0" w:color="auto"/>
      </w:divBdr>
    </w:div>
    <w:div w:id="332488033">
      <w:bodyDiv w:val="1"/>
      <w:marLeft w:val="0"/>
      <w:marRight w:val="0"/>
      <w:marTop w:val="0"/>
      <w:marBottom w:val="0"/>
      <w:divBdr>
        <w:top w:val="none" w:sz="0" w:space="0" w:color="auto"/>
        <w:left w:val="none" w:sz="0" w:space="0" w:color="auto"/>
        <w:bottom w:val="none" w:sz="0" w:space="0" w:color="auto"/>
        <w:right w:val="none" w:sz="0" w:space="0" w:color="auto"/>
      </w:divBdr>
    </w:div>
    <w:div w:id="337578846">
      <w:bodyDiv w:val="1"/>
      <w:marLeft w:val="0"/>
      <w:marRight w:val="0"/>
      <w:marTop w:val="0"/>
      <w:marBottom w:val="0"/>
      <w:divBdr>
        <w:top w:val="none" w:sz="0" w:space="0" w:color="auto"/>
        <w:left w:val="none" w:sz="0" w:space="0" w:color="auto"/>
        <w:bottom w:val="none" w:sz="0" w:space="0" w:color="auto"/>
        <w:right w:val="none" w:sz="0" w:space="0" w:color="auto"/>
      </w:divBdr>
    </w:div>
    <w:div w:id="342518770">
      <w:bodyDiv w:val="1"/>
      <w:marLeft w:val="0"/>
      <w:marRight w:val="0"/>
      <w:marTop w:val="0"/>
      <w:marBottom w:val="0"/>
      <w:divBdr>
        <w:top w:val="none" w:sz="0" w:space="0" w:color="auto"/>
        <w:left w:val="none" w:sz="0" w:space="0" w:color="auto"/>
        <w:bottom w:val="none" w:sz="0" w:space="0" w:color="auto"/>
        <w:right w:val="none" w:sz="0" w:space="0" w:color="auto"/>
      </w:divBdr>
    </w:div>
    <w:div w:id="359823188">
      <w:bodyDiv w:val="1"/>
      <w:marLeft w:val="0"/>
      <w:marRight w:val="0"/>
      <w:marTop w:val="0"/>
      <w:marBottom w:val="0"/>
      <w:divBdr>
        <w:top w:val="none" w:sz="0" w:space="0" w:color="auto"/>
        <w:left w:val="none" w:sz="0" w:space="0" w:color="auto"/>
        <w:bottom w:val="none" w:sz="0" w:space="0" w:color="auto"/>
        <w:right w:val="none" w:sz="0" w:space="0" w:color="auto"/>
      </w:divBdr>
    </w:div>
    <w:div w:id="420176404">
      <w:bodyDiv w:val="1"/>
      <w:marLeft w:val="0"/>
      <w:marRight w:val="0"/>
      <w:marTop w:val="0"/>
      <w:marBottom w:val="0"/>
      <w:divBdr>
        <w:top w:val="none" w:sz="0" w:space="0" w:color="auto"/>
        <w:left w:val="none" w:sz="0" w:space="0" w:color="auto"/>
        <w:bottom w:val="none" w:sz="0" w:space="0" w:color="auto"/>
        <w:right w:val="none" w:sz="0" w:space="0" w:color="auto"/>
      </w:divBdr>
    </w:div>
    <w:div w:id="422654501">
      <w:bodyDiv w:val="1"/>
      <w:marLeft w:val="0"/>
      <w:marRight w:val="0"/>
      <w:marTop w:val="0"/>
      <w:marBottom w:val="0"/>
      <w:divBdr>
        <w:top w:val="none" w:sz="0" w:space="0" w:color="auto"/>
        <w:left w:val="none" w:sz="0" w:space="0" w:color="auto"/>
        <w:bottom w:val="none" w:sz="0" w:space="0" w:color="auto"/>
        <w:right w:val="none" w:sz="0" w:space="0" w:color="auto"/>
      </w:divBdr>
    </w:div>
    <w:div w:id="433332292">
      <w:bodyDiv w:val="1"/>
      <w:marLeft w:val="0"/>
      <w:marRight w:val="0"/>
      <w:marTop w:val="0"/>
      <w:marBottom w:val="0"/>
      <w:divBdr>
        <w:top w:val="none" w:sz="0" w:space="0" w:color="auto"/>
        <w:left w:val="none" w:sz="0" w:space="0" w:color="auto"/>
        <w:bottom w:val="none" w:sz="0" w:space="0" w:color="auto"/>
        <w:right w:val="none" w:sz="0" w:space="0" w:color="auto"/>
      </w:divBdr>
    </w:div>
    <w:div w:id="445274596">
      <w:bodyDiv w:val="1"/>
      <w:marLeft w:val="0"/>
      <w:marRight w:val="0"/>
      <w:marTop w:val="0"/>
      <w:marBottom w:val="0"/>
      <w:divBdr>
        <w:top w:val="none" w:sz="0" w:space="0" w:color="auto"/>
        <w:left w:val="none" w:sz="0" w:space="0" w:color="auto"/>
        <w:bottom w:val="none" w:sz="0" w:space="0" w:color="auto"/>
        <w:right w:val="none" w:sz="0" w:space="0" w:color="auto"/>
      </w:divBdr>
    </w:div>
    <w:div w:id="515652307">
      <w:bodyDiv w:val="1"/>
      <w:marLeft w:val="0"/>
      <w:marRight w:val="0"/>
      <w:marTop w:val="0"/>
      <w:marBottom w:val="0"/>
      <w:divBdr>
        <w:top w:val="none" w:sz="0" w:space="0" w:color="auto"/>
        <w:left w:val="none" w:sz="0" w:space="0" w:color="auto"/>
        <w:bottom w:val="none" w:sz="0" w:space="0" w:color="auto"/>
        <w:right w:val="none" w:sz="0" w:space="0" w:color="auto"/>
      </w:divBdr>
    </w:div>
    <w:div w:id="529806430">
      <w:bodyDiv w:val="1"/>
      <w:marLeft w:val="0"/>
      <w:marRight w:val="0"/>
      <w:marTop w:val="0"/>
      <w:marBottom w:val="0"/>
      <w:divBdr>
        <w:top w:val="none" w:sz="0" w:space="0" w:color="auto"/>
        <w:left w:val="none" w:sz="0" w:space="0" w:color="auto"/>
        <w:bottom w:val="none" w:sz="0" w:space="0" w:color="auto"/>
        <w:right w:val="none" w:sz="0" w:space="0" w:color="auto"/>
      </w:divBdr>
    </w:div>
    <w:div w:id="536042143">
      <w:bodyDiv w:val="1"/>
      <w:marLeft w:val="0"/>
      <w:marRight w:val="0"/>
      <w:marTop w:val="0"/>
      <w:marBottom w:val="0"/>
      <w:divBdr>
        <w:top w:val="none" w:sz="0" w:space="0" w:color="auto"/>
        <w:left w:val="none" w:sz="0" w:space="0" w:color="auto"/>
        <w:bottom w:val="none" w:sz="0" w:space="0" w:color="auto"/>
        <w:right w:val="none" w:sz="0" w:space="0" w:color="auto"/>
      </w:divBdr>
    </w:div>
    <w:div w:id="542015061">
      <w:bodyDiv w:val="1"/>
      <w:marLeft w:val="0"/>
      <w:marRight w:val="0"/>
      <w:marTop w:val="0"/>
      <w:marBottom w:val="0"/>
      <w:divBdr>
        <w:top w:val="none" w:sz="0" w:space="0" w:color="auto"/>
        <w:left w:val="none" w:sz="0" w:space="0" w:color="auto"/>
        <w:bottom w:val="none" w:sz="0" w:space="0" w:color="auto"/>
        <w:right w:val="none" w:sz="0" w:space="0" w:color="auto"/>
      </w:divBdr>
    </w:div>
    <w:div w:id="543252113">
      <w:bodyDiv w:val="1"/>
      <w:marLeft w:val="0"/>
      <w:marRight w:val="0"/>
      <w:marTop w:val="0"/>
      <w:marBottom w:val="0"/>
      <w:divBdr>
        <w:top w:val="none" w:sz="0" w:space="0" w:color="auto"/>
        <w:left w:val="none" w:sz="0" w:space="0" w:color="auto"/>
        <w:bottom w:val="none" w:sz="0" w:space="0" w:color="auto"/>
        <w:right w:val="none" w:sz="0" w:space="0" w:color="auto"/>
      </w:divBdr>
    </w:div>
    <w:div w:id="545920351">
      <w:bodyDiv w:val="1"/>
      <w:marLeft w:val="0"/>
      <w:marRight w:val="0"/>
      <w:marTop w:val="0"/>
      <w:marBottom w:val="0"/>
      <w:divBdr>
        <w:top w:val="none" w:sz="0" w:space="0" w:color="auto"/>
        <w:left w:val="none" w:sz="0" w:space="0" w:color="auto"/>
        <w:bottom w:val="none" w:sz="0" w:space="0" w:color="auto"/>
        <w:right w:val="none" w:sz="0" w:space="0" w:color="auto"/>
      </w:divBdr>
    </w:div>
    <w:div w:id="601298672">
      <w:bodyDiv w:val="1"/>
      <w:marLeft w:val="0"/>
      <w:marRight w:val="0"/>
      <w:marTop w:val="0"/>
      <w:marBottom w:val="0"/>
      <w:divBdr>
        <w:top w:val="none" w:sz="0" w:space="0" w:color="auto"/>
        <w:left w:val="none" w:sz="0" w:space="0" w:color="auto"/>
        <w:bottom w:val="none" w:sz="0" w:space="0" w:color="auto"/>
        <w:right w:val="none" w:sz="0" w:space="0" w:color="auto"/>
      </w:divBdr>
    </w:div>
    <w:div w:id="625238373">
      <w:bodyDiv w:val="1"/>
      <w:marLeft w:val="0"/>
      <w:marRight w:val="0"/>
      <w:marTop w:val="0"/>
      <w:marBottom w:val="0"/>
      <w:divBdr>
        <w:top w:val="none" w:sz="0" w:space="0" w:color="auto"/>
        <w:left w:val="none" w:sz="0" w:space="0" w:color="auto"/>
        <w:bottom w:val="none" w:sz="0" w:space="0" w:color="auto"/>
        <w:right w:val="none" w:sz="0" w:space="0" w:color="auto"/>
      </w:divBdr>
    </w:div>
    <w:div w:id="656111476">
      <w:bodyDiv w:val="1"/>
      <w:marLeft w:val="0"/>
      <w:marRight w:val="0"/>
      <w:marTop w:val="0"/>
      <w:marBottom w:val="0"/>
      <w:divBdr>
        <w:top w:val="none" w:sz="0" w:space="0" w:color="auto"/>
        <w:left w:val="none" w:sz="0" w:space="0" w:color="auto"/>
        <w:bottom w:val="none" w:sz="0" w:space="0" w:color="auto"/>
        <w:right w:val="none" w:sz="0" w:space="0" w:color="auto"/>
      </w:divBdr>
    </w:div>
    <w:div w:id="659845566">
      <w:bodyDiv w:val="1"/>
      <w:marLeft w:val="0"/>
      <w:marRight w:val="0"/>
      <w:marTop w:val="0"/>
      <w:marBottom w:val="0"/>
      <w:divBdr>
        <w:top w:val="none" w:sz="0" w:space="0" w:color="auto"/>
        <w:left w:val="none" w:sz="0" w:space="0" w:color="auto"/>
        <w:bottom w:val="none" w:sz="0" w:space="0" w:color="auto"/>
        <w:right w:val="none" w:sz="0" w:space="0" w:color="auto"/>
      </w:divBdr>
    </w:div>
    <w:div w:id="664088413">
      <w:bodyDiv w:val="1"/>
      <w:marLeft w:val="0"/>
      <w:marRight w:val="0"/>
      <w:marTop w:val="0"/>
      <w:marBottom w:val="0"/>
      <w:divBdr>
        <w:top w:val="none" w:sz="0" w:space="0" w:color="auto"/>
        <w:left w:val="none" w:sz="0" w:space="0" w:color="auto"/>
        <w:bottom w:val="none" w:sz="0" w:space="0" w:color="auto"/>
        <w:right w:val="none" w:sz="0" w:space="0" w:color="auto"/>
      </w:divBdr>
    </w:div>
    <w:div w:id="725253201">
      <w:bodyDiv w:val="1"/>
      <w:marLeft w:val="0"/>
      <w:marRight w:val="0"/>
      <w:marTop w:val="0"/>
      <w:marBottom w:val="0"/>
      <w:divBdr>
        <w:top w:val="none" w:sz="0" w:space="0" w:color="auto"/>
        <w:left w:val="none" w:sz="0" w:space="0" w:color="auto"/>
        <w:bottom w:val="none" w:sz="0" w:space="0" w:color="auto"/>
        <w:right w:val="none" w:sz="0" w:space="0" w:color="auto"/>
      </w:divBdr>
    </w:div>
    <w:div w:id="750157748">
      <w:bodyDiv w:val="1"/>
      <w:marLeft w:val="0"/>
      <w:marRight w:val="0"/>
      <w:marTop w:val="0"/>
      <w:marBottom w:val="0"/>
      <w:divBdr>
        <w:top w:val="none" w:sz="0" w:space="0" w:color="auto"/>
        <w:left w:val="none" w:sz="0" w:space="0" w:color="auto"/>
        <w:bottom w:val="none" w:sz="0" w:space="0" w:color="auto"/>
        <w:right w:val="none" w:sz="0" w:space="0" w:color="auto"/>
      </w:divBdr>
    </w:div>
    <w:div w:id="767233189">
      <w:bodyDiv w:val="1"/>
      <w:marLeft w:val="0"/>
      <w:marRight w:val="0"/>
      <w:marTop w:val="0"/>
      <w:marBottom w:val="0"/>
      <w:divBdr>
        <w:top w:val="none" w:sz="0" w:space="0" w:color="auto"/>
        <w:left w:val="none" w:sz="0" w:space="0" w:color="auto"/>
        <w:bottom w:val="none" w:sz="0" w:space="0" w:color="auto"/>
        <w:right w:val="none" w:sz="0" w:space="0" w:color="auto"/>
      </w:divBdr>
    </w:div>
    <w:div w:id="777678795">
      <w:bodyDiv w:val="1"/>
      <w:marLeft w:val="0"/>
      <w:marRight w:val="0"/>
      <w:marTop w:val="0"/>
      <w:marBottom w:val="0"/>
      <w:divBdr>
        <w:top w:val="none" w:sz="0" w:space="0" w:color="auto"/>
        <w:left w:val="none" w:sz="0" w:space="0" w:color="auto"/>
        <w:bottom w:val="none" w:sz="0" w:space="0" w:color="auto"/>
        <w:right w:val="none" w:sz="0" w:space="0" w:color="auto"/>
      </w:divBdr>
    </w:div>
    <w:div w:id="788819538">
      <w:bodyDiv w:val="1"/>
      <w:marLeft w:val="0"/>
      <w:marRight w:val="0"/>
      <w:marTop w:val="0"/>
      <w:marBottom w:val="0"/>
      <w:divBdr>
        <w:top w:val="none" w:sz="0" w:space="0" w:color="auto"/>
        <w:left w:val="none" w:sz="0" w:space="0" w:color="auto"/>
        <w:bottom w:val="none" w:sz="0" w:space="0" w:color="auto"/>
        <w:right w:val="none" w:sz="0" w:space="0" w:color="auto"/>
      </w:divBdr>
    </w:div>
    <w:div w:id="810636453">
      <w:bodyDiv w:val="1"/>
      <w:marLeft w:val="0"/>
      <w:marRight w:val="0"/>
      <w:marTop w:val="0"/>
      <w:marBottom w:val="0"/>
      <w:divBdr>
        <w:top w:val="none" w:sz="0" w:space="0" w:color="auto"/>
        <w:left w:val="none" w:sz="0" w:space="0" w:color="auto"/>
        <w:bottom w:val="none" w:sz="0" w:space="0" w:color="auto"/>
        <w:right w:val="none" w:sz="0" w:space="0" w:color="auto"/>
      </w:divBdr>
    </w:div>
    <w:div w:id="834221439">
      <w:bodyDiv w:val="1"/>
      <w:marLeft w:val="0"/>
      <w:marRight w:val="0"/>
      <w:marTop w:val="0"/>
      <w:marBottom w:val="0"/>
      <w:divBdr>
        <w:top w:val="none" w:sz="0" w:space="0" w:color="auto"/>
        <w:left w:val="none" w:sz="0" w:space="0" w:color="auto"/>
        <w:bottom w:val="none" w:sz="0" w:space="0" w:color="auto"/>
        <w:right w:val="none" w:sz="0" w:space="0" w:color="auto"/>
      </w:divBdr>
    </w:div>
    <w:div w:id="869413064">
      <w:bodyDiv w:val="1"/>
      <w:marLeft w:val="0"/>
      <w:marRight w:val="0"/>
      <w:marTop w:val="0"/>
      <w:marBottom w:val="0"/>
      <w:divBdr>
        <w:top w:val="none" w:sz="0" w:space="0" w:color="auto"/>
        <w:left w:val="none" w:sz="0" w:space="0" w:color="auto"/>
        <w:bottom w:val="none" w:sz="0" w:space="0" w:color="auto"/>
        <w:right w:val="none" w:sz="0" w:space="0" w:color="auto"/>
      </w:divBdr>
    </w:div>
    <w:div w:id="898126070">
      <w:bodyDiv w:val="1"/>
      <w:marLeft w:val="0"/>
      <w:marRight w:val="0"/>
      <w:marTop w:val="0"/>
      <w:marBottom w:val="0"/>
      <w:divBdr>
        <w:top w:val="none" w:sz="0" w:space="0" w:color="auto"/>
        <w:left w:val="none" w:sz="0" w:space="0" w:color="auto"/>
        <w:bottom w:val="none" w:sz="0" w:space="0" w:color="auto"/>
        <w:right w:val="none" w:sz="0" w:space="0" w:color="auto"/>
      </w:divBdr>
    </w:div>
    <w:div w:id="922034605">
      <w:bodyDiv w:val="1"/>
      <w:marLeft w:val="0"/>
      <w:marRight w:val="0"/>
      <w:marTop w:val="0"/>
      <w:marBottom w:val="0"/>
      <w:divBdr>
        <w:top w:val="none" w:sz="0" w:space="0" w:color="auto"/>
        <w:left w:val="none" w:sz="0" w:space="0" w:color="auto"/>
        <w:bottom w:val="none" w:sz="0" w:space="0" w:color="auto"/>
        <w:right w:val="none" w:sz="0" w:space="0" w:color="auto"/>
      </w:divBdr>
    </w:div>
    <w:div w:id="948701241">
      <w:bodyDiv w:val="1"/>
      <w:marLeft w:val="0"/>
      <w:marRight w:val="0"/>
      <w:marTop w:val="0"/>
      <w:marBottom w:val="0"/>
      <w:divBdr>
        <w:top w:val="none" w:sz="0" w:space="0" w:color="auto"/>
        <w:left w:val="none" w:sz="0" w:space="0" w:color="auto"/>
        <w:bottom w:val="none" w:sz="0" w:space="0" w:color="auto"/>
        <w:right w:val="none" w:sz="0" w:space="0" w:color="auto"/>
      </w:divBdr>
    </w:div>
    <w:div w:id="979000485">
      <w:bodyDiv w:val="1"/>
      <w:marLeft w:val="0"/>
      <w:marRight w:val="0"/>
      <w:marTop w:val="0"/>
      <w:marBottom w:val="0"/>
      <w:divBdr>
        <w:top w:val="none" w:sz="0" w:space="0" w:color="auto"/>
        <w:left w:val="none" w:sz="0" w:space="0" w:color="auto"/>
        <w:bottom w:val="none" w:sz="0" w:space="0" w:color="auto"/>
        <w:right w:val="none" w:sz="0" w:space="0" w:color="auto"/>
      </w:divBdr>
    </w:div>
    <w:div w:id="1028876609">
      <w:bodyDiv w:val="1"/>
      <w:marLeft w:val="0"/>
      <w:marRight w:val="0"/>
      <w:marTop w:val="0"/>
      <w:marBottom w:val="0"/>
      <w:divBdr>
        <w:top w:val="none" w:sz="0" w:space="0" w:color="auto"/>
        <w:left w:val="none" w:sz="0" w:space="0" w:color="auto"/>
        <w:bottom w:val="none" w:sz="0" w:space="0" w:color="auto"/>
        <w:right w:val="none" w:sz="0" w:space="0" w:color="auto"/>
      </w:divBdr>
    </w:div>
    <w:div w:id="1069037051">
      <w:bodyDiv w:val="1"/>
      <w:marLeft w:val="0"/>
      <w:marRight w:val="0"/>
      <w:marTop w:val="0"/>
      <w:marBottom w:val="0"/>
      <w:divBdr>
        <w:top w:val="none" w:sz="0" w:space="0" w:color="auto"/>
        <w:left w:val="none" w:sz="0" w:space="0" w:color="auto"/>
        <w:bottom w:val="none" w:sz="0" w:space="0" w:color="auto"/>
        <w:right w:val="none" w:sz="0" w:space="0" w:color="auto"/>
      </w:divBdr>
    </w:div>
    <w:div w:id="1187404791">
      <w:bodyDiv w:val="1"/>
      <w:marLeft w:val="0"/>
      <w:marRight w:val="0"/>
      <w:marTop w:val="0"/>
      <w:marBottom w:val="0"/>
      <w:divBdr>
        <w:top w:val="none" w:sz="0" w:space="0" w:color="auto"/>
        <w:left w:val="none" w:sz="0" w:space="0" w:color="auto"/>
        <w:bottom w:val="none" w:sz="0" w:space="0" w:color="auto"/>
        <w:right w:val="none" w:sz="0" w:space="0" w:color="auto"/>
      </w:divBdr>
    </w:div>
    <w:div w:id="1206525547">
      <w:bodyDiv w:val="1"/>
      <w:marLeft w:val="0"/>
      <w:marRight w:val="0"/>
      <w:marTop w:val="0"/>
      <w:marBottom w:val="0"/>
      <w:divBdr>
        <w:top w:val="none" w:sz="0" w:space="0" w:color="auto"/>
        <w:left w:val="none" w:sz="0" w:space="0" w:color="auto"/>
        <w:bottom w:val="none" w:sz="0" w:space="0" w:color="auto"/>
        <w:right w:val="none" w:sz="0" w:space="0" w:color="auto"/>
      </w:divBdr>
    </w:div>
    <w:div w:id="1252199030">
      <w:bodyDiv w:val="1"/>
      <w:marLeft w:val="0"/>
      <w:marRight w:val="0"/>
      <w:marTop w:val="0"/>
      <w:marBottom w:val="0"/>
      <w:divBdr>
        <w:top w:val="none" w:sz="0" w:space="0" w:color="auto"/>
        <w:left w:val="none" w:sz="0" w:space="0" w:color="auto"/>
        <w:bottom w:val="none" w:sz="0" w:space="0" w:color="auto"/>
        <w:right w:val="none" w:sz="0" w:space="0" w:color="auto"/>
      </w:divBdr>
    </w:div>
    <w:div w:id="1325477165">
      <w:bodyDiv w:val="1"/>
      <w:marLeft w:val="0"/>
      <w:marRight w:val="0"/>
      <w:marTop w:val="0"/>
      <w:marBottom w:val="0"/>
      <w:divBdr>
        <w:top w:val="none" w:sz="0" w:space="0" w:color="auto"/>
        <w:left w:val="none" w:sz="0" w:space="0" w:color="auto"/>
        <w:bottom w:val="none" w:sz="0" w:space="0" w:color="auto"/>
        <w:right w:val="none" w:sz="0" w:space="0" w:color="auto"/>
      </w:divBdr>
    </w:div>
    <w:div w:id="1353915680">
      <w:bodyDiv w:val="1"/>
      <w:marLeft w:val="0"/>
      <w:marRight w:val="0"/>
      <w:marTop w:val="0"/>
      <w:marBottom w:val="0"/>
      <w:divBdr>
        <w:top w:val="none" w:sz="0" w:space="0" w:color="auto"/>
        <w:left w:val="none" w:sz="0" w:space="0" w:color="auto"/>
        <w:bottom w:val="none" w:sz="0" w:space="0" w:color="auto"/>
        <w:right w:val="none" w:sz="0" w:space="0" w:color="auto"/>
      </w:divBdr>
    </w:div>
    <w:div w:id="1376807081">
      <w:bodyDiv w:val="1"/>
      <w:marLeft w:val="0"/>
      <w:marRight w:val="0"/>
      <w:marTop w:val="0"/>
      <w:marBottom w:val="0"/>
      <w:divBdr>
        <w:top w:val="none" w:sz="0" w:space="0" w:color="auto"/>
        <w:left w:val="none" w:sz="0" w:space="0" w:color="auto"/>
        <w:bottom w:val="none" w:sz="0" w:space="0" w:color="auto"/>
        <w:right w:val="none" w:sz="0" w:space="0" w:color="auto"/>
      </w:divBdr>
    </w:div>
    <w:div w:id="1409379771">
      <w:bodyDiv w:val="1"/>
      <w:marLeft w:val="0"/>
      <w:marRight w:val="0"/>
      <w:marTop w:val="0"/>
      <w:marBottom w:val="0"/>
      <w:divBdr>
        <w:top w:val="none" w:sz="0" w:space="0" w:color="auto"/>
        <w:left w:val="none" w:sz="0" w:space="0" w:color="auto"/>
        <w:bottom w:val="none" w:sz="0" w:space="0" w:color="auto"/>
        <w:right w:val="none" w:sz="0" w:space="0" w:color="auto"/>
      </w:divBdr>
    </w:div>
    <w:div w:id="1443379505">
      <w:bodyDiv w:val="1"/>
      <w:marLeft w:val="0"/>
      <w:marRight w:val="0"/>
      <w:marTop w:val="0"/>
      <w:marBottom w:val="0"/>
      <w:divBdr>
        <w:top w:val="none" w:sz="0" w:space="0" w:color="auto"/>
        <w:left w:val="none" w:sz="0" w:space="0" w:color="auto"/>
        <w:bottom w:val="none" w:sz="0" w:space="0" w:color="auto"/>
        <w:right w:val="none" w:sz="0" w:space="0" w:color="auto"/>
      </w:divBdr>
    </w:div>
    <w:div w:id="1472097116">
      <w:bodyDiv w:val="1"/>
      <w:marLeft w:val="0"/>
      <w:marRight w:val="0"/>
      <w:marTop w:val="0"/>
      <w:marBottom w:val="0"/>
      <w:divBdr>
        <w:top w:val="none" w:sz="0" w:space="0" w:color="auto"/>
        <w:left w:val="none" w:sz="0" w:space="0" w:color="auto"/>
        <w:bottom w:val="none" w:sz="0" w:space="0" w:color="auto"/>
        <w:right w:val="none" w:sz="0" w:space="0" w:color="auto"/>
      </w:divBdr>
    </w:div>
    <w:div w:id="1481652999">
      <w:bodyDiv w:val="1"/>
      <w:marLeft w:val="0"/>
      <w:marRight w:val="0"/>
      <w:marTop w:val="0"/>
      <w:marBottom w:val="0"/>
      <w:divBdr>
        <w:top w:val="none" w:sz="0" w:space="0" w:color="auto"/>
        <w:left w:val="none" w:sz="0" w:space="0" w:color="auto"/>
        <w:bottom w:val="none" w:sz="0" w:space="0" w:color="auto"/>
        <w:right w:val="none" w:sz="0" w:space="0" w:color="auto"/>
      </w:divBdr>
    </w:div>
    <w:div w:id="1563323296">
      <w:bodyDiv w:val="1"/>
      <w:marLeft w:val="0"/>
      <w:marRight w:val="0"/>
      <w:marTop w:val="0"/>
      <w:marBottom w:val="0"/>
      <w:divBdr>
        <w:top w:val="none" w:sz="0" w:space="0" w:color="auto"/>
        <w:left w:val="none" w:sz="0" w:space="0" w:color="auto"/>
        <w:bottom w:val="none" w:sz="0" w:space="0" w:color="auto"/>
        <w:right w:val="none" w:sz="0" w:space="0" w:color="auto"/>
      </w:divBdr>
    </w:div>
    <w:div w:id="1571304928">
      <w:bodyDiv w:val="1"/>
      <w:marLeft w:val="0"/>
      <w:marRight w:val="0"/>
      <w:marTop w:val="0"/>
      <w:marBottom w:val="0"/>
      <w:divBdr>
        <w:top w:val="none" w:sz="0" w:space="0" w:color="auto"/>
        <w:left w:val="none" w:sz="0" w:space="0" w:color="auto"/>
        <w:bottom w:val="none" w:sz="0" w:space="0" w:color="auto"/>
        <w:right w:val="none" w:sz="0" w:space="0" w:color="auto"/>
      </w:divBdr>
    </w:div>
    <w:div w:id="1630741095">
      <w:bodyDiv w:val="1"/>
      <w:marLeft w:val="0"/>
      <w:marRight w:val="0"/>
      <w:marTop w:val="0"/>
      <w:marBottom w:val="0"/>
      <w:divBdr>
        <w:top w:val="none" w:sz="0" w:space="0" w:color="auto"/>
        <w:left w:val="none" w:sz="0" w:space="0" w:color="auto"/>
        <w:bottom w:val="none" w:sz="0" w:space="0" w:color="auto"/>
        <w:right w:val="none" w:sz="0" w:space="0" w:color="auto"/>
      </w:divBdr>
    </w:div>
    <w:div w:id="1691639532">
      <w:bodyDiv w:val="1"/>
      <w:marLeft w:val="0"/>
      <w:marRight w:val="0"/>
      <w:marTop w:val="0"/>
      <w:marBottom w:val="0"/>
      <w:divBdr>
        <w:top w:val="none" w:sz="0" w:space="0" w:color="auto"/>
        <w:left w:val="none" w:sz="0" w:space="0" w:color="auto"/>
        <w:bottom w:val="none" w:sz="0" w:space="0" w:color="auto"/>
        <w:right w:val="none" w:sz="0" w:space="0" w:color="auto"/>
      </w:divBdr>
    </w:div>
    <w:div w:id="1694384552">
      <w:bodyDiv w:val="1"/>
      <w:marLeft w:val="0"/>
      <w:marRight w:val="0"/>
      <w:marTop w:val="0"/>
      <w:marBottom w:val="0"/>
      <w:divBdr>
        <w:top w:val="none" w:sz="0" w:space="0" w:color="auto"/>
        <w:left w:val="none" w:sz="0" w:space="0" w:color="auto"/>
        <w:bottom w:val="none" w:sz="0" w:space="0" w:color="auto"/>
        <w:right w:val="none" w:sz="0" w:space="0" w:color="auto"/>
      </w:divBdr>
    </w:div>
    <w:div w:id="1772504140">
      <w:bodyDiv w:val="1"/>
      <w:marLeft w:val="0"/>
      <w:marRight w:val="0"/>
      <w:marTop w:val="0"/>
      <w:marBottom w:val="0"/>
      <w:divBdr>
        <w:top w:val="none" w:sz="0" w:space="0" w:color="auto"/>
        <w:left w:val="none" w:sz="0" w:space="0" w:color="auto"/>
        <w:bottom w:val="none" w:sz="0" w:space="0" w:color="auto"/>
        <w:right w:val="none" w:sz="0" w:space="0" w:color="auto"/>
      </w:divBdr>
    </w:div>
    <w:div w:id="1803427341">
      <w:bodyDiv w:val="1"/>
      <w:marLeft w:val="0"/>
      <w:marRight w:val="0"/>
      <w:marTop w:val="0"/>
      <w:marBottom w:val="0"/>
      <w:divBdr>
        <w:top w:val="none" w:sz="0" w:space="0" w:color="auto"/>
        <w:left w:val="none" w:sz="0" w:space="0" w:color="auto"/>
        <w:bottom w:val="none" w:sz="0" w:space="0" w:color="auto"/>
        <w:right w:val="none" w:sz="0" w:space="0" w:color="auto"/>
      </w:divBdr>
    </w:div>
    <w:div w:id="1834300662">
      <w:bodyDiv w:val="1"/>
      <w:marLeft w:val="0"/>
      <w:marRight w:val="0"/>
      <w:marTop w:val="0"/>
      <w:marBottom w:val="0"/>
      <w:divBdr>
        <w:top w:val="none" w:sz="0" w:space="0" w:color="auto"/>
        <w:left w:val="none" w:sz="0" w:space="0" w:color="auto"/>
        <w:bottom w:val="none" w:sz="0" w:space="0" w:color="auto"/>
        <w:right w:val="none" w:sz="0" w:space="0" w:color="auto"/>
      </w:divBdr>
    </w:div>
    <w:div w:id="1902213080">
      <w:bodyDiv w:val="1"/>
      <w:marLeft w:val="0"/>
      <w:marRight w:val="0"/>
      <w:marTop w:val="0"/>
      <w:marBottom w:val="0"/>
      <w:divBdr>
        <w:top w:val="none" w:sz="0" w:space="0" w:color="auto"/>
        <w:left w:val="none" w:sz="0" w:space="0" w:color="auto"/>
        <w:bottom w:val="none" w:sz="0" w:space="0" w:color="auto"/>
        <w:right w:val="none" w:sz="0" w:space="0" w:color="auto"/>
      </w:divBdr>
    </w:div>
    <w:div w:id="1925260541">
      <w:bodyDiv w:val="1"/>
      <w:marLeft w:val="0"/>
      <w:marRight w:val="0"/>
      <w:marTop w:val="0"/>
      <w:marBottom w:val="0"/>
      <w:divBdr>
        <w:top w:val="none" w:sz="0" w:space="0" w:color="auto"/>
        <w:left w:val="none" w:sz="0" w:space="0" w:color="auto"/>
        <w:bottom w:val="none" w:sz="0" w:space="0" w:color="auto"/>
        <w:right w:val="none" w:sz="0" w:space="0" w:color="auto"/>
      </w:divBdr>
    </w:div>
    <w:div w:id="1967999878">
      <w:bodyDiv w:val="1"/>
      <w:marLeft w:val="0"/>
      <w:marRight w:val="0"/>
      <w:marTop w:val="0"/>
      <w:marBottom w:val="0"/>
      <w:divBdr>
        <w:top w:val="none" w:sz="0" w:space="0" w:color="auto"/>
        <w:left w:val="none" w:sz="0" w:space="0" w:color="auto"/>
        <w:bottom w:val="none" w:sz="0" w:space="0" w:color="auto"/>
        <w:right w:val="none" w:sz="0" w:space="0" w:color="auto"/>
      </w:divBdr>
    </w:div>
    <w:div w:id="2000381149">
      <w:bodyDiv w:val="1"/>
      <w:marLeft w:val="0"/>
      <w:marRight w:val="0"/>
      <w:marTop w:val="0"/>
      <w:marBottom w:val="0"/>
      <w:divBdr>
        <w:top w:val="none" w:sz="0" w:space="0" w:color="auto"/>
        <w:left w:val="none" w:sz="0" w:space="0" w:color="auto"/>
        <w:bottom w:val="none" w:sz="0" w:space="0" w:color="auto"/>
        <w:right w:val="none" w:sz="0" w:space="0" w:color="auto"/>
      </w:divBdr>
    </w:div>
    <w:div w:id="2009748946">
      <w:bodyDiv w:val="1"/>
      <w:marLeft w:val="0"/>
      <w:marRight w:val="0"/>
      <w:marTop w:val="0"/>
      <w:marBottom w:val="0"/>
      <w:divBdr>
        <w:top w:val="none" w:sz="0" w:space="0" w:color="auto"/>
        <w:left w:val="none" w:sz="0" w:space="0" w:color="auto"/>
        <w:bottom w:val="none" w:sz="0" w:space="0" w:color="auto"/>
        <w:right w:val="none" w:sz="0" w:space="0" w:color="auto"/>
      </w:divBdr>
    </w:div>
    <w:div w:id="2067024540">
      <w:bodyDiv w:val="1"/>
      <w:marLeft w:val="0"/>
      <w:marRight w:val="0"/>
      <w:marTop w:val="0"/>
      <w:marBottom w:val="0"/>
      <w:divBdr>
        <w:top w:val="none" w:sz="0" w:space="0" w:color="auto"/>
        <w:left w:val="none" w:sz="0" w:space="0" w:color="auto"/>
        <w:bottom w:val="none" w:sz="0" w:space="0" w:color="auto"/>
        <w:right w:val="none" w:sz="0" w:space="0" w:color="auto"/>
      </w:divBdr>
    </w:div>
    <w:div w:id="2131390541">
      <w:bodyDiv w:val="1"/>
      <w:marLeft w:val="0"/>
      <w:marRight w:val="0"/>
      <w:marTop w:val="0"/>
      <w:marBottom w:val="0"/>
      <w:divBdr>
        <w:top w:val="none" w:sz="0" w:space="0" w:color="auto"/>
        <w:left w:val="none" w:sz="0" w:space="0" w:color="auto"/>
        <w:bottom w:val="none" w:sz="0" w:space="0" w:color="auto"/>
        <w:right w:val="none" w:sz="0" w:space="0" w:color="auto"/>
      </w:divBdr>
    </w:div>
    <w:div w:id="2132437760">
      <w:bodyDiv w:val="1"/>
      <w:marLeft w:val="0"/>
      <w:marRight w:val="0"/>
      <w:marTop w:val="0"/>
      <w:marBottom w:val="0"/>
      <w:divBdr>
        <w:top w:val="none" w:sz="0" w:space="0" w:color="auto"/>
        <w:left w:val="none" w:sz="0" w:space="0" w:color="auto"/>
        <w:bottom w:val="none" w:sz="0" w:space="0" w:color="auto"/>
        <w:right w:val="none" w:sz="0" w:space="0" w:color="auto"/>
      </w:divBdr>
    </w:div>
    <w:div w:id="213833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Dep24</b:Tag>
    <b:SourceType>Report</b:SourceType>
    <b:Guid>{40CD4BCD-8736-45BD-BDDF-60345F490CD5}</b:Guid>
    <b:Title>Cyber Security Breaches Survey 2024</b:Title>
    <b:Year>2024</b:Year>
    <b:City>London</b:City>
    <b:Author>
      <b:Author>
        <b:NameList>
          <b:Person>
            <b:Last>Department for Science</b:Last>
            <b:First>Innovation</b:First>
            <b:Middle>and Technology</b:Middle>
          </b:Person>
        </b:NameList>
      </b:Author>
    </b:Author>
    <b:Publisher>UK Government</b:Publisher>
    <b:RefOrder>1</b:RefOrder>
  </b:Source>
  <b:Source>
    <b:Tag>Ver24</b:Tag>
    <b:SourceType>Report</b:SourceType>
    <b:Guid>{A5E94196-293A-452A-85CF-C1F5E6CAF1D4}</b:Guid>
    <b:Author>
      <b:Author>
        <b:NameList>
          <b:Person>
            <b:Last>Solutions</b:Last>
            <b:First>Verizon</b:First>
            <b:Middle>Enterprise</b:Middle>
          </b:Person>
        </b:NameList>
      </b:Author>
    </b:Author>
    <b:Title>2024 Data Breach Investigations Report</b:Title>
    <b:Year>2024</b:Year>
    <b:Publisher>Verizon</b:Publisher>
    <b:City>New York</b:City>
    <b:RefOrder>2</b:RefOrder>
  </b:Source>
  <b:Source>
    <b:Tag>Eur24</b:Tag>
    <b:SourceType>Report</b:SourceType>
    <b:Guid>{0D472281-18D8-415E-B213-98E5ABDF5A07}</b:Guid>
    <b:Author>
      <b:Author>
        <b:NameList>
          <b:Person>
            <b:Last>(ENISA)</b:Last>
            <b:First>European</b:First>
            <b:Middle>Union Agency for Cybersecurity</b:Middle>
          </b:Person>
        </b:NameList>
      </b:Author>
    </b:Author>
    <b:Title>ENISA Threat Landscape 2024</b:Title>
    <b:Year>2024</b:Year>
    <b:Publisher>ENISA</b:Publisher>
    <b:City>Athens, Greece</b:City>
    <b:RefOrder>3</b:RefOrder>
  </b:Source>
  <b:Source>
    <b:Tag>Cro23</b:Tag>
    <b:SourceType>Report</b:SourceType>
    <b:Guid>{7F50DAD3-51EA-4636-86D2-184A7D33B1BC}</b:Guid>
    <b:Author>
      <b:Author>
        <b:NameList>
          <b:Person>
            <b:Last>Crowley</b:Last>
            <b:First>C.,</b:First>
            <b:Middle>et al.</b:Middle>
          </b:Person>
        </b:NameList>
      </b:Author>
    </b:Author>
    <b:Title>SANS 2023 SOC Survey</b:Title>
    <b:Year>2023</b:Year>
    <b:Publisher>SANS Institute</b:Publisher>
    <b:RefOrder>4</b:RefOrder>
  </b:Source>
  <b:Source>
    <b:Tag>Mei24</b:Tag>
    <b:SourceType>Report</b:SourceType>
    <b:Guid>{4A6CA57B-2E18-499A-9511-AFC94AFE1F5C}</b:Guid>
    <b:Author>
      <b:Author>
        <b:NameList>
          <b:Person>
            <b:Last>Meier</b:Last>
            <b:First>R.</b:First>
          </b:Person>
        </b:NameList>
      </b:Author>
    </b:Author>
    <b:Title>Blue Team Fundamentals: Roles and Tools in a Security Operations Center</b:Title>
    <b:Year>2024</b:Year>
    <b:Publisher>Independent Publication</b:Publisher>
    <b:RefOrder>5</b:RefOrder>
  </b:Source>
  <b:Source>
    <b:Tag>For23</b:Tag>
    <b:SourceType>JournalArticle</b:SourceType>
    <b:Guid>{6038E0F7-B721-42B4-8F2C-296A2B6836DA}</b:Guid>
    <b:Title>Technical Performance Metrics of a Security Operations Center</b:Title>
    <b:Year>2023</b:Year>
    <b:Author>
      <b:Author>
        <b:NameList>
          <b:Person>
            <b:Last>Forsberg</b:Last>
            <b:First>J.,</b:First>
            <b:Middle>et al.</b:Middle>
          </b:Person>
        </b:NameList>
      </b:Author>
    </b:Author>
    <b:JournalName>Computers &amp; Security</b:JournalName>
    <b:RefOrder>6</b:RefOrder>
  </b:Source>
  <b:Source>
    <b:Tag>SAN23</b:Tag>
    <b:SourceType>Report</b:SourceType>
    <b:Guid>{5C3DCC2A-4950-455B-904F-38446D0A8815}</b:Guid>
    <b:Title>SANS 2023 Incident Response Survey</b:Title>
    <b:Year>2023</b:Year>
    <b:Author>
      <b:Author>
        <b:NameList>
          <b:Person>
            <b:Last>Institute</b:Last>
            <b:First>SANS</b:First>
          </b:Person>
        </b:NameList>
      </b:Author>
    </b:Author>
    <b:Publisher>SANS Institute </b:Publisher>
    <b:RefOrder>7</b:RefOrder>
  </b:Source>
  <b:Source>
    <b:Tag>Uni25</b:Tag>
    <b:SourceType>Report</b:SourceType>
    <b:Guid>{26400C77-1980-40FE-B3FB-8F6D6DB166F1}</b:Guid>
    <b:Title>Unified Threat Detection Platform with AI, SIEM and XDR</b:Title>
    <b:Year>2025</b:Year>
    <b:RefOrder>8</b:RefOrder>
  </b:Source>
  <b:Source>
    <b:Tag>Dij25</b:Tag>
    <b:SourceType>ConferenceProceedings</b:SourceType>
    <b:Guid>{2711C722-BD10-46A1-9D9A-79E506915B16}</b:Guid>
    <b:Title>Next Steps in Cyber Blue Team Automation—Leveraging AI for SOC Operations</b:Title>
    <b:Year>2025</b:Year>
    <b:Author>
      <b:Author>
        <b:NameList>
          <b:Person>
            <b:Last>Dijk</b:Last>
            <b:First>A.,</b:First>
            <b:Middle>et al.</b:Middle>
          </b:Person>
        </b:NameList>
      </b:Author>
    </b:Author>
    <b:ConferenceName>CyCon</b:ConferenceName>
    <b:RefOrder>9</b:RefOrder>
  </b:Source>
  <b:Source>
    <b:Tag>Red20</b:Tag>
    <b:SourceType>Report</b:SourceType>
    <b:Guid>{B7F8E74B-B68A-4098-8060-E185268B1B27}</b:Guid>
    <b:Title>Red Team vs Blue Team: Assessing Cybersecurity Resilience Through Simulated Attacks</b:Title>
    <b:Year>2020</b:Year>
    <b:RefOrder>10</b:RefOrder>
  </b:Source>
</b:Sources>
</file>

<file path=customXml/itemProps1.xml><?xml version="1.0" encoding="utf-8"?>
<ds:datastoreItem xmlns:ds="http://schemas.openxmlformats.org/officeDocument/2006/customXml" ds:itemID="{0DAC09D8-C2D0-4FA8-816A-E10BE38B1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5500</TotalTime>
  <Pages>10</Pages>
  <Words>217</Words>
  <Characters>2018</Characters>
  <Application>Microsoft Office Word</Application>
  <DocSecurity>0</DocSecurity>
  <Lines>134</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Evolving Blue Team Operations for Effective Threat Detection and Response</dc:title>
  <dc:subject/>
  <dc:creator>Ana Micaela Chicaiza Asimbaya (215194)</dc:creator>
  <cp:keywords/>
  <dc:description/>
  <cp:lastModifiedBy>Ana Micaela Chicaiza Asimbaya (2115194)</cp:lastModifiedBy>
  <cp:revision>168</cp:revision>
  <dcterms:created xsi:type="dcterms:W3CDTF">2025-05-24T13:36:00Z</dcterms:created>
  <dcterms:modified xsi:type="dcterms:W3CDTF">2025-12-08T21:58:00Z</dcterms:modified>
</cp:coreProperties>
</file>