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9782C" w14:textId="6BC1200B" w:rsidR="00890506" w:rsidRDefault="00890506">
      <w:r>
        <w:rPr>
          <w:noProof/>
        </w:rPr>
        <w:drawing>
          <wp:anchor distT="0" distB="0" distL="114300" distR="114300" simplePos="0" relativeHeight="251658240" behindDoc="0" locked="0" layoutInCell="1" allowOverlap="1" wp14:anchorId="114CAB28" wp14:editId="154AB85A">
            <wp:simplePos x="0" y="0"/>
            <wp:positionH relativeFrom="column">
              <wp:posOffset>-914400</wp:posOffset>
            </wp:positionH>
            <wp:positionV relativeFrom="paragraph">
              <wp:posOffset>-937260</wp:posOffset>
            </wp:positionV>
            <wp:extent cx="7566660" cy="10784700"/>
            <wp:effectExtent l="0" t="0" r="2540" b="0"/>
            <wp:wrapNone/>
            <wp:docPr id="12" name="Picture 12" descr="A screenshot of a ques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question&#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7586685" cy="10813241"/>
                    </a:xfrm>
                    <a:prstGeom prst="rect">
                      <a:avLst/>
                    </a:prstGeom>
                  </pic:spPr>
                </pic:pic>
              </a:graphicData>
            </a:graphic>
            <wp14:sizeRelH relativeFrom="page">
              <wp14:pctWidth>0</wp14:pctWidth>
            </wp14:sizeRelH>
            <wp14:sizeRelV relativeFrom="page">
              <wp14:pctHeight>0</wp14:pctHeight>
            </wp14:sizeRelV>
          </wp:anchor>
        </w:drawing>
      </w:r>
    </w:p>
    <w:p w14:paraId="0964DFBC" w14:textId="66D65291" w:rsidR="00677E3F" w:rsidRPr="00C67F1E" w:rsidRDefault="00890506" w:rsidP="00C67F1E">
      <w:pPr>
        <w:spacing w:line="360" w:lineRule="auto"/>
      </w:pPr>
      <w:r>
        <w:br w:type="page"/>
      </w:r>
      <w:r w:rsidR="00463783" w:rsidRPr="00C67F1E">
        <w:rPr>
          <w:rFonts w:ascii="Arial" w:hAnsi="Arial" w:cs="Arial"/>
        </w:rPr>
        <w:lastRenderedPageBreak/>
        <w:t xml:space="preserve">Within the scenario question there are a range of different offences. Each offence will be addressed as they arise, discussing the Actus Reus and Mens Rea elements of each potential offence in order to identify which offences Vinnie may potentially be liable for. </w:t>
      </w:r>
    </w:p>
    <w:p w14:paraId="7D009D06" w14:textId="77777777" w:rsidR="001E48FF" w:rsidRPr="00C67F1E" w:rsidRDefault="001E48FF" w:rsidP="00C67F1E">
      <w:pPr>
        <w:spacing w:line="360" w:lineRule="auto"/>
        <w:rPr>
          <w:rFonts w:ascii="Arial" w:hAnsi="Arial" w:cs="Arial"/>
        </w:rPr>
      </w:pPr>
    </w:p>
    <w:p w14:paraId="27DD5C06" w14:textId="7DFF51EB" w:rsidR="00224F18" w:rsidRPr="00C67F1E" w:rsidRDefault="00715F15" w:rsidP="00C67F1E">
      <w:pPr>
        <w:spacing w:line="360" w:lineRule="auto"/>
        <w:rPr>
          <w:rFonts w:ascii="Arial" w:hAnsi="Arial" w:cs="Arial"/>
        </w:rPr>
      </w:pPr>
      <w:r w:rsidRPr="00C67F1E">
        <w:rPr>
          <w:rFonts w:ascii="Arial" w:hAnsi="Arial" w:cs="Arial"/>
        </w:rPr>
        <w:t xml:space="preserve">The first offence Vinnie may be liable for is burglary. Burglary is defined under section 9 (1) (a) of </w:t>
      </w:r>
      <w:r w:rsidR="00DA0C92" w:rsidRPr="00C67F1E">
        <w:rPr>
          <w:rFonts w:ascii="Arial" w:hAnsi="Arial" w:cs="Arial"/>
        </w:rPr>
        <w:t xml:space="preserve">the </w:t>
      </w:r>
      <w:r w:rsidRPr="00C67F1E">
        <w:rPr>
          <w:rFonts w:ascii="Arial" w:hAnsi="Arial" w:cs="Arial"/>
        </w:rPr>
        <w:t>Theft act 1968 as “a person is guilty of burglary if he enters any building or part of a building as a trespasser and with intent” (UK Legislation). Under burglary the actus reus requirements are that he must have entered any building or part of a building as a trespasser. As of Ryan [1996] (Law Teacher, 2021) it was established that only entry needed to be effective</w:t>
      </w:r>
      <w:r w:rsidR="00C67F1E">
        <w:rPr>
          <w:rFonts w:ascii="Arial" w:hAnsi="Arial" w:cs="Arial"/>
        </w:rPr>
        <w:t xml:space="preserve">. </w:t>
      </w:r>
      <w:r w:rsidRPr="00C67F1E">
        <w:rPr>
          <w:rFonts w:ascii="Arial" w:hAnsi="Arial" w:cs="Arial"/>
        </w:rPr>
        <w:t>The problem question states that Vinnie took it upon himself to go into the elderly man’s bedroom, meaning entry occurred.</w:t>
      </w:r>
      <w:r w:rsidR="00DA0C92" w:rsidRPr="00C67F1E">
        <w:rPr>
          <w:rFonts w:ascii="Arial" w:hAnsi="Arial" w:cs="Arial"/>
        </w:rPr>
        <w:t xml:space="preserve"> E</w:t>
      </w:r>
      <w:r w:rsidRPr="00C67F1E">
        <w:rPr>
          <w:rFonts w:ascii="Arial" w:hAnsi="Arial" w:cs="Arial"/>
        </w:rPr>
        <w:t>nter</w:t>
      </w:r>
      <w:r w:rsidR="00DA0C92" w:rsidRPr="00C67F1E">
        <w:rPr>
          <w:rFonts w:ascii="Arial" w:hAnsi="Arial" w:cs="Arial"/>
        </w:rPr>
        <w:t>ing</w:t>
      </w:r>
      <w:r w:rsidRPr="00C67F1E">
        <w:rPr>
          <w:rFonts w:ascii="Arial" w:hAnsi="Arial" w:cs="Arial"/>
        </w:rPr>
        <w:t xml:space="preserve"> a building or part of a building</w:t>
      </w:r>
      <w:r w:rsidR="00DA0C92" w:rsidRPr="00C67F1E">
        <w:rPr>
          <w:rFonts w:ascii="Arial" w:hAnsi="Arial" w:cs="Arial"/>
        </w:rPr>
        <w:t xml:space="preserve"> </w:t>
      </w:r>
      <w:r w:rsidR="00C67F1E">
        <w:rPr>
          <w:rFonts w:ascii="Arial" w:hAnsi="Arial" w:cs="Arial"/>
        </w:rPr>
        <w:t xml:space="preserve">is next </w:t>
      </w:r>
      <w:r w:rsidR="00DA0C92" w:rsidRPr="00C67F1E">
        <w:rPr>
          <w:rFonts w:ascii="Arial" w:hAnsi="Arial" w:cs="Arial"/>
        </w:rPr>
        <w:t>to be determined</w:t>
      </w:r>
      <w:r w:rsidRPr="00C67F1E">
        <w:rPr>
          <w:rFonts w:ascii="Arial" w:hAnsi="Arial" w:cs="Arial"/>
        </w:rPr>
        <w:t xml:space="preserve">. In B v. Leathley [1979], the court determined that a freezer container in a farmyard qualified as a building </w:t>
      </w:r>
      <w:r w:rsidR="00C67F1E">
        <w:rPr>
          <w:rFonts w:ascii="Arial" w:hAnsi="Arial" w:cs="Arial"/>
        </w:rPr>
        <w:t xml:space="preserve">through </w:t>
      </w:r>
      <w:r w:rsidRPr="00C67F1E">
        <w:rPr>
          <w:rFonts w:ascii="Arial" w:hAnsi="Arial" w:cs="Arial"/>
        </w:rPr>
        <w:t>the definition from a case predat</w:t>
      </w:r>
      <w:r w:rsidR="00C67F1E">
        <w:rPr>
          <w:rFonts w:ascii="Arial" w:hAnsi="Arial" w:cs="Arial"/>
        </w:rPr>
        <w:t>ing</w:t>
      </w:r>
      <w:r w:rsidRPr="00C67F1E">
        <w:rPr>
          <w:rFonts w:ascii="Arial" w:hAnsi="Arial" w:cs="Arial"/>
        </w:rPr>
        <w:t xml:space="preserve"> the T</w:t>
      </w:r>
      <w:r w:rsidR="00D12807" w:rsidRPr="00C67F1E">
        <w:rPr>
          <w:rFonts w:ascii="Arial" w:hAnsi="Arial" w:cs="Arial"/>
        </w:rPr>
        <w:t>A</w:t>
      </w:r>
      <w:r w:rsidRPr="00C67F1E">
        <w:rPr>
          <w:rFonts w:ascii="Arial" w:hAnsi="Arial" w:cs="Arial"/>
        </w:rPr>
        <w:t xml:space="preserve"> 1968 (Stevens v. Gourley, 1859) that to be a building a structure must have some degree of permanence. Vinnie entered the elderly man’s bedroom which amounted to entry into a building or part of a building. </w:t>
      </w:r>
      <w:r w:rsidR="00912A69" w:rsidRPr="00C67F1E">
        <w:rPr>
          <w:rFonts w:ascii="Arial" w:hAnsi="Arial" w:cs="Arial"/>
        </w:rPr>
        <w:t>S</w:t>
      </w:r>
      <w:r w:rsidRPr="00C67F1E">
        <w:rPr>
          <w:rFonts w:ascii="Arial" w:hAnsi="Arial" w:cs="Arial"/>
        </w:rPr>
        <w:t>ection 9 (1) (a) require</w:t>
      </w:r>
      <w:r w:rsidR="00912A69" w:rsidRPr="00C67F1E">
        <w:rPr>
          <w:rFonts w:ascii="Arial" w:hAnsi="Arial" w:cs="Arial"/>
        </w:rPr>
        <w:t>s</w:t>
      </w:r>
      <w:r w:rsidRPr="00C67F1E">
        <w:rPr>
          <w:rFonts w:ascii="Arial" w:hAnsi="Arial" w:cs="Arial"/>
        </w:rPr>
        <w:t xml:space="preserve"> the defendant to be a trespasser upon entry. According to Jones and Smith [1976] (Law teacher, 2021), even if an individual has permission from the occupier to enter, they may still be considered trespassers if the permission was given but </w:t>
      </w:r>
      <w:r w:rsidR="00D36FA5" w:rsidRPr="00C67F1E">
        <w:rPr>
          <w:rFonts w:ascii="Arial" w:hAnsi="Arial" w:cs="Arial"/>
        </w:rPr>
        <w:t>e</w:t>
      </w:r>
      <w:r w:rsidRPr="00C67F1E">
        <w:rPr>
          <w:rFonts w:ascii="Arial" w:hAnsi="Arial" w:cs="Arial"/>
        </w:rPr>
        <w:t xml:space="preserve">xceeded by the defendant. This shows that at the time of entry Vinnie was a trespasser due to </w:t>
      </w:r>
      <w:r w:rsidR="00C67F1E">
        <w:rPr>
          <w:rFonts w:ascii="Arial" w:hAnsi="Arial" w:cs="Arial"/>
        </w:rPr>
        <w:t>his</w:t>
      </w:r>
      <w:r w:rsidRPr="00C67F1E">
        <w:rPr>
          <w:rFonts w:ascii="Arial" w:hAnsi="Arial" w:cs="Arial"/>
        </w:rPr>
        <w:t xml:space="preserve"> ulterior motiv</w:t>
      </w:r>
      <w:r w:rsidR="00D36FA5" w:rsidRPr="00C67F1E">
        <w:rPr>
          <w:rFonts w:ascii="Arial" w:hAnsi="Arial" w:cs="Arial"/>
        </w:rPr>
        <w:t>e</w:t>
      </w:r>
      <w:r w:rsidRPr="00C67F1E">
        <w:rPr>
          <w:rFonts w:ascii="Arial" w:hAnsi="Arial" w:cs="Arial"/>
        </w:rPr>
        <w:t>,</w:t>
      </w:r>
      <w:r w:rsidR="00D36FA5" w:rsidRPr="00C67F1E">
        <w:rPr>
          <w:rFonts w:ascii="Arial" w:hAnsi="Arial" w:cs="Arial"/>
        </w:rPr>
        <w:t xml:space="preserve"> </w:t>
      </w:r>
      <w:r w:rsidR="009E08E5">
        <w:rPr>
          <w:rFonts w:ascii="Arial" w:hAnsi="Arial" w:cs="Arial"/>
        </w:rPr>
        <w:t xml:space="preserve">showing </w:t>
      </w:r>
      <w:r w:rsidRPr="00C67F1E">
        <w:rPr>
          <w:rFonts w:ascii="Arial" w:hAnsi="Arial" w:cs="Arial"/>
        </w:rPr>
        <w:t>liab</w:t>
      </w:r>
      <w:r w:rsidR="009E08E5">
        <w:rPr>
          <w:rFonts w:ascii="Arial" w:hAnsi="Arial" w:cs="Arial"/>
        </w:rPr>
        <w:t>ility</w:t>
      </w:r>
      <w:r w:rsidRPr="00C67F1E">
        <w:rPr>
          <w:rFonts w:ascii="Arial" w:hAnsi="Arial" w:cs="Arial"/>
        </w:rPr>
        <w:t xml:space="preserve"> for</w:t>
      </w:r>
      <w:r w:rsidR="00D12807" w:rsidRPr="00C67F1E">
        <w:rPr>
          <w:rFonts w:ascii="Arial" w:hAnsi="Arial" w:cs="Arial"/>
        </w:rPr>
        <w:t xml:space="preserve"> Section 9 (1) (a)</w:t>
      </w:r>
      <w:r w:rsidR="009E08E5">
        <w:rPr>
          <w:rFonts w:ascii="Arial" w:hAnsi="Arial" w:cs="Arial"/>
        </w:rPr>
        <w:t xml:space="preserve"> Burglary</w:t>
      </w:r>
      <w:r w:rsidRPr="00C67F1E">
        <w:rPr>
          <w:rFonts w:ascii="Arial" w:hAnsi="Arial" w:cs="Arial"/>
        </w:rPr>
        <w:t>. Vinnie may also be liable to theft</w:t>
      </w:r>
      <w:r w:rsidR="009E08E5">
        <w:rPr>
          <w:rFonts w:ascii="Arial" w:hAnsi="Arial" w:cs="Arial"/>
        </w:rPr>
        <w:t xml:space="preserve">. </w:t>
      </w:r>
      <w:r w:rsidRPr="00C67F1E">
        <w:rPr>
          <w:rFonts w:ascii="Arial" w:hAnsi="Arial" w:cs="Arial"/>
        </w:rPr>
        <w:t>Vinnie saw the elderly man’s watch and decide</w:t>
      </w:r>
      <w:r w:rsidR="009E08E5">
        <w:rPr>
          <w:rFonts w:ascii="Arial" w:hAnsi="Arial" w:cs="Arial"/>
        </w:rPr>
        <w:t>d</w:t>
      </w:r>
      <w:r w:rsidRPr="00C67F1E">
        <w:rPr>
          <w:rFonts w:ascii="Arial" w:hAnsi="Arial" w:cs="Arial"/>
        </w:rPr>
        <w:t xml:space="preserve"> to take it with the purpose of selling it</w:t>
      </w:r>
      <w:r w:rsidR="009E08E5">
        <w:rPr>
          <w:rFonts w:ascii="Arial" w:hAnsi="Arial" w:cs="Arial"/>
        </w:rPr>
        <w:t xml:space="preserve">. </w:t>
      </w:r>
      <w:r w:rsidRPr="00C67F1E">
        <w:rPr>
          <w:rFonts w:ascii="Arial" w:hAnsi="Arial" w:cs="Arial"/>
        </w:rPr>
        <w:t xml:space="preserve">Section 1(1) states that </w:t>
      </w:r>
      <w:r w:rsidRPr="00C67F1E">
        <w:rPr>
          <w:rFonts w:ascii="Arial" w:hAnsi="Arial" w:cs="Arial"/>
          <w:shd w:val="clear" w:color="auto" w:fill="FFFFFF"/>
        </w:rPr>
        <w:t>a person is guilty of theft if he dishonestly appropriates property belonging to another with the intention of permanently depriving the other of it. This is evident as Vinnie intends to sell the watch</w:t>
      </w:r>
      <w:r w:rsidR="00D12807" w:rsidRPr="00C67F1E">
        <w:rPr>
          <w:rFonts w:ascii="Arial" w:hAnsi="Arial" w:cs="Arial"/>
          <w:shd w:val="clear" w:color="auto" w:fill="FFFFFF"/>
        </w:rPr>
        <w:t xml:space="preserve">, leaving the </w:t>
      </w:r>
      <w:r w:rsidRPr="00C67F1E">
        <w:rPr>
          <w:rFonts w:ascii="Arial" w:hAnsi="Arial" w:cs="Arial"/>
          <w:shd w:val="clear" w:color="auto" w:fill="FFFFFF"/>
        </w:rPr>
        <w:t xml:space="preserve">elderly man permanently deprived </w:t>
      </w:r>
      <w:r w:rsidR="008077AD" w:rsidRPr="00C67F1E">
        <w:rPr>
          <w:rFonts w:ascii="Arial" w:hAnsi="Arial" w:cs="Arial"/>
          <w:shd w:val="clear" w:color="auto" w:fill="FFFFFF"/>
        </w:rPr>
        <w:t xml:space="preserve">of </w:t>
      </w:r>
      <w:r w:rsidR="00D12807" w:rsidRPr="00C67F1E">
        <w:rPr>
          <w:rFonts w:ascii="Arial" w:hAnsi="Arial" w:cs="Arial"/>
          <w:shd w:val="clear" w:color="auto" w:fill="FFFFFF"/>
        </w:rPr>
        <w:t>the item</w:t>
      </w:r>
      <w:r w:rsidRPr="00C67F1E">
        <w:rPr>
          <w:rFonts w:ascii="Arial" w:hAnsi="Arial" w:cs="Arial"/>
          <w:shd w:val="clear" w:color="auto" w:fill="FFFFFF"/>
        </w:rPr>
        <w:t>. The actus reus of theft</w:t>
      </w:r>
      <w:r w:rsidRPr="00C67F1E">
        <w:rPr>
          <w:rFonts w:ascii="Arial" w:hAnsi="Arial" w:cs="Arial"/>
        </w:rPr>
        <w:t xml:space="preserve"> requires the appropria</w:t>
      </w:r>
      <w:r w:rsidR="009E08E5">
        <w:rPr>
          <w:rFonts w:ascii="Arial" w:hAnsi="Arial" w:cs="Arial"/>
        </w:rPr>
        <w:t>tion of</w:t>
      </w:r>
      <w:r w:rsidRPr="00C67F1E">
        <w:rPr>
          <w:rFonts w:ascii="Arial" w:hAnsi="Arial" w:cs="Arial"/>
        </w:rPr>
        <w:t xml:space="preserve"> property belonging to another. Appropriation is defined under </w:t>
      </w:r>
      <w:r w:rsidR="00912A69" w:rsidRPr="00C67F1E">
        <w:rPr>
          <w:rFonts w:ascii="Arial" w:hAnsi="Arial" w:cs="Arial"/>
        </w:rPr>
        <w:t>S</w:t>
      </w:r>
      <w:r w:rsidRPr="00C67F1E">
        <w:rPr>
          <w:rFonts w:ascii="Arial" w:hAnsi="Arial" w:cs="Arial"/>
        </w:rPr>
        <w:t xml:space="preserve">ection 3 (1) </w:t>
      </w:r>
      <w:r w:rsidRPr="00C67F1E">
        <w:rPr>
          <w:rFonts w:ascii="Arial" w:hAnsi="Arial" w:cs="Arial"/>
          <w:shd w:val="clear" w:color="auto" w:fill="FFFFFF"/>
        </w:rPr>
        <w:t xml:space="preserve">as any assumption by a person of the rights of an owner. It also requires property, the watch can be deemed property under section 4 (1) TA 1968 where it states that </w:t>
      </w:r>
      <w:r w:rsidRPr="00C67F1E">
        <w:rPr>
          <w:rStyle w:val="legterm"/>
          <w:rFonts w:ascii="Arial" w:hAnsi="Arial" w:cs="Arial"/>
        </w:rPr>
        <w:t>property</w:t>
      </w:r>
      <w:r w:rsidRPr="00C67F1E">
        <w:rPr>
          <w:rFonts w:ascii="Arial" w:hAnsi="Arial" w:cs="Arial"/>
          <w:shd w:val="clear" w:color="auto" w:fill="FFFFFF"/>
        </w:rPr>
        <w:t xml:space="preserve"> includes money and all other property, </w:t>
      </w:r>
      <w:r w:rsidR="008077AD" w:rsidRPr="00C67F1E">
        <w:rPr>
          <w:rFonts w:ascii="Arial" w:hAnsi="Arial" w:cs="Arial"/>
          <w:shd w:val="clear" w:color="auto" w:fill="FFFFFF"/>
        </w:rPr>
        <w:t>including</w:t>
      </w:r>
      <w:r w:rsidRPr="00C67F1E">
        <w:rPr>
          <w:rFonts w:ascii="Arial" w:hAnsi="Arial" w:cs="Arial"/>
          <w:shd w:val="clear" w:color="auto" w:fill="FFFFFF"/>
        </w:rPr>
        <w:t xml:space="preserve"> intangible property. The last element of actus reus for theft is that it belongs to another. Section 5 (1) states that property shall be regarded as belonging to any </w:t>
      </w:r>
      <w:r w:rsidRPr="00C67F1E">
        <w:rPr>
          <w:rFonts w:ascii="Arial" w:hAnsi="Arial" w:cs="Arial"/>
          <w:shd w:val="clear" w:color="auto" w:fill="FFFFFF"/>
        </w:rPr>
        <w:lastRenderedPageBreak/>
        <w:t>person having possession or control of it or having in it any proprietary right or interest</w:t>
      </w:r>
      <w:r w:rsidRPr="00C67F1E">
        <w:rPr>
          <w:rStyle w:val="apple-converted-space"/>
          <w:rFonts w:ascii="Arial" w:hAnsi="Arial" w:cs="Arial"/>
          <w:shd w:val="clear" w:color="auto" w:fill="FFFFFF"/>
        </w:rPr>
        <w:t>. Since the watch belonged to the elderly man and had been taken from his room it is evident that the actus reus has been met for theft. The mens rea elements of the offence require the defendant to have dishonestly and intentionally deprive the other of it. Dishonestly as state</w:t>
      </w:r>
      <w:r w:rsidR="001E48FF" w:rsidRPr="00C67F1E">
        <w:rPr>
          <w:rStyle w:val="apple-converted-space"/>
          <w:rFonts w:ascii="Arial" w:hAnsi="Arial" w:cs="Arial"/>
          <w:shd w:val="clear" w:color="auto" w:fill="FFFFFF"/>
        </w:rPr>
        <w:t>d</w:t>
      </w:r>
      <w:r w:rsidRPr="00C67F1E">
        <w:rPr>
          <w:rStyle w:val="apple-converted-space"/>
          <w:rFonts w:ascii="Arial" w:hAnsi="Arial" w:cs="Arial"/>
          <w:shd w:val="clear" w:color="auto" w:fill="FFFFFF"/>
        </w:rPr>
        <w:t xml:space="preserve"> under Section 2 (1) (b) TA 1968</w:t>
      </w:r>
      <w:r w:rsidR="009E08E5">
        <w:rPr>
          <w:rStyle w:val="apple-converted-space"/>
          <w:rFonts w:ascii="Arial" w:hAnsi="Arial" w:cs="Arial"/>
          <w:shd w:val="clear" w:color="auto" w:fill="FFFFFF"/>
        </w:rPr>
        <w:t xml:space="preserve"> </w:t>
      </w:r>
      <w:r w:rsidRPr="00C67F1E">
        <w:rPr>
          <w:rFonts w:ascii="Arial" w:hAnsi="Arial" w:cs="Arial"/>
          <w:shd w:val="clear" w:color="auto" w:fill="FFFFFF"/>
        </w:rPr>
        <w:t xml:space="preserve">is not to be regarded as dishonest if he </w:t>
      </w:r>
      <w:proofErr w:type="gramStart"/>
      <w:r w:rsidRPr="00C67F1E">
        <w:rPr>
          <w:rFonts w:ascii="Arial" w:hAnsi="Arial" w:cs="Arial"/>
          <w:shd w:val="clear" w:color="auto" w:fill="FFFFFF"/>
        </w:rPr>
        <w:t>appropriates</w:t>
      </w:r>
      <w:proofErr w:type="gramEnd"/>
      <w:r w:rsidRPr="00C67F1E">
        <w:rPr>
          <w:rFonts w:ascii="Arial" w:hAnsi="Arial" w:cs="Arial"/>
          <w:shd w:val="clear" w:color="auto" w:fill="FFFFFF"/>
        </w:rPr>
        <w:t xml:space="preserve"> the property in the belief that he would have the other’s consent. The elderly man had not consented to Vinnie taking his watch or selling it and it is unlikely that the defendant thought that the elderly man would consent to this. Ghosh [1982] established that </w:t>
      </w:r>
      <w:r w:rsidRPr="00C67F1E">
        <w:rPr>
          <w:rFonts w:ascii="Arial" w:hAnsi="Arial" w:cs="Arial"/>
        </w:rPr>
        <w:t>being dishonest was a mindset as opposed to a behaviour</w:t>
      </w:r>
      <w:r w:rsidR="005B78E9" w:rsidRPr="00C67F1E">
        <w:rPr>
          <w:rFonts w:ascii="Arial" w:hAnsi="Arial" w:cs="Arial"/>
        </w:rPr>
        <w:t xml:space="preserve"> </w:t>
      </w:r>
      <w:r w:rsidRPr="00C67F1E">
        <w:rPr>
          <w:rFonts w:ascii="Arial" w:hAnsi="Arial" w:cs="Arial"/>
        </w:rPr>
        <w:t xml:space="preserve">(Law Teacher, 2024). The defendant can be seen to intentionally permanently deprive the elderly man as Section 6 (1) states that </w:t>
      </w:r>
      <w:r w:rsidRPr="00C67F1E">
        <w:rPr>
          <w:rFonts w:ascii="Arial" w:hAnsi="Arial" w:cs="Arial"/>
          <w:shd w:val="clear" w:color="auto" w:fill="FFFFFF"/>
        </w:rPr>
        <w:t>a person appropriating property belonging to another without meaning the other permanently to lose the thing itself is nevertheless to be regarded as having the intention of permanently depriving the other of it if his intention is to treat the thing as his own to dispose of regardless of the other’s rights. Vinnie took the watch to sell therefore evidencing that he intended to permanently deprive the elderly man of his property</w:t>
      </w:r>
      <w:r w:rsidR="001E48FF" w:rsidRPr="00C67F1E">
        <w:rPr>
          <w:rFonts w:ascii="Arial" w:hAnsi="Arial" w:cs="Arial"/>
          <w:shd w:val="clear" w:color="auto" w:fill="FFFFFF"/>
        </w:rPr>
        <w:t xml:space="preserve">. </w:t>
      </w:r>
    </w:p>
    <w:p w14:paraId="56A1B4DC" w14:textId="14A43A1C" w:rsidR="00224F18" w:rsidRPr="00C67F1E" w:rsidRDefault="00224F18" w:rsidP="00C67F1E">
      <w:pPr>
        <w:spacing w:line="360" w:lineRule="auto"/>
        <w:rPr>
          <w:rFonts w:ascii="Arial" w:hAnsi="Arial" w:cs="Arial"/>
        </w:rPr>
      </w:pPr>
    </w:p>
    <w:p w14:paraId="2DD4CE28" w14:textId="049D3212" w:rsidR="0093764D" w:rsidRPr="00C67F1E" w:rsidRDefault="00B00322" w:rsidP="00C67F1E">
      <w:pPr>
        <w:spacing w:line="360" w:lineRule="auto"/>
        <w:rPr>
          <w:rFonts w:ascii="Arial" w:hAnsi="Arial" w:cs="Arial"/>
        </w:rPr>
      </w:pPr>
      <w:r w:rsidRPr="00C67F1E">
        <w:rPr>
          <w:rFonts w:ascii="Arial" w:hAnsi="Arial" w:cs="Arial"/>
        </w:rPr>
        <w:t>The second offence that Vinnie may be liable for is Basic Criminal Damage. Criminal Damage is defined under Section 1</w:t>
      </w:r>
      <w:r w:rsidR="00B43F02" w:rsidRPr="00C67F1E">
        <w:rPr>
          <w:rFonts w:ascii="Arial" w:hAnsi="Arial" w:cs="Arial"/>
        </w:rPr>
        <w:t xml:space="preserve"> (1)</w:t>
      </w:r>
      <w:r w:rsidRPr="00C67F1E">
        <w:rPr>
          <w:rFonts w:ascii="Arial" w:hAnsi="Arial" w:cs="Arial"/>
        </w:rPr>
        <w:t xml:space="preserve"> of the Criminal Damage Act 1971 as “</w:t>
      </w:r>
      <w:r w:rsidRPr="00C67F1E">
        <w:rPr>
          <w:rFonts w:ascii="Arial" w:hAnsi="Arial" w:cs="Arial"/>
          <w:shd w:val="clear" w:color="auto" w:fill="FFFFFF"/>
        </w:rPr>
        <w:t xml:space="preserve">A person who without lawful excuse destroys or damages any property belonging to another intending to destroy or damage any such property or being reckless as to whether any such property would be destroyed or damaged shall be guilty of an offence” (Legislation UK, 2024). </w:t>
      </w:r>
      <w:r w:rsidR="00B54CE5" w:rsidRPr="00C67F1E">
        <w:rPr>
          <w:rFonts w:ascii="Arial" w:hAnsi="Arial" w:cs="Arial"/>
          <w:shd w:val="clear" w:color="auto" w:fill="FFFFFF"/>
        </w:rPr>
        <w:t xml:space="preserve">In order to determine whether he is liable for the offence the actus reus and mens rea must be determined first. The actus reus of element of basic criminal damage as stated under Section 1 (2) </w:t>
      </w:r>
      <w:r w:rsidR="00D9524D" w:rsidRPr="00C67F1E">
        <w:rPr>
          <w:rFonts w:ascii="Arial" w:hAnsi="Arial" w:cs="Arial"/>
          <w:shd w:val="clear" w:color="auto" w:fill="FFFFFF"/>
        </w:rPr>
        <w:t>of the C</w:t>
      </w:r>
      <w:r w:rsidR="00912A69" w:rsidRPr="00C67F1E">
        <w:rPr>
          <w:rFonts w:ascii="Arial" w:hAnsi="Arial" w:cs="Arial"/>
          <w:shd w:val="clear" w:color="auto" w:fill="FFFFFF"/>
        </w:rPr>
        <w:t>D</w:t>
      </w:r>
      <w:r w:rsidR="00D9524D" w:rsidRPr="00C67F1E">
        <w:rPr>
          <w:rFonts w:ascii="Arial" w:hAnsi="Arial" w:cs="Arial"/>
          <w:shd w:val="clear" w:color="auto" w:fill="FFFFFF"/>
        </w:rPr>
        <w:t xml:space="preserve">A 1971 </w:t>
      </w:r>
      <w:r w:rsidR="00B54CE5" w:rsidRPr="00C67F1E">
        <w:rPr>
          <w:rFonts w:ascii="Arial" w:hAnsi="Arial" w:cs="Arial"/>
          <w:shd w:val="clear" w:color="auto" w:fill="FFFFFF"/>
        </w:rPr>
        <w:t xml:space="preserve">requires the defendant to have committed </w:t>
      </w:r>
      <w:r w:rsidR="00B54CE5" w:rsidRPr="00C67F1E">
        <w:rPr>
          <w:rFonts w:ascii="Arial" w:hAnsi="Arial" w:cs="Arial"/>
        </w:rPr>
        <w:t>damage or destruction of property that belongs to another without lawful excuse</w:t>
      </w:r>
      <w:r w:rsidR="001135E7" w:rsidRPr="00C67F1E">
        <w:rPr>
          <w:rFonts w:ascii="Arial" w:hAnsi="Arial" w:cs="Arial"/>
        </w:rPr>
        <w:t xml:space="preserve"> (CDA 1971). The first part of the actus reus of this offence requires the defendant to have caused damage to property belonging to someone else. This can be established as Vinnie caused visible damage to the car which belonged to Louise. </w:t>
      </w:r>
      <w:r w:rsidR="0093764D" w:rsidRPr="00C67F1E">
        <w:rPr>
          <w:rFonts w:ascii="Arial" w:hAnsi="Arial" w:cs="Arial"/>
        </w:rPr>
        <w:t>The last element of the actus reus requires the defendant to have committed the offence without lawful excuse. S</w:t>
      </w:r>
      <w:r w:rsidR="00912A69" w:rsidRPr="00C67F1E">
        <w:rPr>
          <w:rFonts w:ascii="Arial" w:hAnsi="Arial" w:cs="Arial"/>
        </w:rPr>
        <w:t>.</w:t>
      </w:r>
      <w:r w:rsidR="0093764D" w:rsidRPr="00C67F1E">
        <w:rPr>
          <w:rFonts w:ascii="Arial" w:hAnsi="Arial" w:cs="Arial"/>
        </w:rPr>
        <w:t>5 (2) (a)</w:t>
      </w:r>
      <w:r w:rsidR="00D9524D" w:rsidRPr="00C67F1E">
        <w:rPr>
          <w:rFonts w:ascii="Arial" w:hAnsi="Arial" w:cs="Arial"/>
        </w:rPr>
        <w:t xml:space="preserve"> (CDA 1971)</w:t>
      </w:r>
      <w:r w:rsidR="0093764D" w:rsidRPr="00C67F1E">
        <w:rPr>
          <w:rFonts w:ascii="Arial" w:hAnsi="Arial" w:cs="Arial"/>
        </w:rPr>
        <w:t xml:space="preserve"> states that if at the time of the act or acts that are alleged to constitute the offence, he thought that the person or people he thought were entitled to consent to </w:t>
      </w:r>
      <w:r w:rsidR="0093764D" w:rsidRPr="00C67F1E">
        <w:rPr>
          <w:rFonts w:ascii="Arial" w:hAnsi="Arial" w:cs="Arial"/>
        </w:rPr>
        <w:lastRenderedPageBreak/>
        <w:t xml:space="preserve">the destruction of or damage to the property in question had given their consent, or that they would have given their consent if they had been aware of the circumstances surrounding the destruction or damage. This signifies that no lawful excuse applies </w:t>
      </w:r>
      <w:r w:rsidR="009E08E5">
        <w:rPr>
          <w:rFonts w:ascii="Arial" w:hAnsi="Arial" w:cs="Arial"/>
        </w:rPr>
        <w:t>to</w:t>
      </w:r>
      <w:r w:rsidR="0093764D" w:rsidRPr="00C67F1E">
        <w:rPr>
          <w:rFonts w:ascii="Arial" w:hAnsi="Arial" w:cs="Arial"/>
        </w:rPr>
        <w:t xml:space="preserve"> </w:t>
      </w:r>
      <w:r w:rsidR="00D90A3C" w:rsidRPr="00C67F1E">
        <w:rPr>
          <w:rFonts w:ascii="Arial" w:hAnsi="Arial" w:cs="Arial"/>
        </w:rPr>
        <w:t>his</w:t>
      </w:r>
      <w:r w:rsidR="0093764D" w:rsidRPr="00C67F1E">
        <w:rPr>
          <w:rFonts w:ascii="Arial" w:hAnsi="Arial" w:cs="Arial"/>
        </w:rPr>
        <w:t xml:space="preserve"> liability for the offence. </w:t>
      </w:r>
      <w:r w:rsidR="00D90A3C" w:rsidRPr="00C67F1E">
        <w:rPr>
          <w:rFonts w:ascii="Arial" w:hAnsi="Arial" w:cs="Arial"/>
        </w:rPr>
        <w:t>Since</w:t>
      </w:r>
      <w:r w:rsidR="00675E42" w:rsidRPr="00C67F1E">
        <w:rPr>
          <w:rFonts w:ascii="Arial" w:hAnsi="Arial" w:cs="Arial"/>
        </w:rPr>
        <w:t xml:space="preserve"> the </w:t>
      </w:r>
      <w:r w:rsidR="00D9524D" w:rsidRPr="00C67F1E">
        <w:rPr>
          <w:rFonts w:ascii="Arial" w:hAnsi="Arial" w:cs="Arial"/>
        </w:rPr>
        <w:t>a</w:t>
      </w:r>
      <w:r w:rsidR="00675E42" w:rsidRPr="00C67F1E">
        <w:rPr>
          <w:rFonts w:ascii="Arial" w:hAnsi="Arial" w:cs="Arial"/>
        </w:rPr>
        <w:t xml:space="preserve">ctus </w:t>
      </w:r>
      <w:r w:rsidR="00D9524D" w:rsidRPr="00C67F1E">
        <w:rPr>
          <w:rFonts w:ascii="Arial" w:hAnsi="Arial" w:cs="Arial"/>
        </w:rPr>
        <w:t>r</w:t>
      </w:r>
      <w:r w:rsidR="00675E42" w:rsidRPr="00C67F1E">
        <w:rPr>
          <w:rFonts w:ascii="Arial" w:hAnsi="Arial" w:cs="Arial"/>
        </w:rPr>
        <w:t>eus has been established, a mens rea for the offence also needs to be established to form criminal liability. The mens rea of basic criminal damage is set out within S</w:t>
      </w:r>
      <w:r w:rsidR="00912A69" w:rsidRPr="00C67F1E">
        <w:rPr>
          <w:rFonts w:ascii="Arial" w:hAnsi="Arial" w:cs="Arial"/>
        </w:rPr>
        <w:t>.</w:t>
      </w:r>
      <w:r w:rsidR="00675E42" w:rsidRPr="00C67F1E">
        <w:rPr>
          <w:rFonts w:ascii="Arial" w:hAnsi="Arial" w:cs="Arial"/>
        </w:rPr>
        <w:t>1 (1)</w:t>
      </w:r>
      <w:r w:rsidR="00D90A3C" w:rsidRPr="00C67F1E">
        <w:rPr>
          <w:rFonts w:ascii="Arial" w:hAnsi="Arial" w:cs="Arial"/>
        </w:rPr>
        <w:t xml:space="preserve"> of the Criminal Damage Act 1971,</w:t>
      </w:r>
      <w:r w:rsidR="00675E42" w:rsidRPr="00C67F1E">
        <w:rPr>
          <w:rFonts w:ascii="Arial" w:hAnsi="Arial" w:cs="Arial"/>
        </w:rPr>
        <w:t xml:space="preserve"> </w:t>
      </w:r>
      <w:r w:rsidR="00D90A3C" w:rsidRPr="00C67F1E">
        <w:rPr>
          <w:rFonts w:ascii="Arial" w:hAnsi="Arial" w:cs="Arial"/>
        </w:rPr>
        <w:t>where i</w:t>
      </w:r>
      <w:r w:rsidR="006C4164" w:rsidRPr="00C67F1E">
        <w:rPr>
          <w:rFonts w:ascii="Arial" w:hAnsi="Arial" w:cs="Arial"/>
        </w:rPr>
        <w:t>t</w:t>
      </w:r>
      <w:r w:rsidR="00D90A3C" w:rsidRPr="00C67F1E">
        <w:rPr>
          <w:rFonts w:ascii="Arial" w:hAnsi="Arial" w:cs="Arial"/>
        </w:rPr>
        <w:t xml:space="preserve"> states that the defendant must have intention or recklessness to destroy or damage property belonging to another. </w:t>
      </w:r>
      <w:r w:rsidR="00276B4F" w:rsidRPr="00C67F1E">
        <w:rPr>
          <w:rFonts w:ascii="Arial" w:hAnsi="Arial" w:cs="Arial"/>
        </w:rPr>
        <w:t>When considering intention or recklessness the level of blameworthiness must be considered. There are 4 levels of blameworthiness,</w:t>
      </w:r>
      <w:r w:rsidR="00912A69" w:rsidRPr="00C67F1E">
        <w:rPr>
          <w:rFonts w:ascii="Arial" w:hAnsi="Arial" w:cs="Arial"/>
        </w:rPr>
        <w:t xml:space="preserve"> </w:t>
      </w:r>
      <w:r w:rsidR="00276B4F" w:rsidRPr="00C67F1E">
        <w:rPr>
          <w:rFonts w:ascii="Arial" w:hAnsi="Arial" w:cs="Arial"/>
        </w:rPr>
        <w:t>intention – be it direct or indirect, recklessness, negligence and strict liability.</w:t>
      </w:r>
      <w:r w:rsidR="001E48FF" w:rsidRPr="00C67F1E">
        <w:rPr>
          <w:rFonts w:ascii="Arial" w:hAnsi="Arial" w:cs="Arial"/>
        </w:rPr>
        <w:t xml:space="preserve"> </w:t>
      </w:r>
      <w:r w:rsidR="00276B4F" w:rsidRPr="00C67F1E">
        <w:rPr>
          <w:rFonts w:ascii="Arial" w:hAnsi="Arial" w:cs="Arial"/>
        </w:rPr>
        <w:t xml:space="preserve">Vinnie purposely damaged Louise’s car </w:t>
      </w:r>
      <w:r w:rsidR="00A7065A" w:rsidRPr="00C67F1E">
        <w:rPr>
          <w:rFonts w:ascii="Arial" w:hAnsi="Arial" w:cs="Arial"/>
        </w:rPr>
        <w:t>in</w:t>
      </w:r>
      <w:r w:rsidR="00276B4F" w:rsidRPr="00C67F1E">
        <w:rPr>
          <w:rFonts w:ascii="Arial" w:hAnsi="Arial" w:cs="Arial"/>
        </w:rPr>
        <w:t xml:space="preserve"> anger</w:t>
      </w:r>
      <w:r w:rsidR="00A7065A" w:rsidRPr="00C67F1E">
        <w:rPr>
          <w:rFonts w:ascii="Arial" w:hAnsi="Arial" w:cs="Arial"/>
        </w:rPr>
        <w:t xml:space="preserve">, </w:t>
      </w:r>
      <w:r w:rsidR="00D9524D" w:rsidRPr="00C67F1E">
        <w:rPr>
          <w:rFonts w:ascii="Arial" w:hAnsi="Arial" w:cs="Arial"/>
        </w:rPr>
        <w:t>amount</w:t>
      </w:r>
      <w:r w:rsidR="00A7065A" w:rsidRPr="00C67F1E">
        <w:rPr>
          <w:rFonts w:ascii="Arial" w:hAnsi="Arial" w:cs="Arial"/>
        </w:rPr>
        <w:t>ing</w:t>
      </w:r>
      <w:r w:rsidR="00276B4F" w:rsidRPr="00C67F1E">
        <w:rPr>
          <w:rFonts w:ascii="Arial" w:hAnsi="Arial" w:cs="Arial"/>
        </w:rPr>
        <w:t xml:space="preserve"> to direct intention </w:t>
      </w:r>
      <w:r w:rsidR="00D9524D" w:rsidRPr="00C67F1E">
        <w:rPr>
          <w:rFonts w:ascii="Arial" w:hAnsi="Arial" w:cs="Arial"/>
        </w:rPr>
        <w:t>as in term</w:t>
      </w:r>
      <w:r w:rsidR="00E34C35" w:rsidRPr="00C67F1E">
        <w:rPr>
          <w:rFonts w:ascii="Arial" w:hAnsi="Arial" w:cs="Arial"/>
        </w:rPr>
        <w:t>s</w:t>
      </w:r>
      <w:r w:rsidR="00D9524D" w:rsidRPr="00C67F1E">
        <w:rPr>
          <w:rFonts w:ascii="Arial" w:hAnsi="Arial" w:cs="Arial"/>
        </w:rPr>
        <w:t xml:space="preserve"> of the mens rea of the offence it was Vinnie’s aim or purpose to bring about that prohibited result. </w:t>
      </w:r>
    </w:p>
    <w:p w14:paraId="7CB0E3F0" w14:textId="74392C29" w:rsidR="002168F2" w:rsidRPr="00C67F1E" w:rsidRDefault="002168F2" w:rsidP="00C67F1E">
      <w:pPr>
        <w:spacing w:line="360" w:lineRule="auto"/>
        <w:rPr>
          <w:rFonts w:ascii="Arial" w:hAnsi="Arial" w:cs="Arial"/>
        </w:rPr>
      </w:pPr>
    </w:p>
    <w:p w14:paraId="65F5F841" w14:textId="7E7C1413" w:rsidR="00612178" w:rsidRPr="00C67F1E" w:rsidRDefault="00547261" w:rsidP="00C67F1E">
      <w:pPr>
        <w:spacing w:line="360" w:lineRule="auto"/>
        <w:rPr>
          <w:rFonts w:ascii="Arial" w:hAnsi="Arial" w:cs="Arial"/>
        </w:rPr>
      </w:pPr>
      <w:r w:rsidRPr="00C67F1E">
        <w:rPr>
          <w:rFonts w:ascii="Arial" w:hAnsi="Arial" w:cs="Arial"/>
        </w:rPr>
        <w:t xml:space="preserve">The third offence that Vinnie may be liable </w:t>
      </w:r>
      <w:r w:rsidR="006C4164" w:rsidRPr="00C67F1E">
        <w:rPr>
          <w:rFonts w:ascii="Arial" w:hAnsi="Arial" w:cs="Arial"/>
        </w:rPr>
        <w:t>for</w:t>
      </w:r>
      <w:r w:rsidRPr="00C67F1E">
        <w:rPr>
          <w:rFonts w:ascii="Arial" w:hAnsi="Arial" w:cs="Arial"/>
        </w:rPr>
        <w:t xml:space="preserve"> is assault</w:t>
      </w:r>
      <w:r w:rsidR="00C05043" w:rsidRPr="00C67F1E">
        <w:rPr>
          <w:rFonts w:ascii="Arial" w:hAnsi="Arial" w:cs="Arial"/>
        </w:rPr>
        <w:t xml:space="preserve">, which </w:t>
      </w:r>
      <w:r w:rsidRPr="00C67F1E">
        <w:rPr>
          <w:rFonts w:ascii="Arial" w:hAnsi="Arial" w:cs="Arial"/>
        </w:rPr>
        <w:t>is defined as any act, and not mere omission to act, when a person intentionally or recklessly inflicts the apprehension or causes another to suffer immediate unlawful violence</w:t>
      </w:r>
      <w:r w:rsidR="00C05043" w:rsidRPr="00C67F1E">
        <w:rPr>
          <w:rFonts w:ascii="Arial" w:hAnsi="Arial" w:cs="Arial"/>
        </w:rPr>
        <w:t xml:space="preserve"> (S.39 CJA 1988</w:t>
      </w:r>
      <w:proofErr w:type="gramStart"/>
      <w:r w:rsidR="00C05043" w:rsidRPr="00C67F1E">
        <w:rPr>
          <w:rFonts w:ascii="Arial" w:hAnsi="Arial" w:cs="Arial"/>
        </w:rPr>
        <w:t xml:space="preserve">), </w:t>
      </w:r>
      <w:r w:rsidRPr="00C67F1E">
        <w:rPr>
          <w:rFonts w:ascii="Arial" w:hAnsi="Arial" w:cs="Arial"/>
        </w:rPr>
        <w:t>a</w:t>
      </w:r>
      <w:r w:rsidR="00C05043" w:rsidRPr="00C67F1E">
        <w:rPr>
          <w:rFonts w:ascii="Arial" w:hAnsi="Arial" w:cs="Arial"/>
        </w:rPr>
        <w:t>nd</w:t>
      </w:r>
      <w:proofErr w:type="gramEnd"/>
      <w:r w:rsidRPr="00C67F1E">
        <w:rPr>
          <w:rFonts w:ascii="Arial" w:hAnsi="Arial" w:cs="Arial"/>
        </w:rPr>
        <w:t xml:space="preserve"> is evidenced in Fagan V Metropolitan Police Commissioner [1968]</w:t>
      </w:r>
      <w:r w:rsidR="00C57695" w:rsidRPr="00C67F1E">
        <w:rPr>
          <w:rFonts w:ascii="Arial" w:hAnsi="Arial" w:cs="Arial"/>
        </w:rPr>
        <w:t xml:space="preserve"> (Law Teacher, 2020)</w:t>
      </w:r>
      <w:r w:rsidRPr="00C67F1E">
        <w:rPr>
          <w:rFonts w:ascii="Arial" w:hAnsi="Arial" w:cs="Arial"/>
        </w:rPr>
        <w:t xml:space="preserve">. The elements of actus reus required for liability of assault </w:t>
      </w:r>
      <w:r w:rsidR="00612178" w:rsidRPr="00C67F1E">
        <w:rPr>
          <w:rFonts w:ascii="Arial" w:hAnsi="Arial" w:cs="Arial"/>
        </w:rPr>
        <w:t>include</w:t>
      </w:r>
      <w:r w:rsidRPr="00C67F1E">
        <w:rPr>
          <w:rFonts w:ascii="Arial" w:hAnsi="Arial" w:cs="Arial"/>
        </w:rPr>
        <w:t xml:space="preserve"> </w:t>
      </w:r>
      <w:r w:rsidR="00612178" w:rsidRPr="00C67F1E">
        <w:rPr>
          <w:rFonts w:ascii="Arial" w:hAnsi="Arial" w:cs="Arial"/>
        </w:rPr>
        <w:t>some conduct on part of the defendant</w:t>
      </w:r>
      <w:r w:rsidR="00D32F96" w:rsidRPr="00C67F1E">
        <w:rPr>
          <w:rFonts w:ascii="Arial" w:hAnsi="Arial" w:cs="Arial"/>
        </w:rPr>
        <w:t xml:space="preserve"> and that the victim apprehended immediate unlawful violence</w:t>
      </w:r>
      <w:r w:rsidR="00612178" w:rsidRPr="00C67F1E">
        <w:rPr>
          <w:rFonts w:ascii="Arial" w:hAnsi="Arial" w:cs="Arial"/>
        </w:rPr>
        <w:t xml:space="preserve">, such as in Ireland: Burstow [1998] </w:t>
      </w:r>
      <w:r w:rsidR="00C57695" w:rsidRPr="00C67F1E">
        <w:rPr>
          <w:rFonts w:ascii="Arial" w:hAnsi="Arial" w:cs="Arial"/>
        </w:rPr>
        <w:t xml:space="preserve">(Law Teacher, 2021) </w:t>
      </w:r>
      <w:r w:rsidR="00612178" w:rsidRPr="00C67F1E">
        <w:rPr>
          <w:rFonts w:ascii="Arial" w:hAnsi="Arial" w:cs="Arial"/>
        </w:rPr>
        <w:t>where the defendant was liable for assault</w:t>
      </w:r>
      <w:r w:rsidR="007E6D40" w:rsidRPr="00C67F1E">
        <w:rPr>
          <w:rFonts w:ascii="Arial" w:hAnsi="Arial" w:cs="Arial"/>
        </w:rPr>
        <w:t xml:space="preserve"> as the defendant made </w:t>
      </w:r>
      <w:proofErr w:type="gramStart"/>
      <w:r w:rsidR="007E6D40" w:rsidRPr="00C67F1E">
        <w:rPr>
          <w:rFonts w:ascii="Arial" w:hAnsi="Arial" w:cs="Arial"/>
        </w:rPr>
        <w:t>a number of</w:t>
      </w:r>
      <w:proofErr w:type="gramEnd"/>
      <w:r w:rsidR="007E6D40" w:rsidRPr="00C67F1E">
        <w:rPr>
          <w:rFonts w:ascii="Arial" w:hAnsi="Arial" w:cs="Arial"/>
        </w:rPr>
        <w:t xml:space="preserve"> silent telephone calls to the victim which made the victim apprehend the immediate unlawful personal violence due to fear. The actus reus for this</w:t>
      </w:r>
      <w:r w:rsidR="00D32F96" w:rsidRPr="00C67F1E">
        <w:rPr>
          <w:rFonts w:ascii="Arial" w:hAnsi="Arial" w:cs="Arial"/>
        </w:rPr>
        <w:t xml:space="preserve"> offence</w:t>
      </w:r>
      <w:r w:rsidR="007E6D40" w:rsidRPr="00C67F1E">
        <w:rPr>
          <w:rFonts w:ascii="Arial" w:hAnsi="Arial" w:cs="Arial"/>
        </w:rPr>
        <w:t xml:space="preserve"> is clear in Vinnie’s case due to the fact he </w:t>
      </w:r>
      <w:r w:rsidR="00D32F96" w:rsidRPr="00C67F1E">
        <w:rPr>
          <w:rFonts w:ascii="Arial" w:hAnsi="Arial" w:cs="Arial"/>
        </w:rPr>
        <w:t xml:space="preserve">takes a gun out of his drawer and tells them to get away from the door or he’ll shoot, ultimately inflicting the fear upon them that if they do not do as he says he will shoot one of them. </w:t>
      </w:r>
      <w:r w:rsidR="00C05043" w:rsidRPr="00C67F1E">
        <w:rPr>
          <w:rFonts w:ascii="Arial" w:hAnsi="Arial" w:cs="Arial"/>
        </w:rPr>
        <w:t>The mens rea o</w:t>
      </w:r>
      <w:r w:rsidR="006C4164" w:rsidRPr="00C67F1E">
        <w:rPr>
          <w:rFonts w:ascii="Arial" w:hAnsi="Arial" w:cs="Arial"/>
        </w:rPr>
        <w:t>f</w:t>
      </w:r>
      <w:r w:rsidR="00C05043" w:rsidRPr="00C67F1E">
        <w:rPr>
          <w:rFonts w:ascii="Arial" w:hAnsi="Arial" w:cs="Arial"/>
        </w:rPr>
        <w:t xml:space="preserve"> assault requires the defendant to intentionally or recklessly cause the victim to apprehend immediate unlawful personal violence. When Vinnie states that he will shoot </w:t>
      </w:r>
      <w:r w:rsidR="00FE5C6C" w:rsidRPr="00C67F1E">
        <w:rPr>
          <w:rFonts w:ascii="Arial" w:hAnsi="Arial" w:cs="Arial"/>
        </w:rPr>
        <w:t xml:space="preserve">he does this with direct intention as </w:t>
      </w:r>
      <w:r w:rsidR="00C57695" w:rsidRPr="00C67F1E">
        <w:rPr>
          <w:rFonts w:ascii="Arial" w:hAnsi="Arial" w:cs="Arial"/>
        </w:rPr>
        <w:t>his</w:t>
      </w:r>
      <w:r w:rsidR="00FE5C6C" w:rsidRPr="00C67F1E">
        <w:rPr>
          <w:rFonts w:ascii="Arial" w:hAnsi="Arial" w:cs="Arial"/>
        </w:rPr>
        <w:t xml:space="preserve"> aim is to get the police to apprehend immediate unlawful personal violence. Due to both the actus reus and mens rea of assault having been met, Vinnie may be liable for assault. </w:t>
      </w:r>
    </w:p>
    <w:p w14:paraId="27B62EC4" w14:textId="132CDE30" w:rsidR="001536D2" w:rsidRPr="00C67F1E" w:rsidRDefault="001536D2" w:rsidP="00C67F1E">
      <w:pPr>
        <w:spacing w:line="360" w:lineRule="auto"/>
        <w:rPr>
          <w:rFonts w:ascii="Arial" w:hAnsi="Arial" w:cs="Arial"/>
        </w:rPr>
      </w:pPr>
    </w:p>
    <w:p w14:paraId="40B15C70" w14:textId="7E28328B" w:rsidR="00013A56" w:rsidRPr="00C67F1E" w:rsidRDefault="001536D2" w:rsidP="00C67F1E">
      <w:pPr>
        <w:spacing w:line="360" w:lineRule="auto"/>
        <w:rPr>
          <w:rFonts w:ascii="Arial" w:hAnsi="Arial" w:cs="Arial"/>
        </w:rPr>
      </w:pPr>
      <w:r w:rsidRPr="00C67F1E">
        <w:rPr>
          <w:rFonts w:ascii="Arial" w:hAnsi="Arial" w:cs="Arial"/>
        </w:rPr>
        <w:lastRenderedPageBreak/>
        <w:t xml:space="preserve">The last offence that Vinnie may be liable for is murder. In the problem question it states that Vinnie puts the gun through the letterbox and aims the gun at a police officer and shoots, however kills his </w:t>
      </w:r>
      <w:r w:rsidR="00E95955" w:rsidRPr="00C67F1E">
        <w:rPr>
          <w:rFonts w:ascii="Arial" w:hAnsi="Arial" w:cs="Arial"/>
        </w:rPr>
        <w:t>next-door</w:t>
      </w:r>
      <w:r w:rsidRPr="00C67F1E">
        <w:rPr>
          <w:rFonts w:ascii="Arial" w:hAnsi="Arial" w:cs="Arial"/>
        </w:rPr>
        <w:t xml:space="preserve"> neighbour Mrs Quinn. </w:t>
      </w:r>
      <w:r w:rsidR="00E95955" w:rsidRPr="00C67F1E">
        <w:rPr>
          <w:rFonts w:ascii="Arial" w:hAnsi="Arial" w:cs="Arial"/>
        </w:rPr>
        <w:t>This results in a transfer of malice</w:t>
      </w:r>
      <w:r w:rsidR="00013A56" w:rsidRPr="00C67F1E">
        <w:rPr>
          <w:rFonts w:ascii="Arial" w:hAnsi="Arial" w:cs="Arial"/>
        </w:rPr>
        <w:t xml:space="preserve"> such as in R v Saunders</w:t>
      </w:r>
      <w:r w:rsidR="00013A56" w:rsidRPr="00C67F1E">
        <w:rPr>
          <w:rFonts w:ascii="Arial" w:hAnsi="Arial" w:cs="Arial"/>
          <w:shd w:val="clear" w:color="auto" w:fill="FFFFFF"/>
        </w:rPr>
        <w:t> </w:t>
      </w:r>
      <w:r w:rsidR="00013A56" w:rsidRPr="00C67F1E">
        <w:rPr>
          <w:rFonts w:ascii="Arial" w:hAnsi="Arial" w:cs="Arial"/>
        </w:rPr>
        <w:t>(1573)</w:t>
      </w:r>
      <w:r w:rsidR="00C57695" w:rsidRPr="00C67F1E">
        <w:rPr>
          <w:rFonts w:ascii="Arial" w:hAnsi="Arial" w:cs="Arial"/>
        </w:rPr>
        <w:t xml:space="preserve"> (VLex, 2024</w:t>
      </w:r>
      <w:r w:rsidR="009E08E5" w:rsidRPr="00C67F1E">
        <w:rPr>
          <w:rFonts w:ascii="Arial" w:hAnsi="Arial" w:cs="Arial"/>
        </w:rPr>
        <w:t>).</w:t>
      </w:r>
      <w:r w:rsidR="00E95955" w:rsidRPr="00C67F1E">
        <w:rPr>
          <w:rFonts w:ascii="Arial" w:hAnsi="Arial" w:cs="Arial"/>
        </w:rPr>
        <w:t xml:space="preserve"> When the mens rea of one offence can be applied to another, the theory of transferred malice </w:t>
      </w:r>
      <w:r w:rsidR="008F30EB" w:rsidRPr="00C67F1E">
        <w:rPr>
          <w:rFonts w:ascii="Arial" w:hAnsi="Arial" w:cs="Arial"/>
        </w:rPr>
        <w:t xml:space="preserve">applies. </w:t>
      </w:r>
      <w:r w:rsidR="00E95955" w:rsidRPr="00C67F1E">
        <w:rPr>
          <w:rFonts w:ascii="Arial" w:hAnsi="Arial" w:cs="Arial"/>
        </w:rPr>
        <w:t xml:space="preserve">Vinnie shot at the police however the shot missed and instead hit and resulted in the death of Mrs Quinn. Vinnies mens rea can be transferred to the killing of Mrs Quinn through the operation of transferred malice even though Vinnie had no intention of killing Mrs Quinn he is still accountable for her murder. </w:t>
      </w:r>
      <w:r w:rsidRPr="00C67F1E">
        <w:rPr>
          <w:rFonts w:ascii="Arial" w:hAnsi="Arial" w:cs="Arial"/>
        </w:rPr>
        <w:t xml:space="preserve">Murder is defined by common law rather than by statute. The legal definition comes from Sir Edward Coke “When a person of sound mind and discretion, unlawfully kills and reasonable person under the </w:t>
      </w:r>
      <w:r w:rsidR="006C4164" w:rsidRPr="00C67F1E">
        <w:rPr>
          <w:rFonts w:ascii="Arial" w:hAnsi="Arial" w:cs="Arial"/>
        </w:rPr>
        <w:t>K</w:t>
      </w:r>
      <w:r w:rsidR="00E95955" w:rsidRPr="00C67F1E">
        <w:rPr>
          <w:rFonts w:ascii="Arial" w:hAnsi="Arial" w:cs="Arial"/>
        </w:rPr>
        <w:t>ing’s</w:t>
      </w:r>
      <w:r w:rsidRPr="00C67F1E">
        <w:rPr>
          <w:rFonts w:ascii="Arial" w:hAnsi="Arial" w:cs="Arial"/>
        </w:rPr>
        <w:t xml:space="preserve"> peace with malice aforethought”</w:t>
      </w:r>
      <w:r w:rsidR="008F30EB" w:rsidRPr="00C67F1E">
        <w:rPr>
          <w:rFonts w:ascii="Arial" w:hAnsi="Arial" w:cs="Arial"/>
        </w:rPr>
        <w:t xml:space="preserve"> </w:t>
      </w:r>
      <w:r w:rsidR="00A60B23" w:rsidRPr="00C67F1E">
        <w:rPr>
          <w:rFonts w:ascii="Arial" w:hAnsi="Arial" w:cs="Arial"/>
        </w:rPr>
        <w:t>(</w:t>
      </w:r>
      <w:r w:rsidR="00C57695" w:rsidRPr="00C67F1E">
        <w:rPr>
          <w:rFonts w:ascii="Arial" w:hAnsi="Arial" w:cs="Arial"/>
        </w:rPr>
        <w:t xml:space="preserve">Study Rocket, </w:t>
      </w:r>
      <w:r w:rsidR="00A60B23" w:rsidRPr="00C67F1E">
        <w:rPr>
          <w:rFonts w:ascii="Arial" w:hAnsi="Arial" w:cs="Arial"/>
        </w:rPr>
        <w:t>2019)</w:t>
      </w:r>
      <w:r w:rsidRPr="00C67F1E">
        <w:rPr>
          <w:rFonts w:ascii="Arial" w:hAnsi="Arial" w:cs="Arial"/>
        </w:rPr>
        <w:t xml:space="preserve"> The actus reus of murder includes unlawfully killing another person under the </w:t>
      </w:r>
      <w:r w:rsidR="006C4164" w:rsidRPr="00C67F1E">
        <w:rPr>
          <w:rFonts w:ascii="Arial" w:hAnsi="Arial" w:cs="Arial"/>
        </w:rPr>
        <w:t>K</w:t>
      </w:r>
      <w:r w:rsidR="00E95955" w:rsidRPr="00C67F1E">
        <w:rPr>
          <w:rFonts w:ascii="Arial" w:hAnsi="Arial" w:cs="Arial"/>
        </w:rPr>
        <w:t>ing’s</w:t>
      </w:r>
      <w:r w:rsidRPr="00C67F1E">
        <w:rPr>
          <w:rFonts w:ascii="Arial" w:hAnsi="Arial" w:cs="Arial"/>
        </w:rPr>
        <w:t xml:space="preserve"> peace</w:t>
      </w:r>
      <w:r w:rsidR="00557CAA" w:rsidRPr="00C67F1E">
        <w:rPr>
          <w:rFonts w:ascii="Arial" w:hAnsi="Arial" w:cs="Arial"/>
        </w:rPr>
        <w:t xml:space="preserve">, this is evident as Vinnie killed Mrs Quinn under the </w:t>
      </w:r>
      <w:r w:rsidR="006C4164" w:rsidRPr="00C67F1E">
        <w:rPr>
          <w:rFonts w:ascii="Arial" w:hAnsi="Arial" w:cs="Arial"/>
        </w:rPr>
        <w:t>K</w:t>
      </w:r>
      <w:r w:rsidR="00E95955" w:rsidRPr="00C67F1E">
        <w:rPr>
          <w:rFonts w:ascii="Arial" w:hAnsi="Arial" w:cs="Arial"/>
        </w:rPr>
        <w:t>ing’s</w:t>
      </w:r>
      <w:r w:rsidR="00557CAA" w:rsidRPr="00C67F1E">
        <w:rPr>
          <w:rFonts w:ascii="Arial" w:hAnsi="Arial" w:cs="Arial"/>
        </w:rPr>
        <w:t xml:space="preserve"> peace and with no lawful defence. </w:t>
      </w:r>
      <w:r w:rsidR="00F54B31" w:rsidRPr="00C67F1E">
        <w:rPr>
          <w:rFonts w:ascii="Arial" w:hAnsi="Arial" w:cs="Arial"/>
        </w:rPr>
        <w:t xml:space="preserve">The mens rea of murder is the intention to kill or cause grievous bodily harm. This is evidenced as Vinnie had previously made threats to shoot </w:t>
      </w:r>
      <w:r w:rsidR="00E95955" w:rsidRPr="00C67F1E">
        <w:rPr>
          <w:rFonts w:ascii="Arial" w:hAnsi="Arial" w:cs="Arial"/>
        </w:rPr>
        <w:t>therefore,</w:t>
      </w:r>
      <w:r w:rsidR="00F54B31" w:rsidRPr="00C67F1E">
        <w:rPr>
          <w:rFonts w:ascii="Arial" w:hAnsi="Arial" w:cs="Arial"/>
        </w:rPr>
        <w:t xml:space="preserve"> he was fully aware of what could happen.</w:t>
      </w:r>
      <w:r w:rsidR="00E95955" w:rsidRPr="00C67F1E">
        <w:rPr>
          <w:rFonts w:ascii="Arial" w:hAnsi="Arial" w:cs="Arial"/>
        </w:rPr>
        <w:t xml:space="preserve"> </w:t>
      </w:r>
    </w:p>
    <w:p w14:paraId="0EF5EF1A" w14:textId="0BE27DD5" w:rsidR="00013A56" w:rsidRPr="00C67F1E" w:rsidRDefault="00013A56" w:rsidP="00C67F1E">
      <w:pPr>
        <w:spacing w:line="360" w:lineRule="auto"/>
        <w:rPr>
          <w:rFonts w:ascii="Arial" w:hAnsi="Arial" w:cs="Arial"/>
        </w:rPr>
      </w:pPr>
    </w:p>
    <w:p w14:paraId="0B020F80" w14:textId="0CE4B4A8" w:rsidR="00013A56" w:rsidRPr="00C67F1E" w:rsidRDefault="00013A56" w:rsidP="00C67F1E">
      <w:pPr>
        <w:spacing w:line="360" w:lineRule="auto"/>
        <w:rPr>
          <w:rFonts w:ascii="Arial" w:hAnsi="Arial" w:cs="Arial"/>
        </w:rPr>
      </w:pPr>
      <w:r w:rsidRPr="00C67F1E">
        <w:rPr>
          <w:rFonts w:ascii="Arial" w:hAnsi="Arial" w:cs="Arial"/>
        </w:rPr>
        <w:t>The actus reus and mens rea for the offences mean that Vinnie could be deemed liable for assault, burglary, criminal damage and murder.</w:t>
      </w:r>
    </w:p>
    <w:p w14:paraId="3891A013" w14:textId="77777777" w:rsidR="00013A56" w:rsidRPr="00013A56" w:rsidRDefault="00013A56" w:rsidP="009553E5">
      <w:pPr>
        <w:spacing w:line="360" w:lineRule="auto"/>
        <w:rPr>
          <w:rFonts w:ascii="Arial" w:hAnsi="Arial" w:cs="Arial"/>
          <w:sz w:val="20"/>
          <w:szCs w:val="20"/>
        </w:rPr>
      </w:pPr>
    </w:p>
    <w:p w14:paraId="1D055587" w14:textId="6F33FD84" w:rsidR="001536D2" w:rsidRDefault="00F54B31" w:rsidP="009553E5">
      <w:pPr>
        <w:spacing w:line="360" w:lineRule="auto"/>
        <w:rPr>
          <w:rFonts w:ascii="Arial" w:hAnsi="Arial" w:cs="Arial"/>
        </w:rPr>
      </w:pPr>
      <w:r>
        <w:rPr>
          <w:rFonts w:ascii="Arial" w:hAnsi="Arial" w:cs="Arial"/>
        </w:rPr>
        <w:t xml:space="preserve"> </w:t>
      </w:r>
    </w:p>
    <w:p w14:paraId="5AAAC5DE" w14:textId="6475B495" w:rsidR="00F54B31" w:rsidRDefault="00F54B31" w:rsidP="009553E5">
      <w:pPr>
        <w:spacing w:line="360" w:lineRule="auto"/>
        <w:rPr>
          <w:rFonts w:ascii="Arial" w:hAnsi="Arial" w:cs="Arial"/>
        </w:rPr>
      </w:pPr>
    </w:p>
    <w:p w14:paraId="129D974A" w14:textId="1620E152" w:rsidR="00F54B31" w:rsidRDefault="00E95955" w:rsidP="009553E5">
      <w:pPr>
        <w:spacing w:line="360" w:lineRule="auto"/>
        <w:rPr>
          <w:rFonts w:ascii="Arial" w:hAnsi="Arial" w:cs="Arial"/>
          <w:sz w:val="20"/>
          <w:szCs w:val="20"/>
        </w:rPr>
      </w:pPr>
      <w:r>
        <w:rPr>
          <w:rFonts w:ascii="Arial" w:hAnsi="Arial" w:cs="Arial"/>
          <w:sz w:val="20"/>
          <w:szCs w:val="20"/>
        </w:rPr>
        <w:t xml:space="preserve"> </w:t>
      </w:r>
    </w:p>
    <w:p w14:paraId="7A8BD4FA" w14:textId="617673D4" w:rsidR="00870F02" w:rsidRDefault="00870F02" w:rsidP="009553E5">
      <w:pPr>
        <w:spacing w:line="360" w:lineRule="auto"/>
        <w:rPr>
          <w:rFonts w:ascii="Arial" w:hAnsi="Arial" w:cs="Arial"/>
          <w:sz w:val="20"/>
          <w:szCs w:val="20"/>
        </w:rPr>
      </w:pPr>
    </w:p>
    <w:p w14:paraId="18467358" w14:textId="77777777" w:rsidR="00870F02" w:rsidRDefault="00870F02" w:rsidP="009553E5">
      <w:pPr>
        <w:spacing w:line="360" w:lineRule="auto"/>
        <w:rPr>
          <w:rFonts w:ascii="Arial" w:hAnsi="Arial" w:cs="Arial"/>
          <w:sz w:val="20"/>
          <w:szCs w:val="20"/>
        </w:rPr>
      </w:pPr>
    </w:p>
    <w:p w14:paraId="60752507" w14:textId="091A67B8" w:rsidR="00FE5C6C" w:rsidRDefault="00FE5C6C" w:rsidP="009553E5">
      <w:pPr>
        <w:spacing w:line="360" w:lineRule="auto"/>
        <w:rPr>
          <w:rFonts w:ascii="Arial" w:hAnsi="Arial" w:cs="Arial"/>
          <w:sz w:val="20"/>
          <w:szCs w:val="20"/>
        </w:rPr>
      </w:pPr>
    </w:p>
    <w:p w14:paraId="5509C014" w14:textId="77777777" w:rsidR="00FE5C6C" w:rsidRDefault="00FE5C6C" w:rsidP="009553E5">
      <w:pPr>
        <w:spacing w:line="360" w:lineRule="auto"/>
        <w:rPr>
          <w:rFonts w:ascii="Arial" w:hAnsi="Arial" w:cs="Arial"/>
          <w:sz w:val="20"/>
          <w:szCs w:val="20"/>
        </w:rPr>
      </w:pPr>
    </w:p>
    <w:p w14:paraId="7B146563" w14:textId="77777777" w:rsidR="00612178" w:rsidRDefault="00612178" w:rsidP="009553E5">
      <w:pPr>
        <w:spacing w:line="360" w:lineRule="auto"/>
        <w:rPr>
          <w:rFonts w:ascii="Arial" w:hAnsi="Arial" w:cs="Arial"/>
          <w:sz w:val="20"/>
          <w:szCs w:val="20"/>
        </w:rPr>
      </w:pPr>
    </w:p>
    <w:p w14:paraId="5D723F11" w14:textId="6727ECB7" w:rsidR="00285288" w:rsidRDefault="00285288" w:rsidP="009553E5">
      <w:pPr>
        <w:spacing w:line="360" w:lineRule="auto"/>
        <w:rPr>
          <w:rFonts w:ascii="Arial" w:hAnsi="Arial" w:cs="Arial"/>
          <w:sz w:val="20"/>
          <w:szCs w:val="20"/>
        </w:rPr>
      </w:pPr>
    </w:p>
    <w:p w14:paraId="01B109D1" w14:textId="7FD24886" w:rsidR="009E08E5" w:rsidRDefault="009E08E5" w:rsidP="009553E5">
      <w:pPr>
        <w:spacing w:line="360" w:lineRule="auto"/>
        <w:rPr>
          <w:rFonts w:ascii="Arial" w:hAnsi="Arial" w:cs="Arial"/>
          <w:sz w:val="20"/>
          <w:szCs w:val="20"/>
        </w:rPr>
      </w:pPr>
    </w:p>
    <w:p w14:paraId="41354653" w14:textId="33D7C27B" w:rsidR="009E08E5" w:rsidRDefault="009E08E5" w:rsidP="009553E5">
      <w:pPr>
        <w:spacing w:line="360" w:lineRule="auto"/>
        <w:rPr>
          <w:rFonts w:ascii="Arial" w:hAnsi="Arial" w:cs="Arial"/>
          <w:sz w:val="20"/>
          <w:szCs w:val="20"/>
        </w:rPr>
      </w:pPr>
    </w:p>
    <w:p w14:paraId="774CCAD6" w14:textId="580E71FF" w:rsidR="009E08E5" w:rsidRDefault="009E08E5" w:rsidP="009553E5">
      <w:pPr>
        <w:spacing w:line="360" w:lineRule="auto"/>
        <w:rPr>
          <w:rFonts w:ascii="Arial" w:hAnsi="Arial" w:cs="Arial"/>
          <w:sz w:val="20"/>
          <w:szCs w:val="20"/>
        </w:rPr>
      </w:pPr>
    </w:p>
    <w:p w14:paraId="3D382006" w14:textId="77777777" w:rsidR="009E08E5" w:rsidRDefault="009E08E5" w:rsidP="009553E5">
      <w:pPr>
        <w:spacing w:line="360" w:lineRule="auto"/>
        <w:rPr>
          <w:rFonts w:ascii="Arial" w:hAnsi="Arial" w:cs="Arial"/>
          <w:sz w:val="20"/>
          <w:szCs w:val="20"/>
        </w:rPr>
      </w:pPr>
    </w:p>
    <w:p w14:paraId="03D8255B" w14:textId="161DCA16" w:rsidR="00285288" w:rsidRDefault="00285288" w:rsidP="009553E5">
      <w:pPr>
        <w:spacing w:line="360" w:lineRule="auto"/>
        <w:rPr>
          <w:rFonts w:ascii="Arial" w:hAnsi="Arial" w:cs="Arial"/>
          <w:sz w:val="20"/>
          <w:szCs w:val="20"/>
        </w:rPr>
      </w:pPr>
    </w:p>
    <w:p w14:paraId="1E1D91A1" w14:textId="77777777" w:rsidR="00A60B23" w:rsidRPr="00A60B23" w:rsidRDefault="00363BB4" w:rsidP="00A60B23">
      <w:pPr>
        <w:pStyle w:val="Heading1"/>
        <w:spacing w:before="0" w:beforeAutospacing="0" w:after="240" w:afterAutospacing="0" w:line="360" w:lineRule="auto"/>
        <w:rPr>
          <w:rFonts w:ascii="Arial" w:hAnsi="Arial" w:cs="Arial"/>
          <w:color w:val="000000"/>
          <w:sz w:val="36"/>
          <w:szCs w:val="36"/>
          <w:u w:val="single"/>
        </w:rPr>
      </w:pPr>
      <w:r w:rsidRPr="00A60B23">
        <w:rPr>
          <w:rFonts w:ascii="Arial" w:hAnsi="Arial" w:cs="Arial"/>
          <w:sz w:val="20"/>
          <w:szCs w:val="20"/>
        </w:rPr>
        <w:lastRenderedPageBreak/>
        <w:t xml:space="preserve"> </w:t>
      </w:r>
      <w:r w:rsidR="00A60B23" w:rsidRPr="00A60B23">
        <w:rPr>
          <w:rFonts w:ascii="Arial" w:hAnsi="Arial" w:cs="Arial"/>
          <w:color w:val="000000"/>
          <w:sz w:val="32"/>
          <w:szCs w:val="32"/>
          <w:u w:val="single"/>
        </w:rPr>
        <w:t>Reference list</w:t>
      </w:r>
    </w:p>
    <w:p w14:paraId="6F6882F2" w14:textId="35419E69" w:rsidR="00A60B23" w:rsidRPr="00A60B23" w:rsidRDefault="00A60B23" w:rsidP="00A60B23">
      <w:pPr>
        <w:spacing w:after="240" w:line="360" w:lineRule="auto"/>
        <w:rPr>
          <w:rFonts w:ascii="Arial" w:hAnsi="Arial" w:cs="Arial"/>
          <w:color w:val="000000"/>
        </w:rPr>
      </w:pPr>
      <w:r w:rsidRPr="00A60B23">
        <w:rPr>
          <w:rFonts w:ascii="Arial" w:hAnsi="Arial" w:cs="Arial"/>
          <w:i/>
          <w:iCs/>
          <w:color w:val="000000"/>
        </w:rPr>
        <w:t>Criminal Damage Act 1971</w:t>
      </w:r>
      <w:r w:rsidRPr="00A60B23">
        <w:rPr>
          <w:rFonts w:ascii="Arial" w:hAnsi="Arial" w:cs="Arial"/>
          <w:color w:val="000000"/>
        </w:rPr>
        <w:t xml:space="preserve">.Section 1 (1) Available at: </w:t>
      </w:r>
      <w:hyperlink r:id="rId5" w:history="1">
        <w:r w:rsidRPr="00A60B23">
          <w:rPr>
            <w:rStyle w:val="Hyperlink"/>
            <w:rFonts w:ascii="Arial" w:hAnsi="Arial" w:cs="Arial"/>
          </w:rPr>
          <w:t>https://www.legislation.gov.uk/ukpga/1971/48/contents</w:t>
        </w:r>
      </w:hyperlink>
      <w:r>
        <w:rPr>
          <w:rFonts w:ascii="Arial" w:hAnsi="Arial" w:cs="Arial"/>
          <w:color w:val="000000"/>
        </w:rPr>
        <w:t xml:space="preserve"> </w:t>
      </w:r>
      <w:r w:rsidRPr="00A60B23">
        <w:rPr>
          <w:rFonts w:ascii="Arial" w:hAnsi="Arial" w:cs="Arial"/>
          <w:color w:val="000000"/>
        </w:rPr>
        <w:t>[Accessed 14 Apr. 2024].</w:t>
      </w:r>
    </w:p>
    <w:p w14:paraId="177481FA" w14:textId="2B1F7F3C" w:rsidR="00A60B23" w:rsidRPr="00A60B23" w:rsidRDefault="00A60B23" w:rsidP="00A60B23">
      <w:pPr>
        <w:spacing w:after="240" w:line="360" w:lineRule="auto"/>
        <w:rPr>
          <w:rFonts w:ascii="Arial" w:hAnsi="Arial" w:cs="Arial"/>
          <w:color w:val="000000"/>
        </w:rPr>
      </w:pPr>
      <w:r w:rsidRPr="00A60B23">
        <w:rPr>
          <w:rFonts w:ascii="Arial" w:hAnsi="Arial" w:cs="Arial"/>
          <w:i/>
          <w:iCs/>
          <w:color w:val="000000"/>
        </w:rPr>
        <w:t>Criminal Damage Act 1971</w:t>
      </w:r>
      <w:r w:rsidRPr="00A60B23">
        <w:rPr>
          <w:rFonts w:ascii="Arial" w:hAnsi="Arial" w:cs="Arial"/>
          <w:color w:val="000000"/>
        </w:rPr>
        <w:t xml:space="preserve">.Section 1 (2) Available at: </w:t>
      </w:r>
      <w:hyperlink r:id="rId6" w:history="1">
        <w:r w:rsidRPr="00A60B23">
          <w:rPr>
            <w:rStyle w:val="Hyperlink"/>
            <w:rFonts w:ascii="Arial" w:hAnsi="Arial" w:cs="Arial"/>
          </w:rPr>
          <w:t>https://www.legislation.gov.uk/ukpga/1971/48/contents</w:t>
        </w:r>
      </w:hyperlink>
      <w:r>
        <w:rPr>
          <w:rFonts w:ascii="Arial" w:hAnsi="Arial" w:cs="Arial"/>
          <w:color w:val="000000"/>
        </w:rPr>
        <w:t xml:space="preserve"> [</w:t>
      </w:r>
      <w:r w:rsidRPr="00A60B23">
        <w:rPr>
          <w:rFonts w:ascii="Arial" w:hAnsi="Arial" w:cs="Arial"/>
          <w:color w:val="000000"/>
        </w:rPr>
        <w:t>Accessed 17 Apr. 2024].</w:t>
      </w:r>
    </w:p>
    <w:p w14:paraId="6BAB2005" w14:textId="59FE26A4" w:rsidR="00A60B23" w:rsidRPr="00A60B23" w:rsidRDefault="00A60B23" w:rsidP="00A60B23">
      <w:pPr>
        <w:spacing w:after="240" w:line="360" w:lineRule="auto"/>
        <w:rPr>
          <w:rFonts w:ascii="Arial" w:hAnsi="Arial" w:cs="Arial"/>
          <w:color w:val="000000"/>
        </w:rPr>
      </w:pPr>
      <w:r w:rsidRPr="00A60B23">
        <w:rPr>
          <w:rFonts w:ascii="Arial" w:hAnsi="Arial" w:cs="Arial"/>
          <w:i/>
          <w:iCs/>
          <w:color w:val="000000"/>
        </w:rPr>
        <w:t>Criminal Damage Act 1971</w:t>
      </w:r>
      <w:r w:rsidRPr="00A60B23">
        <w:rPr>
          <w:rFonts w:ascii="Arial" w:hAnsi="Arial" w:cs="Arial"/>
          <w:color w:val="000000"/>
        </w:rPr>
        <w:t xml:space="preserve">.Section 5 (2) (a) Available at: </w:t>
      </w:r>
      <w:hyperlink r:id="rId7" w:history="1">
        <w:r w:rsidRPr="00A60B23">
          <w:rPr>
            <w:rStyle w:val="Hyperlink"/>
            <w:rFonts w:ascii="Arial" w:hAnsi="Arial" w:cs="Arial"/>
          </w:rPr>
          <w:t>https://www.legislation.gov.uk/ukpga/1971/48/contents</w:t>
        </w:r>
      </w:hyperlink>
      <w:r>
        <w:rPr>
          <w:rFonts w:ascii="Arial" w:hAnsi="Arial" w:cs="Arial"/>
          <w:color w:val="000000"/>
        </w:rPr>
        <w:t xml:space="preserve"> </w:t>
      </w:r>
      <w:r w:rsidRPr="00A60B23">
        <w:rPr>
          <w:rFonts w:ascii="Arial" w:hAnsi="Arial" w:cs="Arial"/>
          <w:color w:val="000000"/>
        </w:rPr>
        <w:t>[Accessed 17 Apr. 2024].</w:t>
      </w:r>
    </w:p>
    <w:p w14:paraId="1EF8559B" w14:textId="65258195" w:rsidR="00A60B23" w:rsidRPr="00A60B23" w:rsidRDefault="00A60B23" w:rsidP="00A60B23">
      <w:pPr>
        <w:spacing w:after="240" w:line="360" w:lineRule="auto"/>
        <w:rPr>
          <w:rFonts w:ascii="Arial" w:hAnsi="Arial" w:cs="Arial"/>
          <w:color w:val="000000"/>
        </w:rPr>
      </w:pPr>
      <w:r w:rsidRPr="00A60B23">
        <w:rPr>
          <w:rFonts w:ascii="Arial" w:hAnsi="Arial" w:cs="Arial"/>
          <w:i/>
          <w:iCs/>
          <w:color w:val="000000"/>
        </w:rPr>
        <w:t>Criminal Justice Act 1988</w:t>
      </w:r>
      <w:r w:rsidRPr="00A60B23">
        <w:rPr>
          <w:rFonts w:ascii="Arial" w:hAnsi="Arial" w:cs="Arial"/>
          <w:color w:val="000000"/>
        </w:rPr>
        <w:t>.Section 39</w:t>
      </w:r>
      <w:r>
        <w:rPr>
          <w:rFonts w:ascii="Arial" w:hAnsi="Arial" w:cs="Arial"/>
          <w:color w:val="000000"/>
        </w:rPr>
        <w:t xml:space="preserve">. </w:t>
      </w:r>
      <w:r w:rsidRPr="00A60B23">
        <w:rPr>
          <w:rFonts w:ascii="Arial" w:hAnsi="Arial" w:cs="Arial"/>
          <w:color w:val="000000"/>
        </w:rPr>
        <w:t xml:space="preserve">Available at: </w:t>
      </w:r>
      <w:hyperlink r:id="rId8" w:history="1">
        <w:r w:rsidRPr="00A60B23">
          <w:rPr>
            <w:rStyle w:val="Hyperlink"/>
            <w:rFonts w:ascii="Arial" w:hAnsi="Arial" w:cs="Arial"/>
          </w:rPr>
          <w:t>https://www.legislation.gov.uk/ukpga/1988/33/section/39</w:t>
        </w:r>
      </w:hyperlink>
      <w:r>
        <w:rPr>
          <w:rFonts w:ascii="Arial" w:hAnsi="Arial" w:cs="Arial"/>
          <w:color w:val="000000"/>
        </w:rPr>
        <w:t xml:space="preserve"> </w:t>
      </w:r>
      <w:r w:rsidRPr="00A60B23">
        <w:rPr>
          <w:rFonts w:ascii="Arial" w:hAnsi="Arial" w:cs="Arial"/>
          <w:color w:val="000000"/>
        </w:rPr>
        <w:t>[Accessed 19 Apr. 2024].</w:t>
      </w:r>
    </w:p>
    <w:p w14:paraId="37F8E377" w14:textId="78FDE7C4" w:rsidR="00A60B23" w:rsidRPr="00A60B23" w:rsidRDefault="00A60B23" w:rsidP="00A60B23">
      <w:pPr>
        <w:spacing w:after="240" w:line="360" w:lineRule="auto"/>
        <w:rPr>
          <w:rFonts w:ascii="Arial" w:hAnsi="Arial" w:cs="Arial"/>
          <w:color w:val="000000"/>
        </w:rPr>
      </w:pPr>
      <w:r w:rsidRPr="00A60B23">
        <w:rPr>
          <w:rFonts w:ascii="Arial" w:hAnsi="Arial" w:cs="Arial"/>
          <w:color w:val="000000"/>
        </w:rPr>
        <w:t>Law Teacher (2013a). </w:t>
      </w:r>
      <w:r w:rsidRPr="00A60B23">
        <w:rPr>
          <w:rFonts w:ascii="Arial" w:hAnsi="Arial" w:cs="Arial"/>
          <w:i/>
          <w:iCs/>
          <w:color w:val="000000"/>
        </w:rPr>
        <w:t>B v Leathley - 1979</w:t>
      </w:r>
      <w:r w:rsidRPr="00A60B23">
        <w:rPr>
          <w:rFonts w:ascii="Arial" w:hAnsi="Arial" w:cs="Arial"/>
          <w:color w:val="000000"/>
        </w:rPr>
        <w:t xml:space="preserve">. Available at: </w:t>
      </w:r>
      <w:hyperlink r:id="rId9" w:history="1">
        <w:r w:rsidRPr="00A60B23">
          <w:rPr>
            <w:rStyle w:val="Hyperlink"/>
            <w:rFonts w:ascii="Arial" w:hAnsi="Arial" w:cs="Arial"/>
          </w:rPr>
          <w:t>https://www.lawteacher.net/cases/b-and-s-v-leathley.php#citethis</w:t>
        </w:r>
      </w:hyperlink>
      <w:r>
        <w:rPr>
          <w:rFonts w:ascii="Arial" w:hAnsi="Arial" w:cs="Arial"/>
          <w:color w:val="000000"/>
        </w:rPr>
        <w:t xml:space="preserve"> </w:t>
      </w:r>
      <w:r w:rsidRPr="00A60B23">
        <w:rPr>
          <w:rFonts w:ascii="Arial" w:hAnsi="Arial" w:cs="Arial"/>
          <w:color w:val="000000"/>
        </w:rPr>
        <w:t>[Accessed 8 Apr. 2024].</w:t>
      </w:r>
    </w:p>
    <w:p w14:paraId="623B22FF" w14:textId="1A23C4D7" w:rsidR="00A60B23" w:rsidRPr="00A60B23" w:rsidRDefault="00A60B23" w:rsidP="00A60B23">
      <w:pPr>
        <w:spacing w:after="240" w:line="360" w:lineRule="auto"/>
        <w:rPr>
          <w:rFonts w:ascii="Arial" w:hAnsi="Arial" w:cs="Arial"/>
          <w:color w:val="000000"/>
        </w:rPr>
      </w:pPr>
      <w:r w:rsidRPr="00A60B23">
        <w:rPr>
          <w:rFonts w:ascii="Arial" w:hAnsi="Arial" w:cs="Arial"/>
          <w:color w:val="000000"/>
        </w:rPr>
        <w:t>Law Teacher (2013b). </w:t>
      </w:r>
      <w:r w:rsidRPr="00A60B23">
        <w:rPr>
          <w:rFonts w:ascii="Arial" w:hAnsi="Arial" w:cs="Arial"/>
          <w:i/>
          <w:iCs/>
          <w:color w:val="000000"/>
        </w:rPr>
        <w:t>R v Ryan - 1996</w:t>
      </w:r>
      <w:r w:rsidRPr="00A60B23">
        <w:rPr>
          <w:rFonts w:ascii="Arial" w:hAnsi="Arial" w:cs="Arial"/>
          <w:color w:val="000000"/>
        </w:rPr>
        <w:t>.</w:t>
      </w:r>
      <w:r>
        <w:rPr>
          <w:rFonts w:ascii="Arial" w:hAnsi="Arial" w:cs="Arial"/>
          <w:color w:val="000000"/>
        </w:rPr>
        <w:t xml:space="preserve"> </w:t>
      </w:r>
      <w:r w:rsidRPr="00A60B23">
        <w:rPr>
          <w:rFonts w:ascii="Arial" w:hAnsi="Arial" w:cs="Arial"/>
          <w:color w:val="000000"/>
        </w:rPr>
        <w:t xml:space="preserve">Available at: </w:t>
      </w:r>
      <w:hyperlink r:id="rId10" w:history="1">
        <w:r w:rsidRPr="00A60B23">
          <w:rPr>
            <w:rStyle w:val="Hyperlink"/>
            <w:rFonts w:ascii="Arial" w:hAnsi="Arial" w:cs="Arial"/>
          </w:rPr>
          <w:t>https://www.lawteacher.net/cases/r-v-ryan-1996.php</w:t>
        </w:r>
      </w:hyperlink>
      <w:r>
        <w:rPr>
          <w:rFonts w:ascii="Arial" w:hAnsi="Arial" w:cs="Arial"/>
          <w:color w:val="000000"/>
        </w:rPr>
        <w:t xml:space="preserve"> </w:t>
      </w:r>
      <w:r w:rsidRPr="00A60B23">
        <w:rPr>
          <w:rFonts w:ascii="Arial" w:hAnsi="Arial" w:cs="Arial"/>
          <w:color w:val="000000"/>
        </w:rPr>
        <w:t>[Accessed 3 Apr. 2024].</w:t>
      </w:r>
    </w:p>
    <w:p w14:paraId="11BA7784" w14:textId="1C0CBEEE" w:rsidR="00A60B23" w:rsidRPr="00A60B23" w:rsidRDefault="00A60B23" w:rsidP="00A60B23">
      <w:pPr>
        <w:spacing w:after="240" w:line="360" w:lineRule="auto"/>
        <w:rPr>
          <w:rFonts w:ascii="Arial" w:hAnsi="Arial" w:cs="Arial"/>
          <w:color w:val="000000"/>
        </w:rPr>
      </w:pPr>
      <w:r w:rsidRPr="00A60B23">
        <w:rPr>
          <w:rFonts w:ascii="Arial" w:hAnsi="Arial" w:cs="Arial"/>
          <w:color w:val="000000"/>
        </w:rPr>
        <w:t>Law Teacher (2019). </w:t>
      </w:r>
      <w:r w:rsidRPr="00A60B23">
        <w:rPr>
          <w:rFonts w:ascii="Arial" w:hAnsi="Arial" w:cs="Arial"/>
          <w:i/>
          <w:iCs/>
          <w:color w:val="000000"/>
        </w:rPr>
        <w:t>R v Ghosh – 1982</w:t>
      </w:r>
      <w:r w:rsidRPr="00A60B23">
        <w:rPr>
          <w:rFonts w:ascii="Arial" w:hAnsi="Arial" w:cs="Arial"/>
          <w:color w:val="000000"/>
        </w:rPr>
        <w:t xml:space="preserve">. Available at: </w:t>
      </w:r>
      <w:hyperlink r:id="rId11" w:history="1">
        <w:r w:rsidRPr="00A60B23">
          <w:rPr>
            <w:rStyle w:val="Hyperlink"/>
            <w:rFonts w:ascii="Arial" w:hAnsi="Arial" w:cs="Arial"/>
          </w:rPr>
          <w:t>https://www.lawteacher.net/cases/r-v-ghosh.php</w:t>
        </w:r>
      </w:hyperlink>
      <w:r>
        <w:rPr>
          <w:rFonts w:ascii="Arial" w:hAnsi="Arial" w:cs="Arial"/>
          <w:color w:val="000000"/>
        </w:rPr>
        <w:t xml:space="preserve"> </w:t>
      </w:r>
      <w:r w:rsidRPr="00A60B23">
        <w:rPr>
          <w:rFonts w:ascii="Arial" w:hAnsi="Arial" w:cs="Arial"/>
          <w:color w:val="000000"/>
        </w:rPr>
        <w:t>[Accessed 12 Apr. 2024].</w:t>
      </w:r>
    </w:p>
    <w:p w14:paraId="3987C57D" w14:textId="771600FF" w:rsidR="00A60B23" w:rsidRPr="00A60B23" w:rsidRDefault="00A60B23" w:rsidP="00A60B23">
      <w:pPr>
        <w:spacing w:after="240" w:line="360" w:lineRule="auto"/>
        <w:rPr>
          <w:rFonts w:ascii="Arial" w:hAnsi="Arial" w:cs="Arial"/>
          <w:color w:val="000000"/>
        </w:rPr>
      </w:pPr>
      <w:r w:rsidRPr="00A60B23">
        <w:rPr>
          <w:rFonts w:ascii="Arial" w:hAnsi="Arial" w:cs="Arial"/>
          <w:color w:val="000000"/>
        </w:rPr>
        <w:t>Law Teacher (2021a). </w:t>
      </w:r>
      <w:r w:rsidRPr="00A60B23">
        <w:rPr>
          <w:rFonts w:ascii="Arial" w:hAnsi="Arial" w:cs="Arial"/>
          <w:i/>
          <w:iCs/>
          <w:color w:val="000000"/>
        </w:rPr>
        <w:t>R v Ireland and Burstow</w:t>
      </w:r>
      <w:r w:rsidRPr="00A60B23">
        <w:rPr>
          <w:rFonts w:ascii="Arial" w:hAnsi="Arial" w:cs="Arial"/>
          <w:color w:val="000000"/>
        </w:rPr>
        <w:t>.</w:t>
      </w:r>
      <w:r>
        <w:rPr>
          <w:rFonts w:ascii="Arial" w:hAnsi="Arial" w:cs="Arial"/>
          <w:color w:val="000000"/>
        </w:rPr>
        <w:t xml:space="preserve"> </w:t>
      </w:r>
      <w:r w:rsidRPr="00A60B23">
        <w:rPr>
          <w:rFonts w:ascii="Arial" w:hAnsi="Arial" w:cs="Arial"/>
          <w:color w:val="000000"/>
        </w:rPr>
        <w:t xml:space="preserve">Available at: </w:t>
      </w:r>
      <w:hyperlink r:id="rId12" w:history="1">
        <w:r w:rsidRPr="00A60B23">
          <w:rPr>
            <w:rStyle w:val="Hyperlink"/>
            <w:rFonts w:ascii="Arial" w:hAnsi="Arial" w:cs="Arial"/>
          </w:rPr>
          <w:t>https://www.lawteacher.net/cases/r-v-ireland-and-burstow.php</w:t>
        </w:r>
      </w:hyperlink>
      <w:r>
        <w:rPr>
          <w:rFonts w:ascii="Arial" w:hAnsi="Arial" w:cs="Arial"/>
          <w:color w:val="000000"/>
        </w:rPr>
        <w:t xml:space="preserve"> </w:t>
      </w:r>
      <w:r w:rsidRPr="00A60B23">
        <w:rPr>
          <w:rFonts w:ascii="Arial" w:hAnsi="Arial" w:cs="Arial"/>
          <w:color w:val="000000"/>
        </w:rPr>
        <w:t>[Accessed 16 Apr. 2024].</w:t>
      </w:r>
    </w:p>
    <w:p w14:paraId="28B031A4" w14:textId="5B836506" w:rsidR="00A60B23" w:rsidRPr="00A60B23" w:rsidRDefault="00A60B23" w:rsidP="00A60B23">
      <w:pPr>
        <w:spacing w:after="240" w:line="360" w:lineRule="auto"/>
        <w:rPr>
          <w:rFonts w:ascii="Arial" w:hAnsi="Arial" w:cs="Arial"/>
          <w:color w:val="000000"/>
        </w:rPr>
      </w:pPr>
      <w:r w:rsidRPr="00A60B23">
        <w:rPr>
          <w:rFonts w:ascii="Arial" w:hAnsi="Arial" w:cs="Arial"/>
          <w:color w:val="000000"/>
        </w:rPr>
        <w:t>Law Teacher (2021b). </w:t>
      </w:r>
      <w:r w:rsidRPr="00A60B23">
        <w:rPr>
          <w:rFonts w:ascii="Arial" w:hAnsi="Arial" w:cs="Arial"/>
          <w:i/>
          <w:iCs/>
          <w:color w:val="000000"/>
        </w:rPr>
        <w:t>R v Jones and Smith – 1976</w:t>
      </w:r>
      <w:r w:rsidRPr="00A60B23">
        <w:rPr>
          <w:rFonts w:ascii="Arial" w:hAnsi="Arial" w:cs="Arial"/>
          <w:color w:val="000000"/>
        </w:rPr>
        <w:t>.</w:t>
      </w:r>
      <w:r>
        <w:rPr>
          <w:rFonts w:ascii="Arial" w:hAnsi="Arial" w:cs="Arial"/>
          <w:color w:val="000000"/>
        </w:rPr>
        <w:t xml:space="preserve"> </w:t>
      </w:r>
      <w:r w:rsidRPr="00A60B23">
        <w:rPr>
          <w:rFonts w:ascii="Arial" w:hAnsi="Arial" w:cs="Arial"/>
          <w:color w:val="000000"/>
        </w:rPr>
        <w:t xml:space="preserve">Available at: </w:t>
      </w:r>
      <w:hyperlink r:id="rId13" w:history="1">
        <w:r w:rsidRPr="00A60B23">
          <w:rPr>
            <w:rStyle w:val="Hyperlink"/>
            <w:rFonts w:ascii="Arial" w:hAnsi="Arial" w:cs="Arial"/>
          </w:rPr>
          <w:t>https://www.lawteacher.net/cases/r-v-jones-and-smith.php</w:t>
        </w:r>
      </w:hyperlink>
      <w:r>
        <w:rPr>
          <w:rFonts w:ascii="Arial" w:hAnsi="Arial" w:cs="Arial"/>
          <w:color w:val="000000"/>
        </w:rPr>
        <w:t xml:space="preserve"> </w:t>
      </w:r>
      <w:r w:rsidRPr="00A60B23">
        <w:rPr>
          <w:rFonts w:ascii="Arial" w:hAnsi="Arial" w:cs="Arial"/>
          <w:color w:val="000000"/>
        </w:rPr>
        <w:t>[Accessed 15 Apr. 2024].</w:t>
      </w:r>
    </w:p>
    <w:p w14:paraId="0A6D2345" w14:textId="26FC2B72" w:rsidR="00A60B23" w:rsidRPr="00A60B23" w:rsidRDefault="00A60B23" w:rsidP="00A60B23">
      <w:pPr>
        <w:spacing w:after="240" w:line="360" w:lineRule="auto"/>
        <w:rPr>
          <w:rFonts w:ascii="Arial" w:hAnsi="Arial" w:cs="Arial"/>
          <w:color w:val="000000"/>
        </w:rPr>
      </w:pPr>
      <w:r w:rsidRPr="00A60B23">
        <w:rPr>
          <w:rFonts w:ascii="Arial" w:hAnsi="Arial" w:cs="Arial"/>
          <w:color w:val="000000"/>
        </w:rPr>
        <w:t>Law</w:t>
      </w:r>
      <w:r>
        <w:rPr>
          <w:rFonts w:ascii="Arial" w:hAnsi="Arial" w:cs="Arial"/>
          <w:color w:val="000000"/>
        </w:rPr>
        <w:t xml:space="preserve"> </w:t>
      </w:r>
      <w:r w:rsidRPr="00A60B23">
        <w:rPr>
          <w:rFonts w:ascii="Arial" w:hAnsi="Arial" w:cs="Arial"/>
          <w:color w:val="000000"/>
        </w:rPr>
        <w:t>Teacher (2020). </w:t>
      </w:r>
      <w:r w:rsidRPr="00A60B23">
        <w:rPr>
          <w:rFonts w:ascii="Arial" w:hAnsi="Arial" w:cs="Arial"/>
          <w:i/>
          <w:iCs/>
          <w:color w:val="000000"/>
        </w:rPr>
        <w:t>Fagan v Metropolitan Police Commissioner</w:t>
      </w:r>
      <w:r w:rsidRPr="00A60B23">
        <w:rPr>
          <w:rFonts w:ascii="Arial" w:hAnsi="Arial" w:cs="Arial"/>
          <w:color w:val="000000"/>
        </w:rPr>
        <w:t xml:space="preserve">. Available at: </w:t>
      </w:r>
      <w:hyperlink r:id="rId14" w:history="1">
        <w:r w:rsidRPr="00A60B23">
          <w:rPr>
            <w:rStyle w:val="Hyperlink"/>
            <w:rFonts w:ascii="Arial" w:hAnsi="Arial" w:cs="Arial"/>
          </w:rPr>
          <w:t>https://www.lawteacher.net/cases/fagan-v-mpc.php</w:t>
        </w:r>
      </w:hyperlink>
      <w:r>
        <w:rPr>
          <w:rFonts w:ascii="Arial" w:hAnsi="Arial" w:cs="Arial"/>
          <w:color w:val="000000"/>
        </w:rPr>
        <w:t xml:space="preserve"> </w:t>
      </w:r>
      <w:r w:rsidRPr="00A60B23">
        <w:rPr>
          <w:rFonts w:ascii="Arial" w:hAnsi="Arial" w:cs="Arial"/>
          <w:color w:val="000000"/>
        </w:rPr>
        <w:t>[Accessed 16 Apr. 2024].</w:t>
      </w:r>
    </w:p>
    <w:p w14:paraId="17EEB482" w14:textId="618F53B6" w:rsidR="00A60B23" w:rsidRPr="00A60B23" w:rsidRDefault="00A60B23" w:rsidP="00A60B23">
      <w:pPr>
        <w:spacing w:after="240" w:line="360" w:lineRule="auto"/>
        <w:rPr>
          <w:rFonts w:ascii="Arial" w:hAnsi="Arial" w:cs="Arial"/>
          <w:color w:val="000000"/>
        </w:rPr>
      </w:pPr>
      <w:r w:rsidRPr="00A60B23">
        <w:rPr>
          <w:rFonts w:ascii="Arial" w:hAnsi="Arial" w:cs="Arial"/>
          <w:color w:val="000000"/>
        </w:rPr>
        <w:t>Study Rocket (2019). </w:t>
      </w:r>
      <w:r w:rsidRPr="00A60B23">
        <w:rPr>
          <w:rFonts w:ascii="Arial" w:hAnsi="Arial" w:cs="Arial"/>
          <w:i/>
          <w:iCs/>
          <w:color w:val="000000"/>
        </w:rPr>
        <w:t>Murder</w:t>
      </w:r>
      <w:r>
        <w:rPr>
          <w:rFonts w:ascii="Arial" w:hAnsi="Arial" w:cs="Arial"/>
          <w:i/>
          <w:iCs/>
          <w:color w:val="000000"/>
        </w:rPr>
        <w:t xml:space="preserve">. </w:t>
      </w:r>
      <w:r w:rsidRPr="00A60B23">
        <w:rPr>
          <w:rFonts w:ascii="Arial" w:hAnsi="Arial" w:cs="Arial"/>
          <w:color w:val="000000"/>
        </w:rPr>
        <w:t xml:space="preserve">Available at: </w:t>
      </w:r>
      <w:hyperlink r:id="rId15" w:history="1">
        <w:r w:rsidRPr="00A60B23">
          <w:rPr>
            <w:rStyle w:val="Hyperlink"/>
            <w:rFonts w:ascii="Arial" w:hAnsi="Arial" w:cs="Arial"/>
          </w:rPr>
          <w:t>https://studyrocket.co.uk/revision/a-level-law-aqa/criminal-law/murder#:~:text=Murder%20is%20a%20common%20law</w:t>
        </w:r>
      </w:hyperlink>
      <w:r>
        <w:rPr>
          <w:rFonts w:ascii="Arial" w:hAnsi="Arial" w:cs="Arial"/>
          <w:color w:val="000000"/>
        </w:rPr>
        <w:t xml:space="preserve"> </w:t>
      </w:r>
      <w:r w:rsidRPr="00A60B23">
        <w:rPr>
          <w:rFonts w:ascii="Arial" w:hAnsi="Arial" w:cs="Arial"/>
          <w:color w:val="000000"/>
        </w:rPr>
        <w:t>[Accessed 1 May 2024].</w:t>
      </w:r>
    </w:p>
    <w:p w14:paraId="3B8F99AC" w14:textId="6D5319B0" w:rsidR="00A60B23" w:rsidRPr="00A60B23" w:rsidRDefault="00A60B23" w:rsidP="00A60B23">
      <w:pPr>
        <w:spacing w:after="240" w:line="360" w:lineRule="auto"/>
        <w:rPr>
          <w:rFonts w:ascii="Arial" w:hAnsi="Arial" w:cs="Arial"/>
          <w:color w:val="000000"/>
        </w:rPr>
      </w:pPr>
      <w:r w:rsidRPr="00A60B23">
        <w:rPr>
          <w:rFonts w:ascii="Arial" w:hAnsi="Arial" w:cs="Arial"/>
          <w:i/>
          <w:iCs/>
          <w:color w:val="000000"/>
        </w:rPr>
        <w:lastRenderedPageBreak/>
        <w:t>Theft Act 1968</w:t>
      </w:r>
      <w:r w:rsidRPr="00A60B23">
        <w:rPr>
          <w:rFonts w:ascii="Arial" w:hAnsi="Arial" w:cs="Arial"/>
          <w:color w:val="000000"/>
        </w:rPr>
        <w:t>.Section 9 (1) (a)</w:t>
      </w:r>
      <w:r>
        <w:rPr>
          <w:rFonts w:ascii="Arial" w:hAnsi="Arial" w:cs="Arial"/>
          <w:color w:val="000000"/>
        </w:rPr>
        <w:t xml:space="preserve"> </w:t>
      </w:r>
      <w:r w:rsidRPr="00A60B23">
        <w:rPr>
          <w:rFonts w:ascii="Arial" w:hAnsi="Arial" w:cs="Arial"/>
          <w:color w:val="000000"/>
        </w:rPr>
        <w:t xml:space="preserve">Available at: </w:t>
      </w:r>
      <w:hyperlink r:id="rId16" w:history="1">
        <w:r w:rsidRPr="00A60B23">
          <w:rPr>
            <w:rStyle w:val="Hyperlink"/>
            <w:rFonts w:ascii="Arial" w:hAnsi="Arial" w:cs="Arial"/>
          </w:rPr>
          <w:t>https://www.legislation.gov.uk/ukpga/1968/60/section/9#:~:text=9%20Burglary.&amp;text=(2)The%20offences%20referred%20to,the%20building%20or%20anything%20therein</w:t>
        </w:r>
      </w:hyperlink>
      <w:r w:rsidRPr="00A60B23">
        <w:rPr>
          <w:rFonts w:ascii="Arial" w:hAnsi="Arial" w:cs="Arial"/>
          <w:color w:val="000000"/>
        </w:rPr>
        <w:t>.</w:t>
      </w:r>
      <w:r>
        <w:rPr>
          <w:rFonts w:ascii="Arial" w:hAnsi="Arial" w:cs="Arial"/>
          <w:color w:val="000000"/>
        </w:rPr>
        <w:t xml:space="preserve"> </w:t>
      </w:r>
      <w:r w:rsidRPr="00A60B23">
        <w:rPr>
          <w:rFonts w:ascii="Arial" w:hAnsi="Arial" w:cs="Arial"/>
          <w:color w:val="000000"/>
        </w:rPr>
        <w:t>[Accessed 3 Apr. 2024].</w:t>
      </w:r>
    </w:p>
    <w:p w14:paraId="0F07290A" w14:textId="12D746FB" w:rsidR="00A60B23" w:rsidRPr="00A60B23" w:rsidRDefault="00A60B23" w:rsidP="00A60B23">
      <w:pPr>
        <w:spacing w:after="240" w:line="360" w:lineRule="auto"/>
        <w:rPr>
          <w:rFonts w:ascii="Arial" w:hAnsi="Arial" w:cs="Arial"/>
          <w:color w:val="000000"/>
        </w:rPr>
      </w:pPr>
      <w:r w:rsidRPr="00A60B23">
        <w:rPr>
          <w:rFonts w:ascii="Arial" w:hAnsi="Arial" w:cs="Arial"/>
          <w:i/>
          <w:iCs/>
          <w:color w:val="000000"/>
        </w:rPr>
        <w:t>Theft Act 1968</w:t>
      </w:r>
      <w:r w:rsidRPr="00A60B23">
        <w:rPr>
          <w:rFonts w:ascii="Arial" w:hAnsi="Arial" w:cs="Arial"/>
          <w:color w:val="000000"/>
        </w:rPr>
        <w:t xml:space="preserve">.Section 1 (1) Available at: </w:t>
      </w:r>
      <w:hyperlink r:id="rId17" w:history="1">
        <w:r w:rsidRPr="00A60B23">
          <w:rPr>
            <w:rStyle w:val="Hyperlink"/>
            <w:rFonts w:ascii="Arial" w:hAnsi="Arial" w:cs="Arial"/>
          </w:rPr>
          <w:t>https://www.legislation.gov.uk/ukpga/1968/60/section/1/1991-02-01</w:t>
        </w:r>
      </w:hyperlink>
      <w:r>
        <w:rPr>
          <w:rFonts w:ascii="Arial" w:hAnsi="Arial" w:cs="Arial"/>
          <w:color w:val="000000"/>
        </w:rPr>
        <w:t xml:space="preserve"> </w:t>
      </w:r>
      <w:r w:rsidRPr="00A60B23">
        <w:rPr>
          <w:rFonts w:ascii="Arial" w:hAnsi="Arial" w:cs="Arial"/>
          <w:color w:val="000000"/>
        </w:rPr>
        <w:t>[Accessed 15 Apr. 2024].</w:t>
      </w:r>
    </w:p>
    <w:p w14:paraId="20BE1809" w14:textId="5F30A1B7" w:rsidR="00A60B23" w:rsidRPr="00A60B23" w:rsidRDefault="00A60B23" w:rsidP="00A60B23">
      <w:pPr>
        <w:spacing w:after="240" w:line="360" w:lineRule="auto"/>
        <w:rPr>
          <w:rFonts w:ascii="Arial" w:hAnsi="Arial" w:cs="Arial"/>
          <w:color w:val="000000"/>
        </w:rPr>
      </w:pPr>
      <w:r w:rsidRPr="00A60B23">
        <w:rPr>
          <w:rFonts w:ascii="Arial" w:hAnsi="Arial" w:cs="Arial"/>
          <w:i/>
          <w:iCs/>
          <w:color w:val="000000"/>
        </w:rPr>
        <w:t>Theft Act 1968</w:t>
      </w:r>
      <w:r w:rsidRPr="00A60B23">
        <w:rPr>
          <w:rFonts w:ascii="Arial" w:hAnsi="Arial" w:cs="Arial"/>
          <w:color w:val="000000"/>
        </w:rPr>
        <w:t xml:space="preserve">.Section 3 (1) Available at: </w:t>
      </w:r>
      <w:hyperlink r:id="rId18" w:history="1">
        <w:r w:rsidRPr="00A60B23">
          <w:rPr>
            <w:rStyle w:val="Hyperlink"/>
            <w:rFonts w:ascii="Arial" w:hAnsi="Arial" w:cs="Arial"/>
          </w:rPr>
          <w:t>https://www.legislation.gov.uk/ukpga/1968/60/section/1/1991-02-01</w:t>
        </w:r>
      </w:hyperlink>
      <w:r>
        <w:rPr>
          <w:rFonts w:ascii="Arial" w:hAnsi="Arial" w:cs="Arial"/>
          <w:color w:val="000000"/>
        </w:rPr>
        <w:t xml:space="preserve"> </w:t>
      </w:r>
      <w:r w:rsidRPr="00A60B23">
        <w:rPr>
          <w:rFonts w:ascii="Arial" w:hAnsi="Arial" w:cs="Arial"/>
          <w:color w:val="000000"/>
        </w:rPr>
        <w:t>[Accessed 11 Apr. 2024].</w:t>
      </w:r>
    </w:p>
    <w:p w14:paraId="37ACDBF9" w14:textId="6682DA92" w:rsidR="00A60B23" w:rsidRPr="00A60B23" w:rsidRDefault="00A60B23" w:rsidP="00A60B23">
      <w:pPr>
        <w:spacing w:after="240" w:line="360" w:lineRule="auto"/>
        <w:rPr>
          <w:rFonts w:ascii="Arial" w:hAnsi="Arial" w:cs="Arial"/>
          <w:color w:val="000000"/>
        </w:rPr>
      </w:pPr>
      <w:r w:rsidRPr="00A60B23">
        <w:rPr>
          <w:rFonts w:ascii="Arial" w:hAnsi="Arial" w:cs="Arial"/>
          <w:i/>
          <w:iCs/>
          <w:color w:val="000000"/>
        </w:rPr>
        <w:t>Theft Act 1968</w:t>
      </w:r>
      <w:r w:rsidRPr="00A60B23">
        <w:rPr>
          <w:rFonts w:ascii="Arial" w:hAnsi="Arial" w:cs="Arial"/>
          <w:color w:val="000000"/>
        </w:rPr>
        <w:t xml:space="preserve">.Section 4 (1) Available at: </w:t>
      </w:r>
      <w:hyperlink r:id="rId19" w:history="1">
        <w:r w:rsidRPr="00A60B23">
          <w:rPr>
            <w:rStyle w:val="Hyperlink"/>
            <w:rFonts w:ascii="Arial" w:hAnsi="Arial" w:cs="Arial"/>
          </w:rPr>
          <w:t>https://www.legislation.gov.uk/ukpga/1968/60/section/1/1991-02-01</w:t>
        </w:r>
      </w:hyperlink>
      <w:r>
        <w:rPr>
          <w:rFonts w:ascii="Arial" w:hAnsi="Arial" w:cs="Arial"/>
          <w:color w:val="000000"/>
        </w:rPr>
        <w:t xml:space="preserve"> </w:t>
      </w:r>
      <w:r w:rsidRPr="00A60B23">
        <w:rPr>
          <w:rFonts w:ascii="Arial" w:hAnsi="Arial" w:cs="Arial"/>
          <w:color w:val="000000"/>
        </w:rPr>
        <w:t>[Accessed 23 Apr. 2024].</w:t>
      </w:r>
    </w:p>
    <w:p w14:paraId="7D7FBCF7" w14:textId="381E1BF6" w:rsidR="00A60B23" w:rsidRPr="00A60B23" w:rsidRDefault="00A60B23" w:rsidP="00A60B23">
      <w:pPr>
        <w:spacing w:after="240" w:line="360" w:lineRule="auto"/>
        <w:rPr>
          <w:rFonts w:ascii="Arial" w:hAnsi="Arial" w:cs="Arial"/>
          <w:color w:val="000000"/>
        </w:rPr>
      </w:pPr>
      <w:r w:rsidRPr="00A60B23">
        <w:rPr>
          <w:rFonts w:ascii="Arial" w:hAnsi="Arial" w:cs="Arial"/>
          <w:i/>
          <w:iCs/>
          <w:color w:val="000000"/>
        </w:rPr>
        <w:t>Theft Act 1968</w:t>
      </w:r>
      <w:r w:rsidRPr="00A60B23">
        <w:rPr>
          <w:rFonts w:ascii="Arial" w:hAnsi="Arial" w:cs="Arial"/>
          <w:color w:val="000000"/>
        </w:rPr>
        <w:t xml:space="preserve">.Section 5 (1) Available at: </w:t>
      </w:r>
      <w:hyperlink r:id="rId20" w:history="1">
        <w:r w:rsidRPr="00A60B23">
          <w:rPr>
            <w:rStyle w:val="Hyperlink"/>
            <w:rFonts w:ascii="Arial" w:hAnsi="Arial" w:cs="Arial"/>
          </w:rPr>
          <w:t>https://www.legislation.gov.uk/ukpga/1968/60/section/1/1991-02-01</w:t>
        </w:r>
      </w:hyperlink>
      <w:r>
        <w:rPr>
          <w:rFonts w:ascii="Arial" w:hAnsi="Arial" w:cs="Arial"/>
          <w:color w:val="000000"/>
        </w:rPr>
        <w:t xml:space="preserve"> </w:t>
      </w:r>
      <w:r w:rsidRPr="00A60B23">
        <w:rPr>
          <w:rFonts w:ascii="Arial" w:hAnsi="Arial" w:cs="Arial"/>
          <w:color w:val="000000"/>
        </w:rPr>
        <w:t>[Accessed 21 Apr. 2024].</w:t>
      </w:r>
    </w:p>
    <w:p w14:paraId="288143F2" w14:textId="24C5AF05" w:rsidR="00A60B23" w:rsidRPr="00A60B23" w:rsidRDefault="00A60B23" w:rsidP="00A60B23">
      <w:pPr>
        <w:spacing w:after="240" w:line="360" w:lineRule="auto"/>
        <w:rPr>
          <w:rFonts w:ascii="Arial" w:hAnsi="Arial" w:cs="Arial"/>
          <w:color w:val="000000"/>
        </w:rPr>
      </w:pPr>
      <w:r w:rsidRPr="00A60B23">
        <w:rPr>
          <w:rFonts w:ascii="Arial" w:hAnsi="Arial" w:cs="Arial"/>
          <w:i/>
          <w:iCs/>
          <w:color w:val="000000"/>
        </w:rPr>
        <w:t>Theft Act 1968</w:t>
      </w:r>
      <w:r w:rsidRPr="00A60B23">
        <w:rPr>
          <w:rFonts w:ascii="Arial" w:hAnsi="Arial" w:cs="Arial"/>
          <w:color w:val="000000"/>
        </w:rPr>
        <w:t xml:space="preserve">.Section 2 (1) (b) Available at: </w:t>
      </w:r>
      <w:hyperlink r:id="rId21" w:history="1">
        <w:r w:rsidRPr="00A60B23">
          <w:rPr>
            <w:rStyle w:val="Hyperlink"/>
            <w:rFonts w:ascii="Arial" w:hAnsi="Arial" w:cs="Arial"/>
          </w:rPr>
          <w:t>https://www.legislation.gov.uk/ukpga/1968/60/section/1/1991-02-01</w:t>
        </w:r>
      </w:hyperlink>
      <w:r>
        <w:rPr>
          <w:rFonts w:ascii="Arial" w:hAnsi="Arial" w:cs="Arial"/>
          <w:color w:val="000000"/>
        </w:rPr>
        <w:t xml:space="preserve"> </w:t>
      </w:r>
      <w:r w:rsidRPr="00A60B23">
        <w:rPr>
          <w:rFonts w:ascii="Arial" w:hAnsi="Arial" w:cs="Arial"/>
          <w:color w:val="000000"/>
        </w:rPr>
        <w:t>[Accessed 22 Apr. 2024].</w:t>
      </w:r>
    </w:p>
    <w:p w14:paraId="02186A44" w14:textId="4E081F56" w:rsidR="00A60B23" w:rsidRPr="00A60B23" w:rsidRDefault="00A60B23" w:rsidP="00A60B23">
      <w:pPr>
        <w:spacing w:after="240" w:line="360" w:lineRule="auto"/>
        <w:rPr>
          <w:rFonts w:ascii="Arial" w:hAnsi="Arial" w:cs="Arial"/>
          <w:color w:val="000000"/>
        </w:rPr>
      </w:pPr>
      <w:r w:rsidRPr="00A60B23">
        <w:rPr>
          <w:rFonts w:ascii="Arial" w:hAnsi="Arial" w:cs="Arial"/>
          <w:i/>
          <w:iCs/>
          <w:color w:val="000000"/>
        </w:rPr>
        <w:t>Theft Act 1968</w:t>
      </w:r>
      <w:r w:rsidRPr="00A60B23">
        <w:rPr>
          <w:rFonts w:ascii="Arial" w:hAnsi="Arial" w:cs="Arial"/>
          <w:color w:val="000000"/>
        </w:rPr>
        <w:t xml:space="preserve">.Section 6 (1) Available at: </w:t>
      </w:r>
      <w:hyperlink r:id="rId22" w:history="1">
        <w:r w:rsidRPr="00A60B23">
          <w:rPr>
            <w:rStyle w:val="Hyperlink"/>
            <w:rFonts w:ascii="Arial" w:hAnsi="Arial" w:cs="Arial"/>
          </w:rPr>
          <w:t>https://www.legislation.gov.uk/ukpga/1968/60/section/1/1991-02-01</w:t>
        </w:r>
      </w:hyperlink>
      <w:r>
        <w:rPr>
          <w:rFonts w:ascii="Arial" w:hAnsi="Arial" w:cs="Arial"/>
          <w:color w:val="000000"/>
        </w:rPr>
        <w:t xml:space="preserve"> </w:t>
      </w:r>
      <w:r w:rsidRPr="00A60B23">
        <w:rPr>
          <w:rFonts w:ascii="Arial" w:hAnsi="Arial" w:cs="Arial"/>
          <w:color w:val="000000"/>
        </w:rPr>
        <w:t>[Accessed 17 Apr. 2024].</w:t>
      </w:r>
    </w:p>
    <w:p w14:paraId="7DB173E3" w14:textId="057D1279" w:rsidR="00A60B23" w:rsidRPr="00A60B23" w:rsidRDefault="00A60B23" w:rsidP="00A60B23">
      <w:pPr>
        <w:spacing w:after="240" w:line="360" w:lineRule="auto"/>
        <w:rPr>
          <w:rFonts w:ascii="Arial" w:hAnsi="Arial" w:cs="Arial"/>
          <w:color w:val="000000"/>
        </w:rPr>
      </w:pPr>
      <w:r w:rsidRPr="00A60B23">
        <w:rPr>
          <w:rFonts w:ascii="Arial" w:hAnsi="Arial" w:cs="Arial"/>
          <w:color w:val="000000"/>
        </w:rPr>
        <w:t>VLex (2024a). </w:t>
      </w:r>
      <w:r w:rsidRPr="00A60B23">
        <w:rPr>
          <w:rFonts w:ascii="Arial" w:hAnsi="Arial" w:cs="Arial"/>
          <w:i/>
          <w:iCs/>
          <w:color w:val="000000"/>
        </w:rPr>
        <w:t>R v Saunders</w:t>
      </w:r>
      <w:r w:rsidRPr="00A60B23">
        <w:rPr>
          <w:rFonts w:ascii="Arial" w:hAnsi="Arial" w:cs="Arial"/>
          <w:color w:val="000000"/>
        </w:rPr>
        <w:t xml:space="preserve">. Available at: </w:t>
      </w:r>
      <w:hyperlink r:id="rId23" w:history="1">
        <w:r w:rsidRPr="00A60B23">
          <w:rPr>
            <w:rStyle w:val="Hyperlink"/>
            <w:rFonts w:ascii="Arial" w:hAnsi="Arial" w:cs="Arial"/>
          </w:rPr>
          <w:t>https://vlex.co.uk/vid/r-v-saunders-793568053</w:t>
        </w:r>
      </w:hyperlink>
      <w:r>
        <w:rPr>
          <w:rFonts w:ascii="Arial" w:hAnsi="Arial" w:cs="Arial"/>
          <w:color w:val="000000"/>
        </w:rPr>
        <w:t xml:space="preserve"> </w:t>
      </w:r>
      <w:r w:rsidRPr="00A60B23">
        <w:rPr>
          <w:rFonts w:ascii="Arial" w:hAnsi="Arial" w:cs="Arial"/>
          <w:color w:val="000000"/>
        </w:rPr>
        <w:t>[Accessed 15 Apr. 2024].</w:t>
      </w:r>
    </w:p>
    <w:p w14:paraId="1BB7CCB9" w14:textId="33C851F0" w:rsidR="00A60B23" w:rsidRPr="00A60B23" w:rsidRDefault="00A60B23" w:rsidP="00A60B23">
      <w:pPr>
        <w:spacing w:after="240" w:line="360" w:lineRule="auto"/>
        <w:rPr>
          <w:rFonts w:ascii="Arial" w:hAnsi="Arial" w:cs="Arial"/>
          <w:color w:val="000000"/>
        </w:rPr>
      </w:pPr>
      <w:r w:rsidRPr="00A60B23">
        <w:rPr>
          <w:rFonts w:ascii="Arial" w:hAnsi="Arial" w:cs="Arial"/>
          <w:color w:val="000000"/>
        </w:rPr>
        <w:t>VLex (2024b). </w:t>
      </w:r>
      <w:r w:rsidRPr="00A60B23">
        <w:rPr>
          <w:rFonts w:ascii="Arial" w:hAnsi="Arial" w:cs="Arial"/>
          <w:i/>
          <w:iCs/>
          <w:color w:val="000000"/>
        </w:rPr>
        <w:t>Stevens v Gourley</w:t>
      </w:r>
      <w:r w:rsidRPr="00A60B23">
        <w:rPr>
          <w:rFonts w:ascii="Arial" w:hAnsi="Arial" w:cs="Arial"/>
          <w:color w:val="000000"/>
        </w:rPr>
        <w:t xml:space="preserve">. Available at: </w:t>
      </w:r>
      <w:hyperlink r:id="rId24" w:history="1">
        <w:r w:rsidRPr="00A60B23">
          <w:rPr>
            <w:rStyle w:val="Hyperlink"/>
            <w:rFonts w:ascii="Arial" w:hAnsi="Arial" w:cs="Arial"/>
          </w:rPr>
          <w:t>https://vlex.co.uk/vid/stevens-v-gourley-806550133</w:t>
        </w:r>
      </w:hyperlink>
      <w:r>
        <w:rPr>
          <w:rFonts w:ascii="Arial" w:hAnsi="Arial" w:cs="Arial"/>
          <w:color w:val="000000"/>
        </w:rPr>
        <w:t xml:space="preserve"> </w:t>
      </w:r>
      <w:r w:rsidRPr="00A60B23">
        <w:rPr>
          <w:rFonts w:ascii="Arial" w:hAnsi="Arial" w:cs="Arial"/>
          <w:color w:val="000000"/>
        </w:rPr>
        <w:t>[Accessed 8 Apr. 2024].</w:t>
      </w:r>
    </w:p>
    <w:p w14:paraId="5D04F655" w14:textId="753585FC" w:rsidR="00363BB4" w:rsidRPr="00AF78BF" w:rsidRDefault="00363BB4" w:rsidP="009553E5">
      <w:pPr>
        <w:spacing w:line="360" w:lineRule="auto"/>
        <w:rPr>
          <w:rFonts w:ascii="Arial" w:hAnsi="Arial" w:cs="Arial"/>
          <w:sz w:val="20"/>
          <w:szCs w:val="20"/>
        </w:rPr>
      </w:pPr>
    </w:p>
    <w:sectPr w:rsidR="00363BB4" w:rsidRPr="00AF78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FCC"/>
    <w:rsid w:val="00013A56"/>
    <w:rsid w:val="00084BC2"/>
    <w:rsid w:val="000F0923"/>
    <w:rsid w:val="00101E98"/>
    <w:rsid w:val="00111DFB"/>
    <w:rsid w:val="001135E7"/>
    <w:rsid w:val="00124D00"/>
    <w:rsid w:val="001256FB"/>
    <w:rsid w:val="001536D2"/>
    <w:rsid w:val="001E48FF"/>
    <w:rsid w:val="002124C4"/>
    <w:rsid w:val="002168F2"/>
    <w:rsid w:val="002222BD"/>
    <w:rsid w:val="0022305D"/>
    <w:rsid w:val="00224F18"/>
    <w:rsid w:val="00276B4F"/>
    <w:rsid w:val="00285288"/>
    <w:rsid w:val="00300FF0"/>
    <w:rsid w:val="00363BB4"/>
    <w:rsid w:val="00395839"/>
    <w:rsid w:val="00433AB6"/>
    <w:rsid w:val="00463783"/>
    <w:rsid w:val="00547261"/>
    <w:rsid w:val="00557CAA"/>
    <w:rsid w:val="005748A6"/>
    <w:rsid w:val="005B78E9"/>
    <w:rsid w:val="00612178"/>
    <w:rsid w:val="00672CD8"/>
    <w:rsid w:val="00675E42"/>
    <w:rsid w:val="00677E3F"/>
    <w:rsid w:val="006C4164"/>
    <w:rsid w:val="00715F15"/>
    <w:rsid w:val="007B79E5"/>
    <w:rsid w:val="007E6D40"/>
    <w:rsid w:val="008077AD"/>
    <w:rsid w:val="00857E51"/>
    <w:rsid w:val="00870F02"/>
    <w:rsid w:val="00890506"/>
    <w:rsid w:val="008F30EB"/>
    <w:rsid w:val="00912A69"/>
    <w:rsid w:val="0093764D"/>
    <w:rsid w:val="009553E5"/>
    <w:rsid w:val="009E08E5"/>
    <w:rsid w:val="00A418FF"/>
    <w:rsid w:val="00A60B23"/>
    <w:rsid w:val="00A7065A"/>
    <w:rsid w:val="00AB58F1"/>
    <w:rsid w:val="00AF78BF"/>
    <w:rsid w:val="00B00322"/>
    <w:rsid w:val="00B43F02"/>
    <w:rsid w:val="00B54CE5"/>
    <w:rsid w:val="00BD268F"/>
    <w:rsid w:val="00C05043"/>
    <w:rsid w:val="00C57695"/>
    <w:rsid w:val="00C67F1E"/>
    <w:rsid w:val="00CE6586"/>
    <w:rsid w:val="00D12807"/>
    <w:rsid w:val="00D32F96"/>
    <w:rsid w:val="00D36FA5"/>
    <w:rsid w:val="00D46ADF"/>
    <w:rsid w:val="00D90A3C"/>
    <w:rsid w:val="00D9524D"/>
    <w:rsid w:val="00DA0C92"/>
    <w:rsid w:val="00E149C2"/>
    <w:rsid w:val="00E34C35"/>
    <w:rsid w:val="00E6689F"/>
    <w:rsid w:val="00E95955"/>
    <w:rsid w:val="00EA77BE"/>
    <w:rsid w:val="00EB54E4"/>
    <w:rsid w:val="00EE303A"/>
    <w:rsid w:val="00F54B31"/>
    <w:rsid w:val="00FC5FCC"/>
    <w:rsid w:val="00FE5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CDFEB"/>
  <w15:chartTrackingRefBased/>
  <w15:docId w15:val="{39D5ECC3-9E4C-4F4A-839B-E7AE10E36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DF"/>
    <w:rPr>
      <w:rFonts w:ascii="Times New Roman" w:eastAsia="Times New Roman" w:hAnsi="Times New Roman" w:cs="Times New Roman"/>
      <w:lang w:eastAsia="en-GB"/>
    </w:rPr>
  </w:style>
  <w:style w:type="paragraph" w:styleId="Heading1">
    <w:name w:val="heading 1"/>
    <w:basedOn w:val="Normal"/>
    <w:link w:val="Heading1Char"/>
    <w:uiPriority w:val="9"/>
    <w:qFormat/>
    <w:rsid w:val="00A60B2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egterm">
    <w:name w:val="legterm"/>
    <w:basedOn w:val="DefaultParagraphFont"/>
    <w:rsid w:val="00AF78BF"/>
  </w:style>
  <w:style w:type="character" w:styleId="CommentReference">
    <w:name w:val="annotation reference"/>
    <w:basedOn w:val="DefaultParagraphFont"/>
    <w:uiPriority w:val="99"/>
    <w:semiHidden/>
    <w:unhideWhenUsed/>
    <w:rsid w:val="00E6689F"/>
    <w:rPr>
      <w:sz w:val="16"/>
      <w:szCs w:val="16"/>
    </w:rPr>
  </w:style>
  <w:style w:type="paragraph" w:styleId="CommentText">
    <w:name w:val="annotation text"/>
    <w:basedOn w:val="Normal"/>
    <w:link w:val="CommentTextChar"/>
    <w:uiPriority w:val="99"/>
    <w:semiHidden/>
    <w:unhideWhenUsed/>
    <w:rsid w:val="00E6689F"/>
    <w:rPr>
      <w:sz w:val="20"/>
      <w:szCs w:val="20"/>
    </w:rPr>
  </w:style>
  <w:style w:type="character" w:customStyle="1" w:styleId="CommentTextChar">
    <w:name w:val="Comment Text Char"/>
    <w:basedOn w:val="DefaultParagraphFont"/>
    <w:link w:val="CommentText"/>
    <w:uiPriority w:val="99"/>
    <w:semiHidden/>
    <w:rsid w:val="00E6689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6689F"/>
    <w:rPr>
      <w:b/>
      <w:bCs/>
    </w:rPr>
  </w:style>
  <w:style w:type="character" w:customStyle="1" w:styleId="CommentSubjectChar">
    <w:name w:val="Comment Subject Char"/>
    <w:basedOn w:val="CommentTextChar"/>
    <w:link w:val="CommentSubject"/>
    <w:uiPriority w:val="99"/>
    <w:semiHidden/>
    <w:rsid w:val="00E6689F"/>
    <w:rPr>
      <w:rFonts w:ascii="Times New Roman" w:eastAsia="Times New Roman" w:hAnsi="Times New Roman" w:cs="Times New Roman"/>
      <w:b/>
      <w:bCs/>
      <w:sz w:val="20"/>
      <w:szCs w:val="20"/>
      <w:lang w:eastAsia="en-GB"/>
    </w:rPr>
  </w:style>
  <w:style w:type="character" w:styleId="Hyperlink">
    <w:name w:val="Hyperlink"/>
    <w:basedOn w:val="DefaultParagraphFont"/>
    <w:uiPriority w:val="99"/>
    <w:unhideWhenUsed/>
    <w:rsid w:val="00363BB4"/>
    <w:rPr>
      <w:color w:val="0563C1" w:themeColor="hyperlink"/>
      <w:u w:val="single"/>
    </w:rPr>
  </w:style>
  <w:style w:type="character" w:styleId="UnresolvedMention">
    <w:name w:val="Unresolved Mention"/>
    <w:basedOn w:val="DefaultParagraphFont"/>
    <w:uiPriority w:val="99"/>
    <w:semiHidden/>
    <w:unhideWhenUsed/>
    <w:rsid w:val="00363BB4"/>
    <w:rPr>
      <w:color w:val="605E5C"/>
      <w:shd w:val="clear" w:color="auto" w:fill="E1DFDD"/>
    </w:rPr>
  </w:style>
  <w:style w:type="character" w:customStyle="1" w:styleId="apple-converted-space">
    <w:name w:val="apple-converted-space"/>
    <w:basedOn w:val="DefaultParagraphFont"/>
    <w:rsid w:val="00395839"/>
  </w:style>
  <w:style w:type="character" w:styleId="Emphasis">
    <w:name w:val="Emphasis"/>
    <w:basedOn w:val="DefaultParagraphFont"/>
    <w:uiPriority w:val="20"/>
    <w:qFormat/>
    <w:rsid w:val="00013A56"/>
    <w:rPr>
      <w:i/>
      <w:iCs/>
    </w:rPr>
  </w:style>
  <w:style w:type="character" w:customStyle="1" w:styleId="Heading1Char">
    <w:name w:val="Heading 1 Char"/>
    <w:basedOn w:val="DefaultParagraphFont"/>
    <w:link w:val="Heading1"/>
    <w:uiPriority w:val="9"/>
    <w:rsid w:val="00A60B23"/>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A60B2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98739">
      <w:bodyDiv w:val="1"/>
      <w:marLeft w:val="0"/>
      <w:marRight w:val="0"/>
      <w:marTop w:val="0"/>
      <w:marBottom w:val="0"/>
      <w:divBdr>
        <w:top w:val="none" w:sz="0" w:space="0" w:color="auto"/>
        <w:left w:val="none" w:sz="0" w:space="0" w:color="auto"/>
        <w:bottom w:val="none" w:sz="0" w:space="0" w:color="auto"/>
        <w:right w:val="none" w:sz="0" w:space="0" w:color="auto"/>
      </w:divBdr>
    </w:div>
    <w:div w:id="144703778">
      <w:bodyDiv w:val="1"/>
      <w:marLeft w:val="0"/>
      <w:marRight w:val="0"/>
      <w:marTop w:val="0"/>
      <w:marBottom w:val="0"/>
      <w:divBdr>
        <w:top w:val="none" w:sz="0" w:space="0" w:color="auto"/>
        <w:left w:val="none" w:sz="0" w:space="0" w:color="auto"/>
        <w:bottom w:val="none" w:sz="0" w:space="0" w:color="auto"/>
        <w:right w:val="none" w:sz="0" w:space="0" w:color="auto"/>
      </w:divBdr>
    </w:div>
    <w:div w:id="335307914">
      <w:bodyDiv w:val="1"/>
      <w:marLeft w:val="0"/>
      <w:marRight w:val="0"/>
      <w:marTop w:val="0"/>
      <w:marBottom w:val="0"/>
      <w:divBdr>
        <w:top w:val="none" w:sz="0" w:space="0" w:color="auto"/>
        <w:left w:val="none" w:sz="0" w:space="0" w:color="auto"/>
        <w:bottom w:val="none" w:sz="0" w:space="0" w:color="auto"/>
        <w:right w:val="none" w:sz="0" w:space="0" w:color="auto"/>
      </w:divBdr>
      <w:divsChild>
        <w:div w:id="1168058725">
          <w:marLeft w:val="0"/>
          <w:marRight w:val="0"/>
          <w:marTop w:val="0"/>
          <w:marBottom w:val="0"/>
          <w:divBdr>
            <w:top w:val="none" w:sz="0" w:space="0" w:color="auto"/>
            <w:left w:val="none" w:sz="0" w:space="0" w:color="auto"/>
            <w:bottom w:val="none" w:sz="0" w:space="0" w:color="auto"/>
            <w:right w:val="none" w:sz="0" w:space="0" w:color="auto"/>
          </w:divBdr>
        </w:div>
      </w:divsChild>
    </w:div>
    <w:div w:id="812527699">
      <w:bodyDiv w:val="1"/>
      <w:marLeft w:val="0"/>
      <w:marRight w:val="0"/>
      <w:marTop w:val="0"/>
      <w:marBottom w:val="0"/>
      <w:divBdr>
        <w:top w:val="none" w:sz="0" w:space="0" w:color="auto"/>
        <w:left w:val="none" w:sz="0" w:space="0" w:color="auto"/>
        <w:bottom w:val="none" w:sz="0" w:space="0" w:color="auto"/>
        <w:right w:val="none" w:sz="0" w:space="0" w:color="auto"/>
      </w:divBdr>
    </w:div>
    <w:div w:id="859929221">
      <w:bodyDiv w:val="1"/>
      <w:marLeft w:val="0"/>
      <w:marRight w:val="0"/>
      <w:marTop w:val="0"/>
      <w:marBottom w:val="0"/>
      <w:divBdr>
        <w:top w:val="none" w:sz="0" w:space="0" w:color="auto"/>
        <w:left w:val="none" w:sz="0" w:space="0" w:color="auto"/>
        <w:bottom w:val="none" w:sz="0" w:space="0" w:color="auto"/>
        <w:right w:val="none" w:sz="0" w:space="0" w:color="auto"/>
      </w:divBdr>
    </w:div>
    <w:div w:id="882254993">
      <w:bodyDiv w:val="1"/>
      <w:marLeft w:val="0"/>
      <w:marRight w:val="0"/>
      <w:marTop w:val="0"/>
      <w:marBottom w:val="0"/>
      <w:divBdr>
        <w:top w:val="none" w:sz="0" w:space="0" w:color="auto"/>
        <w:left w:val="none" w:sz="0" w:space="0" w:color="auto"/>
        <w:bottom w:val="none" w:sz="0" w:space="0" w:color="auto"/>
        <w:right w:val="none" w:sz="0" w:space="0" w:color="auto"/>
      </w:divBdr>
    </w:div>
    <w:div w:id="905920041">
      <w:bodyDiv w:val="1"/>
      <w:marLeft w:val="0"/>
      <w:marRight w:val="0"/>
      <w:marTop w:val="0"/>
      <w:marBottom w:val="0"/>
      <w:divBdr>
        <w:top w:val="none" w:sz="0" w:space="0" w:color="auto"/>
        <w:left w:val="none" w:sz="0" w:space="0" w:color="auto"/>
        <w:bottom w:val="none" w:sz="0" w:space="0" w:color="auto"/>
        <w:right w:val="none" w:sz="0" w:space="0" w:color="auto"/>
      </w:divBdr>
    </w:div>
    <w:div w:id="994527796">
      <w:bodyDiv w:val="1"/>
      <w:marLeft w:val="0"/>
      <w:marRight w:val="0"/>
      <w:marTop w:val="0"/>
      <w:marBottom w:val="0"/>
      <w:divBdr>
        <w:top w:val="none" w:sz="0" w:space="0" w:color="auto"/>
        <w:left w:val="none" w:sz="0" w:space="0" w:color="auto"/>
        <w:bottom w:val="none" w:sz="0" w:space="0" w:color="auto"/>
        <w:right w:val="none" w:sz="0" w:space="0" w:color="auto"/>
      </w:divBdr>
    </w:div>
    <w:div w:id="1029181753">
      <w:bodyDiv w:val="1"/>
      <w:marLeft w:val="0"/>
      <w:marRight w:val="0"/>
      <w:marTop w:val="0"/>
      <w:marBottom w:val="0"/>
      <w:divBdr>
        <w:top w:val="none" w:sz="0" w:space="0" w:color="auto"/>
        <w:left w:val="none" w:sz="0" w:space="0" w:color="auto"/>
        <w:bottom w:val="none" w:sz="0" w:space="0" w:color="auto"/>
        <w:right w:val="none" w:sz="0" w:space="0" w:color="auto"/>
      </w:divBdr>
    </w:div>
    <w:div w:id="1083406514">
      <w:bodyDiv w:val="1"/>
      <w:marLeft w:val="0"/>
      <w:marRight w:val="0"/>
      <w:marTop w:val="0"/>
      <w:marBottom w:val="0"/>
      <w:divBdr>
        <w:top w:val="none" w:sz="0" w:space="0" w:color="auto"/>
        <w:left w:val="none" w:sz="0" w:space="0" w:color="auto"/>
        <w:bottom w:val="none" w:sz="0" w:space="0" w:color="auto"/>
        <w:right w:val="none" w:sz="0" w:space="0" w:color="auto"/>
      </w:divBdr>
    </w:div>
    <w:div w:id="1237784587">
      <w:bodyDiv w:val="1"/>
      <w:marLeft w:val="0"/>
      <w:marRight w:val="0"/>
      <w:marTop w:val="0"/>
      <w:marBottom w:val="0"/>
      <w:divBdr>
        <w:top w:val="none" w:sz="0" w:space="0" w:color="auto"/>
        <w:left w:val="none" w:sz="0" w:space="0" w:color="auto"/>
        <w:bottom w:val="none" w:sz="0" w:space="0" w:color="auto"/>
        <w:right w:val="none" w:sz="0" w:space="0" w:color="auto"/>
      </w:divBdr>
    </w:div>
    <w:div w:id="1665358223">
      <w:bodyDiv w:val="1"/>
      <w:marLeft w:val="0"/>
      <w:marRight w:val="0"/>
      <w:marTop w:val="0"/>
      <w:marBottom w:val="0"/>
      <w:divBdr>
        <w:top w:val="none" w:sz="0" w:space="0" w:color="auto"/>
        <w:left w:val="none" w:sz="0" w:space="0" w:color="auto"/>
        <w:bottom w:val="none" w:sz="0" w:space="0" w:color="auto"/>
        <w:right w:val="none" w:sz="0" w:space="0" w:color="auto"/>
      </w:divBdr>
    </w:div>
    <w:div w:id="1736472731">
      <w:bodyDiv w:val="1"/>
      <w:marLeft w:val="0"/>
      <w:marRight w:val="0"/>
      <w:marTop w:val="0"/>
      <w:marBottom w:val="0"/>
      <w:divBdr>
        <w:top w:val="none" w:sz="0" w:space="0" w:color="auto"/>
        <w:left w:val="none" w:sz="0" w:space="0" w:color="auto"/>
        <w:bottom w:val="none" w:sz="0" w:space="0" w:color="auto"/>
        <w:right w:val="none" w:sz="0" w:space="0" w:color="auto"/>
      </w:divBdr>
    </w:div>
    <w:div w:id="1833326036">
      <w:bodyDiv w:val="1"/>
      <w:marLeft w:val="0"/>
      <w:marRight w:val="0"/>
      <w:marTop w:val="0"/>
      <w:marBottom w:val="0"/>
      <w:divBdr>
        <w:top w:val="none" w:sz="0" w:space="0" w:color="auto"/>
        <w:left w:val="none" w:sz="0" w:space="0" w:color="auto"/>
        <w:bottom w:val="none" w:sz="0" w:space="0" w:color="auto"/>
        <w:right w:val="none" w:sz="0" w:space="0" w:color="auto"/>
      </w:divBdr>
    </w:div>
    <w:div w:id="1872764806">
      <w:bodyDiv w:val="1"/>
      <w:marLeft w:val="0"/>
      <w:marRight w:val="0"/>
      <w:marTop w:val="0"/>
      <w:marBottom w:val="0"/>
      <w:divBdr>
        <w:top w:val="none" w:sz="0" w:space="0" w:color="auto"/>
        <w:left w:val="none" w:sz="0" w:space="0" w:color="auto"/>
        <w:bottom w:val="none" w:sz="0" w:space="0" w:color="auto"/>
        <w:right w:val="none" w:sz="0" w:space="0" w:color="auto"/>
      </w:divBdr>
    </w:div>
    <w:div w:id="2057389184">
      <w:bodyDiv w:val="1"/>
      <w:marLeft w:val="0"/>
      <w:marRight w:val="0"/>
      <w:marTop w:val="0"/>
      <w:marBottom w:val="0"/>
      <w:divBdr>
        <w:top w:val="none" w:sz="0" w:space="0" w:color="auto"/>
        <w:left w:val="none" w:sz="0" w:space="0" w:color="auto"/>
        <w:bottom w:val="none" w:sz="0" w:space="0" w:color="auto"/>
        <w:right w:val="none" w:sz="0" w:space="0" w:color="auto"/>
      </w:divBdr>
    </w:div>
    <w:div w:id="206401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8/33/section/39" TargetMode="External"/><Relationship Id="rId13" Type="http://schemas.openxmlformats.org/officeDocument/2006/relationships/hyperlink" Target="https://www.lawteacher.net/cases/r-v-jones-and-smith.php" TargetMode="External"/><Relationship Id="rId18" Type="http://schemas.openxmlformats.org/officeDocument/2006/relationships/hyperlink" Target="https://www.legislation.gov.uk/ukpga/1968/60/section/1/1991-02-01"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legislation.gov.uk/ukpga/1968/60/section/1/1991-02-01" TargetMode="External"/><Relationship Id="rId7" Type="http://schemas.openxmlformats.org/officeDocument/2006/relationships/hyperlink" Target="https://www.legislation.gov.uk/ukpga/1971/48/contents" TargetMode="External"/><Relationship Id="rId12" Type="http://schemas.openxmlformats.org/officeDocument/2006/relationships/hyperlink" Target="https://www.lawteacher.net/cases/r-v-ireland-and-burstow.php" TargetMode="External"/><Relationship Id="rId17" Type="http://schemas.openxmlformats.org/officeDocument/2006/relationships/hyperlink" Target="https://www.legislation.gov.uk/ukpga/1968/60/section/1/1991-02-01"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legislation.gov.uk/ukpga/1968/60/section/9#:~:text=9%20Burglary.&amp;text=(2)The%20offences%20referred%20to,the%20building%20or%20anything%20therein" TargetMode="External"/><Relationship Id="rId20" Type="http://schemas.openxmlformats.org/officeDocument/2006/relationships/hyperlink" Target="https://www.legislation.gov.uk/ukpga/1968/60/section/1/1991-02-01" TargetMode="External"/><Relationship Id="rId1" Type="http://schemas.openxmlformats.org/officeDocument/2006/relationships/styles" Target="styles.xml"/><Relationship Id="rId6" Type="http://schemas.openxmlformats.org/officeDocument/2006/relationships/hyperlink" Target="https://www.legislation.gov.uk/ukpga/1971/48/contents" TargetMode="External"/><Relationship Id="rId11" Type="http://schemas.openxmlformats.org/officeDocument/2006/relationships/hyperlink" Target="https://www.lawteacher.net/cases/r-v-ghosh.php" TargetMode="External"/><Relationship Id="rId24" Type="http://schemas.openxmlformats.org/officeDocument/2006/relationships/hyperlink" Target="https://vlex.co.uk/vid/stevens-v-gourley-806550133" TargetMode="External"/><Relationship Id="rId5" Type="http://schemas.openxmlformats.org/officeDocument/2006/relationships/hyperlink" Target="https://www.legislation.gov.uk/ukpga/1971/48/contents" TargetMode="External"/><Relationship Id="rId15" Type="http://schemas.openxmlformats.org/officeDocument/2006/relationships/hyperlink" Target="https://studyrocket.co.uk/revision/a-level-law-aqa/criminal-law/murder#:~:text=Murder%20is%20a%20common%20law" TargetMode="External"/><Relationship Id="rId23" Type="http://schemas.openxmlformats.org/officeDocument/2006/relationships/hyperlink" Target="https://vlex.co.uk/vid/r-v-saunders-793568053" TargetMode="External"/><Relationship Id="rId10" Type="http://schemas.openxmlformats.org/officeDocument/2006/relationships/hyperlink" Target="https://www.lawteacher.net/cases/r-v-ryan-1996.php" TargetMode="External"/><Relationship Id="rId19" Type="http://schemas.openxmlformats.org/officeDocument/2006/relationships/hyperlink" Target="https://www.legislation.gov.uk/ukpga/1968/60/section/1/1991-02-01" TargetMode="External"/><Relationship Id="rId4" Type="http://schemas.openxmlformats.org/officeDocument/2006/relationships/image" Target="media/image1.png"/><Relationship Id="rId9" Type="http://schemas.openxmlformats.org/officeDocument/2006/relationships/hyperlink" Target="https://www.lawteacher.net/cases/b-and-s-v-leathley.php#citethis" TargetMode="External"/><Relationship Id="rId14" Type="http://schemas.openxmlformats.org/officeDocument/2006/relationships/hyperlink" Target="https://www.lawteacher.net/cases/fagan-v-mpc.php" TargetMode="External"/><Relationship Id="rId22" Type="http://schemas.openxmlformats.org/officeDocument/2006/relationships/hyperlink" Target="https://www.legislation.gov.uk/ukpga/1968/60/section/1/1991-0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416</TotalTime>
  <Pages>7</Pages>
  <Words>2058</Words>
  <Characters>11732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George (2103342)</dc:creator>
  <cp:keywords/>
  <dc:description/>
  <cp:lastModifiedBy>Ffion George (2103342)</cp:lastModifiedBy>
  <cp:revision>9</cp:revision>
  <dcterms:created xsi:type="dcterms:W3CDTF">2024-04-25T11:58:00Z</dcterms:created>
  <dcterms:modified xsi:type="dcterms:W3CDTF">2024-05-03T10:52:00Z</dcterms:modified>
</cp:coreProperties>
</file>