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95A" w:rsidRPr="007A2699" w:rsidRDefault="00D6095A" w:rsidP="00D6095A">
      <w:pPr>
        <w:pStyle w:val="Title"/>
      </w:pPr>
      <w:r w:rsidRPr="007A2699">
        <w:t>School of Sport, Health &amp; Outdoor Education</w:t>
      </w:r>
    </w:p>
    <w:p w:rsidR="00D6095A" w:rsidRPr="00DB29C9" w:rsidRDefault="00D6095A" w:rsidP="00D6095A">
      <w:pPr>
        <w:rPr>
          <w:b/>
          <w:bCs/>
          <w:sz w:val="16"/>
          <w:szCs w:val="16"/>
        </w:rPr>
      </w:pPr>
    </w:p>
    <w:p w:rsidR="00D6095A" w:rsidRPr="007A2699" w:rsidRDefault="00D6095A" w:rsidP="00D6095A">
      <w:pPr>
        <w:pStyle w:val="Subtitle"/>
      </w:pPr>
      <w:r>
        <w:t>Assessment Feedback Sheet</w:t>
      </w:r>
    </w:p>
    <w:p w:rsidR="005C2FF2" w:rsidRDefault="005C2FF2" w:rsidP="005C2FF2">
      <w:pPr>
        <w:pStyle w:val="Subtitle"/>
        <w:jc w:val="left"/>
        <w:rPr>
          <w:b/>
          <w:bCs/>
          <w:sz w:val="24"/>
          <w:szCs w:val="24"/>
          <w:u w:val="none"/>
        </w:rPr>
      </w:pPr>
    </w:p>
    <w:p w:rsidR="005C2FF2" w:rsidRDefault="00D6095A" w:rsidP="005C2FF2">
      <w:pPr>
        <w:pStyle w:val="Subtitle"/>
        <w:jc w:val="left"/>
        <w:rPr>
          <w:b/>
          <w:bCs/>
          <w:u w:val="none"/>
        </w:rPr>
      </w:pPr>
      <w:r>
        <w:rPr>
          <w:b/>
          <w:bCs/>
          <w:sz w:val="24"/>
          <w:szCs w:val="24"/>
          <w:u w:val="none"/>
        </w:rPr>
        <w:t>Student No</w:t>
      </w:r>
      <w:proofErr w:type="gramStart"/>
      <w:r>
        <w:rPr>
          <w:b/>
          <w:bCs/>
          <w:sz w:val="24"/>
          <w:szCs w:val="24"/>
          <w:u w:val="none"/>
        </w:rPr>
        <w:t>./</w:t>
      </w:r>
      <w:proofErr w:type="gramEnd"/>
      <w:r>
        <w:rPr>
          <w:b/>
          <w:bCs/>
          <w:sz w:val="24"/>
          <w:szCs w:val="24"/>
          <w:u w:val="none"/>
        </w:rPr>
        <w:t>Name:</w:t>
      </w:r>
      <w:r>
        <w:rPr>
          <w:b/>
          <w:bCs/>
          <w:sz w:val="24"/>
          <w:szCs w:val="24"/>
          <w:u w:val="none"/>
        </w:rPr>
        <w:tab/>
      </w:r>
      <w:r w:rsidR="00FD4C1A">
        <w:rPr>
          <w:b/>
          <w:bCs/>
          <w:sz w:val="24"/>
          <w:szCs w:val="24"/>
          <w:u w:val="none"/>
        </w:rPr>
        <w:t>FFION JONATHAN</w:t>
      </w:r>
    </w:p>
    <w:p w:rsidR="005C2FF2" w:rsidRPr="005C2FF2" w:rsidRDefault="00D6095A" w:rsidP="005C2FF2">
      <w:pPr>
        <w:pStyle w:val="Subtitle"/>
        <w:jc w:val="left"/>
        <w:rPr>
          <w:b/>
          <w:bCs/>
          <w:u w:val="none"/>
        </w:rPr>
      </w:pPr>
      <w:r w:rsidRPr="00952485">
        <w:rPr>
          <w:b/>
          <w:bCs/>
          <w:sz w:val="24"/>
          <w:szCs w:val="24"/>
          <w:u w:val="none"/>
        </w:rPr>
        <w:t xml:space="preserve">                               </w:t>
      </w:r>
    </w:p>
    <w:p w:rsidR="005C2FF2" w:rsidRDefault="00D6095A" w:rsidP="005C2FF2">
      <w:pPr>
        <w:pStyle w:val="Subtitle"/>
        <w:jc w:val="left"/>
        <w:rPr>
          <w:b/>
          <w:bCs/>
          <w:sz w:val="24"/>
          <w:szCs w:val="24"/>
          <w:u w:val="none"/>
        </w:rPr>
      </w:pPr>
      <w:r w:rsidRPr="005C2FF2">
        <w:rPr>
          <w:b/>
          <w:bCs/>
          <w:sz w:val="24"/>
          <w:szCs w:val="24"/>
          <w:u w:val="none"/>
        </w:rPr>
        <w:t>Module</w:t>
      </w:r>
      <w:r w:rsidR="005C2FF2" w:rsidRPr="005C2FF2">
        <w:rPr>
          <w:b/>
          <w:bCs/>
          <w:sz w:val="24"/>
          <w:szCs w:val="24"/>
          <w:u w:val="none"/>
        </w:rPr>
        <w:t xml:space="preserve"> Code</w:t>
      </w:r>
      <w:r w:rsidRPr="005C2FF2">
        <w:rPr>
          <w:b/>
          <w:bCs/>
          <w:sz w:val="24"/>
          <w:szCs w:val="24"/>
          <w:u w:val="none"/>
        </w:rPr>
        <w:t>:</w:t>
      </w:r>
      <w:r w:rsidR="00E07294">
        <w:rPr>
          <w:bCs/>
          <w:sz w:val="24"/>
          <w:szCs w:val="24"/>
          <w:u w:val="none"/>
        </w:rPr>
        <w:t xml:space="preserve"> SHSS4068</w:t>
      </w:r>
      <w:r w:rsidRPr="005C2FF2">
        <w:rPr>
          <w:b/>
          <w:bCs/>
          <w:sz w:val="24"/>
          <w:szCs w:val="24"/>
          <w:u w:val="none"/>
        </w:rPr>
        <w:tab/>
      </w:r>
      <w:r w:rsidR="005C2FF2" w:rsidRPr="005C2FF2">
        <w:rPr>
          <w:b/>
          <w:bCs/>
          <w:sz w:val="24"/>
          <w:szCs w:val="24"/>
          <w:u w:val="none"/>
        </w:rPr>
        <w:tab/>
      </w:r>
      <w:r w:rsidR="005C2FF2" w:rsidRPr="005C2FF2">
        <w:rPr>
          <w:b/>
          <w:bCs/>
          <w:sz w:val="24"/>
          <w:szCs w:val="24"/>
          <w:u w:val="none"/>
        </w:rPr>
        <w:tab/>
      </w:r>
    </w:p>
    <w:p w:rsidR="00D6095A" w:rsidRPr="00E07294" w:rsidRDefault="00D6095A" w:rsidP="005C2FF2">
      <w:pPr>
        <w:pStyle w:val="Subtitle"/>
        <w:jc w:val="left"/>
        <w:rPr>
          <w:bCs/>
          <w:sz w:val="24"/>
          <w:szCs w:val="24"/>
          <w:u w:val="none"/>
        </w:rPr>
      </w:pPr>
      <w:r w:rsidRPr="005C2FF2">
        <w:rPr>
          <w:b/>
          <w:bCs/>
          <w:sz w:val="24"/>
          <w:szCs w:val="24"/>
          <w:u w:val="none"/>
        </w:rPr>
        <w:t xml:space="preserve">Module: </w:t>
      </w:r>
      <w:r w:rsidR="00ED2D03">
        <w:rPr>
          <w:b/>
          <w:bCs/>
          <w:sz w:val="24"/>
          <w:szCs w:val="24"/>
          <w:u w:val="none"/>
        </w:rPr>
        <w:tab/>
      </w:r>
      <w:r w:rsidR="00E07294" w:rsidRPr="00E07294">
        <w:rPr>
          <w:bCs/>
          <w:sz w:val="24"/>
          <w:szCs w:val="24"/>
          <w:u w:val="none"/>
        </w:rPr>
        <w:t>The Science of Nutrition</w:t>
      </w:r>
    </w:p>
    <w:p w:rsidR="00D6095A" w:rsidRDefault="00D6095A" w:rsidP="00D6095A">
      <w:pPr>
        <w:pStyle w:val="Subtitle"/>
        <w:jc w:val="left"/>
        <w:rPr>
          <w:b/>
          <w:bCs/>
          <w:sz w:val="24"/>
          <w:szCs w:val="24"/>
          <w:u w:val="none"/>
        </w:rPr>
      </w:pPr>
    </w:p>
    <w:p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rsidTr="00B5544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AE37DC" w:rsidP="00B55440">
            <w:pPr>
              <w:pStyle w:val="Subtitle"/>
              <w:rPr>
                <w:b/>
                <w:bCs/>
                <w:sz w:val="24"/>
                <w:szCs w:val="24"/>
                <w:u w:val="none"/>
              </w:rPr>
            </w:pPr>
            <w:r>
              <w:rPr>
                <w:b/>
                <w:bCs/>
                <w:sz w:val="24"/>
                <w:szCs w:val="24"/>
                <w:u w:val="none"/>
              </w:rPr>
              <w:t>Understanding of processes</w:t>
            </w:r>
          </w:p>
        </w:tc>
      </w:tr>
      <w:tr w:rsidR="00D6095A" w:rsidRPr="00313008"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AE37DC" w:rsidP="00101E8C">
            <w:pPr>
              <w:pStyle w:val="Subtitle"/>
              <w:rPr>
                <w:b/>
                <w:bCs/>
                <w:sz w:val="24"/>
                <w:szCs w:val="24"/>
                <w:u w:val="none"/>
              </w:rPr>
            </w:pPr>
            <w:r>
              <w:rPr>
                <w:b/>
                <w:bCs/>
                <w:sz w:val="24"/>
                <w:szCs w:val="24"/>
                <w:u w:val="none"/>
              </w:rPr>
              <w:t>Need</w:t>
            </w:r>
            <w:r w:rsidR="00B10F67">
              <w:rPr>
                <w:b/>
                <w:bCs/>
                <w:sz w:val="24"/>
                <w:szCs w:val="24"/>
                <w:u w:val="none"/>
              </w:rPr>
              <w:t xml:space="preserve"> </w:t>
            </w:r>
            <w:r w:rsidR="00101E8C">
              <w:rPr>
                <w:b/>
                <w:bCs/>
                <w:sz w:val="24"/>
                <w:szCs w:val="24"/>
                <w:u w:val="none"/>
              </w:rPr>
              <w:t>more references</w:t>
            </w:r>
            <w:r w:rsidR="00B10F67">
              <w:rPr>
                <w:b/>
                <w:bCs/>
                <w:sz w:val="24"/>
                <w:szCs w:val="24"/>
                <w:u w:val="none"/>
              </w:rPr>
              <w:t xml:space="preserve"> </w:t>
            </w:r>
          </w:p>
        </w:tc>
      </w:tr>
      <w:tr w:rsidR="00D6095A" w:rsidRPr="00313008"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B10F67" w:rsidP="00B55440">
            <w:pPr>
              <w:pStyle w:val="Subtitle"/>
              <w:rPr>
                <w:b/>
                <w:bCs/>
                <w:sz w:val="24"/>
                <w:szCs w:val="24"/>
                <w:u w:val="none"/>
              </w:rPr>
            </w:pPr>
            <w:r>
              <w:rPr>
                <w:b/>
                <w:bCs/>
                <w:sz w:val="24"/>
                <w:szCs w:val="24"/>
                <w:u w:val="none"/>
              </w:rPr>
              <w:t>Understanding the processes</w:t>
            </w:r>
          </w:p>
        </w:tc>
      </w:tr>
      <w:tr w:rsidR="00D6095A" w:rsidRPr="00313008" w:rsidTr="00B55440">
        <w:trPr>
          <w:cantSplit/>
        </w:trPr>
        <w:tc>
          <w:tcPr>
            <w:tcW w:w="2305" w:type="dxa"/>
            <w:vMerge w:val="restart"/>
            <w:tcBorders>
              <w:top w:val="single" w:sz="4" w:space="0" w:color="auto"/>
              <w:left w:val="thinThickLargeGap" w:sz="24" w:space="0" w:color="auto"/>
              <w:bottom w:val="single" w:sz="6" w:space="0" w:color="auto"/>
            </w:tcBorders>
          </w:tcPr>
          <w:p w:rsidR="00D6095A" w:rsidRPr="00313008" w:rsidRDefault="00D6095A" w:rsidP="00B55440">
            <w:pPr>
              <w:pStyle w:val="Subtitle"/>
              <w:jc w:val="left"/>
              <w:rPr>
                <w:b/>
                <w:bCs/>
                <w:sz w:val="24"/>
                <w:szCs w:val="24"/>
                <w:u w:val="none"/>
              </w:rPr>
            </w:pPr>
          </w:p>
          <w:p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D6095A" w:rsidRPr="00313008" w:rsidRDefault="00D6095A" w:rsidP="00B55440">
            <w:pPr>
              <w:ind w:left="113" w:right="113"/>
              <w:rPr>
                <w:sz w:val="16"/>
                <w:szCs w:val="16"/>
              </w:rPr>
            </w:pPr>
            <w:r w:rsidRPr="00313008">
              <w:rPr>
                <w:sz w:val="16"/>
                <w:szCs w:val="16"/>
              </w:rPr>
              <w:t>Learning</w:t>
            </w:r>
          </w:p>
          <w:p w:rsidR="00D6095A" w:rsidRPr="00313008" w:rsidRDefault="00D6095A" w:rsidP="00B55440">
            <w:pPr>
              <w:ind w:left="113" w:right="113"/>
              <w:rPr>
                <w:sz w:val="16"/>
                <w:szCs w:val="16"/>
              </w:rPr>
            </w:pPr>
            <w:r w:rsidRPr="00313008">
              <w:rPr>
                <w:sz w:val="16"/>
                <w:szCs w:val="16"/>
              </w:rPr>
              <w:t>Outcomes</w:t>
            </w:r>
          </w:p>
          <w:p w:rsidR="00D6095A" w:rsidRPr="00313008" w:rsidRDefault="00D6095A" w:rsidP="00B55440">
            <w:pPr>
              <w:ind w:left="113" w:right="113"/>
              <w:rPr>
                <w:sz w:val="16"/>
                <w:szCs w:val="16"/>
              </w:rPr>
            </w:pPr>
          </w:p>
          <w:p w:rsidR="00D6095A" w:rsidRPr="00313008" w:rsidRDefault="00D6095A" w:rsidP="00B5544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D6095A" w:rsidRPr="00313008" w:rsidRDefault="00D6095A" w:rsidP="00B55440">
            <w:pPr>
              <w:pStyle w:val="Subtitle"/>
              <w:rPr>
                <w:b/>
                <w:bCs/>
                <w:sz w:val="24"/>
                <w:szCs w:val="24"/>
                <w:u w:val="none"/>
              </w:rPr>
            </w:pPr>
            <w:r w:rsidRPr="00313008">
              <w:rPr>
                <w:b/>
                <w:bCs/>
                <w:sz w:val="24"/>
                <w:szCs w:val="24"/>
                <w:u w:val="none"/>
              </w:rPr>
              <w:t>GRADE</w:t>
            </w:r>
          </w:p>
        </w:tc>
      </w:tr>
      <w:tr w:rsidR="00EC505B" w:rsidRPr="00313008" w:rsidTr="00B56B08">
        <w:trPr>
          <w:cantSplit/>
        </w:trPr>
        <w:tc>
          <w:tcPr>
            <w:tcW w:w="2305" w:type="dxa"/>
            <w:vMerge/>
            <w:tcBorders>
              <w:top w:val="single" w:sz="6" w:space="0" w:color="auto"/>
              <w:left w:val="thinThickLargeGap" w:sz="24" w:space="0" w:color="auto"/>
              <w:bottom w:val="single" w:sz="6" w:space="0" w:color="auto"/>
            </w:tcBorders>
          </w:tcPr>
          <w:p w:rsidR="00EC505B" w:rsidRPr="00313008" w:rsidRDefault="00EC505B" w:rsidP="00EC505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EC505B" w:rsidRPr="00313008" w:rsidRDefault="00EC505B" w:rsidP="00EC505B">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Pr>
                <w:b/>
                <w:bCs/>
                <w:sz w:val="16"/>
                <w:szCs w:val="16"/>
                <w:u w:val="none"/>
              </w:rPr>
              <w:t>Poor</w:t>
            </w:r>
          </w:p>
          <w:p w:rsidR="00EC505B" w:rsidRPr="006A5DB4" w:rsidRDefault="00EC505B" w:rsidP="00EC505B">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Pr>
                <w:b/>
                <w:bCs/>
                <w:sz w:val="16"/>
                <w:szCs w:val="16"/>
                <w:u w:val="none"/>
              </w:rPr>
              <w:t>Unsatisfactory</w:t>
            </w:r>
          </w:p>
          <w:p w:rsidR="00EC505B" w:rsidRPr="003E3041" w:rsidRDefault="00EC505B" w:rsidP="00EC505B">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sidRPr="003E3041">
              <w:rPr>
                <w:b/>
                <w:bCs/>
                <w:sz w:val="16"/>
                <w:szCs w:val="16"/>
                <w:u w:val="none"/>
              </w:rPr>
              <w:t>Satisfactory</w:t>
            </w:r>
          </w:p>
          <w:p w:rsidR="00EC505B" w:rsidRPr="003E3041" w:rsidRDefault="00EC505B" w:rsidP="00EC505B">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sidRPr="003E3041">
              <w:rPr>
                <w:b/>
                <w:bCs/>
                <w:sz w:val="16"/>
                <w:szCs w:val="16"/>
                <w:u w:val="none"/>
              </w:rPr>
              <w:t>Good</w:t>
            </w:r>
          </w:p>
          <w:p w:rsidR="00EC505B" w:rsidRPr="003E3041" w:rsidRDefault="00EC505B" w:rsidP="00EC505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sidRPr="003E3041">
              <w:rPr>
                <w:b/>
                <w:bCs/>
                <w:sz w:val="16"/>
                <w:szCs w:val="16"/>
                <w:u w:val="none"/>
              </w:rPr>
              <w:t>Very Good</w:t>
            </w:r>
          </w:p>
          <w:p w:rsidR="00EC505B" w:rsidRPr="003E3041" w:rsidRDefault="00EC505B" w:rsidP="00EC505B">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rsidR="00EC505B" w:rsidRPr="003E3041" w:rsidRDefault="00EC505B" w:rsidP="00EC505B">
            <w:pPr>
              <w:pStyle w:val="Subtitle"/>
              <w:rPr>
                <w:b/>
                <w:bCs/>
                <w:sz w:val="16"/>
                <w:szCs w:val="16"/>
                <w:u w:val="none"/>
              </w:rPr>
            </w:pPr>
            <w:r w:rsidRPr="003E3041">
              <w:rPr>
                <w:b/>
                <w:bCs/>
                <w:sz w:val="16"/>
                <w:szCs w:val="16"/>
                <w:u w:val="none"/>
              </w:rPr>
              <w:t>Excellent</w:t>
            </w:r>
          </w:p>
          <w:p w:rsidR="00EC505B" w:rsidRPr="003E3041" w:rsidRDefault="00EC505B" w:rsidP="00EC505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rsidR="00EC505B" w:rsidRDefault="00EC505B" w:rsidP="00EC505B">
            <w:pPr>
              <w:pStyle w:val="Subtitle"/>
              <w:rPr>
                <w:b/>
                <w:bCs/>
                <w:sz w:val="16"/>
                <w:szCs w:val="16"/>
                <w:u w:val="none"/>
              </w:rPr>
            </w:pPr>
            <w:r>
              <w:rPr>
                <w:b/>
                <w:bCs/>
                <w:sz w:val="16"/>
                <w:szCs w:val="16"/>
                <w:u w:val="none"/>
              </w:rPr>
              <w:t>Exceptional</w:t>
            </w:r>
          </w:p>
          <w:p w:rsidR="00EC505B" w:rsidRPr="003E3041" w:rsidRDefault="00EC505B" w:rsidP="00EC505B">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EC505B" w:rsidRPr="00313008" w:rsidRDefault="00EC505B" w:rsidP="00EC505B">
            <w:pPr>
              <w:pStyle w:val="Subtitle"/>
              <w:jc w:val="left"/>
              <w:rPr>
                <w:b/>
                <w:bCs/>
                <w:sz w:val="18"/>
                <w:szCs w:val="18"/>
                <w:u w:val="none"/>
              </w:rPr>
            </w:pPr>
          </w:p>
          <w:p w:rsidR="00EC505B" w:rsidRPr="00313008" w:rsidRDefault="00EC505B" w:rsidP="00EC505B">
            <w:pPr>
              <w:pStyle w:val="Subtitle"/>
              <w:jc w:val="left"/>
              <w:rPr>
                <w:b/>
                <w:bCs/>
                <w:sz w:val="18"/>
                <w:szCs w:val="18"/>
                <w:u w:val="none"/>
              </w:rPr>
            </w:pPr>
            <w:r w:rsidRPr="00313008">
              <w:rPr>
                <w:b/>
                <w:bCs/>
                <w:sz w:val="18"/>
                <w:szCs w:val="18"/>
                <w:u w:val="none"/>
              </w:rPr>
              <w:t xml:space="preserve">  %</w:t>
            </w:r>
          </w:p>
        </w:tc>
      </w:tr>
      <w:tr w:rsidR="00EC505B" w:rsidRPr="00313008" w:rsidTr="00B56B08">
        <w:tc>
          <w:tcPr>
            <w:tcW w:w="2305" w:type="dxa"/>
            <w:tcBorders>
              <w:top w:val="single" w:sz="6" w:space="0" w:color="auto"/>
              <w:left w:val="thinThickLargeGap" w:sz="24" w:space="0" w:color="auto"/>
              <w:bottom w:val="single" w:sz="6" w:space="0" w:color="auto"/>
            </w:tcBorders>
          </w:tcPr>
          <w:p w:rsidR="00EC505B" w:rsidRPr="009B5330" w:rsidRDefault="00EC505B" w:rsidP="001A1008">
            <w:pPr>
              <w:pStyle w:val="Subtitle"/>
              <w:jc w:val="left"/>
              <w:rPr>
                <w:sz w:val="18"/>
                <w:szCs w:val="18"/>
                <w:u w:val="none"/>
              </w:rPr>
            </w:pPr>
            <w:r>
              <w:rPr>
                <w:sz w:val="18"/>
                <w:szCs w:val="18"/>
                <w:u w:val="none"/>
              </w:rPr>
              <w:t>Theoretical explanation</w:t>
            </w:r>
          </w:p>
        </w:tc>
        <w:tc>
          <w:tcPr>
            <w:tcW w:w="540" w:type="dxa"/>
            <w:gridSpan w:val="2"/>
            <w:tcBorders>
              <w:top w:val="single" w:sz="6" w:space="0" w:color="auto"/>
              <w:bottom w:val="single" w:sz="6" w:space="0" w:color="auto"/>
              <w:right w:val="single" w:sz="6" w:space="0" w:color="auto"/>
            </w:tcBorders>
          </w:tcPr>
          <w:p w:rsidR="00EC505B" w:rsidRPr="00313008" w:rsidRDefault="00EC505B" w:rsidP="00B55440">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C505B" w:rsidRPr="00313008" w:rsidRDefault="00EC505B" w:rsidP="00B55440">
            <w:pPr>
              <w:pStyle w:val="Subtitle"/>
              <w:jc w:val="left"/>
              <w:rPr>
                <w:b/>
                <w:bCs/>
                <w:sz w:val="18"/>
                <w:szCs w:val="18"/>
                <w:u w:val="none"/>
              </w:rPr>
            </w:pPr>
            <w:r>
              <w:rPr>
                <w:b/>
                <w:bCs/>
                <w:sz w:val="18"/>
                <w:szCs w:val="18"/>
                <w:u w:val="none"/>
              </w:rPr>
              <w:t>7</w:t>
            </w:r>
            <w:r w:rsidRPr="00313008">
              <w:rPr>
                <w:b/>
                <w:bCs/>
                <w:sz w:val="18"/>
                <w:szCs w:val="18"/>
                <w:u w:val="none"/>
              </w:rPr>
              <w:t>0%</w:t>
            </w:r>
          </w:p>
        </w:tc>
      </w:tr>
      <w:tr w:rsidR="00EC505B" w:rsidRPr="00313008" w:rsidTr="00B56B08">
        <w:tc>
          <w:tcPr>
            <w:tcW w:w="2305" w:type="dxa"/>
            <w:tcBorders>
              <w:top w:val="single" w:sz="6" w:space="0" w:color="auto"/>
              <w:left w:val="thinThickLargeGap" w:sz="24" w:space="0" w:color="auto"/>
              <w:bottom w:val="single" w:sz="6" w:space="0" w:color="auto"/>
            </w:tcBorders>
          </w:tcPr>
          <w:p w:rsidR="00EC505B" w:rsidRPr="009B5330" w:rsidRDefault="00EC505B" w:rsidP="00E07294">
            <w:pPr>
              <w:pStyle w:val="Subtitle"/>
              <w:ind w:left="-15"/>
              <w:jc w:val="left"/>
              <w:rPr>
                <w:sz w:val="18"/>
                <w:szCs w:val="18"/>
                <w:u w:val="none"/>
              </w:rPr>
            </w:pPr>
            <w:r>
              <w:rPr>
                <w:sz w:val="18"/>
                <w:szCs w:val="18"/>
                <w:u w:val="none"/>
              </w:rPr>
              <w:t>Use and appropriateness of references</w:t>
            </w:r>
          </w:p>
        </w:tc>
        <w:tc>
          <w:tcPr>
            <w:tcW w:w="540" w:type="dxa"/>
            <w:gridSpan w:val="2"/>
            <w:tcBorders>
              <w:top w:val="single" w:sz="6" w:space="0" w:color="auto"/>
              <w:bottom w:val="single" w:sz="6" w:space="0" w:color="auto"/>
              <w:right w:val="single" w:sz="6" w:space="0" w:color="auto"/>
            </w:tcBorders>
          </w:tcPr>
          <w:p w:rsidR="00EC505B" w:rsidRPr="00313008" w:rsidRDefault="00EC505B" w:rsidP="00B55440">
            <w:pPr>
              <w:pStyle w:val="Subtitle"/>
              <w:rPr>
                <w:b/>
                <w:bCs/>
                <w:sz w:val="18"/>
                <w:szCs w:val="18"/>
                <w:u w:val="none"/>
              </w:rPr>
            </w:pPr>
          </w:p>
          <w:p w:rsidR="00EC505B" w:rsidRPr="00313008" w:rsidRDefault="00EC505B" w:rsidP="00B5544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right w:val="single" w:sz="6" w:space="0" w:color="auto"/>
            </w:tcBorders>
          </w:tcPr>
          <w:p w:rsidR="00EC505B" w:rsidRPr="00313008" w:rsidRDefault="00EC505B"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C505B" w:rsidRPr="00313008" w:rsidRDefault="00EC505B" w:rsidP="00B55440">
            <w:pPr>
              <w:pStyle w:val="Subtitle"/>
              <w:jc w:val="left"/>
              <w:rPr>
                <w:b/>
                <w:bCs/>
                <w:sz w:val="18"/>
                <w:szCs w:val="18"/>
                <w:u w:val="none"/>
              </w:rPr>
            </w:pPr>
            <w:r>
              <w:rPr>
                <w:b/>
                <w:bCs/>
                <w:sz w:val="18"/>
                <w:szCs w:val="18"/>
                <w:u w:val="none"/>
              </w:rPr>
              <w:t>20</w:t>
            </w:r>
            <w:r w:rsidRPr="00313008">
              <w:rPr>
                <w:b/>
                <w:bCs/>
                <w:sz w:val="18"/>
                <w:szCs w:val="18"/>
                <w:u w:val="none"/>
              </w:rPr>
              <w:t>%</w:t>
            </w:r>
          </w:p>
        </w:tc>
      </w:tr>
      <w:tr w:rsidR="00EC505B" w:rsidRPr="00313008" w:rsidTr="00B56B08">
        <w:tc>
          <w:tcPr>
            <w:tcW w:w="2305" w:type="dxa"/>
            <w:tcBorders>
              <w:top w:val="single" w:sz="6" w:space="0" w:color="auto"/>
              <w:left w:val="thinThickLargeGap" w:sz="24" w:space="0" w:color="auto"/>
              <w:bottom w:val="single" w:sz="4" w:space="0" w:color="auto"/>
            </w:tcBorders>
          </w:tcPr>
          <w:p w:rsidR="00EC505B" w:rsidRPr="009B5330" w:rsidRDefault="00EC505B" w:rsidP="0074744E">
            <w:pPr>
              <w:pStyle w:val="Subtitle"/>
              <w:jc w:val="left"/>
              <w:rPr>
                <w:sz w:val="18"/>
                <w:szCs w:val="18"/>
                <w:u w:val="none"/>
              </w:rPr>
            </w:pPr>
            <w:r>
              <w:rPr>
                <w:sz w:val="18"/>
                <w:szCs w:val="18"/>
                <w:u w:val="none"/>
              </w:rPr>
              <w:t>Structure and flow of answer</w:t>
            </w:r>
          </w:p>
        </w:tc>
        <w:tc>
          <w:tcPr>
            <w:tcW w:w="540" w:type="dxa"/>
            <w:gridSpan w:val="2"/>
            <w:tcBorders>
              <w:top w:val="single" w:sz="6" w:space="0" w:color="auto"/>
              <w:bottom w:val="single" w:sz="4" w:space="0" w:color="auto"/>
              <w:right w:val="single" w:sz="6" w:space="0" w:color="auto"/>
            </w:tcBorders>
          </w:tcPr>
          <w:p w:rsidR="00EC505B" w:rsidRPr="00313008" w:rsidRDefault="00EC505B" w:rsidP="0074744E">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4"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1055" w:type="dxa"/>
            <w:tcBorders>
              <w:left w:val="single" w:sz="6" w:space="0" w:color="auto"/>
              <w:bottom w:val="single" w:sz="4" w:space="0" w:color="auto"/>
              <w:right w:val="single" w:sz="6" w:space="0" w:color="auto"/>
            </w:tcBorders>
          </w:tcPr>
          <w:p w:rsidR="00EC505B" w:rsidRPr="00313008" w:rsidRDefault="00EC505B" w:rsidP="00B55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EC505B" w:rsidRPr="00313008" w:rsidRDefault="00EC505B" w:rsidP="00B55440">
            <w:pPr>
              <w:pStyle w:val="Subtitle"/>
              <w:jc w:val="left"/>
              <w:rPr>
                <w:b/>
                <w:bCs/>
                <w:sz w:val="18"/>
                <w:szCs w:val="18"/>
                <w:u w:val="none"/>
              </w:rPr>
            </w:pPr>
            <w:r>
              <w:rPr>
                <w:b/>
                <w:bCs/>
                <w:sz w:val="18"/>
                <w:szCs w:val="18"/>
                <w:u w:val="none"/>
              </w:rPr>
              <w:t>10%</w:t>
            </w:r>
          </w:p>
        </w:tc>
      </w:tr>
      <w:tr w:rsidR="00E07294" w:rsidRPr="00313008" w:rsidTr="00B55440">
        <w:trPr>
          <w:cantSplit/>
          <w:trHeight w:val="282"/>
        </w:trPr>
        <w:tc>
          <w:tcPr>
            <w:tcW w:w="10225" w:type="dxa"/>
            <w:gridSpan w:val="12"/>
            <w:tcBorders>
              <w:left w:val="thinThickLargeGap" w:sz="24" w:space="0" w:color="auto"/>
              <w:right w:val="single" w:sz="4" w:space="0" w:color="auto"/>
            </w:tcBorders>
          </w:tcPr>
          <w:p w:rsidR="00E07294" w:rsidRPr="009A081E" w:rsidRDefault="00E07294" w:rsidP="004150A6">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E07294" w:rsidRPr="00313008" w:rsidRDefault="00E07294" w:rsidP="00B55440">
            <w:pPr>
              <w:pStyle w:val="Subtitle"/>
              <w:jc w:val="left"/>
              <w:rPr>
                <w:b/>
                <w:bCs/>
                <w:sz w:val="24"/>
                <w:szCs w:val="24"/>
                <w:u w:val="none"/>
              </w:rPr>
            </w:pPr>
          </w:p>
        </w:tc>
      </w:tr>
      <w:tr w:rsidR="00E07294" w:rsidRPr="00313008" w:rsidTr="00B55440">
        <w:trPr>
          <w:cantSplit/>
          <w:trHeight w:val="4341"/>
        </w:trPr>
        <w:tc>
          <w:tcPr>
            <w:tcW w:w="10945" w:type="dxa"/>
            <w:gridSpan w:val="13"/>
            <w:tcBorders>
              <w:left w:val="thinThickLargeGap" w:sz="24" w:space="0" w:color="auto"/>
              <w:right w:val="thinThickLargeGap" w:sz="24" w:space="0" w:color="auto"/>
            </w:tcBorders>
          </w:tcPr>
          <w:p w:rsidR="00E07294" w:rsidRPr="00313008" w:rsidRDefault="00E07294" w:rsidP="00B55440">
            <w:pPr>
              <w:pStyle w:val="Subtitle"/>
              <w:jc w:val="left"/>
              <w:rPr>
                <w:b/>
                <w:bCs/>
                <w:sz w:val="24"/>
                <w:szCs w:val="24"/>
                <w:u w:val="none"/>
              </w:rPr>
            </w:pPr>
            <w:r w:rsidRPr="00313008">
              <w:rPr>
                <w:b/>
                <w:bCs/>
                <w:sz w:val="24"/>
                <w:szCs w:val="24"/>
                <w:u w:val="none"/>
              </w:rPr>
              <w:t>TUTOR COMMENTS:</w:t>
            </w: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Default="00E07294" w:rsidP="00B55440">
            <w:pPr>
              <w:pStyle w:val="Subtitle"/>
              <w:ind w:left="937" w:right="1152"/>
              <w:jc w:val="both"/>
              <w:rPr>
                <w:b/>
                <w:bCs/>
                <w:sz w:val="24"/>
                <w:szCs w:val="24"/>
                <w:u w:val="none"/>
              </w:rPr>
            </w:pPr>
          </w:p>
          <w:p w:rsidR="00E07294" w:rsidRPr="00313008" w:rsidRDefault="00E07294" w:rsidP="00B55440">
            <w:pPr>
              <w:pStyle w:val="Subtitle"/>
              <w:ind w:left="937" w:right="1152"/>
              <w:jc w:val="both"/>
              <w:rPr>
                <w:b/>
                <w:bCs/>
                <w:sz w:val="24"/>
                <w:szCs w:val="24"/>
                <w:u w:val="none"/>
              </w:rPr>
            </w:pPr>
          </w:p>
        </w:tc>
      </w:tr>
      <w:tr w:rsidR="00E07294" w:rsidRPr="00313008" w:rsidTr="00B55440">
        <w:trPr>
          <w:cantSplit/>
          <w:trHeight w:val="365"/>
        </w:trPr>
        <w:tc>
          <w:tcPr>
            <w:tcW w:w="2661" w:type="dxa"/>
            <w:gridSpan w:val="2"/>
            <w:tcBorders>
              <w:left w:val="thinThickLargeGap" w:sz="24" w:space="0" w:color="auto"/>
              <w:bottom w:val="thickThinLargeGap" w:sz="24" w:space="0" w:color="auto"/>
            </w:tcBorders>
          </w:tcPr>
          <w:p w:rsidR="00E07294" w:rsidRPr="00313008" w:rsidRDefault="00E07294" w:rsidP="00B55440">
            <w:pPr>
              <w:pStyle w:val="Subtitle"/>
              <w:jc w:val="left"/>
              <w:rPr>
                <w:b/>
                <w:bCs/>
                <w:sz w:val="18"/>
                <w:szCs w:val="18"/>
                <w:u w:val="none"/>
              </w:rPr>
            </w:pPr>
            <w:r w:rsidRPr="00313008">
              <w:rPr>
                <w:b/>
                <w:bCs/>
                <w:sz w:val="18"/>
                <w:szCs w:val="18"/>
                <w:u w:val="none"/>
              </w:rPr>
              <w:t xml:space="preserve"> Submission date: </w:t>
            </w:r>
          </w:p>
          <w:p w:rsidR="00E07294" w:rsidRPr="00313008" w:rsidRDefault="00E07294" w:rsidP="00B55440">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rsidR="00E07294" w:rsidRPr="00313008" w:rsidRDefault="00E07294" w:rsidP="00B55440">
            <w:pPr>
              <w:pStyle w:val="Subtitle"/>
              <w:jc w:val="left"/>
              <w:rPr>
                <w:b/>
                <w:bCs/>
                <w:sz w:val="18"/>
                <w:szCs w:val="18"/>
                <w:u w:val="none"/>
              </w:rPr>
            </w:pPr>
            <w:r>
              <w:rPr>
                <w:b/>
                <w:bCs/>
                <w:sz w:val="18"/>
                <w:szCs w:val="18"/>
                <w:u w:val="none"/>
              </w:rPr>
              <w:t>Return date:</w:t>
            </w:r>
          </w:p>
          <w:p w:rsidR="00E07294" w:rsidRPr="00313008" w:rsidRDefault="00E07294" w:rsidP="00B55440">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4"/>
            <w:tcBorders>
              <w:bottom w:val="thickThinLargeGap" w:sz="24" w:space="0" w:color="auto"/>
            </w:tcBorders>
          </w:tcPr>
          <w:p w:rsidR="00E07294" w:rsidRPr="00313008" w:rsidRDefault="00E07294" w:rsidP="00B55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E07294" w:rsidRPr="00313008" w:rsidRDefault="00E07294" w:rsidP="00B55440">
            <w:pPr>
              <w:pStyle w:val="Subtitle"/>
              <w:jc w:val="left"/>
              <w:rPr>
                <w:b/>
                <w:bCs/>
                <w:sz w:val="18"/>
                <w:szCs w:val="18"/>
                <w:u w:val="none"/>
              </w:rPr>
            </w:pPr>
            <w:r w:rsidRPr="00313008">
              <w:rPr>
                <w:b/>
                <w:bCs/>
                <w:sz w:val="18"/>
                <w:szCs w:val="18"/>
                <w:u w:val="none"/>
              </w:rPr>
              <w:t xml:space="preserve">Mark: </w:t>
            </w:r>
          </w:p>
        </w:tc>
      </w:tr>
    </w:tbl>
    <w:p w:rsidR="00FD4C1A" w:rsidRPr="004150A6" w:rsidRDefault="00D6095A" w:rsidP="00FD4C1A">
      <w:pPr>
        <w:pStyle w:val="Title"/>
        <w:ind w:left="-284"/>
        <w:rPr>
          <w:rFonts w:eastAsia="Times New Roman"/>
          <w:b w:val="0"/>
          <w:sz w:val="24"/>
          <w:szCs w:val="24"/>
        </w:rPr>
      </w:pPr>
      <w:r>
        <w:rPr>
          <w:sz w:val="24"/>
          <w:szCs w:val="24"/>
        </w:rPr>
        <w:br w:type="page"/>
      </w:r>
    </w:p>
    <w:p w:rsidR="009A7B9D" w:rsidRDefault="009A7B9D" w:rsidP="00FD4C1A">
      <w:pPr>
        <w:rPr>
          <w:rFonts w:ascii="Times New Roman" w:eastAsia="Times New Roman" w:hAnsi="Times New Roman" w:cs="Times New Roman"/>
          <w:sz w:val="28"/>
          <w:szCs w:val="24"/>
        </w:rPr>
      </w:pPr>
      <w:r>
        <w:rPr>
          <w:rFonts w:ascii="Times New Roman" w:eastAsia="Times New Roman" w:hAnsi="Times New Roman" w:cs="Times New Roman"/>
          <w:sz w:val="28"/>
          <w:szCs w:val="24"/>
        </w:rPr>
        <w:lastRenderedPageBreak/>
        <w:t xml:space="preserve">Ffion Jonathan </w:t>
      </w:r>
    </w:p>
    <w:p w:rsidR="009A7B9D" w:rsidRDefault="009A7B9D" w:rsidP="00FD4C1A">
      <w:pPr>
        <w:rPr>
          <w:rFonts w:ascii="Times New Roman" w:eastAsia="Times New Roman" w:hAnsi="Times New Roman" w:cs="Times New Roman"/>
          <w:sz w:val="28"/>
          <w:szCs w:val="24"/>
        </w:rPr>
      </w:pPr>
      <w:r>
        <w:rPr>
          <w:rFonts w:ascii="Times New Roman" w:eastAsia="Times New Roman" w:hAnsi="Times New Roman" w:cs="Times New Roman"/>
          <w:sz w:val="28"/>
          <w:szCs w:val="24"/>
        </w:rPr>
        <w:t>1900489</w:t>
      </w:r>
    </w:p>
    <w:p w:rsidR="009A7B9D" w:rsidRDefault="009A7B9D" w:rsidP="00FD4C1A">
      <w:pPr>
        <w:rPr>
          <w:rFonts w:ascii="Times New Roman" w:eastAsia="Times New Roman" w:hAnsi="Times New Roman" w:cs="Times New Roman"/>
          <w:sz w:val="28"/>
          <w:szCs w:val="24"/>
        </w:rPr>
      </w:pPr>
      <w:r>
        <w:rPr>
          <w:rFonts w:ascii="Times New Roman" w:eastAsia="Times New Roman" w:hAnsi="Times New Roman" w:cs="Times New Roman"/>
          <w:sz w:val="28"/>
          <w:szCs w:val="24"/>
        </w:rPr>
        <w:t>SHSS4068</w:t>
      </w: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9A7B9D" w:rsidRDefault="009A7B9D" w:rsidP="00FD4C1A">
      <w:pPr>
        <w:rPr>
          <w:rFonts w:ascii="Times New Roman" w:eastAsia="Times New Roman" w:hAnsi="Times New Roman" w:cs="Times New Roman"/>
          <w:sz w:val="28"/>
          <w:szCs w:val="24"/>
        </w:rPr>
      </w:pPr>
    </w:p>
    <w:p w:rsidR="00A45402" w:rsidRDefault="00A45402" w:rsidP="00FD4C1A">
      <w:pPr>
        <w:rPr>
          <w:rFonts w:ascii="Times New Roman" w:eastAsia="Times New Roman" w:hAnsi="Times New Roman" w:cs="Times New Roman"/>
          <w:sz w:val="28"/>
          <w:szCs w:val="24"/>
        </w:rPr>
      </w:pPr>
      <w:bookmarkStart w:id="0" w:name="_GoBack"/>
      <w:bookmarkEnd w:id="0"/>
    </w:p>
    <w:p w:rsidR="00FD4C1A" w:rsidRPr="002B7B51" w:rsidRDefault="00FD4C1A" w:rsidP="00FD4C1A">
      <w:pPr>
        <w:rPr>
          <w:rFonts w:ascii="Times New Roman" w:eastAsia="Times New Roman" w:hAnsi="Times New Roman" w:cs="Times New Roman"/>
          <w:sz w:val="28"/>
          <w:szCs w:val="24"/>
        </w:rPr>
      </w:pPr>
      <w:r w:rsidRPr="002B7B51">
        <w:rPr>
          <w:rFonts w:ascii="Times New Roman" w:eastAsia="Times New Roman" w:hAnsi="Times New Roman" w:cs="Times New Roman"/>
          <w:sz w:val="28"/>
          <w:szCs w:val="24"/>
        </w:rPr>
        <w:lastRenderedPageBreak/>
        <w:t>Describe the processes of gene expression.</w:t>
      </w:r>
    </w:p>
    <w:p w:rsidR="00FD4C1A" w:rsidRPr="002B7B51" w:rsidRDefault="00FD4C1A" w:rsidP="00FD4C1A">
      <w:pPr>
        <w:rPr>
          <w:rFonts w:ascii="Times New Roman" w:eastAsia="Times New Roman" w:hAnsi="Times New Roman" w:cs="Times New Roman"/>
          <w:sz w:val="24"/>
          <w:szCs w:val="24"/>
        </w:rPr>
      </w:pPr>
    </w:p>
    <w:p w:rsidR="00FD4C1A" w:rsidRPr="002B7B51" w:rsidRDefault="00FD4C1A" w:rsidP="00FD4C1A">
      <w:pPr>
        <w:rPr>
          <w:rFonts w:ascii="Times New Roman" w:eastAsia="Times New Roman" w:hAnsi="Times New Roman" w:cs="Times New Roman"/>
          <w:sz w:val="24"/>
          <w:szCs w:val="24"/>
        </w:rPr>
      </w:pPr>
      <w:r w:rsidRPr="002B7B51">
        <w:rPr>
          <w:rFonts w:ascii="Times New Roman" w:eastAsia="Times New Roman" w:hAnsi="Times New Roman" w:cs="Times New Roman"/>
          <w:sz w:val="24"/>
          <w:szCs w:val="24"/>
        </w:rPr>
        <w:t>Nuclei in somatic cells have 46 chromosomes containing chromatin, arrangements of DNA molecules coiled around histone proteins in a heterochromatin state. The DNA is divided into genes, made up of nucleotides, Adenosine, Cytosine, Guanine and Thymine, which in groups of three, form codons. Each somatic cell has the same genetic information however, can produce specialized proteins (</w:t>
      </w:r>
      <w:proofErr w:type="spellStart"/>
      <w:r w:rsidRPr="002B7B51">
        <w:rPr>
          <w:rFonts w:ascii="Times New Roman" w:eastAsia="Times New Roman" w:hAnsi="Times New Roman" w:cs="Times New Roman"/>
          <w:sz w:val="24"/>
          <w:szCs w:val="24"/>
        </w:rPr>
        <w:t>Orphanides</w:t>
      </w:r>
      <w:proofErr w:type="spellEnd"/>
      <w:r w:rsidRPr="002B7B51">
        <w:rPr>
          <w:rFonts w:ascii="Times New Roman" w:eastAsia="Times New Roman" w:hAnsi="Times New Roman" w:cs="Times New Roman"/>
          <w:sz w:val="24"/>
          <w:szCs w:val="24"/>
        </w:rPr>
        <w:t xml:space="preserve"> and </w:t>
      </w:r>
      <w:proofErr w:type="spellStart"/>
      <w:r w:rsidRPr="002B7B51">
        <w:rPr>
          <w:rFonts w:ascii="Times New Roman" w:eastAsia="Times New Roman" w:hAnsi="Times New Roman" w:cs="Times New Roman"/>
          <w:sz w:val="24"/>
          <w:szCs w:val="24"/>
        </w:rPr>
        <w:t>Reinberg</w:t>
      </w:r>
      <w:proofErr w:type="spellEnd"/>
      <w:r w:rsidRPr="002B7B51">
        <w:rPr>
          <w:rFonts w:ascii="Times New Roman" w:eastAsia="Times New Roman" w:hAnsi="Times New Roman" w:cs="Times New Roman"/>
          <w:sz w:val="24"/>
          <w:szCs w:val="24"/>
        </w:rPr>
        <w:t>, 2002). For example, a muscle cell and a neuron are derived from the same genetic information however, have different properties depending on the exons (coding sequences in the gene) that were used or discarded. Gene expression is the process of selecting</w:t>
      </w:r>
      <w:r w:rsidR="008052F2" w:rsidRPr="002B7B51">
        <w:rPr>
          <w:rFonts w:ascii="Times New Roman" w:eastAsia="Times New Roman" w:hAnsi="Times New Roman" w:cs="Times New Roman"/>
          <w:sz w:val="24"/>
          <w:szCs w:val="24"/>
        </w:rPr>
        <w:t xml:space="preserve"> </w:t>
      </w:r>
      <w:r w:rsidRPr="002B7B51">
        <w:rPr>
          <w:rFonts w:ascii="Times New Roman" w:eastAsia="Times New Roman" w:hAnsi="Times New Roman" w:cs="Times New Roman"/>
          <w:sz w:val="24"/>
          <w:szCs w:val="24"/>
        </w:rPr>
        <w:t xml:space="preserve">components like exons within a gene </w:t>
      </w:r>
      <w:r w:rsidR="00964804" w:rsidRPr="002B7B51">
        <w:rPr>
          <w:rFonts w:ascii="Times New Roman" w:eastAsia="Times New Roman" w:hAnsi="Times New Roman" w:cs="Times New Roman"/>
          <w:sz w:val="24"/>
          <w:szCs w:val="24"/>
        </w:rPr>
        <w:t>to generate a protein (</w:t>
      </w:r>
      <w:proofErr w:type="spellStart"/>
      <w:r w:rsidR="00964804" w:rsidRPr="002B7B51">
        <w:rPr>
          <w:rFonts w:ascii="Times New Roman" w:eastAsia="Times New Roman" w:hAnsi="Times New Roman" w:cs="Times New Roman"/>
          <w:sz w:val="24"/>
          <w:szCs w:val="24"/>
        </w:rPr>
        <w:t>Blackstock</w:t>
      </w:r>
      <w:proofErr w:type="spellEnd"/>
      <w:r w:rsidR="00964804" w:rsidRPr="002B7B51">
        <w:rPr>
          <w:rFonts w:ascii="Times New Roman" w:eastAsia="Times New Roman" w:hAnsi="Times New Roman" w:cs="Times New Roman"/>
          <w:sz w:val="24"/>
          <w:szCs w:val="24"/>
        </w:rPr>
        <w:t>, 1989).</w:t>
      </w:r>
    </w:p>
    <w:p w:rsidR="00FD4C1A" w:rsidRPr="002B7B51" w:rsidRDefault="00FD4C1A" w:rsidP="00FD4C1A">
      <w:pPr>
        <w:rPr>
          <w:rFonts w:ascii="Times New Roman" w:eastAsia="Times New Roman" w:hAnsi="Times New Roman" w:cs="Times New Roman"/>
          <w:sz w:val="24"/>
          <w:szCs w:val="24"/>
        </w:rPr>
      </w:pPr>
    </w:p>
    <w:p w:rsidR="00FD4C1A" w:rsidRPr="002B7B51" w:rsidRDefault="00FD4C1A" w:rsidP="00FD4C1A">
      <w:pPr>
        <w:rPr>
          <w:rFonts w:ascii="Times New Roman" w:eastAsia="Times New Roman" w:hAnsi="Times New Roman" w:cs="Times New Roman"/>
          <w:sz w:val="24"/>
          <w:szCs w:val="24"/>
        </w:rPr>
      </w:pPr>
      <w:r w:rsidRPr="002B7B51">
        <w:rPr>
          <w:rFonts w:ascii="Times New Roman" w:eastAsia="Times New Roman" w:hAnsi="Times New Roman" w:cs="Times New Roman"/>
          <w:sz w:val="24"/>
          <w:szCs w:val="24"/>
        </w:rPr>
        <w:t xml:space="preserve">The processes, transcription and translation, are required </w:t>
      </w:r>
      <w:r w:rsidR="00754322" w:rsidRPr="002B7B51">
        <w:rPr>
          <w:rFonts w:ascii="Times New Roman" w:eastAsia="Times New Roman" w:hAnsi="Times New Roman" w:cs="Times New Roman"/>
          <w:sz w:val="24"/>
          <w:szCs w:val="24"/>
        </w:rPr>
        <w:t>in</w:t>
      </w:r>
      <w:r w:rsidRPr="002B7B51">
        <w:rPr>
          <w:rFonts w:ascii="Times New Roman" w:eastAsia="Times New Roman" w:hAnsi="Times New Roman" w:cs="Times New Roman"/>
          <w:sz w:val="24"/>
          <w:szCs w:val="24"/>
        </w:rPr>
        <w:t xml:space="preserve"> protein synthesis. Transcription is the process of replicating DNA code, to form </w:t>
      </w:r>
      <w:r w:rsidR="00754322" w:rsidRPr="002B7B51">
        <w:rPr>
          <w:rFonts w:ascii="Times New Roman" w:eastAsia="Times New Roman" w:hAnsi="Times New Roman" w:cs="Times New Roman"/>
          <w:sz w:val="24"/>
          <w:szCs w:val="24"/>
        </w:rPr>
        <w:t>RNA</w:t>
      </w:r>
      <w:r w:rsidRPr="002B7B51">
        <w:rPr>
          <w:rFonts w:ascii="Times New Roman" w:eastAsia="Times New Roman" w:hAnsi="Times New Roman" w:cs="Times New Roman"/>
          <w:sz w:val="24"/>
          <w:szCs w:val="24"/>
        </w:rPr>
        <w:t>. This is initiated by an internal stimulus that dete</w:t>
      </w:r>
      <w:r w:rsidR="00964804" w:rsidRPr="002B7B51">
        <w:rPr>
          <w:rFonts w:ascii="Times New Roman" w:eastAsia="Times New Roman" w:hAnsi="Times New Roman" w:cs="Times New Roman"/>
          <w:sz w:val="24"/>
          <w:szCs w:val="24"/>
        </w:rPr>
        <w:t>cts the need for a new protein (</w:t>
      </w:r>
      <w:proofErr w:type="spellStart"/>
      <w:r w:rsidR="00964804" w:rsidRPr="002B7B51">
        <w:rPr>
          <w:rFonts w:ascii="Times New Roman" w:eastAsia="Times New Roman" w:hAnsi="Times New Roman" w:cs="Times New Roman"/>
          <w:sz w:val="24"/>
          <w:szCs w:val="24"/>
        </w:rPr>
        <w:t>Blackstock</w:t>
      </w:r>
      <w:proofErr w:type="spellEnd"/>
      <w:r w:rsidR="00964804" w:rsidRPr="002B7B51">
        <w:rPr>
          <w:rFonts w:ascii="Times New Roman" w:eastAsia="Times New Roman" w:hAnsi="Times New Roman" w:cs="Times New Roman"/>
          <w:sz w:val="24"/>
          <w:szCs w:val="24"/>
        </w:rPr>
        <w:t xml:space="preserve">, 1989). </w:t>
      </w:r>
      <w:r w:rsidRPr="002B7B51">
        <w:rPr>
          <w:rFonts w:ascii="Times New Roman" w:eastAsia="Times New Roman" w:hAnsi="Times New Roman" w:cs="Times New Roman"/>
          <w:sz w:val="24"/>
          <w:szCs w:val="24"/>
        </w:rPr>
        <w:t xml:space="preserve">Adapter molecules called Transcription </w:t>
      </w:r>
      <w:proofErr w:type="gramStart"/>
      <w:r w:rsidRPr="002B7B51">
        <w:rPr>
          <w:rFonts w:ascii="Times New Roman" w:eastAsia="Times New Roman" w:hAnsi="Times New Roman" w:cs="Times New Roman"/>
          <w:sz w:val="24"/>
          <w:szCs w:val="24"/>
        </w:rPr>
        <w:t>factors,</w:t>
      </w:r>
      <w:proofErr w:type="gramEnd"/>
      <w:r w:rsidRPr="002B7B51">
        <w:rPr>
          <w:rFonts w:ascii="Times New Roman" w:eastAsia="Times New Roman" w:hAnsi="Times New Roman" w:cs="Times New Roman"/>
          <w:sz w:val="24"/>
          <w:szCs w:val="24"/>
        </w:rPr>
        <w:t xml:space="preserve"> are activated by ligands binding to the transmembrane receptor of a cell and stimulating action from coregulatory proteins</w:t>
      </w:r>
      <w:r w:rsidR="00754322" w:rsidRPr="002B7B51">
        <w:rPr>
          <w:rFonts w:ascii="Times New Roman" w:eastAsia="Times New Roman" w:hAnsi="Times New Roman" w:cs="Times New Roman"/>
          <w:sz w:val="24"/>
          <w:szCs w:val="24"/>
        </w:rPr>
        <w:t>. These proteins</w:t>
      </w:r>
      <w:r w:rsidRPr="002B7B51">
        <w:rPr>
          <w:rFonts w:ascii="Times New Roman" w:eastAsia="Times New Roman" w:hAnsi="Times New Roman" w:cs="Times New Roman"/>
          <w:sz w:val="24"/>
          <w:szCs w:val="24"/>
        </w:rPr>
        <w:t xml:space="preserve"> alter the structure of chromatin (</w:t>
      </w:r>
      <w:proofErr w:type="spellStart"/>
      <w:r w:rsidRPr="002B7B51">
        <w:rPr>
          <w:rFonts w:ascii="Times New Roman" w:eastAsia="Times New Roman" w:hAnsi="Times New Roman" w:cs="Times New Roman"/>
          <w:sz w:val="24"/>
          <w:szCs w:val="24"/>
        </w:rPr>
        <w:t>Orphanides</w:t>
      </w:r>
      <w:proofErr w:type="spellEnd"/>
      <w:r w:rsidRPr="002B7B51">
        <w:rPr>
          <w:rFonts w:ascii="Times New Roman" w:eastAsia="Times New Roman" w:hAnsi="Times New Roman" w:cs="Times New Roman"/>
          <w:sz w:val="24"/>
          <w:szCs w:val="24"/>
        </w:rPr>
        <w:t xml:space="preserve"> and </w:t>
      </w:r>
      <w:proofErr w:type="spellStart"/>
      <w:r w:rsidRPr="002B7B51">
        <w:rPr>
          <w:rFonts w:ascii="Times New Roman" w:eastAsia="Times New Roman" w:hAnsi="Times New Roman" w:cs="Times New Roman"/>
          <w:sz w:val="24"/>
          <w:szCs w:val="24"/>
        </w:rPr>
        <w:t>Reinberg</w:t>
      </w:r>
      <w:proofErr w:type="spellEnd"/>
      <w:r w:rsidRPr="002B7B51">
        <w:rPr>
          <w:rFonts w:ascii="Times New Roman" w:eastAsia="Times New Roman" w:hAnsi="Times New Roman" w:cs="Times New Roman"/>
          <w:sz w:val="24"/>
          <w:szCs w:val="24"/>
        </w:rPr>
        <w:t xml:space="preserve">, 2002).   The DNA strands that coil around histones are relaxed, producing a </w:t>
      </w:r>
      <w:proofErr w:type="spellStart"/>
      <w:r w:rsidRPr="002B7B51">
        <w:rPr>
          <w:rFonts w:ascii="Times New Roman" w:eastAsia="Times New Roman" w:hAnsi="Times New Roman" w:cs="Times New Roman"/>
          <w:sz w:val="24"/>
          <w:szCs w:val="24"/>
        </w:rPr>
        <w:t>euchromatin</w:t>
      </w:r>
      <w:proofErr w:type="spellEnd"/>
      <w:r w:rsidRPr="002B7B51">
        <w:rPr>
          <w:rFonts w:ascii="Times New Roman" w:eastAsia="Times New Roman" w:hAnsi="Times New Roman" w:cs="Times New Roman"/>
          <w:sz w:val="24"/>
          <w:szCs w:val="24"/>
        </w:rPr>
        <w:t xml:space="preserve"> formation and facilitating the access of the enzyme RNA polymerase to bind with the promoter region of DNA. The enzyme synthesizes RNA, by breaking hydrogen bonds in DNA’s double helix structure to access and replicate the antisense strand. The 3 types of pre-RNA produced, transfer RNA (</w:t>
      </w:r>
      <w:proofErr w:type="spellStart"/>
      <w:r w:rsidRPr="002B7B51">
        <w:rPr>
          <w:rFonts w:ascii="Times New Roman" w:eastAsia="Times New Roman" w:hAnsi="Times New Roman" w:cs="Times New Roman"/>
          <w:sz w:val="24"/>
          <w:szCs w:val="24"/>
        </w:rPr>
        <w:t>tRNA</w:t>
      </w:r>
      <w:proofErr w:type="spellEnd"/>
      <w:r w:rsidRPr="002B7B51">
        <w:rPr>
          <w:rFonts w:ascii="Times New Roman" w:eastAsia="Times New Roman" w:hAnsi="Times New Roman" w:cs="Times New Roman"/>
          <w:sz w:val="24"/>
          <w:szCs w:val="24"/>
        </w:rPr>
        <w:t>), ribosomal RNA (</w:t>
      </w:r>
      <w:proofErr w:type="spellStart"/>
      <w:r w:rsidRPr="002B7B51">
        <w:rPr>
          <w:rFonts w:ascii="Times New Roman" w:eastAsia="Times New Roman" w:hAnsi="Times New Roman" w:cs="Times New Roman"/>
          <w:sz w:val="24"/>
          <w:szCs w:val="24"/>
        </w:rPr>
        <w:t>rRNA</w:t>
      </w:r>
      <w:proofErr w:type="spellEnd"/>
      <w:r w:rsidRPr="002B7B51">
        <w:rPr>
          <w:rFonts w:ascii="Times New Roman" w:eastAsia="Times New Roman" w:hAnsi="Times New Roman" w:cs="Times New Roman"/>
          <w:sz w:val="24"/>
          <w:szCs w:val="24"/>
        </w:rPr>
        <w:t>) and messenger RNA, (mRNA) contain an identical sequence of nucleotides to the DNA, however replace the Thymine nucleic acid with t</w:t>
      </w:r>
      <w:r w:rsidR="009F03AC" w:rsidRPr="002B7B51">
        <w:rPr>
          <w:rFonts w:ascii="Times New Roman" w:eastAsia="Times New Roman" w:hAnsi="Times New Roman" w:cs="Times New Roman"/>
          <w:sz w:val="24"/>
          <w:szCs w:val="24"/>
        </w:rPr>
        <w:t>he more stable Uracil (</w:t>
      </w:r>
      <w:proofErr w:type="spellStart"/>
      <w:r w:rsidR="009F03AC" w:rsidRPr="002B7B51">
        <w:rPr>
          <w:rFonts w:ascii="Times New Roman" w:eastAsia="Times New Roman" w:hAnsi="Times New Roman" w:cs="Times New Roman"/>
          <w:sz w:val="24"/>
          <w:szCs w:val="24"/>
        </w:rPr>
        <w:t>Orphanides</w:t>
      </w:r>
      <w:proofErr w:type="spellEnd"/>
      <w:r w:rsidR="009F03AC" w:rsidRPr="002B7B51">
        <w:rPr>
          <w:rFonts w:ascii="Times New Roman" w:eastAsia="Times New Roman" w:hAnsi="Times New Roman" w:cs="Times New Roman"/>
          <w:sz w:val="24"/>
          <w:szCs w:val="24"/>
        </w:rPr>
        <w:t xml:space="preserve"> and </w:t>
      </w:r>
      <w:proofErr w:type="spellStart"/>
      <w:r w:rsidR="009F03AC" w:rsidRPr="002B7B51">
        <w:rPr>
          <w:rFonts w:ascii="Times New Roman" w:eastAsia="Times New Roman" w:hAnsi="Times New Roman" w:cs="Times New Roman"/>
          <w:sz w:val="24"/>
          <w:szCs w:val="24"/>
        </w:rPr>
        <w:t>Reinberg</w:t>
      </w:r>
      <w:proofErr w:type="spellEnd"/>
      <w:r w:rsidR="009F03AC" w:rsidRPr="002B7B51">
        <w:rPr>
          <w:rFonts w:ascii="Times New Roman" w:eastAsia="Times New Roman" w:hAnsi="Times New Roman" w:cs="Times New Roman"/>
          <w:sz w:val="24"/>
          <w:szCs w:val="24"/>
        </w:rPr>
        <w:t>, 2002).</w:t>
      </w:r>
      <w:r w:rsidRPr="002B7B51">
        <w:rPr>
          <w:rFonts w:ascii="Times New Roman" w:eastAsia="Times New Roman" w:hAnsi="Times New Roman" w:cs="Times New Roman"/>
          <w:sz w:val="24"/>
          <w:szCs w:val="24"/>
        </w:rPr>
        <w:t xml:space="preserve"> The pre-mRNA, consists of exons and introns (non-coding sequences) however, the intron regions are removed by a Spliceosome, an assembly of small nuclear RNAs (snRNA)</w:t>
      </w:r>
      <w:r w:rsidR="00754322" w:rsidRPr="002B7B51">
        <w:rPr>
          <w:rFonts w:ascii="Times New Roman" w:eastAsia="Times New Roman" w:hAnsi="Times New Roman" w:cs="Times New Roman"/>
          <w:sz w:val="24"/>
          <w:szCs w:val="24"/>
        </w:rPr>
        <w:t>. This allows</w:t>
      </w:r>
      <w:r w:rsidRPr="002B7B51">
        <w:rPr>
          <w:rFonts w:ascii="Times New Roman" w:eastAsia="Times New Roman" w:hAnsi="Times New Roman" w:cs="Times New Roman"/>
          <w:sz w:val="24"/>
          <w:szCs w:val="24"/>
        </w:rPr>
        <w:t xml:space="preserve"> </w:t>
      </w:r>
      <w:r w:rsidR="00754322" w:rsidRPr="002B7B51">
        <w:rPr>
          <w:rFonts w:ascii="Times New Roman" w:eastAsia="Times New Roman" w:hAnsi="Times New Roman" w:cs="Times New Roman"/>
          <w:sz w:val="24"/>
          <w:szCs w:val="24"/>
        </w:rPr>
        <w:t>the</w:t>
      </w:r>
      <w:r w:rsidRPr="002B7B51">
        <w:rPr>
          <w:rFonts w:ascii="Times New Roman" w:eastAsia="Times New Roman" w:hAnsi="Times New Roman" w:cs="Times New Roman"/>
          <w:sz w:val="24"/>
          <w:szCs w:val="24"/>
        </w:rPr>
        <w:t xml:space="preserve"> pre-mRNA </w:t>
      </w:r>
      <w:r w:rsidR="00754322" w:rsidRPr="002B7B51">
        <w:rPr>
          <w:rFonts w:ascii="Times New Roman" w:eastAsia="Times New Roman" w:hAnsi="Times New Roman" w:cs="Times New Roman"/>
          <w:sz w:val="24"/>
          <w:szCs w:val="24"/>
        </w:rPr>
        <w:t xml:space="preserve">to </w:t>
      </w:r>
      <w:r w:rsidRPr="002B7B51">
        <w:rPr>
          <w:rFonts w:ascii="Times New Roman" w:eastAsia="Times New Roman" w:hAnsi="Times New Roman" w:cs="Times New Roman"/>
          <w:sz w:val="24"/>
          <w:szCs w:val="24"/>
        </w:rPr>
        <w:t xml:space="preserve">mature </w:t>
      </w:r>
      <w:r w:rsidR="00754322" w:rsidRPr="002B7B51">
        <w:rPr>
          <w:rFonts w:ascii="Times New Roman" w:eastAsia="Times New Roman" w:hAnsi="Times New Roman" w:cs="Times New Roman"/>
          <w:sz w:val="24"/>
          <w:szCs w:val="24"/>
        </w:rPr>
        <w:t>into</w:t>
      </w:r>
      <w:r w:rsidR="009F03AC" w:rsidRPr="002B7B51">
        <w:rPr>
          <w:rFonts w:ascii="Times New Roman" w:eastAsia="Times New Roman" w:hAnsi="Times New Roman" w:cs="Times New Roman"/>
          <w:sz w:val="24"/>
          <w:szCs w:val="24"/>
        </w:rPr>
        <w:t xml:space="preserve"> mRNA.</w:t>
      </w:r>
      <w:r w:rsidRPr="002B7B51">
        <w:rPr>
          <w:rFonts w:ascii="Times New Roman" w:eastAsia="Times New Roman" w:hAnsi="Times New Roman" w:cs="Times New Roman"/>
          <w:sz w:val="24"/>
          <w:szCs w:val="24"/>
        </w:rPr>
        <w:t xml:space="preserve"> This process is called Splicing and similarly occurs in </w:t>
      </w:r>
      <w:proofErr w:type="spellStart"/>
      <w:r w:rsidRPr="002B7B51">
        <w:rPr>
          <w:rFonts w:ascii="Times New Roman" w:eastAsia="Times New Roman" w:hAnsi="Times New Roman" w:cs="Times New Roman"/>
          <w:sz w:val="24"/>
          <w:szCs w:val="24"/>
        </w:rPr>
        <w:t>tRNA</w:t>
      </w:r>
      <w:proofErr w:type="spellEnd"/>
      <w:r w:rsidRPr="002B7B51">
        <w:rPr>
          <w:rFonts w:ascii="Times New Roman" w:eastAsia="Times New Roman" w:hAnsi="Times New Roman" w:cs="Times New Roman"/>
          <w:sz w:val="24"/>
          <w:szCs w:val="24"/>
        </w:rPr>
        <w:t xml:space="preserve"> </w:t>
      </w:r>
      <w:r w:rsidR="009F03AC" w:rsidRPr="002B7B51">
        <w:rPr>
          <w:rFonts w:ascii="Times New Roman" w:eastAsia="Times New Roman" w:hAnsi="Times New Roman" w:cs="Times New Roman"/>
          <w:sz w:val="24"/>
          <w:szCs w:val="24"/>
        </w:rPr>
        <w:t>(Yan et al. 2015).</w:t>
      </w:r>
      <w:r w:rsidRPr="002B7B51">
        <w:rPr>
          <w:rFonts w:ascii="Times New Roman" w:eastAsia="Times New Roman" w:hAnsi="Times New Roman" w:cs="Times New Roman"/>
          <w:sz w:val="24"/>
          <w:szCs w:val="24"/>
        </w:rPr>
        <w:t xml:space="preserve"> </w:t>
      </w:r>
      <w:proofErr w:type="gramStart"/>
      <w:r w:rsidRPr="002B7B51">
        <w:rPr>
          <w:rFonts w:ascii="Times New Roman" w:eastAsia="Times New Roman" w:hAnsi="Times New Roman" w:cs="Times New Roman"/>
          <w:sz w:val="24"/>
          <w:szCs w:val="24"/>
        </w:rPr>
        <w:t>The</w:t>
      </w:r>
      <w:proofErr w:type="gramEnd"/>
      <w:r w:rsidRPr="002B7B51">
        <w:rPr>
          <w:rFonts w:ascii="Times New Roman" w:eastAsia="Times New Roman" w:hAnsi="Times New Roman" w:cs="Times New Roman"/>
          <w:sz w:val="24"/>
          <w:szCs w:val="24"/>
        </w:rPr>
        <w:t xml:space="preserve"> translation process occurs once mRNA is transported out the nuclear pores of the nucleus by proteins and enters the cytoplasm. The </w:t>
      </w:r>
      <w:proofErr w:type="spellStart"/>
      <w:proofErr w:type="gramStart"/>
      <w:r w:rsidRPr="002B7B51">
        <w:rPr>
          <w:rFonts w:ascii="Times New Roman" w:eastAsia="Times New Roman" w:hAnsi="Times New Roman" w:cs="Times New Roman"/>
          <w:sz w:val="24"/>
          <w:szCs w:val="24"/>
        </w:rPr>
        <w:t>tRNA</w:t>
      </w:r>
      <w:proofErr w:type="spellEnd"/>
      <w:r w:rsidRPr="002B7B51">
        <w:rPr>
          <w:rFonts w:ascii="Times New Roman" w:eastAsia="Times New Roman" w:hAnsi="Times New Roman" w:cs="Times New Roman"/>
          <w:sz w:val="24"/>
          <w:szCs w:val="24"/>
        </w:rPr>
        <w:t>,</w:t>
      </w:r>
      <w:proofErr w:type="gramEnd"/>
      <w:r w:rsidRPr="002B7B51">
        <w:rPr>
          <w:rFonts w:ascii="Times New Roman" w:eastAsia="Times New Roman" w:hAnsi="Times New Roman" w:cs="Times New Roman"/>
          <w:sz w:val="24"/>
          <w:szCs w:val="24"/>
        </w:rPr>
        <w:t xml:space="preserve"> contains anti-codons that provide amino acids from within the cytoplasm to a free ribosome. The ribosome ‘reads’ the mRNA codon sequence and forms a polypeptide chain, with amino acids in a position ordered to reflect</w:t>
      </w:r>
      <w:r w:rsidR="00754322" w:rsidRPr="002B7B51">
        <w:rPr>
          <w:rFonts w:ascii="Times New Roman" w:eastAsia="Times New Roman" w:hAnsi="Times New Roman" w:cs="Times New Roman"/>
          <w:sz w:val="24"/>
          <w:szCs w:val="24"/>
        </w:rPr>
        <w:t xml:space="preserve"> their corresponding cod</w:t>
      </w:r>
      <w:r w:rsidR="009F03AC" w:rsidRPr="002B7B51">
        <w:rPr>
          <w:rFonts w:ascii="Times New Roman" w:eastAsia="Times New Roman" w:hAnsi="Times New Roman" w:cs="Times New Roman"/>
          <w:sz w:val="24"/>
          <w:szCs w:val="24"/>
        </w:rPr>
        <w:t>on (</w:t>
      </w:r>
      <w:proofErr w:type="spellStart"/>
      <w:r w:rsidR="009F03AC" w:rsidRPr="002B7B51">
        <w:rPr>
          <w:rFonts w:ascii="Times New Roman" w:eastAsia="Times New Roman" w:hAnsi="Times New Roman" w:cs="Times New Roman"/>
          <w:sz w:val="24"/>
          <w:szCs w:val="24"/>
        </w:rPr>
        <w:t>Orphanides</w:t>
      </w:r>
      <w:proofErr w:type="spellEnd"/>
      <w:r w:rsidR="009F03AC" w:rsidRPr="002B7B51">
        <w:rPr>
          <w:rFonts w:ascii="Times New Roman" w:eastAsia="Times New Roman" w:hAnsi="Times New Roman" w:cs="Times New Roman"/>
          <w:sz w:val="24"/>
          <w:szCs w:val="24"/>
        </w:rPr>
        <w:t xml:space="preserve"> and </w:t>
      </w:r>
      <w:proofErr w:type="spellStart"/>
      <w:r w:rsidR="009F03AC" w:rsidRPr="002B7B51">
        <w:rPr>
          <w:rFonts w:ascii="Times New Roman" w:eastAsia="Times New Roman" w:hAnsi="Times New Roman" w:cs="Times New Roman"/>
          <w:sz w:val="24"/>
          <w:szCs w:val="24"/>
        </w:rPr>
        <w:t>Reinberg</w:t>
      </w:r>
      <w:proofErr w:type="spellEnd"/>
      <w:r w:rsidR="009F03AC" w:rsidRPr="002B7B51">
        <w:rPr>
          <w:rFonts w:ascii="Times New Roman" w:eastAsia="Times New Roman" w:hAnsi="Times New Roman" w:cs="Times New Roman"/>
          <w:sz w:val="24"/>
          <w:szCs w:val="24"/>
        </w:rPr>
        <w:t>, 2002).</w:t>
      </w:r>
      <w:r w:rsidR="00754322" w:rsidRPr="002B7B51">
        <w:rPr>
          <w:rFonts w:ascii="Times New Roman" w:eastAsia="Times New Roman" w:hAnsi="Times New Roman" w:cs="Times New Roman"/>
          <w:sz w:val="24"/>
          <w:szCs w:val="24"/>
        </w:rPr>
        <w:t xml:space="preserve"> The protein is a product of</w:t>
      </w:r>
      <w:r w:rsidRPr="002B7B51">
        <w:rPr>
          <w:rFonts w:ascii="Times New Roman" w:eastAsia="Times New Roman" w:hAnsi="Times New Roman" w:cs="Times New Roman"/>
          <w:sz w:val="24"/>
          <w:szCs w:val="24"/>
        </w:rPr>
        <w:t xml:space="preserve"> exons w</w:t>
      </w:r>
      <w:r w:rsidR="009F03AC" w:rsidRPr="002B7B51">
        <w:rPr>
          <w:rFonts w:ascii="Times New Roman" w:eastAsia="Times New Roman" w:hAnsi="Times New Roman" w:cs="Times New Roman"/>
          <w:sz w:val="24"/>
          <w:szCs w:val="24"/>
        </w:rPr>
        <w:t>ithin one gene (Yan et al. 2015).</w:t>
      </w:r>
    </w:p>
    <w:p w:rsidR="00FD4C1A" w:rsidRPr="002B7B51" w:rsidRDefault="00FD4C1A" w:rsidP="00FD4C1A">
      <w:pPr>
        <w:rPr>
          <w:rFonts w:ascii="Times New Roman" w:eastAsia="Times New Roman" w:hAnsi="Times New Roman" w:cs="Times New Roman"/>
          <w:sz w:val="24"/>
          <w:szCs w:val="24"/>
        </w:rPr>
      </w:pPr>
    </w:p>
    <w:p w:rsidR="00972780" w:rsidRPr="002B7B51" w:rsidRDefault="00754322" w:rsidP="00FD4C1A">
      <w:pPr>
        <w:rPr>
          <w:rFonts w:ascii="Times New Roman" w:eastAsia="Times New Roman" w:hAnsi="Times New Roman" w:cs="Times New Roman"/>
          <w:sz w:val="24"/>
          <w:szCs w:val="24"/>
        </w:rPr>
      </w:pPr>
      <w:r w:rsidRPr="002B7B51">
        <w:rPr>
          <w:rFonts w:ascii="Times New Roman" w:eastAsia="Times New Roman" w:hAnsi="Times New Roman" w:cs="Times New Roman"/>
          <w:sz w:val="24"/>
          <w:szCs w:val="24"/>
        </w:rPr>
        <w:t xml:space="preserve">Having said that, not all exons in a gene are used to produce protein. </w:t>
      </w:r>
      <w:r w:rsidR="00FD4C1A" w:rsidRPr="002B7B51">
        <w:rPr>
          <w:rFonts w:ascii="Times New Roman" w:eastAsia="Times New Roman" w:hAnsi="Times New Roman" w:cs="Times New Roman"/>
          <w:sz w:val="24"/>
          <w:szCs w:val="24"/>
        </w:rPr>
        <w:t>Alternative Splicing</w:t>
      </w:r>
      <w:r w:rsidRPr="002B7B51">
        <w:rPr>
          <w:rFonts w:ascii="Times New Roman" w:eastAsia="Times New Roman" w:hAnsi="Times New Roman" w:cs="Times New Roman"/>
          <w:sz w:val="24"/>
          <w:szCs w:val="24"/>
        </w:rPr>
        <w:t xml:space="preserve"> </w:t>
      </w:r>
      <w:r w:rsidR="00FD4C1A" w:rsidRPr="002B7B51">
        <w:rPr>
          <w:rFonts w:ascii="Times New Roman" w:eastAsia="Times New Roman" w:hAnsi="Times New Roman" w:cs="Times New Roman"/>
          <w:sz w:val="24"/>
          <w:szCs w:val="24"/>
        </w:rPr>
        <w:t>is the editing of pre-mRNA, so that only selected exons or parts of exons are preserved, in order to produce specialized proteins. The pre-mRNA from one gene can be adapted to produce multiple different proteins, despite being derived fro</w:t>
      </w:r>
      <w:r w:rsidR="00505A08" w:rsidRPr="002B7B51">
        <w:rPr>
          <w:rFonts w:ascii="Times New Roman" w:eastAsia="Times New Roman" w:hAnsi="Times New Roman" w:cs="Times New Roman"/>
          <w:sz w:val="24"/>
          <w:szCs w:val="24"/>
        </w:rPr>
        <w:t xml:space="preserve">m the same genetic information (Yan et al. 2015). </w:t>
      </w:r>
      <w:r w:rsidR="00FD4C1A" w:rsidRPr="002B7B51">
        <w:rPr>
          <w:rFonts w:ascii="Times New Roman" w:eastAsia="Times New Roman" w:hAnsi="Times New Roman" w:cs="Times New Roman"/>
          <w:sz w:val="24"/>
          <w:szCs w:val="24"/>
        </w:rPr>
        <w:t>Protein isoforms have slightly different amino acid sequences because they are produced from mRNA with slightly different nucleotide sequences, and as a result, the protein isoforms have altered properties. For instance, the selection of exons could create variation in a protein’s stability, enzyme activity or its binding properties</w:t>
      </w:r>
      <w:r w:rsidR="00505A08" w:rsidRPr="002B7B51">
        <w:rPr>
          <w:rFonts w:ascii="Times New Roman" w:eastAsia="Times New Roman" w:hAnsi="Times New Roman" w:cs="Times New Roman"/>
          <w:sz w:val="24"/>
          <w:szCs w:val="24"/>
        </w:rPr>
        <w:t xml:space="preserve"> (Yan et al. 2015)</w:t>
      </w:r>
      <w:r w:rsidR="00FD4C1A" w:rsidRPr="002B7B51">
        <w:rPr>
          <w:rFonts w:ascii="Times New Roman" w:eastAsia="Times New Roman" w:hAnsi="Times New Roman" w:cs="Times New Roman"/>
          <w:sz w:val="24"/>
          <w:szCs w:val="24"/>
        </w:rPr>
        <w:t xml:space="preserve">. </w:t>
      </w:r>
      <w:r w:rsidR="00FD4C1A" w:rsidRPr="002B7B51">
        <w:rPr>
          <w:rFonts w:ascii="Times New Roman" w:eastAsia="Times New Roman" w:hAnsi="Times New Roman" w:cs="Times New Roman"/>
          <w:sz w:val="24"/>
          <w:szCs w:val="24"/>
        </w:rPr>
        <w:lastRenderedPageBreak/>
        <w:t>Alternative splicing selects which parts of a gene should be expressed and used in protein synthesis (</w:t>
      </w:r>
      <w:proofErr w:type="spellStart"/>
      <w:r w:rsidR="00FD4C1A" w:rsidRPr="002B7B51">
        <w:rPr>
          <w:rFonts w:ascii="Times New Roman" w:eastAsia="Times New Roman" w:hAnsi="Times New Roman" w:cs="Times New Roman"/>
          <w:sz w:val="24"/>
          <w:szCs w:val="24"/>
        </w:rPr>
        <w:t>Stamm</w:t>
      </w:r>
      <w:proofErr w:type="spellEnd"/>
      <w:r w:rsidR="00FD4C1A" w:rsidRPr="002B7B51">
        <w:rPr>
          <w:rFonts w:ascii="Times New Roman" w:eastAsia="Times New Roman" w:hAnsi="Times New Roman" w:cs="Times New Roman"/>
          <w:sz w:val="24"/>
          <w:szCs w:val="24"/>
        </w:rPr>
        <w:t xml:space="preserve"> et al. 2005). </w:t>
      </w:r>
      <w:r w:rsidR="00972780" w:rsidRPr="002B7B51">
        <w:rPr>
          <w:rFonts w:ascii="Times New Roman" w:eastAsia="Times New Roman" w:hAnsi="Times New Roman" w:cs="Times New Roman"/>
          <w:sz w:val="24"/>
          <w:szCs w:val="24"/>
        </w:rPr>
        <w:t>However, the selection of exons to be preserved or removed during alternative splicing is the result of regulatory DNA elements, enhancers and silencers. The placement of one regulator can enable or redirect an alternative splicing pathway</w:t>
      </w:r>
      <w:r w:rsidR="007023CB" w:rsidRPr="002B7B51">
        <w:rPr>
          <w:rFonts w:ascii="Times New Roman" w:eastAsia="Times New Roman" w:hAnsi="Times New Roman" w:cs="Times New Roman"/>
          <w:sz w:val="24"/>
          <w:szCs w:val="24"/>
        </w:rPr>
        <w:t xml:space="preserve"> </w:t>
      </w:r>
      <w:r w:rsidR="009F3416" w:rsidRPr="002B7B51">
        <w:rPr>
          <w:rFonts w:ascii="Times New Roman" w:eastAsia="Times New Roman" w:hAnsi="Times New Roman" w:cs="Times New Roman"/>
          <w:sz w:val="24"/>
          <w:szCs w:val="24"/>
        </w:rPr>
        <w:t>(Matlin, Clark and Smith, 2005).</w:t>
      </w:r>
      <w:r w:rsidR="00B80AF6" w:rsidRPr="002B7B51">
        <w:rPr>
          <w:rFonts w:ascii="Times New Roman" w:eastAsia="Times New Roman" w:hAnsi="Times New Roman" w:cs="Times New Roman"/>
          <w:sz w:val="24"/>
          <w:szCs w:val="24"/>
        </w:rPr>
        <w:t xml:space="preserve"> </w:t>
      </w:r>
      <w:r w:rsidR="00421541" w:rsidRPr="002B7B51">
        <w:rPr>
          <w:rFonts w:ascii="Times New Roman" w:eastAsia="Times New Roman" w:hAnsi="Times New Roman" w:cs="Times New Roman"/>
          <w:sz w:val="24"/>
          <w:szCs w:val="24"/>
        </w:rPr>
        <w:t xml:space="preserve">Enhancers increase the rate of transcription by creating a loop in DNA that attracts the enhancer sequences of DNA, where activator proteins are bonded, with the promoter sequence of DNA where transcription factors and RNA polymerase are bonded. The loop of provides opportunity for activator proteins on the enhancer sequence and transcription factors and RNA polymerase on the </w:t>
      </w:r>
      <w:r w:rsidR="007023CB" w:rsidRPr="002B7B51">
        <w:rPr>
          <w:rFonts w:ascii="Times New Roman" w:eastAsia="Times New Roman" w:hAnsi="Times New Roman" w:cs="Times New Roman"/>
          <w:sz w:val="24"/>
          <w:szCs w:val="24"/>
        </w:rPr>
        <w:t>promoter sequence</w:t>
      </w:r>
      <w:r w:rsidR="008508FD" w:rsidRPr="002B7B51">
        <w:rPr>
          <w:rFonts w:ascii="Times New Roman" w:eastAsia="Times New Roman" w:hAnsi="Times New Roman" w:cs="Times New Roman"/>
          <w:sz w:val="24"/>
          <w:szCs w:val="24"/>
        </w:rPr>
        <w:t xml:space="preserve"> to interact (Kolovos et al. 2012).</w:t>
      </w:r>
      <w:r w:rsidR="00421541" w:rsidRPr="002B7B51">
        <w:rPr>
          <w:rFonts w:ascii="Times New Roman" w:eastAsia="Times New Roman" w:hAnsi="Times New Roman" w:cs="Times New Roman"/>
          <w:sz w:val="24"/>
          <w:szCs w:val="24"/>
        </w:rPr>
        <w:t xml:space="preserve"> </w:t>
      </w:r>
      <w:r w:rsidR="00856D7E" w:rsidRPr="002B7B51">
        <w:rPr>
          <w:rFonts w:ascii="Times New Roman" w:eastAsia="Times New Roman" w:hAnsi="Times New Roman" w:cs="Times New Roman"/>
          <w:sz w:val="24"/>
          <w:szCs w:val="24"/>
        </w:rPr>
        <w:t>Alternatively, repressor proteins bind to the silencer sequence on DNA to discourage promoter activity. Silencers have multiple mechanisms of action however, classic silencers act by creating a loop in DNA to bring silencers in contact with promoter sites to disable gene expression (Kolovos et al. 2012).</w:t>
      </w:r>
      <w:r w:rsidR="007023CB" w:rsidRPr="002B7B51">
        <w:rPr>
          <w:rFonts w:ascii="Times New Roman" w:eastAsia="Times New Roman" w:hAnsi="Times New Roman" w:cs="Times New Roman"/>
          <w:sz w:val="24"/>
          <w:szCs w:val="24"/>
        </w:rPr>
        <w:t xml:space="preserve"> Exons with silencer sites are removed by spliceosomes</w:t>
      </w:r>
      <w:r w:rsidRPr="002B7B51">
        <w:rPr>
          <w:rFonts w:ascii="Times New Roman" w:eastAsia="Times New Roman" w:hAnsi="Times New Roman" w:cs="Times New Roman"/>
          <w:sz w:val="24"/>
          <w:szCs w:val="24"/>
        </w:rPr>
        <w:t>,</w:t>
      </w:r>
      <w:r w:rsidR="007023CB" w:rsidRPr="002B7B51">
        <w:rPr>
          <w:rFonts w:ascii="Times New Roman" w:eastAsia="Times New Roman" w:hAnsi="Times New Roman" w:cs="Times New Roman"/>
          <w:sz w:val="24"/>
          <w:szCs w:val="24"/>
        </w:rPr>
        <w:t xml:space="preserve"> </w:t>
      </w:r>
      <w:r w:rsidRPr="002B7B51">
        <w:rPr>
          <w:rFonts w:ascii="Times New Roman" w:eastAsia="Times New Roman" w:hAnsi="Times New Roman" w:cs="Times New Roman"/>
          <w:sz w:val="24"/>
          <w:szCs w:val="24"/>
        </w:rPr>
        <w:t>whereas e</w:t>
      </w:r>
      <w:r w:rsidR="007023CB" w:rsidRPr="002B7B51">
        <w:rPr>
          <w:rFonts w:ascii="Times New Roman" w:eastAsia="Times New Roman" w:hAnsi="Times New Roman" w:cs="Times New Roman"/>
          <w:sz w:val="24"/>
          <w:szCs w:val="24"/>
        </w:rPr>
        <w:t>xons with enhancer sequences are expressed (Matlin, Clark and Smith, 2005).</w:t>
      </w:r>
    </w:p>
    <w:p w:rsidR="00972780" w:rsidRPr="002B7B51" w:rsidRDefault="00972780" w:rsidP="00FD4C1A">
      <w:pPr>
        <w:rPr>
          <w:rFonts w:ascii="Times New Roman" w:eastAsia="Times New Roman" w:hAnsi="Times New Roman" w:cs="Times New Roman"/>
          <w:sz w:val="24"/>
          <w:szCs w:val="24"/>
        </w:rPr>
      </w:pPr>
    </w:p>
    <w:p w:rsidR="00AE37DC" w:rsidRDefault="00754322" w:rsidP="00FD4C1A">
      <w:pPr>
        <w:rPr>
          <w:rFonts w:ascii="Times New Roman" w:eastAsia="Times New Roman" w:hAnsi="Times New Roman" w:cs="Times New Roman"/>
          <w:sz w:val="24"/>
          <w:szCs w:val="24"/>
        </w:rPr>
      </w:pPr>
      <w:r w:rsidRPr="002B7B51">
        <w:rPr>
          <w:rFonts w:ascii="Times New Roman" w:eastAsia="Times New Roman" w:hAnsi="Times New Roman" w:cs="Times New Roman"/>
          <w:sz w:val="24"/>
          <w:szCs w:val="24"/>
        </w:rPr>
        <w:t>Equally, not all genes are used either. Genes can be turned off when access for RNA polymerase is prevented, meaning that not all genes are expressed and used in protein synthesis (</w:t>
      </w:r>
      <w:proofErr w:type="spellStart"/>
      <w:r w:rsidRPr="002B7B51">
        <w:rPr>
          <w:rFonts w:ascii="Times New Roman" w:eastAsia="Times New Roman" w:hAnsi="Times New Roman" w:cs="Times New Roman"/>
          <w:sz w:val="24"/>
          <w:szCs w:val="24"/>
        </w:rPr>
        <w:t>Bollati</w:t>
      </w:r>
      <w:proofErr w:type="spellEnd"/>
      <w:r w:rsidRPr="002B7B51">
        <w:rPr>
          <w:rFonts w:ascii="Times New Roman" w:eastAsia="Times New Roman" w:hAnsi="Times New Roman" w:cs="Times New Roman"/>
          <w:sz w:val="24"/>
          <w:szCs w:val="24"/>
        </w:rPr>
        <w:t xml:space="preserve"> and </w:t>
      </w:r>
      <w:proofErr w:type="spellStart"/>
      <w:r w:rsidRPr="002B7B51">
        <w:rPr>
          <w:rFonts w:ascii="Times New Roman" w:eastAsia="Times New Roman" w:hAnsi="Times New Roman" w:cs="Times New Roman"/>
          <w:sz w:val="24"/>
          <w:szCs w:val="24"/>
        </w:rPr>
        <w:t>Baccarelli</w:t>
      </w:r>
      <w:proofErr w:type="spellEnd"/>
      <w:r w:rsidRPr="002B7B51">
        <w:rPr>
          <w:rFonts w:ascii="Times New Roman" w:eastAsia="Times New Roman" w:hAnsi="Times New Roman" w:cs="Times New Roman"/>
          <w:sz w:val="24"/>
          <w:szCs w:val="24"/>
        </w:rPr>
        <w:t xml:space="preserve">, 2010). This can be a result of Epigenetics, an influential factor on gene expression. The epigenome is a set of environmentally stimulated chemical tags that attach to DNA (DNA methylation) and/or histone proteins (histone modification) to modify the genome’s function, in particular gene expression (Bernstein, Meissner and Lander, 2007). In the process of DNA methylation, a methyl group, the chemical tag, binds to the </w:t>
      </w:r>
      <w:proofErr w:type="spellStart"/>
      <w:r w:rsidRPr="002B7B51">
        <w:rPr>
          <w:rFonts w:ascii="Times New Roman" w:eastAsia="Times New Roman" w:hAnsi="Times New Roman" w:cs="Times New Roman"/>
          <w:sz w:val="24"/>
          <w:szCs w:val="24"/>
        </w:rPr>
        <w:t>CpG</w:t>
      </w:r>
      <w:proofErr w:type="spellEnd"/>
      <w:r w:rsidRPr="002B7B51">
        <w:rPr>
          <w:rFonts w:ascii="Times New Roman" w:eastAsia="Times New Roman" w:hAnsi="Times New Roman" w:cs="Times New Roman"/>
          <w:sz w:val="24"/>
          <w:szCs w:val="24"/>
        </w:rPr>
        <w:t xml:space="preserve"> dinucleotides (cytosine and guanine sequence) in DNA, the region where transcription starts. This process essentially turns off a gene, as the additional methyl group maintains the heterochromatin structure, preventing the access of RNA polymerase to the promoter and therefore inhibits transcription as the DNA can’t be read (</w:t>
      </w:r>
      <w:proofErr w:type="spellStart"/>
      <w:r w:rsidRPr="002B7B51">
        <w:rPr>
          <w:rFonts w:ascii="Times New Roman" w:eastAsia="Times New Roman" w:hAnsi="Times New Roman" w:cs="Times New Roman"/>
          <w:sz w:val="24"/>
          <w:szCs w:val="24"/>
        </w:rPr>
        <w:t>Bollati</w:t>
      </w:r>
      <w:proofErr w:type="spellEnd"/>
      <w:r w:rsidRPr="002B7B51">
        <w:rPr>
          <w:rFonts w:ascii="Times New Roman" w:eastAsia="Times New Roman" w:hAnsi="Times New Roman" w:cs="Times New Roman"/>
          <w:sz w:val="24"/>
          <w:szCs w:val="24"/>
        </w:rPr>
        <w:t xml:space="preserve"> and </w:t>
      </w:r>
      <w:proofErr w:type="spellStart"/>
      <w:r w:rsidRPr="002B7B51">
        <w:rPr>
          <w:rFonts w:ascii="Times New Roman" w:eastAsia="Times New Roman" w:hAnsi="Times New Roman" w:cs="Times New Roman"/>
          <w:sz w:val="24"/>
          <w:szCs w:val="24"/>
        </w:rPr>
        <w:t>Baccarelli</w:t>
      </w:r>
      <w:proofErr w:type="spellEnd"/>
      <w:r w:rsidRPr="002B7B51">
        <w:rPr>
          <w:rFonts w:ascii="Times New Roman" w:eastAsia="Times New Roman" w:hAnsi="Times New Roman" w:cs="Times New Roman"/>
          <w:sz w:val="24"/>
          <w:szCs w:val="24"/>
        </w:rPr>
        <w:t>, 2010). Similarly, the process of histone modification can obstruct transcription and turn off a gene, through the addition of a methyl group added to a histone tail (</w:t>
      </w:r>
      <w:proofErr w:type="spellStart"/>
      <w:r w:rsidRPr="002B7B51">
        <w:rPr>
          <w:rFonts w:ascii="Times New Roman" w:eastAsia="Times New Roman" w:hAnsi="Times New Roman" w:cs="Times New Roman"/>
          <w:sz w:val="24"/>
          <w:szCs w:val="24"/>
        </w:rPr>
        <w:t>Bollati</w:t>
      </w:r>
      <w:proofErr w:type="spellEnd"/>
      <w:r w:rsidRPr="002B7B51">
        <w:rPr>
          <w:rFonts w:ascii="Times New Roman" w:eastAsia="Times New Roman" w:hAnsi="Times New Roman" w:cs="Times New Roman"/>
          <w:sz w:val="24"/>
          <w:szCs w:val="24"/>
        </w:rPr>
        <w:t xml:space="preserve"> and </w:t>
      </w:r>
      <w:proofErr w:type="spellStart"/>
      <w:r w:rsidRPr="002B7B51">
        <w:rPr>
          <w:rFonts w:ascii="Times New Roman" w:eastAsia="Times New Roman" w:hAnsi="Times New Roman" w:cs="Times New Roman"/>
          <w:sz w:val="24"/>
          <w:szCs w:val="24"/>
        </w:rPr>
        <w:t>Baccarelli</w:t>
      </w:r>
      <w:proofErr w:type="spellEnd"/>
      <w:r w:rsidRPr="002B7B51">
        <w:rPr>
          <w:rFonts w:ascii="Times New Roman" w:eastAsia="Times New Roman" w:hAnsi="Times New Roman" w:cs="Times New Roman"/>
          <w:sz w:val="24"/>
          <w:szCs w:val="24"/>
        </w:rPr>
        <w:t xml:space="preserve">, 2010). Having said that, methylation of histone proteins can also promote transcription depending on the lysine residue position. The part of the histone that is methylated determines the transcription response; for instance, methylation of histone H3 lysine 4 (H3K4) promotes transcription whereas, methylation of histone H3 lysine 9 (H3K9) prevents transcription (Bernstein, Meissner and Lander, 2007). Alternatively, acetylation of histone tails is only associated with transcription promotion; the acetyl group helps to create a </w:t>
      </w:r>
      <w:proofErr w:type="spellStart"/>
      <w:r w:rsidRPr="002B7B51">
        <w:rPr>
          <w:rFonts w:ascii="Times New Roman" w:eastAsia="Times New Roman" w:hAnsi="Times New Roman" w:cs="Times New Roman"/>
          <w:sz w:val="24"/>
          <w:szCs w:val="24"/>
        </w:rPr>
        <w:t>euchromatin</w:t>
      </w:r>
      <w:proofErr w:type="spellEnd"/>
      <w:r w:rsidRPr="002B7B51">
        <w:rPr>
          <w:rFonts w:ascii="Times New Roman" w:eastAsia="Times New Roman" w:hAnsi="Times New Roman" w:cs="Times New Roman"/>
          <w:sz w:val="24"/>
          <w:szCs w:val="24"/>
        </w:rPr>
        <w:t xml:space="preserve"> formation to enable a gene’s expression (Bernstein, Meissner and Lander, 2007).  Gene expression is influenced by epigenetically-caused chromatin adaptions, which allow or prevent DNA transcription.</w:t>
      </w:r>
    </w:p>
    <w:p w:rsidR="00AE37DC" w:rsidRDefault="00AE37DC" w:rsidP="00FD4C1A">
      <w:pPr>
        <w:rPr>
          <w:rFonts w:ascii="Times New Roman" w:eastAsia="Times New Roman" w:hAnsi="Times New Roman" w:cs="Times New Roman"/>
          <w:sz w:val="24"/>
          <w:szCs w:val="24"/>
        </w:rPr>
      </w:pPr>
    </w:p>
    <w:p w:rsidR="0075246F" w:rsidRDefault="0075246F" w:rsidP="00FD4C1A">
      <w:pPr>
        <w:rPr>
          <w:rFonts w:ascii="Times New Roman" w:eastAsia="Times New Roman" w:hAnsi="Times New Roman" w:cs="Times New Roman"/>
          <w:sz w:val="24"/>
          <w:szCs w:val="24"/>
        </w:rPr>
      </w:pPr>
    </w:p>
    <w:p w:rsidR="00585109" w:rsidRDefault="00585109" w:rsidP="00FD4C1A">
      <w:pPr>
        <w:rPr>
          <w:rFonts w:ascii="Times New Roman" w:eastAsia="Times New Roman" w:hAnsi="Times New Roman" w:cs="Times New Roman"/>
          <w:sz w:val="24"/>
          <w:szCs w:val="24"/>
        </w:rPr>
      </w:pPr>
      <w:r>
        <w:rPr>
          <w:rFonts w:ascii="Times New Roman" w:eastAsia="Times New Roman" w:hAnsi="Times New Roman" w:cs="Times New Roman"/>
          <w:sz w:val="24"/>
          <w:szCs w:val="24"/>
        </w:rPr>
        <w:t>993</w:t>
      </w:r>
    </w:p>
    <w:p w:rsidR="00585109" w:rsidRDefault="00585109" w:rsidP="00FD4C1A">
      <w:pPr>
        <w:rPr>
          <w:rFonts w:ascii="Times New Roman" w:eastAsia="Times New Roman" w:hAnsi="Times New Roman" w:cs="Times New Roman"/>
          <w:sz w:val="24"/>
          <w:szCs w:val="24"/>
        </w:rPr>
      </w:pPr>
    </w:p>
    <w:p w:rsidR="00585109" w:rsidRDefault="00585109" w:rsidP="00FD4C1A">
      <w:pPr>
        <w:rPr>
          <w:rFonts w:ascii="Times New Roman" w:eastAsia="Times New Roman" w:hAnsi="Times New Roman" w:cs="Times New Roman"/>
          <w:sz w:val="24"/>
          <w:szCs w:val="24"/>
        </w:rPr>
      </w:pPr>
    </w:p>
    <w:p w:rsidR="00585109" w:rsidRDefault="00585109" w:rsidP="00FD4C1A">
      <w:pPr>
        <w:rPr>
          <w:rFonts w:ascii="Times New Roman" w:eastAsia="Times New Roman" w:hAnsi="Times New Roman" w:cs="Times New Roman"/>
          <w:sz w:val="24"/>
          <w:szCs w:val="24"/>
        </w:rPr>
      </w:pPr>
    </w:p>
    <w:p w:rsidR="00585109" w:rsidRDefault="00585109" w:rsidP="00FD4C1A">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Reference List </w:t>
      </w:r>
    </w:p>
    <w:p w:rsidR="00585109" w:rsidRDefault="00585109" w:rsidP="00FD4C1A">
      <w:pPr>
        <w:rPr>
          <w:rFonts w:ascii="Times New Roman" w:eastAsia="Times New Roman" w:hAnsi="Times New Roman" w:cs="Times New Roman"/>
          <w:sz w:val="24"/>
          <w:szCs w:val="24"/>
        </w:rPr>
      </w:pPr>
    </w:p>
    <w:p w:rsidR="00585109" w:rsidRDefault="00E71F55" w:rsidP="00FD4C1A">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Bernstein, B., Meissner, A. and Lander, E. (2007) ‘The Mammalian Epigenome.’</w:t>
      </w:r>
      <w:proofErr w:type="gramEnd"/>
      <w:r>
        <w:rPr>
          <w:rFonts w:ascii="Times New Roman" w:eastAsia="Times New Roman" w:hAnsi="Times New Roman" w:cs="Times New Roman"/>
          <w:sz w:val="24"/>
          <w:szCs w:val="24"/>
        </w:rPr>
        <w:t xml:space="preserve"> </w:t>
      </w:r>
      <w:r w:rsidRPr="00E71F55">
        <w:rPr>
          <w:rFonts w:ascii="Times New Roman" w:eastAsia="Times New Roman" w:hAnsi="Times New Roman" w:cs="Times New Roman"/>
          <w:i/>
          <w:sz w:val="24"/>
          <w:szCs w:val="24"/>
        </w:rPr>
        <w:t>Cell,</w:t>
      </w:r>
      <w:r>
        <w:rPr>
          <w:rFonts w:ascii="Times New Roman" w:eastAsia="Times New Roman" w:hAnsi="Times New Roman" w:cs="Times New Roman"/>
          <w:sz w:val="24"/>
          <w:szCs w:val="24"/>
        </w:rPr>
        <w:t xml:space="preserve"> 128(4), pp. 669-681. DOI: </w:t>
      </w:r>
      <w:hyperlink r:id="rId9" w:history="1">
        <w:r w:rsidRPr="00F84712">
          <w:rPr>
            <w:rStyle w:val="Hyperlink"/>
            <w:rFonts w:ascii="Times New Roman" w:eastAsia="Times New Roman" w:hAnsi="Times New Roman" w:cs="Times New Roman"/>
            <w:sz w:val="24"/>
            <w:szCs w:val="24"/>
          </w:rPr>
          <w:t>https://doi.org/10.1016/j.cell.2007.01.033</w:t>
        </w:r>
      </w:hyperlink>
      <w:r>
        <w:rPr>
          <w:rFonts w:ascii="Times New Roman" w:eastAsia="Times New Roman" w:hAnsi="Times New Roman" w:cs="Times New Roman"/>
          <w:sz w:val="24"/>
          <w:szCs w:val="24"/>
        </w:rPr>
        <w:t xml:space="preserve"> </w:t>
      </w:r>
    </w:p>
    <w:p w:rsidR="00E71F55" w:rsidRDefault="00E71F55" w:rsidP="00FD4C1A">
      <w:pPr>
        <w:rPr>
          <w:rFonts w:ascii="Times New Roman" w:eastAsia="Times New Roman" w:hAnsi="Times New Roman" w:cs="Times New Roman"/>
          <w:sz w:val="24"/>
          <w:szCs w:val="24"/>
        </w:rPr>
      </w:pPr>
    </w:p>
    <w:p w:rsidR="003D12AE" w:rsidRDefault="003D12AE" w:rsidP="00FD4C1A">
      <w:pPr>
        <w:rPr>
          <w:rFonts w:ascii="Times New Roman" w:eastAsia="Times New Roman" w:hAnsi="Times New Roman" w:cs="Times New Roman"/>
          <w:sz w:val="24"/>
          <w:szCs w:val="24"/>
        </w:rPr>
      </w:pPr>
    </w:p>
    <w:p w:rsidR="00E71F55" w:rsidRDefault="00E71F55" w:rsidP="00FD4C1A">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Bird, A. (2007) ‘Perceptions of epigenetics.’</w:t>
      </w:r>
      <w:proofErr w:type="gramEnd"/>
      <w:r w:rsidRPr="00E71F55">
        <w:rPr>
          <w:rFonts w:ascii="Times New Roman" w:eastAsia="Times New Roman" w:hAnsi="Times New Roman" w:cs="Times New Roman"/>
          <w:i/>
          <w:sz w:val="24"/>
          <w:szCs w:val="24"/>
        </w:rPr>
        <w:t xml:space="preserve"> Nature</w:t>
      </w:r>
      <w:r>
        <w:rPr>
          <w:rFonts w:ascii="Times New Roman" w:eastAsia="Times New Roman" w:hAnsi="Times New Roman" w:cs="Times New Roman"/>
          <w:sz w:val="24"/>
          <w:szCs w:val="24"/>
        </w:rPr>
        <w:t xml:space="preserve">, 447, pp. 396-398. DOI: </w:t>
      </w:r>
      <w:hyperlink r:id="rId10" w:history="1">
        <w:r w:rsidRPr="00F84712">
          <w:rPr>
            <w:rStyle w:val="Hyperlink"/>
            <w:rFonts w:ascii="Times New Roman" w:eastAsia="Times New Roman" w:hAnsi="Times New Roman" w:cs="Times New Roman"/>
            <w:sz w:val="24"/>
            <w:szCs w:val="24"/>
          </w:rPr>
          <w:t>https://doi.org/10.038/nature05913</w:t>
        </w:r>
      </w:hyperlink>
    </w:p>
    <w:p w:rsidR="00E71F55" w:rsidRDefault="00E71F55" w:rsidP="00FD4C1A">
      <w:pPr>
        <w:rPr>
          <w:rFonts w:ascii="Times New Roman" w:eastAsia="Times New Roman" w:hAnsi="Times New Roman" w:cs="Times New Roman"/>
          <w:sz w:val="24"/>
          <w:szCs w:val="24"/>
        </w:rPr>
      </w:pPr>
    </w:p>
    <w:p w:rsidR="003D12AE" w:rsidRDefault="003D12AE" w:rsidP="00FD4C1A">
      <w:pPr>
        <w:rPr>
          <w:rFonts w:ascii="Times New Roman" w:eastAsia="Times New Roman" w:hAnsi="Times New Roman" w:cs="Times New Roman"/>
          <w:sz w:val="24"/>
          <w:szCs w:val="24"/>
        </w:rPr>
      </w:pPr>
    </w:p>
    <w:p w:rsidR="00E71F55" w:rsidRDefault="00E71F55" w:rsidP="00FD4C1A">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Blackstock</w:t>
      </w:r>
      <w:proofErr w:type="spellEnd"/>
      <w:r>
        <w:rPr>
          <w:rFonts w:ascii="Times New Roman" w:eastAsia="Times New Roman" w:hAnsi="Times New Roman" w:cs="Times New Roman"/>
          <w:sz w:val="24"/>
          <w:szCs w:val="24"/>
        </w:rPr>
        <w:t xml:space="preserve">, J. (1989) ‘Gene Expression.’ </w:t>
      </w:r>
      <w:r w:rsidRPr="00E71F55">
        <w:rPr>
          <w:rFonts w:ascii="Times New Roman" w:eastAsia="Times New Roman" w:hAnsi="Times New Roman" w:cs="Times New Roman"/>
          <w:i/>
          <w:sz w:val="24"/>
          <w:szCs w:val="24"/>
        </w:rPr>
        <w:t>Guide to Biochemistry</w:t>
      </w:r>
      <w:r>
        <w:rPr>
          <w:rFonts w:ascii="Times New Roman" w:eastAsia="Times New Roman" w:hAnsi="Times New Roman" w:cs="Times New Roman"/>
          <w:sz w:val="24"/>
          <w:szCs w:val="24"/>
        </w:rPr>
        <w:t xml:space="preserve">, pp. 208-221. DOI: </w:t>
      </w:r>
      <w:hyperlink r:id="rId11" w:history="1">
        <w:r w:rsidRPr="00F84712">
          <w:rPr>
            <w:rStyle w:val="Hyperlink"/>
            <w:rFonts w:ascii="Times New Roman" w:eastAsia="Times New Roman" w:hAnsi="Times New Roman" w:cs="Times New Roman"/>
            <w:sz w:val="24"/>
            <w:szCs w:val="24"/>
          </w:rPr>
          <w:t>https://doi.org/10.1016/B978-0-7236-1151-6.50023-6</w:t>
        </w:r>
      </w:hyperlink>
      <w:r>
        <w:rPr>
          <w:rFonts w:ascii="Times New Roman" w:eastAsia="Times New Roman" w:hAnsi="Times New Roman" w:cs="Times New Roman"/>
          <w:sz w:val="24"/>
          <w:szCs w:val="24"/>
        </w:rPr>
        <w:t xml:space="preserve"> </w:t>
      </w:r>
    </w:p>
    <w:p w:rsidR="003D12AE" w:rsidRDefault="003D12AE" w:rsidP="00FD4C1A">
      <w:pPr>
        <w:rPr>
          <w:rFonts w:ascii="Times New Roman" w:eastAsia="Times New Roman" w:hAnsi="Times New Roman" w:cs="Times New Roman"/>
          <w:sz w:val="24"/>
          <w:szCs w:val="24"/>
        </w:rPr>
      </w:pPr>
    </w:p>
    <w:p w:rsidR="00E71F55" w:rsidRDefault="00E71F55" w:rsidP="00FD4C1A">
      <w:pPr>
        <w:rPr>
          <w:rFonts w:ascii="Times New Roman" w:eastAsia="Times New Roman" w:hAnsi="Times New Roman" w:cs="Times New Roman"/>
          <w:sz w:val="24"/>
          <w:szCs w:val="24"/>
        </w:rPr>
      </w:pPr>
    </w:p>
    <w:p w:rsidR="00E71F55" w:rsidRDefault="00E71F55" w:rsidP="00FD4C1A">
      <w:pPr>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Bollati</w:t>
      </w:r>
      <w:proofErr w:type="spellEnd"/>
      <w:r>
        <w:rPr>
          <w:rFonts w:ascii="Times New Roman" w:eastAsia="Times New Roman" w:hAnsi="Times New Roman" w:cs="Times New Roman"/>
          <w:sz w:val="24"/>
          <w:szCs w:val="24"/>
        </w:rPr>
        <w:t xml:space="preserve">, V. and </w:t>
      </w:r>
      <w:proofErr w:type="spellStart"/>
      <w:r>
        <w:rPr>
          <w:rFonts w:ascii="Times New Roman" w:eastAsia="Times New Roman" w:hAnsi="Times New Roman" w:cs="Times New Roman"/>
          <w:sz w:val="24"/>
          <w:szCs w:val="24"/>
        </w:rPr>
        <w:t>Baccarelli</w:t>
      </w:r>
      <w:proofErr w:type="spellEnd"/>
      <w:r>
        <w:rPr>
          <w:rFonts w:ascii="Times New Roman" w:eastAsia="Times New Roman" w:hAnsi="Times New Roman" w:cs="Times New Roman"/>
          <w:sz w:val="24"/>
          <w:szCs w:val="24"/>
        </w:rPr>
        <w:t>, A. (2010) ‘</w:t>
      </w:r>
      <w:r w:rsidRPr="00E71F55">
        <w:rPr>
          <w:rFonts w:ascii="Times New Roman" w:eastAsia="Times New Roman" w:hAnsi="Times New Roman" w:cs="Times New Roman"/>
          <w:i/>
          <w:sz w:val="24"/>
          <w:szCs w:val="24"/>
        </w:rPr>
        <w:t>Environmental epigenetics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Heredity, 105, pp. 105-112. DOI: </w:t>
      </w:r>
      <w:hyperlink r:id="rId12" w:history="1">
        <w:r w:rsidRPr="00F84712">
          <w:rPr>
            <w:rStyle w:val="Hyperlink"/>
            <w:rFonts w:ascii="Times New Roman" w:eastAsia="Times New Roman" w:hAnsi="Times New Roman" w:cs="Times New Roman"/>
            <w:sz w:val="24"/>
            <w:szCs w:val="24"/>
          </w:rPr>
          <w:t>https://doi.org/10.1038/hdy.2010.2</w:t>
        </w:r>
      </w:hyperlink>
      <w:r>
        <w:rPr>
          <w:rFonts w:ascii="Times New Roman" w:eastAsia="Times New Roman" w:hAnsi="Times New Roman" w:cs="Times New Roman"/>
          <w:sz w:val="24"/>
          <w:szCs w:val="24"/>
        </w:rPr>
        <w:t xml:space="preserve"> </w:t>
      </w:r>
    </w:p>
    <w:p w:rsidR="00E71F55" w:rsidRDefault="00E71F55" w:rsidP="00FD4C1A">
      <w:pPr>
        <w:rPr>
          <w:rFonts w:ascii="Times New Roman" w:eastAsia="Times New Roman" w:hAnsi="Times New Roman" w:cs="Times New Roman"/>
          <w:sz w:val="24"/>
          <w:szCs w:val="24"/>
        </w:rPr>
      </w:pPr>
    </w:p>
    <w:p w:rsidR="003D12AE" w:rsidRDefault="003D12AE" w:rsidP="00FD4C1A">
      <w:pPr>
        <w:rPr>
          <w:rFonts w:ascii="Times New Roman" w:eastAsia="Times New Roman" w:hAnsi="Times New Roman" w:cs="Times New Roman"/>
          <w:sz w:val="24"/>
          <w:szCs w:val="24"/>
        </w:rPr>
      </w:pPr>
    </w:p>
    <w:p w:rsidR="00E71F55" w:rsidRDefault="00523B01" w:rsidP="00FD4C1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Kolovos, P. </w:t>
      </w:r>
      <w:proofErr w:type="spellStart"/>
      <w:r>
        <w:rPr>
          <w:rFonts w:ascii="Times New Roman" w:eastAsia="Times New Roman" w:hAnsi="Times New Roman" w:cs="Times New Roman"/>
          <w:sz w:val="24"/>
          <w:szCs w:val="24"/>
        </w:rPr>
        <w:t>Knach</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Grosveld</w:t>
      </w:r>
      <w:proofErr w:type="spellEnd"/>
      <w:r>
        <w:rPr>
          <w:rFonts w:ascii="Times New Roman" w:eastAsia="Times New Roman" w:hAnsi="Times New Roman" w:cs="Times New Roman"/>
          <w:sz w:val="24"/>
          <w:szCs w:val="24"/>
        </w:rPr>
        <w:t xml:space="preserve">, F., Cook, P. and </w:t>
      </w:r>
      <w:proofErr w:type="spellStart"/>
      <w:r>
        <w:rPr>
          <w:rFonts w:ascii="Times New Roman" w:eastAsia="Times New Roman" w:hAnsi="Times New Roman" w:cs="Times New Roman"/>
          <w:sz w:val="24"/>
          <w:szCs w:val="24"/>
        </w:rPr>
        <w:t>Papantonis</w:t>
      </w:r>
      <w:proofErr w:type="spellEnd"/>
      <w:r>
        <w:rPr>
          <w:rFonts w:ascii="Times New Roman" w:eastAsia="Times New Roman" w:hAnsi="Times New Roman" w:cs="Times New Roman"/>
          <w:sz w:val="24"/>
          <w:szCs w:val="24"/>
        </w:rPr>
        <w:t xml:space="preserve">, A. (2012) ‘Enhancers and Silencers: an integrated and simple model for their function.’ </w:t>
      </w:r>
      <w:proofErr w:type="gramStart"/>
      <w:r w:rsidRPr="00523B01">
        <w:rPr>
          <w:rFonts w:ascii="Times New Roman" w:eastAsia="Times New Roman" w:hAnsi="Times New Roman" w:cs="Times New Roman"/>
          <w:i/>
          <w:sz w:val="24"/>
          <w:szCs w:val="24"/>
        </w:rPr>
        <w:t>Epigenetics and Chromatin</w:t>
      </w:r>
      <w:r>
        <w:rPr>
          <w:rFonts w:ascii="Times New Roman" w:eastAsia="Times New Roman" w:hAnsi="Times New Roman" w:cs="Times New Roman"/>
          <w:sz w:val="24"/>
          <w:szCs w:val="24"/>
        </w:rPr>
        <w:t>, 5(1).</w:t>
      </w:r>
      <w:proofErr w:type="gramEnd"/>
      <w:r>
        <w:rPr>
          <w:rFonts w:ascii="Times New Roman" w:eastAsia="Times New Roman" w:hAnsi="Times New Roman" w:cs="Times New Roman"/>
          <w:sz w:val="24"/>
          <w:szCs w:val="24"/>
        </w:rPr>
        <w:t xml:space="preserve"> DOI: </w:t>
      </w:r>
      <w:hyperlink r:id="rId13" w:history="1">
        <w:r w:rsidRPr="00F84712">
          <w:rPr>
            <w:rStyle w:val="Hyperlink"/>
            <w:rFonts w:ascii="Times New Roman" w:eastAsia="Times New Roman" w:hAnsi="Times New Roman" w:cs="Times New Roman"/>
            <w:sz w:val="24"/>
            <w:szCs w:val="24"/>
          </w:rPr>
          <w:t>https://doi.org/10.1186/1756-8935-5-1</w:t>
        </w:r>
      </w:hyperlink>
      <w:r>
        <w:rPr>
          <w:rFonts w:ascii="Times New Roman" w:eastAsia="Times New Roman" w:hAnsi="Times New Roman" w:cs="Times New Roman"/>
          <w:sz w:val="24"/>
          <w:szCs w:val="24"/>
        </w:rPr>
        <w:t xml:space="preserve"> </w:t>
      </w:r>
    </w:p>
    <w:p w:rsidR="003D12AE" w:rsidRDefault="003D12AE" w:rsidP="00FD4C1A">
      <w:pPr>
        <w:rPr>
          <w:rFonts w:ascii="Times New Roman" w:eastAsia="Times New Roman" w:hAnsi="Times New Roman" w:cs="Times New Roman"/>
          <w:sz w:val="24"/>
          <w:szCs w:val="24"/>
        </w:rPr>
      </w:pPr>
    </w:p>
    <w:p w:rsidR="00523B01" w:rsidRDefault="00523B01" w:rsidP="00FD4C1A">
      <w:pPr>
        <w:rPr>
          <w:rFonts w:ascii="Times New Roman" w:eastAsia="Times New Roman" w:hAnsi="Times New Roman" w:cs="Times New Roman"/>
          <w:sz w:val="24"/>
          <w:szCs w:val="24"/>
        </w:rPr>
      </w:pPr>
    </w:p>
    <w:p w:rsidR="00523B01" w:rsidRDefault="00523B01" w:rsidP="00FD4C1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Matlin, A., Clark, F. and Smith, C. (2005) ‘Understanding alternative splicing: towards a cellular code.’ </w:t>
      </w:r>
      <w:r w:rsidRPr="00523B01">
        <w:rPr>
          <w:rFonts w:ascii="Times New Roman" w:eastAsia="Times New Roman" w:hAnsi="Times New Roman" w:cs="Times New Roman"/>
          <w:i/>
          <w:sz w:val="24"/>
          <w:szCs w:val="24"/>
        </w:rPr>
        <w:t>Nature Reviews Molecular Cell Biology</w:t>
      </w:r>
      <w:r>
        <w:rPr>
          <w:rFonts w:ascii="Times New Roman" w:eastAsia="Times New Roman" w:hAnsi="Times New Roman" w:cs="Times New Roman"/>
          <w:sz w:val="24"/>
          <w:szCs w:val="24"/>
        </w:rPr>
        <w:t xml:space="preserve">, 6, pp. 386-398. DOI: </w:t>
      </w:r>
      <w:hyperlink r:id="rId14" w:history="1">
        <w:r w:rsidRPr="00F84712">
          <w:rPr>
            <w:rStyle w:val="Hyperlink"/>
            <w:rFonts w:ascii="Times New Roman" w:eastAsia="Times New Roman" w:hAnsi="Times New Roman" w:cs="Times New Roman"/>
            <w:sz w:val="24"/>
            <w:szCs w:val="24"/>
          </w:rPr>
          <w:t>https://doi.org/10.1038/nrm1645</w:t>
        </w:r>
      </w:hyperlink>
      <w:r>
        <w:rPr>
          <w:rFonts w:ascii="Times New Roman" w:eastAsia="Times New Roman" w:hAnsi="Times New Roman" w:cs="Times New Roman"/>
          <w:sz w:val="24"/>
          <w:szCs w:val="24"/>
        </w:rPr>
        <w:t xml:space="preserve"> </w:t>
      </w:r>
    </w:p>
    <w:p w:rsidR="003D12AE" w:rsidRDefault="003D12AE" w:rsidP="00FD4C1A">
      <w:pPr>
        <w:rPr>
          <w:rFonts w:ascii="Times New Roman" w:eastAsia="Times New Roman" w:hAnsi="Times New Roman" w:cs="Times New Roman"/>
          <w:sz w:val="24"/>
          <w:szCs w:val="24"/>
        </w:rPr>
      </w:pPr>
    </w:p>
    <w:p w:rsidR="003D12AE" w:rsidRDefault="003D12AE" w:rsidP="00FD4C1A">
      <w:pPr>
        <w:rPr>
          <w:rFonts w:ascii="Times New Roman" w:eastAsia="Times New Roman" w:hAnsi="Times New Roman" w:cs="Times New Roman"/>
          <w:sz w:val="24"/>
          <w:szCs w:val="24"/>
        </w:rPr>
      </w:pPr>
    </w:p>
    <w:p w:rsidR="003D12AE" w:rsidRDefault="003D12AE" w:rsidP="00FD4C1A">
      <w:pPr>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Orphanides</w:t>
      </w:r>
      <w:proofErr w:type="spellEnd"/>
      <w:r>
        <w:rPr>
          <w:rFonts w:ascii="Times New Roman" w:eastAsia="Times New Roman" w:hAnsi="Times New Roman" w:cs="Times New Roman"/>
          <w:sz w:val="24"/>
          <w:szCs w:val="24"/>
        </w:rPr>
        <w:t xml:space="preserve">, G. and </w:t>
      </w:r>
      <w:proofErr w:type="spellStart"/>
      <w:r>
        <w:rPr>
          <w:rFonts w:ascii="Times New Roman" w:eastAsia="Times New Roman" w:hAnsi="Times New Roman" w:cs="Times New Roman"/>
          <w:sz w:val="24"/>
          <w:szCs w:val="24"/>
        </w:rPr>
        <w:t>Reinberg</w:t>
      </w:r>
      <w:proofErr w:type="spellEnd"/>
      <w:r>
        <w:rPr>
          <w:rFonts w:ascii="Times New Roman" w:eastAsia="Times New Roman" w:hAnsi="Times New Roman" w:cs="Times New Roman"/>
          <w:sz w:val="24"/>
          <w:szCs w:val="24"/>
        </w:rPr>
        <w:t>, D. (2002) ‘A Unified Theory of Gene Expression.’</w:t>
      </w:r>
      <w:proofErr w:type="gramEnd"/>
      <w:r>
        <w:rPr>
          <w:rFonts w:ascii="Times New Roman" w:eastAsia="Times New Roman" w:hAnsi="Times New Roman" w:cs="Times New Roman"/>
          <w:sz w:val="24"/>
          <w:szCs w:val="24"/>
        </w:rPr>
        <w:t xml:space="preserve"> </w:t>
      </w:r>
      <w:r w:rsidRPr="00FF1219">
        <w:rPr>
          <w:rFonts w:ascii="Times New Roman" w:eastAsia="Times New Roman" w:hAnsi="Times New Roman" w:cs="Times New Roman"/>
          <w:i/>
          <w:sz w:val="24"/>
          <w:szCs w:val="24"/>
        </w:rPr>
        <w:t>Cell,</w:t>
      </w:r>
      <w:r>
        <w:rPr>
          <w:rFonts w:ascii="Times New Roman" w:eastAsia="Times New Roman" w:hAnsi="Times New Roman" w:cs="Times New Roman"/>
          <w:sz w:val="24"/>
          <w:szCs w:val="24"/>
        </w:rPr>
        <w:t xml:space="preserve"> 108(4), pp. 439-451. DOI: </w:t>
      </w:r>
      <w:hyperlink r:id="rId15" w:history="1">
        <w:r w:rsidR="00FF1219" w:rsidRPr="00F84712">
          <w:rPr>
            <w:rStyle w:val="Hyperlink"/>
            <w:rFonts w:ascii="Times New Roman" w:eastAsia="Times New Roman" w:hAnsi="Times New Roman" w:cs="Times New Roman"/>
            <w:sz w:val="24"/>
            <w:szCs w:val="24"/>
          </w:rPr>
          <w:t>https://doi.org/10.1016/S0092-8674(02)00655-4</w:t>
        </w:r>
      </w:hyperlink>
      <w:r w:rsidR="00FF1219">
        <w:rPr>
          <w:rFonts w:ascii="Times New Roman" w:eastAsia="Times New Roman" w:hAnsi="Times New Roman" w:cs="Times New Roman"/>
          <w:sz w:val="24"/>
          <w:szCs w:val="24"/>
        </w:rPr>
        <w:t xml:space="preserve"> </w:t>
      </w:r>
    </w:p>
    <w:p w:rsidR="00FF1219" w:rsidRDefault="00FF1219" w:rsidP="00FD4C1A">
      <w:pPr>
        <w:rPr>
          <w:rFonts w:ascii="Times New Roman" w:eastAsia="Times New Roman" w:hAnsi="Times New Roman" w:cs="Times New Roman"/>
          <w:sz w:val="24"/>
          <w:szCs w:val="24"/>
        </w:rPr>
      </w:pPr>
    </w:p>
    <w:p w:rsidR="00FF1219" w:rsidRDefault="00FF1219" w:rsidP="00FD4C1A">
      <w:pPr>
        <w:rPr>
          <w:rFonts w:ascii="Times New Roman" w:eastAsia="Times New Roman" w:hAnsi="Times New Roman" w:cs="Times New Roman"/>
          <w:sz w:val="24"/>
          <w:szCs w:val="24"/>
        </w:rPr>
      </w:pPr>
    </w:p>
    <w:p w:rsidR="00FF1219" w:rsidRDefault="00FF1219" w:rsidP="00FD4C1A">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Stamm</w:t>
      </w:r>
      <w:proofErr w:type="spellEnd"/>
      <w:r>
        <w:rPr>
          <w:rFonts w:ascii="Times New Roman" w:eastAsia="Times New Roman" w:hAnsi="Times New Roman" w:cs="Times New Roman"/>
          <w:sz w:val="24"/>
          <w:szCs w:val="24"/>
        </w:rPr>
        <w:t>, S., Ben-Ari, S.</w:t>
      </w:r>
      <w:proofErr w:type="gramStart"/>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Rafalska</w:t>
      </w:r>
      <w:proofErr w:type="spellEnd"/>
      <w:proofErr w:type="gramEnd"/>
      <w:r>
        <w:rPr>
          <w:rFonts w:ascii="Times New Roman" w:eastAsia="Times New Roman" w:hAnsi="Times New Roman" w:cs="Times New Roman"/>
          <w:sz w:val="24"/>
          <w:szCs w:val="24"/>
        </w:rPr>
        <w:t xml:space="preserve">, I., Tang, Y., Zhang, Z., </w:t>
      </w:r>
      <w:proofErr w:type="spellStart"/>
      <w:r>
        <w:rPr>
          <w:rFonts w:ascii="Times New Roman" w:eastAsia="Times New Roman" w:hAnsi="Times New Roman" w:cs="Times New Roman"/>
          <w:sz w:val="24"/>
          <w:szCs w:val="24"/>
        </w:rPr>
        <w:t>Toiber</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Thanaraj</w:t>
      </w:r>
      <w:proofErr w:type="spellEnd"/>
      <w:r>
        <w:rPr>
          <w:rFonts w:ascii="Times New Roman" w:eastAsia="Times New Roman" w:hAnsi="Times New Roman" w:cs="Times New Roman"/>
          <w:sz w:val="24"/>
          <w:szCs w:val="24"/>
        </w:rPr>
        <w:t xml:space="preserve">, T. and </w:t>
      </w:r>
      <w:proofErr w:type="spellStart"/>
      <w:r>
        <w:rPr>
          <w:rFonts w:ascii="Times New Roman" w:eastAsia="Times New Roman" w:hAnsi="Times New Roman" w:cs="Times New Roman"/>
          <w:sz w:val="24"/>
          <w:szCs w:val="24"/>
        </w:rPr>
        <w:t>Soreq</w:t>
      </w:r>
      <w:proofErr w:type="spellEnd"/>
      <w:r>
        <w:rPr>
          <w:rFonts w:ascii="Times New Roman" w:eastAsia="Times New Roman" w:hAnsi="Times New Roman" w:cs="Times New Roman"/>
          <w:sz w:val="24"/>
          <w:szCs w:val="24"/>
        </w:rPr>
        <w:t xml:space="preserve">, H. (2005) ‘Function of alternative splicing.’ </w:t>
      </w:r>
      <w:r w:rsidRPr="00FF1219">
        <w:rPr>
          <w:rFonts w:ascii="Times New Roman" w:eastAsia="Times New Roman" w:hAnsi="Times New Roman" w:cs="Times New Roman"/>
          <w:i/>
          <w:sz w:val="24"/>
          <w:szCs w:val="24"/>
        </w:rPr>
        <w:t>Gene</w:t>
      </w:r>
      <w:r>
        <w:rPr>
          <w:rFonts w:ascii="Times New Roman" w:eastAsia="Times New Roman" w:hAnsi="Times New Roman" w:cs="Times New Roman"/>
          <w:sz w:val="24"/>
          <w:szCs w:val="24"/>
        </w:rPr>
        <w:t xml:space="preserve">, 344, pp. 1-20. DOI: </w:t>
      </w:r>
      <w:hyperlink r:id="rId16" w:history="1">
        <w:r w:rsidRPr="00F84712">
          <w:rPr>
            <w:rStyle w:val="Hyperlink"/>
            <w:rFonts w:ascii="Times New Roman" w:eastAsia="Times New Roman" w:hAnsi="Times New Roman" w:cs="Times New Roman"/>
            <w:sz w:val="24"/>
            <w:szCs w:val="24"/>
          </w:rPr>
          <w:t>https://doi.org/10.1016/j.gene.2004.1.022</w:t>
        </w:r>
      </w:hyperlink>
      <w:r>
        <w:rPr>
          <w:rFonts w:ascii="Times New Roman" w:eastAsia="Times New Roman" w:hAnsi="Times New Roman" w:cs="Times New Roman"/>
          <w:sz w:val="24"/>
          <w:szCs w:val="24"/>
        </w:rPr>
        <w:t xml:space="preserve"> </w:t>
      </w:r>
    </w:p>
    <w:p w:rsidR="00FF1219" w:rsidRDefault="00FF1219" w:rsidP="00FD4C1A">
      <w:pPr>
        <w:rPr>
          <w:rFonts w:ascii="Times New Roman" w:eastAsia="Times New Roman" w:hAnsi="Times New Roman" w:cs="Times New Roman"/>
          <w:sz w:val="24"/>
          <w:szCs w:val="24"/>
        </w:rPr>
      </w:pPr>
    </w:p>
    <w:p w:rsidR="00FF1219" w:rsidRDefault="00FF1219" w:rsidP="00FD4C1A">
      <w:pPr>
        <w:rPr>
          <w:rFonts w:ascii="Times New Roman" w:eastAsia="Times New Roman" w:hAnsi="Times New Roman" w:cs="Times New Roman"/>
          <w:sz w:val="24"/>
          <w:szCs w:val="24"/>
        </w:rPr>
      </w:pPr>
    </w:p>
    <w:p w:rsidR="00FF1219" w:rsidRPr="0075246F" w:rsidRDefault="00117E68" w:rsidP="00FD4C1A">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Yan, W., Jing, L., Bo, H., Yan-Mei, X. and Jing, L. (2015) ‘Mechanisms of alternative splicing and its regulation.’</w:t>
      </w:r>
      <w:proofErr w:type="gramEnd"/>
      <w:r>
        <w:rPr>
          <w:rFonts w:ascii="Times New Roman" w:eastAsia="Times New Roman" w:hAnsi="Times New Roman" w:cs="Times New Roman"/>
          <w:sz w:val="24"/>
          <w:szCs w:val="24"/>
        </w:rPr>
        <w:t xml:space="preserve"> </w:t>
      </w:r>
      <w:r w:rsidRPr="00117E68">
        <w:rPr>
          <w:rFonts w:ascii="Times New Roman" w:eastAsia="Times New Roman" w:hAnsi="Times New Roman" w:cs="Times New Roman"/>
          <w:i/>
          <w:sz w:val="24"/>
          <w:szCs w:val="24"/>
        </w:rPr>
        <w:t>Biomedical Reports</w:t>
      </w:r>
      <w:r>
        <w:rPr>
          <w:rFonts w:ascii="Times New Roman" w:eastAsia="Times New Roman" w:hAnsi="Times New Roman" w:cs="Times New Roman"/>
          <w:sz w:val="24"/>
          <w:szCs w:val="24"/>
        </w:rPr>
        <w:t>, 3(2), pp. 152.</w:t>
      </w:r>
      <w:r w:rsidR="007E344B">
        <w:rPr>
          <w:rFonts w:ascii="Times New Roman" w:eastAsia="Times New Roman" w:hAnsi="Times New Roman" w:cs="Times New Roman"/>
          <w:sz w:val="24"/>
          <w:szCs w:val="24"/>
        </w:rPr>
        <w:t xml:space="preserve"> </w:t>
      </w:r>
    </w:p>
    <w:sectPr w:rsidR="00FF1219" w:rsidRPr="0075246F">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3EC" w:rsidRDefault="009503EC" w:rsidP="0077207E">
      <w:pPr>
        <w:spacing w:line="240" w:lineRule="auto"/>
      </w:pPr>
      <w:r>
        <w:separator/>
      </w:r>
    </w:p>
  </w:endnote>
  <w:endnote w:type="continuationSeparator" w:id="0">
    <w:p w:rsidR="009503EC" w:rsidRDefault="009503EC"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007166"/>
      <w:docPartObj>
        <w:docPartGallery w:val="Page Numbers (Bottom of Page)"/>
        <w:docPartUnique/>
      </w:docPartObj>
    </w:sdtPr>
    <w:sdtEndPr>
      <w:rPr>
        <w:noProof/>
      </w:rPr>
    </w:sdtEndPr>
    <w:sdtContent>
      <w:p w:rsidR="002B7B51" w:rsidRDefault="002B7B51">
        <w:pPr>
          <w:pStyle w:val="Footer"/>
          <w:jc w:val="center"/>
        </w:pPr>
        <w:r>
          <w:fldChar w:fldCharType="begin"/>
        </w:r>
        <w:r>
          <w:instrText xml:space="preserve"> PAGE   \* MERGEFORMAT </w:instrText>
        </w:r>
        <w:r>
          <w:fldChar w:fldCharType="separate"/>
        </w:r>
        <w:r w:rsidR="00A45402">
          <w:rPr>
            <w:noProof/>
          </w:rPr>
          <w:t>1</w:t>
        </w:r>
        <w:r>
          <w:rPr>
            <w:noProof/>
          </w:rPr>
          <w:fldChar w:fldCharType="end"/>
        </w:r>
      </w:p>
    </w:sdtContent>
  </w:sdt>
  <w:p w:rsidR="002B7B51" w:rsidRDefault="002B7B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3EC" w:rsidRDefault="009503EC" w:rsidP="0077207E">
      <w:pPr>
        <w:spacing w:line="240" w:lineRule="auto"/>
      </w:pPr>
      <w:r>
        <w:separator/>
      </w:r>
    </w:p>
  </w:footnote>
  <w:footnote w:type="continuationSeparator" w:id="0">
    <w:p w:rsidR="009503EC" w:rsidRDefault="009503EC"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B290CF9"/>
    <w:multiLevelType w:val="hybridMultilevel"/>
    <w:tmpl w:val="A2BEDA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06FAB"/>
    <w:rsid w:val="0003656D"/>
    <w:rsid w:val="00047B19"/>
    <w:rsid w:val="000650CF"/>
    <w:rsid w:val="00082F6E"/>
    <w:rsid w:val="000D4291"/>
    <w:rsid w:val="000E7D1C"/>
    <w:rsid w:val="00101E8C"/>
    <w:rsid w:val="00117E68"/>
    <w:rsid w:val="0012333F"/>
    <w:rsid w:val="001F7C59"/>
    <w:rsid w:val="00244468"/>
    <w:rsid w:val="00284721"/>
    <w:rsid w:val="00284793"/>
    <w:rsid w:val="002B7B51"/>
    <w:rsid w:val="002C0B37"/>
    <w:rsid w:val="00317441"/>
    <w:rsid w:val="00344249"/>
    <w:rsid w:val="00372FFD"/>
    <w:rsid w:val="003D12AE"/>
    <w:rsid w:val="00401D59"/>
    <w:rsid w:val="004150A6"/>
    <w:rsid w:val="00417FA2"/>
    <w:rsid w:val="00421541"/>
    <w:rsid w:val="004241E9"/>
    <w:rsid w:val="00424460"/>
    <w:rsid w:val="00437D19"/>
    <w:rsid w:val="00484EC1"/>
    <w:rsid w:val="004B2563"/>
    <w:rsid w:val="004E5105"/>
    <w:rsid w:val="00505A08"/>
    <w:rsid w:val="00523B01"/>
    <w:rsid w:val="00530E4E"/>
    <w:rsid w:val="005374BB"/>
    <w:rsid w:val="00585109"/>
    <w:rsid w:val="00597C48"/>
    <w:rsid w:val="005C2FF2"/>
    <w:rsid w:val="005C3535"/>
    <w:rsid w:val="0060270A"/>
    <w:rsid w:val="006A1015"/>
    <w:rsid w:val="007023CB"/>
    <w:rsid w:val="00722AEC"/>
    <w:rsid w:val="0075246F"/>
    <w:rsid w:val="00754322"/>
    <w:rsid w:val="0077207E"/>
    <w:rsid w:val="00796D3C"/>
    <w:rsid w:val="007A17E6"/>
    <w:rsid w:val="007D2445"/>
    <w:rsid w:val="007D332B"/>
    <w:rsid w:val="007E344B"/>
    <w:rsid w:val="008052F2"/>
    <w:rsid w:val="00806661"/>
    <w:rsid w:val="0083185A"/>
    <w:rsid w:val="00846882"/>
    <w:rsid w:val="008508FD"/>
    <w:rsid w:val="00856D7E"/>
    <w:rsid w:val="00905361"/>
    <w:rsid w:val="00913CF5"/>
    <w:rsid w:val="009503EC"/>
    <w:rsid w:val="00964804"/>
    <w:rsid w:val="00972094"/>
    <w:rsid w:val="00972780"/>
    <w:rsid w:val="00975961"/>
    <w:rsid w:val="009A7B9D"/>
    <w:rsid w:val="009E03F7"/>
    <w:rsid w:val="009F03AC"/>
    <w:rsid w:val="009F3416"/>
    <w:rsid w:val="00A02860"/>
    <w:rsid w:val="00A107E9"/>
    <w:rsid w:val="00A15483"/>
    <w:rsid w:val="00A45402"/>
    <w:rsid w:val="00A72A53"/>
    <w:rsid w:val="00AE37DC"/>
    <w:rsid w:val="00B10F67"/>
    <w:rsid w:val="00B6761C"/>
    <w:rsid w:val="00B80AF6"/>
    <w:rsid w:val="00BB6E2C"/>
    <w:rsid w:val="00BC31B5"/>
    <w:rsid w:val="00BF3F1C"/>
    <w:rsid w:val="00C01FA3"/>
    <w:rsid w:val="00C10F21"/>
    <w:rsid w:val="00C1502A"/>
    <w:rsid w:val="00C3093A"/>
    <w:rsid w:val="00C536A6"/>
    <w:rsid w:val="00C6371F"/>
    <w:rsid w:val="00CA0668"/>
    <w:rsid w:val="00CA255D"/>
    <w:rsid w:val="00CA37F8"/>
    <w:rsid w:val="00CB1CB8"/>
    <w:rsid w:val="00CB2B21"/>
    <w:rsid w:val="00D34C76"/>
    <w:rsid w:val="00D6095A"/>
    <w:rsid w:val="00DF5A32"/>
    <w:rsid w:val="00E07294"/>
    <w:rsid w:val="00E10195"/>
    <w:rsid w:val="00E36920"/>
    <w:rsid w:val="00E43A94"/>
    <w:rsid w:val="00E679EF"/>
    <w:rsid w:val="00E71F55"/>
    <w:rsid w:val="00EA5C3F"/>
    <w:rsid w:val="00EB1F41"/>
    <w:rsid w:val="00EC505B"/>
    <w:rsid w:val="00ED2D03"/>
    <w:rsid w:val="00EE29ED"/>
    <w:rsid w:val="00F7328F"/>
    <w:rsid w:val="00F8415B"/>
    <w:rsid w:val="00FD2CFF"/>
    <w:rsid w:val="00FD4C1A"/>
    <w:rsid w:val="00FF1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60270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6027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7189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86/1756-8935-5-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i.org/10.1038/hdy.2010.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gene.2004.1.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B978-0-7236-1151-6.50023-6" TargetMode="External"/><Relationship Id="rId5" Type="http://schemas.openxmlformats.org/officeDocument/2006/relationships/settings" Target="settings.xml"/><Relationship Id="rId15" Type="http://schemas.openxmlformats.org/officeDocument/2006/relationships/hyperlink" Target="https://doi.org/10.1016/S0092-8674(02)00655-4" TargetMode="External"/><Relationship Id="rId10" Type="http://schemas.openxmlformats.org/officeDocument/2006/relationships/hyperlink" Target="https://doi.org/10.038/nature05913"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doi.org/10.1016/j.cell.2007.01.033" TargetMode="External"/><Relationship Id="rId14" Type="http://schemas.openxmlformats.org/officeDocument/2006/relationships/hyperlink" Target="https://doi.org/10.1038/nrm16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1E395-C5BD-48D2-844E-710D47A06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Ffion</cp:lastModifiedBy>
  <cp:revision>2</cp:revision>
  <cp:lastPrinted>2017-01-30T10:38:00Z</cp:lastPrinted>
  <dcterms:created xsi:type="dcterms:W3CDTF">2020-03-22T13:42:00Z</dcterms:created>
  <dcterms:modified xsi:type="dcterms:W3CDTF">2020-03-22T13:42:00Z</dcterms:modified>
</cp:coreProperties>
</file>