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DF914" w14:textId="1734556C" w:rsidR="00635DF0" w:rsidRPr="00955E1C" w:rsidRDefault="00635DF0" w:rsidP="00635DF0">
      <w:pPr>
        <w:spacing w:line="360" w:lineRule="auto"/>
        <w:rPr>
          <w:b/>
          <w:sz w:val="28"/>
          <w:szCs w:val="28"/>
        </w:rPr>
      </w:pPr>
      <w:r w:rsidRPr="00955E1C">
        <w:rPr>
          <w:b/>
          <w:sz w:val="28"/>
          <w:szCs w:val="28"/>
        </w:rPr>
        <w:t>Student’s Profile</w:t>
      </w:r>
      <w:r w:rsidR="00445EAA">
        <w:rPr>
          <w:b/>
          <w:sz w:val="28"/>
          <w:szCs w:val="28"/>
        </w:rPr>
        <w:t xml:space="preserve"> Alhagie Darboe</w:t>
      </w:r>
    </w:p>
    <w:p w14:paraId="1D694078" w14:textId="77777777" w:rsidR="00635DF0" w:rsidRPr="00955E1C" w:rsidRDefault="00635DF0" w:rsidP="00635DF0">
      <w:pPr>
        <w:spacing w:line="360" w:lineRule="auto"/>
        <w:rPr>
          <w:b/>
          <w:sz w:val="28"/>
          <w:szCs w:val="28"/>
        </w:rPr>
      </w:pPr>
    </w:p>
    <w:p w14:paraId="69DB0B04" w14:textId="77777777" w:rsidR="00635DF0" w:rsidRPr="00955E1C" w:rsidRDefault="00635DF0" w:rsidP="00635DF0">
      <w:pPr>
        <w:spacing w:line="360" w:lineRule="auto"/>
        <w:rPr>
          <w:b/>
          <w:sz w:val="28"/>
          <w:szCs w:val="28"/>
        </w:rPr>
      </w:pPr>
    </w:p>
    <w:p w14:paraId="134286FA" w14:textId="169B2610" w:rsidR="00635DF0" w:rsidRPr="00955E1C" w:rsidRDefault="00635DF0" w:rsidP="00635DF0">
      <w:pPr>
        <w:spacing w:line="360" w:lineRule="auto"/>
        <w:rPr>
          <w:b/>
          <w:sz w:val="28"/>
          <w:szCs w:val="28"/>
        </w:rPr>
      </w:pPr>
      <w:r w:rsidRPr="00955E1C">
        <w:rPr>
          <w:b/>
          <w:sz w:val="28"/>
          <w:szCs w:val="28"/>
        </w:rPr>
        <w:t>Presentation by</w:t>
      </w:r>
      <w:r w:rsidRPr="00955E1C">
        <w:rPr>
          <w:b/>
          <w:sz w:val="28"/>
          <w:szCs w:val="28"/>
        </w:rPr>
        <w:tab/>
        <w:t>:</w:t>
      </w:r>
      <w:r w:rsidR="00CE286F">
        <w:rPr>
          <w:b/>
          <w:sz w:val="28"/>
          <w:szCs w:val="28"/>
        </w:rPr>
        <w:t>ALHAGIE</w:t>
      </w:r>
      <w:r w:rsidR="00396B22">
        <w:rPr>
          <w:b/>
          <w:sz w:val="28"/>
          <w:szCs w:val="28"/>
        </w:rPr>
        <w:t xml:space="preserve"> </w:t>
      </w:r>
      <w:r w:rsidR="00CE286F">
        <w:rPr>
          <w:b/>
          <w:sz w:val="28"/>
          <w:szCs w:val="28"/>
        </w:rPr>
        <w:t>DARBOE(</w:t>
      </w:r>
      <w:r w:rsidR="007E65AA">
        <w:rPr>
          <w:b/>
          <w:sz w:val="28"/>
          <w:szCs w:val="28"/>
        </w:rPr>
        <w:t>2519531</w:t>
      </w:r>
      <w:r w:rsidR="00CE286F">
        <w:rPr>
          <w:b/>
          <w:sz w:val="28"/>
          <w:szCs w:val="28"/>
        </w:rPr>
        <w:t>)</w:t>
      </w:r>
    </w:p>
    <w:p w14:paraId="7A40D539" w14:textId="6F5E7D97" w:rsidR="00635DF0" w:rsidRPr="00955E1C" w:rsidRDefault="00955E1C" w:rsidP="00635DF0">
      <w:pPr>
        <w:spacing w:line="360" w:lineRule="auto"/>
        <w:rPr>
          <w:b/>
          <w:sz w:val="28"/>
          <w:szCs w:val="28"/>
        </w:rPr>
      </w:pPr>
      <w:r>
        <w:rPr>
          <w:b/>
          <w:sz w:val="28"/>
          <w:szCs w:val="28"/>
        </w:rPr>
        <w:t>Course Title</w:t>
      </w:r>
      <w:r>
        <w:rPr>
          <w:b/>
          <w:sz w:val="28"/>
          <w:szCs w:val="28"/>
        </w:rPr>
        <w:tab/>
      </w:r>
      <w:r w:rsidR="00635DF0" w:rsidRPr="00955E1C">
        <w:rPr>
          <w:b/>
          <w:sz w:val="28"/>
          <w:szCs w:val="28"/>
        </w:rPr>
        <w:t>:</w:t>
      </w:r>
      <w:r w:rsidR="007830FC">
        <w:rPr>
          <w:b/>
          <w:sz w:val="28"/>
          <w:szCs w:val="28"/>
        </w:rPr>
        <w:t xml:space="preserve">PUBLIC HEALTH </w:t>
      </w:r>
    </w:p>
    <w:p w14:paraId="2440D296" w14:textId="7D63B30B" w:rsidR="00635DF0" w:rsidRPr="00955E1C" w:rsidRDefault="00635DF0" w:rsidP="00635DF0">
      <w:pPr>
        <w:spacing w:line="360" w:lineRule="auto"/>
        <w:rPr>
          <w:b/>
          <w:sz w:val="28"/>
          <w:szCs w:val="28"/>
        </w:rPr>
      </w:pPr>
      <w:r w:rsidRPr="00955E1C">
        <w:rPr>
          <w:b/>
          <w:sz w:val="28"/>
          <w:szCs w:val="28"/>
        </w:rPr>
        <w:t>Course Code</w:t>
      </w:r>
      <w:r w:rsidRPr="00955E1C">
        <w:rPr>
          <w:b/>
          <w:sz w:val="28"/>
          <w:szCs w:val="28"/>
        </w:rPr>
        <w:tab/>
        <w:t>:</w:t>
      </w:r>
      <w:r w:rsidR="005C2363">
        <w:rPr>
          <w:b/>
          <w:sz w:val="28"/>
          <w:szCs w:val="28"/>
        </w:rPr>
        <w:t>LCHS4008</w:t>
      </w:r>
    </w:p>
    <w:p w14:paraId="65DB871A" w14:textId="5917B58C" w:rsidR="00635DF0" w:rsidRPr="00955E1C" w:rsidRDefault="00635DF0" w:rsidP="00635DF0">
      <w:pPr>
        <w:spacing w:line="360" w:lineRule="auto"/>
        <w:rPr>
          <w:b/>
          <w:sz w:val="28"/>
          <w:szCs w:val="28"/>
        </w:rPr>
      </w:pPr>
      <w:r w:rsidRPr="00955E1C">
        <w:rPr>
          <w:b/>
          <w:sz w:val="28"/>
          <w:szCs w:val="28"/>
        </w:rPr>
        <w:t>Lecturer</w:t>
      </w:r>
      <w:r w:rsidRPr="00955E1C">
        <w:rPr>
          <w:b/>
          <w:sz w:val="28"/>
          <w:szCs w:val="28"/>
        </w:rPr>
        <w:tab/>
      </w:r>
      <w:r w:rsidRPr="00955E1C">
        <w:rPr>
          <w:b/>
          <w:sz w:val="28"/>
          <w:szCs w:val="28"/>
        </w:rPr>
        <w:tab/>
        <w:t>:</w:t>
      </w:r>
      <w:r w:rsidR="00BC2186">
        <w:rPr>
          <w:b/>
          <w:sz w:val="28"/>
          <w:szCs w:val="28"/>
        </w:rPr>
        <w:t>D</w:t>
      </w:r>
      <w:r w:rsidR="007E65AA">
        <w:rPr>
          <w:b/>
          <w:sz w:val="28"/>
          <w:szCs w:val="28"/>
        </w:rPr>
        <w:t>EBRA IDEH</w:t>
      </w:r>
    </w:p>
    <w:p w14:paraId="31DADCA5" w14:textId="64208C1B" w:rsidR="00635DF0" w:rsidRPr="00955E1C" w:rsidRDefault="00635DF0" w:rsidP="00635DF0">
      <w:pPr>
        <w:spacing w:line="360" w:lineRule="auto"/>
        <w:rPr>
          <w:b/>
          <w:sz w:val="28"/>
          <w:szCs w:val="28"/>
        </w:rPr>
      </w:pPr>
      <w:r w:rsidRPr="00955E1C">
        <w:rPr>
          <w:b/>
          <w:sz w:val="28"/>
          <w:szCs w:val="28"/>
        </w:rPr>
        <w:t>Date</w:t>
      </w:r>
      <w:r w:rsidRPr="00955E1C">
        <w:rPr>
          <w:b/>
          <w:sz w:val="28"/>
          <w:szCs w:val="28"/>
        </w:rPr>
        <w:tab/>
      </w:r>
      <w:r w:rsidRPr="00955E1C">
        <w:rPr>
          <w:b/>
          <w:sz w:val="28"/>
          <w:szCs w:val="28"/>
        </w:rPr>
        <w:tab/>
      </w:r>
      <w:r w:rsidRPr="00955E1C">
        <w:rPr>
          <w:b/>
          <w:sz w:val="28"/>
          <w:szCs w:val="28"/>
        </w:rPr>
        <w:tab/>
        <w:t>:</w:t>
      </w:r>
      <w:r w:rsidR="00BC2186">
        <w:rPr>
          <w:b/>
          <w:sz w:val="28"/>
          <w:szCs w:val="28"/>
        </w:rPr>
        <w:t>13/06/26</w:t>
      </w:r>
    </w:p>
    <w:p w14:paraId="344F6482" w14:textId="77777777" w:rsidR="00635DF0" w:rsidRDefault="00635DF0">
      <w:pPr>
        <w:spacing w:after="120"/>
        <w:jc w:val="center"/>
        <w:rPr>
          <w:rFonts w:ascii="Arial" w:eastAsia="Arial" w:hAnsi="Arial" w:cs="Arial"/>
          <w:b/>
          <w:bCs/>
          <w:sz w:val="28"/>
          <w:szCs w:val="28"/>
        </w:rPr>
      </w:pPr>
    </w:p>
    <w:p w14:paraId="64CF9C67" w14:textId="77777777" w:rsidR="00635DF0" w:rsidRDefault="00635DF0">
      <w:pPr>
        <w:jc w:val="left"/>
        <w:rPr>
          <w:rFonts w:ascii="Arial" w:eastAsia="Arial" w:hAnsi="Arial" w:cs="Arial"/>
          <w:b/>
          <w:bCs/>
          <w:sz w:val="28"/>
          <w:szCs w:val="28"/>
        </w:rPr>
      </w:pPr>
      <w:r>
        <w:rPr>
          <w:rFonts w:ascii="Arial" w:eastAsia="Arial" w:hAnsi="Arial" w:cs="Arial"/>
          <w:b/>
          <w:bCs/>
          <w:sz w:val="28"/>
          <w:szCs w:val="28"/>
        </w:rPr>
        <w:br w:type="page"/>
      </w:r>
    </w:p>
    <w:p w14:paraId="0BAFF8B5" w14:textId="77777777" w:rsidR="00E9767B" w:rsidRDefault="00646BB4">
      <w:pPr>
        <w:spacing w:after="120"/>
        <w:jc w:val="center"/>
      </w:pPr>
      <w:r>
        <w:rPr>
          <w:rFonts w:ascii="Arial" w:eastAsia="Arial" w:hAnsi="Arial" w:cs="Arial"/>
          <w:b/>
          <w:bCs/>
          <w:sz w:val="28"/>
          <w:szCs w:val="28"/>
        </w:rPr>
        <w:t>Introduction to Public Health</w:t>
      </w:r>
    </w:p>
    <w:p w14:paraId="78E4F0B2" w14:textId="77777777" w:rsidR="00E9767B" w:rsidRDefault="00646BB4">
      <w:pPr>
        <w:spacing w:after="400"/>
        <w:jc w:val="center"/>
      </w:pPr>
      <w:r>
        <w:rPr>
          <w:rFonts w:ascii="Arial" w:eastAsia="Arial" w:hAnsi="Arial" w:cs="Arial"/>
          <w:b/>
          <w:bCs/>
          <w:sz w:val="24"/>
        </w:rPr>
        <w:t>Prostate Cancer</w:t>
      </w:r>
    </w:p>
    <w:p w14:paraId="01F2DEAB" w14:textId="77777777" w:rsidR="000A0FCF" w:rsidRDefault="000A0FCF">
      <w:pPr>
        <w:pStyle w:val="Heading11"/>
      </w:pPr>
      <w:r>
        <w:t>Introduction</w:t>
      </w:r>
    </w:p>
    <w:p w14:paraId="5D54FF4A" w14:textId="77777777" w:rsidR="000A0FCF" w:rsidRPr="00646BB4" w:rsidRDefault="00646BB4" w:rsidP="00646BB4">
      <w:pPr>
        <w:spacing w:line="360" w:lineRule="auto"/>
        <w:rPr>
          <w:sz w:val="24"/>
        </w:rPr>
      </w:pPr>
      <w:r w:rsidRPr="00646BB4">
        <w:rPr>
          <w:sz w:val="24"/>
        </w:rPr>
        <w:t>Prostate cancer is one of the major diseases with a significant public health challenge throughout the world.</w:t>
      </w:r>
      <w:r w:rsidR="0025016C">
        <w:rPr>
          <w:sz w:val="24"/>
        </w:rPr>
        <w:t xml:space="preserve"> </w:t>
      </w:r>
      <w:r w:rsidR="0025016C" w:rsidRPr="0025016C">
        <w:rPr>
          <w:sz w:val="24"/>
        </w:rPr>
        <w:t>Prostate cancer (PC) is the most frequently diagnosed cancer and second most common cause of cancer death among men in the United Kingdom (UK)</w:t>
      </w:r>
      <w:r w:rsidR="0025016C">
        <w:rPr>
          <w:sz w:val="24"/>
        </w:rPr>
        <w:t xml:space="preserve"> (</w:t>
      </w:r>
      <w:r w:rsidR="0025016C">
        <w:rPr>
          <w:sz w:val="22"/>
          <w:szCs w:val="22"/>
        </w:rPr>
        <w:t>Tan, E.H. et al, 2024</w:t>
      </w:r>
      <w:r w:rsidR="0025016C">
        <w:rPr>
          <w:sz w:val="24"/>
        </w:rPr>
        <w:t>).</w:t>
      </w:r>
      <w:r w:rsidRPr="00646BB4">
        <w:rPr>
          <w:sz w:val="24"/>
        </w:rPr>
        <w:t xml:space="preserve"> In order to be able to drive effective interventions, health professionals and organizations needs to accurately measure the mode and rate at which the disease spreads through a population within a particular society. The concept that summarizes such determination and processes is called incidences measurement. The proceeding paragraphs </w:t>
      </w:r>
      <w:r w:rsidR="0025016C">
        <w:rPr>
          <w:sz w:val="24"/>
        </w:rPr>
        <w:t>will explore</w:t>
      </w:r>
      <w:r w:rsidRPr="00646BB4">
        <w:rPr>
          <w:sz w:val="24"/>
        </w:rPr>
        <w:t xml:space="preserve"> the fundamental epidemiological conception of incidence and the methodologies used to monitor prostate cancer within the community.</w:t>
      </w:r>
    </w:p>
    <w:p w14:paraId="20D2AA6E" w14:textId="77777777" w:rsidR="00646BB4" w:rsidRDefault="00646BB4" w:rsidP="00646BB4">
      <w:pPr>
        <w:pStyle w:val="Heading11"/>
      </w:pPr>
      <w:r>
        <w:t xml:space="preserve">Measuring Incidence </w:t>
      </w:r>
    </w:p>
    <w:p w14:paraId="4CE101B2" w14:textId="77777777" w:rsidR="00E9767B" w:rsidRDefault="00646BB4" w:rsidP="00646BB4">
      <w:pPr>
        <w:pStyle w:val="Heading11"/>
      </w:pPr>
      <w:r>
        <w:t>Meaning</w:t>
      </w:r>
      <w:r w:rsidR="00635DF0">
        <w:t xml:space="preserve"> of Incidence</w:t>
      </w:r>
    </w:p>
    <w:p w14:paraId="6F0AEB4B" w14:textId="77777777" w:rsidR="00E51C2C" w:rsidRDefault="00646BB4">
      <w:pPr>
        <w:spacing w:after="180" w:line="360" w:lineRule="auto"/>
        <w:rPr>
          <w:sz w:val="24"/>
        </w:rPr>
      </w:pPr>
      <w:r>
        <w:rPr>
          <w:sz w:val="24"/>
        </w:rPr>
        <w:t xml:space="preserve">Incidence is a fundamental measure of morbidity in public health. It is defined as the number of new cases of a disease or health condition that develop within a population at risk over a specified period of time (Health Knowledge, n.d.). This is an important distinction: incidence captures only new cases, whereas prevalence includes both new and pre-existing cases. Put simply, prevalence reflects how widespread a disease is at a given moment, while incidence tells us how quickly it is arising. </w:t>
      </w:r>
      <w:r w:rsidR="00E51C2C" w:rsidRPr="00E51C2C">
        <w:rPr>
          <w:bCs/>
          <w:sz w:val="24"/>
        </w:rPr>
        <w:t xml:space="preserve">The clinical Significance </w:t>
      </w:r>
      <w:r w:rsidR="00E51C2C" w:rsidRPr="00E51C2C">
        <w:rPr>
          <w:sz w:val="24"/>
        </w:rPr>
        <w:t>for prostate cancer, measuring incidence is crucial for determining if health promotion campaigns are effective or if there is an increasing trend in specific demographics.</w:t>
      </w:r>
    </w:p>
    <w:p w14:paraId="10F19017" w14:textId="77777777" w:rsidR="00E9767B" w:rsidRPr="00E51C2C" w:rsidRDefault="00646BB4">
      <w:pPr>
        <w:spacing w:after="180" w:line="360" w:lineRule="auto"/>
        <w:rPr>
          <w:sz w:val="24"/>
        </w:rPr>
      </w:pPr>
      <w:r>
        <w:rPr>
          <w:sz w:val="24"/>
        </w:rPr>
        <w:t>For public health purposes, incidence is the more useful measure when tracking the emergence of disease, identifying risk, and planning services.</w:t>
      </w:r>
    </w:p>
    <w:p w14:paraId="1E316ECA" w14:textId="77777777" w:rsidR="00E9767B" w:rsidRDefault="00E9767B">
      <w:pPr>
        <w:spacing w:after="80"/>
      </w:pPr>
    </w:p>
    <w:p w14:paraId="69740A35" w14:textId="77777777" w:rsidR="00635DF0" w:rsidRDefault="00646BB4">
      <w:pPr>
        <w:spacing w:after="180" w:line="360" w:lineRule="auto"/>
        <w:rPr>
          <w:sz w:val="24"/>
        </w:rPr>
      </w:pPr>
      <w:r>
        <w:rPr>
          <w:sz w:val="24"/>
        </w:rPr>
        <w:t xml:space="preserve">Two types of incidence are commonly used in epidemiology. </w:t>
      </w:r>
    </w:p>
    <w:p w14:paraId="23B87064" w14:textId="77777777" w:rsidR="00635DF0" w:rsidRDefault="00646BB4" w:rsidP="00635DF0">
      <w:pPr>
        <w:pStyle w:val="ListParagraph"/>
        <w:numPr>
          <w:ilvl w:val="0"/>
          <w:numId w:val="3"/>
        </w:numPr>
        <w:spacing w:after="180" w:line="360" w:lineRule="auto"/>
      </w:pPr>
      <w:r w:rsidRPr="00635DF0">
        <w:rPr>
          <w:b/>
          <w:bCs/>
        </w:rPr>
        <w:t>Incidence proportion</w:t>
      </w:r>
      <w:r w:rsidRPr="00635DF0">
        <w:t xml:space="preserve"> — also called cumulative incidence or attack rate — relates new cases to the population at risk at the start of a study period. </w:t>
      </w:r>
    </w:p>
    <w:p w14:paraId="75BC7DB3" w14:textId="77777777" w:rsidR="0025016C" w:rsidRPr="00E51C2C" w:rsidRDefault="00646BB4" w:rsidP="00E51C2C">
      <w:pPr>
        <w:pStyle w:val="ListParagraph"/>
        <w:numPr>
          <w:ilvl w:val="0"/>
          <w:numId w:val="3"/>
        </w:numPr>
        <w:spacing w:after="180" w:line="360" w:lineRule="auto"/>
      </w:pPr>
      <w:r w:rsidRPr="00635DF0">
        <w:rPr>
          <w:b/>
          <w:bCs/>
        </w:rPr>
        <w:t>Incidence rate</w:t>
      </w:r>
      <w:r w:rsidRPr="00635DF0">
        <w:t xml:space="preserve"> — or person-time rate — is a more precise measure that accounts for the length of time each person is actually at risk, expressed in person-time units (Health Knowledge, n.d.). </w:t>
      </w:r>
    </w:p>
    <w:p w14:paraId="5B2F1FE8" w14:textId="77777777" w:rsidR="00646BB4" w:rsidRPr="00635DF0" w:rsidRDefault="00646BB4" w:rsidP="00E51C2C">
      <w:pPr>
        <w:spacing w:after="180" w:line="360" w:lineRule="auto"/>
        <w:rPr>
          <w:sz w:val="24"/>
        </w:rPr>
      </w:pPr>
      <w:r w:rsidRPr="00635DF0">
        <w:rPr>
          <w:sz w:val="24"/>
        </w:rPr>
        <w:t>In cancer epidemiology, incidence is most commonly reported as the number of new cases per 100,000 population per year, calculated by dividing new registrations by the total population and multiplying by 100,000 (NHS England, 2024). This standardised approach allows comparisons across regions, age groups, and time periods.</w:t>
      </w:r>
    </w:p>
    <w:p w14:paraId="39E7E611" w14:textId="77777777" w:rsidR="00E51C2C" w:rsidRDefault="00E51C2C">
      <w:pPr>
        <w:pStyle w:val="Heading21"/>
      </w:pPr>
    </w:p>
    <w:p w14:paraId="1071EB67" w14:textId="77777777" w:rsidR="00E9767B" w:rsidRDefault="00646BB4">
      <w:pPr>
        <w:pStyle w:val="Heading21"/>
      </w:pPr>
      <w:r>
        <w:t>Measuring Incidence in Prostate Cancer</w:t>
      </w:r>
    </w:p>
    <w:p w14:paraId="7D607DFE" w14:textId="77777777" w:rsidR="00E9767B" w:rsidRDefault="00646BB4">
      <w:pPr>
        <w:spacing w:after="180" w:line="360" w:lineRule="auto"/>
      </w:pPr>
      <w:r>
        <w:rPr>
          <w:sz w:val="24"/>
        </w:rPr>
        <w:t>Prostate cancer provides a clear and pressing example of why incidence data matters in practice. It is now the most commonly diagnosed cancer in the UK. NHS figures show a significant rise in cases from just under 52,000 in 2021 to more than 64,000 in 2022, an increase of 24 per cent in a single year (Prostate Cancer UK, 2026). Over the past decade, diagnoses have risen by 42 per cent, up from around 45,000 cases in 2012. Prostate cancer now accounts for 14% of all new cancer cases in the UK, with roughly 57,900 new cases diagnosed annually (Cancer Research UK, 2025).</w:t>
      </w:r>
    </w:p>
    <w:p w14:paraId="79CE8696" w14:textId="77777777" w:rsidR="00E9767B" w:rsidRDefault="00E9767B">
      <w:pPr>
        <w:spacing w:after="80"/>
      </w:pPr>
    </w:p>
    <w:p w14:paraId="030E185D" w14:textId="77777777" w:rsidR="00E9767B" w:rsidRDefault="00646BB4">
      <w:pPr>
        <w:spacing w:after="180" w:line="360" w:lineRule="auto"/>
      </w:pPr>
      <w:r>
        <w:rPr>
          <w:sz w:val="24"/>
        </w:rPr>
        <w:t>When viewed as a standardised rate over time, the trend is equally striking. The incidence of prostate cancer increased from 109 per 100,000 person-years in 2000 to 159 per 100,000 person-years in 2021 (Tan et al., 2024). Rates are highest in men aged 75 to 79, with almost one in five new cases diagnosed in this age group (Cancer Research UK, 2025). Looking ahead, incidence is projected to increase by a further 14% between 2024-2026 and 2038-2040, with an estimated 85,100 new cases per year expected in the UK by 2038-2040 (Cancer Research UK, 2025). These projections reflect an ageing population and highlight the growing demand on NHS services.</w:t>
      </w:r>
    </w:p>
    <w:p w14:paraId="4EC9629A" w14:textId="77777777" w:rsidR="00E9767B" w:rsidRDefault="00E9767B">
      <w:pPr>
        <w:spacing w:after="80"/>
      </w:pPr>
    </w:p>
    <w:p w14:paraId="1ED89E58" w14:textId="77777777" w:rsidR="00635DF0" w:rsidRPr="002142C7" w:rsidRDefault="00646BB4" w:rsidP="002142C7">
      <w:pPr>
        <w:spacing w:after="180" w:line="360" w:lineRule="auto"/>
      </w:pPr>
      <w:r>
        <w:rPr>
          <w:sz w:val="24"/>
        </w:rPr>
        <w:t>Much of the recorded rise in incidence is linked to greater public awareness of the disease. Campaigns encouraging men to seek PSA blood tests have helped more men come forward, leading to more diagnoses being recorded (Prostate Cancer UK, 2026). However, this does not mean the picture is straightforwardly positive. Incidence rates in England are 17% lower in the most deprived quintile compared with the least deprived not because the disease is less common there, but likely because PSA testing rates are lower in more deprived communities, leading to fewer recorded diagnoses (Cancer Research UK, 2025). Furthermore, despite no national screening programme existing, prostate cancer often presents with no early symptoms, meaning that without proactive testing, too many men continue to be diagnosed at an advanced stage (Prostate Cancer UK, 2026).</w:t>
      </w:r>
      <w:r w:rsidR="00635DF0">
        <w:br w:type="page"/>
      </w:r>
    </w:p>
    <w:p w14:paraId="773F4BC4" w14:textId="77777777" w:rsidR="00E9767B" w:rsidRDefault="00646BB4">
      <w:pPr>
        <w:pStyle w:val="Heading21"/>
      </w:pPr>
      <w:r>
        <w:t>Data Sources Used to Measure Incidence</w:t>
      </w:r>
    </w:p>
    <w:p w14:paraId="524A8813" w14:textId="77777777" w:rsidR="00635DF0" w:rsidRDefault="00646BB4">
      <w:pPr>
        <w:spacing w:after="180" w:line="360" w:lineRule="auto"/>
        <w:rPr>
          <w:sz w:val="24"/>
        </w:rPr>
      </w:pPr>
      <w:r>
        <w:rPr>
          <w:sz w:val="24"/>
        </w:rPr>
        <w:t xml:space="preserve">Tracking new cases of prostate cancer relies on a coordinated system of data collection. In England, this is managed primarily through the </w:t>
      </w:r>
    </w:p>
    <w:p w14:paraId="10533412" w14:textId="77777777" w:rsidR="00635DF0" w:rsidRDefault="00646BB4" w:rsidP="00635DF0">
      <w:pPr>
        <w:pStyle w:val="ListParagraph"/>
        <w:numPr>
          <w:ilvl w:val="0"/>
          <w:numId w:val="2"/>
        </w:numPr>
        <w:spacing w:after="180" w:line="360" w:lineRule="auto"/>
      </w:pPr>
      <w:r w:rsidRPr="00635DF0">
        <w:rPr>
          <w:b/>
          <w:bCs/>
        </w:rPr>
        <w:t>National Disease Registration Service (NDRS)</w:t>
      </w:r>
      <w:r w:rsidRPr="00635DF0">
        <w:t xml:space="preserve">, which sits within NHS England. The NDRS collects data on over 300,000 cancer cases each year, recording patient details, cancer type, stage at diagnosis, and treatment received (NHS England Digital, 2024). Registrations are submitted from a wide range of healthcare providers, including histopathology and haematology departments, radiotherapy units, screening services, and GP practices. </w:t>
      </w:r>
    </w:p>
    <w:p w14:paraId="630150FB" w14:textId="77777777" w:rsidR="00EE5D6F" w:rsidRDefault="00646BB4" w:rsidP="00EE5D6F">
      <w:pPr>
        <w:pStyle w:val="ListParagraph"/>
        <w:numPr>
          <w:ilvl w:val="0"/>
          <w:numId w:val="2"/>
        </w:numPr>
        <w:spacing w:after="180" w:line="360" w:lineRule="auto"/>
      </w:pPr>
      <w:r w:rsidRPr="00635DF0">
        <w:t xml:space="preserve">The </w:t>
      </w:r>
      <w:r w:rsidRPr="00635DF0">
        <w:rPr>
          <w:b/>
          <w:bCs/>
        </w:rPr>
        <w:t>National Cancer Registration and Analysis Service (NCRAS)</w:t>
      </w:r>
      <w:r w:rsidRPr="00635DF0">
        <w:t>, part of the NDRS, draws on these multiple sources to build a comprehensive national picture of cancer incidence across England (NHS England Digital, 2024).</w:t>
      </w:r>
    </w:p>
    <w:p w14:paraId="448CA119" w14:textId="77777777" w:rsidR="00EE5D6F" w:rsidRPr="00EE5D6F" w:rsidRDefault="00EE5D6F" w:rsidP="00EE5D6F">
      <w:pPr>
        <w:spacing w:after="180" w:line="360" w:lineRule="auto"/>
        <w:rPr>
          <w:sz w:val="24"/>
        </w:rPr>
      </w:pPr>
      <w:r>
        <w:rPr>
          <w:sz w:val="24"/>
        </w:rPr>
        <w:t>Summary of Data Sources</w:t>
      </w:r>
    </w:p>
    <w:tbl>
      <w:tblPr>
        <w:tblStyle w:val="TableGrid"/>
        <w:tblW w:w="9669"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95"/>
        <w:gridCol w:w="7674"/>
      </w:tblGrid>
      <w:tr w:rsidR="00EE5D6F" w:rsidRPr="00003A78" w14:paraId="04179549" w14:textId="77777777" w:rsidTr="00EE5D6F">
        <w:trPr>
          <w:trHeight w:val="407"/>
        </w:trPr>
        <w:tc>
          <w:tcPr>
            <w:tcW w:w="0" w:type="auto"/>
            <w:hideMark/>
          </w:tcPr>
          <w:p w14:paraId="620D15D8"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b/>
                <w:bCs/>
                <w:color w:val="1F1F1F"/>
                <w:sz w:val="24"/>
                <w:szCs w:val="24"/>
              </w:rPr>
              <w:t>Data Source</w:t>
            </w:r>
          </w:p>
        </w:tc>
        <w:tc>
          <w:tcPr>
            <w:tcW w:w="0" w:type="auto"/>
            <w:hideMark/>
          </w:tcPr>
          <w:p w14:paraId="2B0BF08A"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b/>
                <w:bCs/>
                <w:color w:val="1F1F1F"/>
                <w:sz w:val="24"/>
                <w:szCs w:val="24"/>
              </w:rPr>
              <w:t>Role in Prostate Cancer Surveillance</w:t>
            </w:r>
          </w:p>
        </w:tc>
      </w:tr>
      <w:tr w:rsidR="00EE5D6F" w:rsidRPr="00003A78" w14:paraId="49944D95" w14:textId="77777777" w:rsidTr="00EE5D6F">
        <w:trPr>
          <w:trHeight w:val="814"/>
        </w:trPr>
        <w:tc>
          <w:tcPr>
            <w:tcW w:w="0" w:type="auto"/>
            <w:hideMark/>
          </w:tcPr>
          <w:p w14:paraId="17C6B902"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b/>
                <w:bCs/>
                <w:color w:val="1F1F1F"/>
                <w:sz w:val="24"/>
                <w:szCs w:val="24"/>
                <w:bdr w:val="none" w:sz="0" w:space="0" w:color="auto" w:frame="1"/>
              </w:rPr>
              <w:t>GP Records</w:t>
            </w:r>
          </w:p>
        </w:tc>
        <w:tc>
          <w:tcPr>
            <w:tcW w:w="0" w:type="auto"/>
            <w:hideMark/>
          </w:tcPr>
          <w:p w14:paraId="3DB45100"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color w:val="1F1F1F"/>
                <w:sz w:val="24"/>
                <w:szCs w:val="24"/>
                <w:bdr w:val="none" w:sz="0" w:space="0" w:color="auto" w:frame="1"/>
              </w:rPr>
              <w:t>Primary point of contact; records initial patient complaints and referral patterns.</w:t>
            </w:r>
          </w:p>
        </w:tc>
      </w:tr>
      <w:tr w:rsidR="00EE5D6F" w:rsidRPr="00003A78" w14:paraId="3D73C80C" w14:textId="77777777" w:rsidTr="00EE5D6F">
        <w:trPr>
          <w:trHeight w:val="407"/>
        </w:trPr>
        <w:tc>
          <w:tcPr>
            <w:tcW w:w="0" w:type="auto"/>
            <w:hideMark/>
          </w:tcPr>
          <w:p w14:paraId="59712C23"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b/>
                <w:bCs/>
                <w:color w:val="1F1F1F"/>
                <w:sz w:val="24"/>
                <w:szCs w:val="24"/>
                <w:bdr w:val="none" w:sz="0" w:space="0" w:color="auto" w:frame="1"/>
              </w:rPr>
              <w:t>Hospital Data</w:t>
            </w:r>
          </w:p>
        </w:tc>
        <w:tc>
          <w:tcPr>
            <w:tcW w:w="0" w:type="auto"/>
            <w:hideMark/>
          </w:tcPr>
          <w:p w14:paraId="65B720D7"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color w:val="1F1F1F"/>
                <w:sz w:val="24"/>
                <w:szCs w:val="24"/>
                <w:bdr w:val="none" w:sz="0" w:space="0" w:color="auto" w:frame="1"/>
              </w:rPr>
              <w:t>Tracks diagnostic confirmations, biopsies, and surgical interventions.</w:t>
            </w:r>
          </w:p>
        </w:tc>
      </w:tr>
      <w:tr w:rsidR="00EE5D6F" w:rsidRPr="00003A78" w14:paraId="3BDB3125" w14:textId="77777777" w:rsidTr="00EE5D6F">
        <w:trPr>
          <w:trHeight w:val="814"/>
        </w:trPr>
        <w:tc>
          <w:tcPr>
            <w:tcW w:w="0" w:type="auto"/>
            <w:hideMark/>
          </w:tcPr>
          <w:p w14:paraId="1DCE5C70"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b/>
                <w:bCs/>
                <w:color w:val="1F1F1F"/>
                <w:sz w:val="24"/>
                <w:szCs w:val="24"/>
                <w:bdr w:val="none" w:sz="0" w:space="0" w:color="auto" w:frame="1"/>
              </w:rPr>
              <w:t>Surveys</w:t>
            </w:r>
          </w:p>
        </w:tc>
        <w:tc>
          <w:tcPr>
            <w:tcW w:w="0" w:type="auto"/>
            <w:hideMark/>
          </w:tcPr>
          <w:p w14:paraId="10BCF3A1"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color w:val="1F1F1F"/>
                <w:sz w:val="24"/>
                <w:szCs w:val="24"/>
                <w:bdr w:val="none" w:sz="0" w:space="0" w:color="auto" w:frame="1"/>
              </w:rPr>
              <w:t>Population-based health surveys help capture data on men who may not utilize formal clinical systems.</w:t>
            </w:r>
          </w:p>
        </w:tc>
      </w:tr>
      <w:tr w:rsidR="00EE5D6F" w:rsidRPr="00003A78" w14:paraId="4C577671" w14:textId="77777777" w:rsidTr="00EE5D6F">
        <w:trPr>
          <w:trHeight w:val="814"/>
        </w:trPr>
        <w:tc>
          <w:tcPr>
            <w:tcW w:w="0" w:type="auto"/>
            <w:hideMark/>
          </w:tcPr>
          <w:p w14:paraId="62F9211F"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b/>
                <w:bCs/>
                <w:color w:val="1F1F1F"/>
                <w:sz w:val="24"/>
                <w:szCs w:val="24"/>
                <w:bdr w:val="none" w:sz="0" w:space="0" w:color="auto" w:frame="1"/>
              </w:rPr>
              <w:t>Screening Programs</w:t>
            </w:r>
          </w:p>
        </w:tc>
        <w:tc>
          <w:tcPr>
            <w:tcW w:w="0" w:type="auto"/>
            <w:hideMark/>
          </w:tcPr>
          <w:p w14:paraId="0A788373"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color w:val="1F1F1F"/>
                <w:sz w:val="24"/>
                <w:szCs w:val="24"/>
                <w:bdr w:val="none" w:sz="0" w:space="0" w:color="auto" w:frame="1"/>
              </w:rPr>
              <w:t>Centralized registries for PSA testing and imaging results.</w:t>
            </w:r>
          </w:p>
        </w:tc>
      </w:tr>
      <w:tr w:rsidR="00EE5D6F" w:rsidRPr="00003A78" w14:paraId="30728816" w14:textId="77777777" w:rsidTr="00EE5D6F">
        <w:trPr>
          <w:trHeight w:val="814"/>
        </w:trPr>
        <w:tc>
          <w:tcPr>
            <w:tcW w:w="0" w:type="auto"/>
            <w:hideMark/>
          </w:tcPr>
          <w:p w14:paraId="5267B892"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b/>
                <w:bCs/>
                <w:color w:val="1F1F1F"/>
                <w:sz w:val="24"/>
                <w:szCs w:val="24"/>
                <w:bdr w:val="none" w:sz="0" w:space="0" w:color="auto" w:frame="1"/>
              </w:rPr>
              <w:t>Lab Reports</w:t>
            </w:r>
          </w:p>
        </w:tc>
        <w:tc>
          <w:tcPr>
            <w:tcW w:w="0" w:type="auto"/>
            <w:hideMark/>
          </w:tcPr>
          <w:p w14:paraId="7020ABFA" w14:textId="77777777" w:rsidR="00EE5D6F" w:rsidRPr="00003A78" w:rsidRDefault="00EE5D6F" w:rsidP="00942C43">
            <w:pPr>
              <w:rPr>
                <w:rFonts w:ascii="Times New Roman" w:eastAsia="Times New Roman" w:hAnsi="Times New Roman" w:cs="Times New Roman"/>
                <w:color w:val="1F1F1F"/>
                <w:sz w:val="24"/>
                <w:szCs w:val="24"/>
              </w:rPr>
            </w:pPr>
            <w:r w:rsidRPr="00003A78">
              <w:rPr>
                <w:rFonts w:ascii="Times New Roman" w:eastAsia="Times New Roman" w:hAnsi="Times New Roman" w:cs="Times New Roman"/>
                <w:color w:val="1F1F1F"/>
                <w:sz w:val="24"/>
                <w:szCs w:val="24"/>
                <w:bdr w:val="none" w:sz="0" w:space="0" w:color="auto" w:frame="1"/>
              </w:rPr>
              <w:t>Essential for identifying confirmed pathological diagnoses of prostate cancer.</w:t>
            </w:r>
          </w:p>
        </w:tc>
      </w:tr>
    </w:tbl>
    <w:p w14:paraId="34DB8DFB" w14:textId="77777777" w:rsidR="00EE5D6F" w:rsidRDefault="002142C7">
      <w:pPr>
        <w:spacing w:after="180" w:line="360" w:lineRule="auto"/>
        <w:rPr>
          <w:sz w:val="24"/>
        </w:rPr>
      </w:pPr>
      <w:r>
        <w:rPr>
          <w:sz w:val="24"/>
        </w:rPr>
        <w:t>Source: Author’s Extract, 2026.</w:t>
      </w:r>
    </w:p>
    <w:p w14:paraId="65E2B5CA" w14:textId="77777777" w:rsidR="00EE5D6F" w:rsidRDefault="00EE5D6F">
      <w:pPr>
        <w:spacing w:after="180" w:line="360" w:lineRule="auto"/>
        <w:rPr>
          <w:sz w:val="24"/>
        </w:rPr>
      </w:pPr>
    </w:p>
    <w:p w14:paraId="4564FDE5" w14:textId="77777777" w:rsidR="00E51C2C" w:rsidRDefault="00646BB4" w:rsidP="00E51C2C">
      <w:pPr>
        <w:spacing w:after="180" w:line="360" w:lineRule="auto"/>
        <w:rPr>
          <w:sz w:val="24"/>
        </w:rPr>
      </w:pPr>
      <w:r>
        <w:rPr>
          <w:sz w:val="24"/>
        </w:rPr>
        <w:t>Beyond the registration system, hospital records and pathology laboratory reports play a central role in capturing new diagnoses. Each prostate cancer diagnosis — whether identified through a GP referral, a hospital biopsy, or a community-based PSA testing initiative is recorded and contributes to national incidence data. Organisations such as Cancer Research UK and Prostate Cancer UK supplement this by publishing accessible incidence statistics drawn from NHS and Office for National Statistics (ONS) sources, making the figures available to clinicians, researchers, and the public. National health surveillance systems and mortality databases further contribute to a picture that extends beyond incidence alone, enabling analysis of outcomes over time.</w:t>
      </w:r>
    </w:p>
    <w:p w14:paraId="4E6D092A" w14:textId="77777777" w:rsidR="00E5352B" w:rsidRDefault="00E5352B" w:rsidP="00E51C2C">
      <w:pPr>
        <w:spacing w:after="180" w:line="360" w:lineRule="auto"/>
        <w:rPr>
          <w:sz w:val="24"/>
        </w:rPr>
      </w:pPr>
    </w:p>
    <w:p w14:paraId="48057B55" w14:textId="77777777" w:rsidR="00FE314C" w:rsidRPr="00FE314C" w:rsidRDefault="00FE314C" w:rsidP="00FE314C">
      <w:pPr>
        <w:spacing w:line="360" w:lineRule="auto"/>
        <w:rPr>
          <w:b/>
          <w:sz w:val="24"/>
        </w:rPr>
      </w:pPr>
      <w:r>
        <w:rPr>
          <w:b/>
        </w:rPr>
        <w:t>Factor to consider for e</w:t>
      </w:r>
      <w:r w:rsidRPr="00FE314C">
        <w:rPr>
          <w:b/>
        </w:rPr>
        <w:t>nhancing Prostate Cancer Surveillance and Care in the UK</w:t>
      </w:r>
    </w:p>
    <w:p w14:paraId="15593503" w14:textId="77777777" w:rsidR="00E5352B" w:rsidRPr="00145BA6" w:rsidRDefault="00145BA6" w:rsidP="00145BA6">
      <w:pPr>
        <w:numPr>
          <w:ilvl w:val="0"/>
          <w:numId w:val="4"/>
        </w:numPr>
        <w:spacing w:line="360" w:lineRule="auto"/>
        <w:rPr>
          <w:sz w:val="24"/>
        </w:rPr>
      </w:pPr>
      <w:r w:rsidRPr="00FE314C">
        <w:rPr>
          <w:b/>
          <w:bCs/>
          <w:sz w:val="24"/>
        </w:rPr>
        <w:t>The Impact of Early Detection</w:t>
      </w:r>
      <w:r w:rsidR="00FE314C" w:rsidRPr="00FE314C">
        <w:rPr>
          <w:b/>
          <w:bCs/>
          <w:sz w:val="24"/>
        </w:rPr>
        <w:t>:</w:t>
      </w:r>
      <w:r w:rsidR="00FE314C">
        <w:rPr>
          <w:bCs/>
          <w:sz w:val="24"/>
        </w:rPr>
        <w:t xml:space="preserve"> </w:t>
      </w:r>
      <w:r w:rsidR="00FE314C" w:rsidRPr="00FE314C">
        <w:rPr>
          <w:bCs/>
          <w:sz w:val="24"/>
        </w:rPr>
        <w:t>Early detection, primarily through Prostate-Specific Antigen (PSA) screening, significantly alters incidence reporting by identifying asymptomatic cases that would otherwise remain undiagnosed.</w:t>
      </w:r>
    </w:p>
    <w:p w14:paraId="1A53725C" w14:textId="77777777" w:rsidR="00E5352B" w:rsidRPr="00FE314C" w:rsidRDefault="00E5352B" w:rsidP="00145BA6">
      <w:pPr>
        <w:numPr>
          <w:ilvl w:val="0"/>
          <w:numId w:val="4"/>
        </w:numPr>
        <w:spacing w:line="360" w:lineRule="auto"/>
        <w:rPr>
          <w:b/>
          <w:sz w:val="24"/>
        </w:rPr>
      </w:pPr>
      <w:r w:rsidRPr="00FE314C">
        <w:rPr>
          <w:b/>
          <w:bCs/>
          <w:sz w:val="24"/>
        </w:rPr>
        <w:t>Health E</w:t>
      </w:r>
      <w:r w:rsidR="00145BA6" w:rsidRPr="00FE314C">
        <w:rPr>
          <w:b/>
          <w:bCs/>
          <w:sz w:val="24"/>
        </w:rPr>
        <w:t>quity and Socioeconomic Factors</w:t>
      </w:r>
      <w:r w:rsidR="00FE314C">
        <w:rPr>
          <w:b/>
          <w:bCs/>
          <w:sz w:val="24"/>
        </w:rPr>
        <w:t xml:space="preserve">: </w:t>
      </w:r>
      <w:r w:rsidR="00FE314C" w:rsidRPr="00FE314C">
        <w:rPr>
          <w:bCs/>
          <w:sz w:val="24"/>
        </w:rPr>
        <w:t>Incidence rates for prostate cancer are rarely uniform across a population, often revealing significant disparities linked to socioeconomic status, education, and geographic location.</w:t>
      </w:r>
    </w:p>
    <w:p w14:paraId="0E56E4BA" w14:textId="77777777" w:rsidR="00FE314C" w:rsidRPr="00FE314C" w:rsidRDefault="00E5352B" w:rsidP="00FE314C">
      <w:pPr>
        <w:numPr>
          <w:ilvl w:val="0"/>
          <w:numId w:val="4"/>
        </w:numPr>
        <w:spacing w:line="360" w:lineRule="auto"/>
        <w:rPr>
          <w:b/>
          <w:sz w:val="24"/>
        </w:rPr>
      </w:pPr>
      <w:r w:rsidRPr="00FE314C">
        <w:rPr>
          <w:b/>
          <w:bCs/>
          <w:sz w:val="24"/>
        </w:rPr>
        <w:t>The</w:t>
      </w:r>
      <w:r w:rsidR="00145BA6" w:rsidRPr="00FE314C">
        <w:rPr>
          <w:b/>
          <w:bCs/>
          <w:sz w:val="24"/>
        </w:rPr>
        <w:t xml:space="preserve"> Transition from Data to Policy</w:t>
      </w:r>
      <w:r w:rsidR="00FE314C">
        <w:rPr>
          <w:b/>
          <w:bCs/>
          <w:sz w:val="24"/>
        </w:rPr>
        <w:t xml:space="preserve">: </w:t>
      </w:r>
      <w:r w:rsidR="00FE314C" w:rsidRPr="00FE314C">
        <w:rPr>
          <w:sz w:val="24"/>
        </w:rPr>
        <w:t>High-incidence regions identified through surveillance systems provide a clear justification for prioritizing the funding and construction of new diagnostic centers or specialized oncology clinics.</w:t>
      </w:r>
    </w:p>
    <w:p w14:paraId="36917AFA" w14:textId="77777777" w:rsidR="00E5352B" w:rsidRPr="00FE314C" w:rsidRDefault="00145BA6" w:rsidP="00FE314C">
      <w:pPr>
        <w:numPr>
          <w:ilvl w:val="0"/>
          <w:numId w:val="4"/>
        </w:numPr>
        <w:spacing w:line="360" w:lineRule="auto"/>
        <w:rPr>
          <w:b/>
          <w:sz w:val="24"/>
        </w:rPr>
      </w:pPr>
      <w:r w:rsidRPr="00FE314C">
        <w:rPr>
          <w:b/>
          <w:bCs/>
          <w:sz w:val="24"/>
        </w:rPr>
        <w:t>Technological Integration</w:t>
      </w:r>
      <w:r w:rsidR="00FE314C" w:rsidRPr="00FE314C">
        <w:rPr>
          <w:b/>
          <w:bCs/>
          <w:sz w:val="24"/>
        </w:rPr>
        <w:t>:</w:t>
      </w:r>
      <w:r w:rsidR="00FE314C" w:rsidRPr="00FE314C">
        <w:rPr>
          <w:b/>
          <w:bCs/>
        </w:rPr>
        <w:t xml:space="preserve"> </w:t>
      </w:r>
      <w:r w:rsidR="00FE314C" w:rsidRPr="00FE314C">
        <w:rPr>
          <w:sz w:val="24"/>
        </w:rPr>
        <w:t>The transition toward integrated Electronic Health Records (EHRs) allows for more seamless tracking of patient data from initial GP consultations to final laboratory results.</w:t>
      </w:r>
      <w:r w:rsidR="00FE314C">
        <w:rPr>
          <w:sz w:val="24"/>
        </w:rPr>
        <w:t xml:space="preserve"> Again,</w:t>
      </w:r>
      <w:r w:rsidR="00FE314C" w:rsidRPr="00FE314C">
        <w:rPr>
          <w:sz w:val="24"/>
        </w:rPr>
        <w:t xml:space="preserve"> </w:t>
      </w:r>
      <w:r w:rsidR="00FE314C">
        <w:rPr>
          <w:sz w:val="24"/>
        </w:rPr>
        <w:t>t</w:t>
      </w:r>
      <w:r w:rsidR="00FE314C" w:rsidRPr="00FE314C">
        <w:rPr>
          <w:sz w:val="24"/>
        </w:rPr>
        <w:t xml:space="preserve">he application of Artificial Intelligence (AI) and machine learning in analyzing complex clinical datasets can drastically reduce reporting delays, enabling real-time surveillance of prostate cancer trends. </w:t>
      </w:r>
      <w:r w:rsidR="00FE314C">
        <w:rPr>
          <w:sz w:val="24"/>
        </w:rPr>
        <w:t>Equally important is m</w:t>
      </w:r>
      <w:r w:rsidR="00FE314C" w:rsidRPr="00FE314C">
        <w:rPr>
          <w:sz w:val="24"/>
        </w:rPr>
        <w:t>odernizing digital surveillance systems</w:t>
      </w:r>
      <w:r w:rsidR="00FE314C">
        <w:rPr>
          <w:sz w:val="24"/>
        </w:rPr>
        <w:t xml:space="preserve"> which</w:t>
      </w:r>
      <w:r w:rsidR="00FE314C" w:rsidRPr="00FE314C">
        <w:rPr>
          <w:sz w:val="24"/>
        </w:rPr>
        <w:t xml:space="preserve"> minimizes the risk of human error in data collection and improves the overall accuracy of national cancer registries, which are essential for long-term health planning.</w:t>
      </w:r>
    </w:p>
    <w:p w14:paraId="0627A6A2" w14:textId="77777777" w:rsidR="00E51C2C" w:rsidRDefault="00E51C2C" w:rsidP="00E51C2C">
      <w:pPr>
        <w:spacing w:line="360" w:lineRule="auto"/>
      </w:pPr>
    </w:p>
    <w:p w14:paraId="3A305836" w14:textId="77777777" w:rsidR="00E51C2C" w:rsidRDefault="00E51C2C" w:rsidP="00E51C2C">
      <w:pPr>
        <w:spacing w:after="180" w:line="360" w:lineRule="auto"/>
      </w:pPr>
    </w:p>
    <w:p w14:paraId="6BB4F4C5" w14:textId="77777777" w:rsidR="00955E1C" w:rsidRDefault="00955E1C">
      <w:pPr>
        <w:jc w:val="left"/>
        <w:rPr>
          <w:b/>
          <w:sz w:val="24"/>
        </w:rPr>
      </w:pPr>
      <w:r>
        <w:rPr>
          <w:b/>
          <w:sz w:val="24"/>
        </w:rPr>
        <w:br w:type="page"/>
      </w:r>
    </w:p>
    <w:p w14:paraId="181F0BA6" w14:textId="77777777" w:rsidR="00E5352B" w:rsidRPr="00E5352B" w:rsidRDefault="00646BB4">
      <w:pPr>
        <w:spacing w:after="180" w:line="360" w:lineRule="auto"/>
        <w:rPr>
          <w:b/>
          <w:sz w:val="32"/>
        </w:rPr>
      </w:pPr>
      <w:r w:rsidRPr="00E51C2C">
        <w:rPr>
          <w:b/>
          <w:sz w:val="24"/>
        </w:rPr>
        <w:t>Summary</w:t>
      </w:r>
    </w:p>
    <w:p w14:paraId="7A0EB04D" w14:textId="77777777" w:rsidR="00E5352B" w:rsidRPr="00E5352B" w:rsidRDefault="00E5352B" w:rsidP="00E5352B">
      <w:pPr>
        <w:spacing w:after="180" w:line="360" w:lineRule="auto"/>
        <w:rPr>
          <w:sz w:val="24"/>
        </w:rPr>
      </w:pPr>
      <w:r w:rsidRPr="00E5352B">
        <w:rPr>
          <w:sz w:val="24"/>
        </w:rPr>
        <w:t>In summary, incidence serves as a foundational metric in public health, providing a vital assessment of the rate at which new disease cases emerge within a defined population. Regarding prostate cancer, longitudinal incidence data reveals a critical narrative: it illustrates a condition increasing in scale, heavily influenced by factors such as age and socioeconomic disparity, and further complicated by the escalating strain on National Health Service (NHS) resources.</w:t>
      </w:r>
    </w:p>
    <w:p w14:paraId="208E6160" w14:textId="77777777" w:rsidR="00E5352B" w:rsidRPr="00E5352B" w:rsidRDefault="00E5352B">
      <w:pPr>
        <w:spacing w:after="180" w:line="360" w:lineRule="auto"/>
        <w:rPr>
          <w:sz w:val="24"/>
        </w:rPr>
      </w:pPr>
      <w:r w:rsidRPr="00E5352B">
        <w:rPr>
          <w:sz w:val="24"/>
        </w:rPr>
        <w:t>The precision of these measurements remains contingent upon the application of standardized methodologies, clearly defined population cohorts, and the synthesis of robust data derived from diverse sources—including cancer registries, hospital clinical records, national screening programs, and surveillance systems. Ultimately, the study of incidence extends beyond mere academic analysis; it acts as an essential driver for evidence-based policymaking. By accurately capturing these trends, public health bodies are empowered to strategically plan services, implement targeted clinical interventions, and address the systemic inequalities that continue to hinder equitable diagnosis and care for those affected by prostate cancer.</w:t>
      </w:r>
    </w:p>
    <w:p w14:paraId="113A6CD4" w14:textId="77777777" w:rsidR="00E9767B" w:rsidRDefault="00646BB4">
      <w:r>
        <w:br w:type="page"/>
      </w:r>
    </w:p>
    <w:p w14:paraId="096DC966" w14:textId="77777777" w:rsidR="00E9767B" w:rsidRDefault="00646BB4">
      <w:pPr>
        <w:pStyle w:val="Heading11"/>
      </w:pPr>
      <w:r>
        <w:t>References</w:t>
      </w:r>
    </w:p>
    <w:p w14:paraId="53D4135D" w14:textId="77777777" w:rsidR="00E9767B" w:rsidRDefault="00646BB4">
      <w:pPr>
        <w:spacing w:after="140" w:line="300" w:lineRule="auto"/>
        <w:ind w:left="720" w:hanging="720"/>
        <w:jc w:val="left"/>
      </w:pPr>
      <w:r>
        <w:rPr>
          <w:sz w:val="22"/>
          <w:szCs w:val="22"/>
        </w:rPr>
        <w:t>Cancer Research UK (2025) Prostate cancer incidence statistics. Available at: https://www.cancerresearchuk.org/health-professional/cancer-statistics/statistics-by-cancer-type/prostate-cancer/incidence (Accessed: 9 June 2026).</w:t>
      </w:r>
    </w:p>
    <w:p w14:paraId="09F7B14D" w14:textId="77777777" w:rsidR="00E9767B" w:rsidRDefault="00646BB4">
      <w:pPr>
        <w:spacing w:after="140" w:line="300" w:lineRule="auto"/>
        <w:ind w:left="720" w:hanging="720"/>
        <w:jc w:val="left"/>
      </w:pPr>
      <w:r>
        <w:rPr>
          <w:sz w:val="22"/>
          <w:szCs w:val="22"/>
        </w:rPr>
        <w:t>Health Knowledge (n.d.) Measures of disease frequency and disease burden. Available at: https://www.healthknowledge.org.uk/e-learning/epidemiology/practitioners/measures-disease-frequency-burden (Accessed: 9 June 2026).</w:t>
      </w:r>
    </w:p>
    <w:p w14:paraId="7E599AA1" w14:textId="77777777" w:rsidR="00E9767B" w:rsidRDefault="00646BB4">
      <w:pPr>
        <w:spacing w:after="140" w:line="300" w:lineRule="auto"/>
        <w:ind w:left="720" w:hanging="720"/>
        <w:jc w:val="left"/>
      </w:pPr>
      <w:r>
        <w:rPr>
          <w:sz w:val="22"/>
          <w:szCs w:val="22"/>
        </w:rPr>
        <w:t>NHS England Digital (2024) Cancer registration statistics. Available at: https://digital.nhs.uk/ndrs/data/data-outputs/cancer-data-hub/cancer-registration-statistics (Accessed: 9 June 2026).</w:t>
      </w:r>
    </w:p>
    <w:p w14:paraId="4E8E1384" w14:textId="77777777" w:rsidR="00E9767B" w:rsidRDefault="00646BB4">
      <w:pPr>
        <w:spacing w:after="140" w:line="300" w:lineRule="auto"/>
        <w:ind w:left="720" w:hanging="720"/>
        <w:jc w:val="left"/>
      </w:pPr>
      <w:r>
        <w:rPr>
          <w:sz w:val="22"/>
          <w:szCs w:val="22"/>
        </w:rPr>
        <w:t>Prostate Cancer UK (2026) Prostate cancer now the most common cancer in the UK. Available at: https://prostatecanceruk.org/about-us/news-and-views/2026/01/prostate-most-common-cancer (Accessed: 9 June 2026).</w:t>
      </w:r>
    </w:p>
    <w:p w14:paraId="3B8F808D" w14:textId="77777777" w:rsidR="00E9767B" w:rsidRDefault="00646BB4">
      <w:pPr>
        <w:spacing w:after="140" w:line="300" w:lineRule="auto"/>
        <w:ind w:left="720" w:hanging="720"/>
        <w:jc w:val="left"/>
        <w:rPr>
          <w:sz w:val="22"/>
          <w:szCs w:val="22"/>
        </w:rPr>
      </w:pPr>
      <w:r>
        <w:rPr>
          <w:sz w:val="22"/>
          <w:szCs w:val="22"/>
        </w:rPr>
        <w:t>Tan, E.H. et al. (2024) ‘Incidence, Prevalence, and Survival of Prostate Cancer in the UK’, JAMA Network Open, 7(9). Available at: https://www.ncbi.nlm.nih.gov/pmc/articles/PMC12315704/ (Accessed: 9 June 2026).</w:t>
      </w:r>
    </w:p>
    <w:p w14:paraId="0B4373A6" w14:textId="77777777" w:rsidR="0025016C" w:rsidRDefault="0025016C">
      <w:pPr>
        <w:spacing w:after="140" w:line="300" w:lineRule="auto"/>
        <w:ind w:left="720" w:hanging="720"/>
        <w:jc w:val="left"/>
      </w:pPr>
      <w:r w:rsidRPr="0025016C">
        <w:t>Tan EH, Burn E, Barclay NL, Delmestri A, Man WY, Golozar A, Serrano ÀR, Duarte-Salles T, Cornford P, Prieto Alhambra D, Newby D; OPTIMA Consortium. Incidence, Prevalence, and Survival of Prostate Cancer in the UK. JAMA Netw Open. 2024 Sep 3;7(9):e2434622. doi: 10.1001/jamanetworkopen.2024.34622. PMID: 39298169; PMCID: PMC12315704.</w:t>
      </w:r>
      <w:r>
        <w:t xml:space="preserve"> </w:t>
      </w:r>
      <w:r>
        <w:rPr>
          <w:sz w:val="22"/>
          <w:szCs w:val="22"/>
        </w:rPr>
        <w:t>(Accessed: 9 June 2026).</w:t>
      </w:r>
    </w:p>
    <w:sectPr w:rsidR="0025016C" w:rsidSect="00E9767B">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526CC"/>
    <w:multiLevelType w:val="hybridMultilevel"/>
    <w:tmpl w:val="491AC3E4"/>
    <w:lvl w:ilvl="0" w:tplc="F6409D5C">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1572FB"/>
    <w:multiLevelType w:val="multilevel"/>
    <w:tmpl w:val="60D41C9C"/>
    <w:lvl w:ilvl="0">
      <w:start w:val="1"/>
      <w:numFmt w:val="lowerLetter"/>
      <w:lvlText w:val="%1."/>
      <w:lvlJc w:val="left"/>
      <w:pPr>
        <w:tabs>
          <w:tab w:val="num" w:pos="720"/>
        </w:tabs>
        <w:ind w:left="720" w:hanging="360"/>
      </w:pPr>
      <w:rPr>
        <w:rFonts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7C3CF0"/>
    <w:multiLevelType w:val="hybridMultilevel"/>
    <w:tmpl w:val="FFFFFFFF"/>
    <w:lvl w:ilvl="0" w:tplc="297262C2" w:tentative="1">
      <w:start w:val="1"/>
      <w:numFmt w:val="bullet"/>
      <w:lvlText w:val="●"/>
      <w:lvlJc w:val="left"/>
      <w:pPr>
        <w:ind w:left="720" w:hanging="360"/>
      </w:pPr>
    </w:lvl>
    <w:lvl w:ilvl="1" w:tplc="052EF238" w:tentative="1">
      <w:start w:val="1"/>
      <w:numFmt w:val="bullet"/>
      <w:lvlText w:val="○"/>
      <w:lvlJc w:val="left"/>
      <w:pPr>
        <w:ind w:left="1440" w:hanging="360"/>
      </w:pPr>
    </w:lvl>
    <w:lvl w:ilvl="2" w:tplc="E70E8354" w:tentative="1">
      <w:start w:val="1"/>
      <w:numFmt w:val="bullet"/>
      <w:lvlText w:val="■"/>
      <w:lvlJc w:val="left"/>
      <w:pPr>
        <w:ind w:left="2160" w:hanging="360"/>
      </w:pPr>
    </w:lvl>
    <w:lvl w:ilvl="3" w:tplc="8D627756" w:tentative="1">
      <w:start w:val="1"/>
      <w:numFmt w:val="bullet"/>
      <w:lvlText w:val="●"/>
      <w:lvlJc w:val="left"/>
      <w:pPr>
        <w:ind w:left="2880" w:hanging="360"/>
      </w:pPr>
    </w:lvl>
    <w:lvl w:ilvl="4" w:tplc="B03EE3F8" w:tentative="1">
      <w:start w:val="1"/>
      <w:numFmt w:val="bullet"/>
      <w:lvlText w:val="○"/>
      <w:lvlJc w:val="left"/>
      <w:pPr>
        <w:ind w:left="3600" w:hanging="360"/>
      </w:pPr>
    </w:lvl>
    <w:lvl w:ilvl="5" w:tplc="54A2664E" w:tentative="1">
      <w:start w:val="1"/>
      <w:numFmt w:val="bullet"/>
      <w:lvlText w:val="■"/>
      <w:lvlJc w:val="left"/>
      <w:pPr>
        <w:ind w:left="4320" w:hanging="360"/>
      </w:pPr>
    </w:lvl>
    <w:lvl w:ilvl="6" w:tplc="4156CD06" w:tentative="1">
      <w:start w:val="1"/>
      <w:numFmt w:val="bullet"/>
      <w:lvlText w:val="●"/>
      <w:lvlJc w:val="left"/>
      <w:pPr>
        <w:ind w:left="5040" w:hanging="360"/>
      </w:pPr>
    </w:lvl>
    <w:lvl w:ilvl="7" w:tplc="08CAAC5C" w:tentative="1">
      <w:start w:val="1"/>
      <w:numFmt w:val="bullet"/>
      <w:lvlText w:val="●"/>
      <w:lvlJc w:val="left"/>
      <w:pPr>
        <w:ind w:left="5760" w:hanging="360"/>
      </w:pPr>
    </w:lvl>
    <w:lvl w:ilvl="8" w:tplc="DC009D78" w:tentative="1">
      <w:start w:val="1"/>
      <w:numFmt w:val="bullet"/>
      <w:lvlText w:val="●"/>
      <w:lvlJc w:val="left"/>
      <w:pPr>
        <w:ind w:left="6480" w:hanging="360"/>
      </w:pPr>
    </w:lvl>
  </w:abstractNum>
  <w:abstractNum w:abstractNumId="3" w15:restartNumberingAfterBreak="0">
    <w:nsid w:val="7D1B46AF"/>
    <w:multiLevelType w:val="hybridMultilevel"/>
    <w:tmpl w:val="D80E0F4A"/>
    <w:lvl w:ilvl="0" w:tplc="CAB87548">
      <w:start w:val="1"/>
      <w:numFmt w:val="lowerLetter"/>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8439882">
    <w:abstractNumId w:val="2"/>
    <w:lvlOverride w:ilvl="0">
      <w:startOverride w:val="1"/>
    </w:lvlOverride>
  </w:num>
  <w:num w:numId="2" w16cid:durableId="1218323638">
    <w:abstractNumId w:val="0"/>
  </w:num>
  <w:num w:numId="3" w16cid:durableId="1406688252">
    <w:abstractNumId w:val="3"/>
  </w:num>
  <w:num w:numId="4" w16cid:durableId="1443258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isplayBackgroundShape/>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67B"/>
    <w:rsid w:val="000A0FCF"/>
    <w:rsid w:val="00145BA6"/>
    <w:rsid w:val="001E1604"/>
    <w:rsid w:val="002142C7"/>
    <w:rsid w:val="0025016C"/>
    <w:rsid w:val="00396B22"/>
    <w:rsid w:val="00445EAA"/>
    <w:rsid w:val="005C2363"/>
    <w:rsid w:val="00635DF0"/>
    <w:rsid w:val="00646BB4"/>
    <w:rsid w:val="006D609B"/>
    <w:rsid w:val="007830FC"/>
    <w:rsid w:val="007E65AA"/>
    <w:rsid w:val="00955E1C"/>
    <w:rsid w:val="00B904FA"/>
    <w:rsid w:val="00BC2186"/>
    <w:rsid w:val="00CE286F"/>
    <w:rsid w:val="00CE4469"/>
    <w:rsid w:val="00D47401"/>
    <w:rsid w:val="00E51C2C"/>
    <w:rsid w:val="00E5352B"/>
    <w:rsid w:val="00E87C3C"/>
    <w:rsid w:val="00E9767B"/>
    <w:rsid w:val="00EE5D6F"/>
    <w:rsid w:val="00F47BE0"/>
    <w:rsid w:val="00FE3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FA689"/>
  <w15:docId w15:val="{A9FEBADB-CAA8-524A-BA4A-60E63579F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767B"/>
    <w:pPr>
      <w:jc w:val="both"/>
    </w:pPr>
    <w:rPr>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E9767B"/>
    <w:rPr>
      <w:sz w:val="56"/>
      <w:szCs w:val="56"/>
    </w:rPr>
  </w:style>
  <w:style w:type="paragraph" w:customStyle="1" w:styleId="Heading11">
    <w:name w:val="Heading 11"/>
    <w:qFormat/>
    <w:rsid w:val="00E9767B"/>
    <w:pPr>
      <w:spacing w:before="320" w:after="160"/>
      <w:outlineLvl w:val="0"/>
    </w:pPr>
    <w:rPr>
      <w:rFonts w:ascii="Arial" w:eastAsia="Arial" w:hAnsi="Arial" w:cs="Arial"/>
      <w:b/>
      <w:bCs/>
      <w:sz w:val="28"/>
      <w:szCs w:val="28"/>
    </w:rPr>
  </w:style>
  <w:style w:type="paragraph" w:customStyle="1" w:styleId="Heading21">
    <w:name w:val="Heading 21"/>
    <w:qFormat/>
    <w:rsid w:val="00E9767B"/>
    <w:pPr>
      <w:spacing w:before="240" w:after="120"/>
      <w:outlineLvl w:val="1"/>
    </w:pPr>
    <w:rPr>
      <w:rFonts w:ascii="Arial" w:eastAsia="Arial" w:hAnsi="Arial" w:cs="Arial"/>
      <w:b/>
      <w:bCs/>
      <w:sz w:val="26"/>
      <w:szCs w:val="26"/>
    </w:rPr>
  </w:style>
  <w:style w:type="paragraph" w:customStyle="1" w:styleId="Heading31">
    <w:name w:val="Heading 31"/>
    <w:qFormat/>
    <w:rsid w:val="00E9767B"/>
    <w:rPr>
      <w:color w:val="1F4D78"/>
    </w:rPr>
  </w:style>
  <w:style w:type="paragraph" w:customStyle="1" w:styleId="Heading41">
    <w:name w:val="Heading 41"/>
    <w:qFormat/>
    <w:rsid w:val="00E9767B"/>
    <w:rPr>
      <w:i/>
      <w:iCs/>
      <w:color w:val="2E74B5"/>
    </w:rPr>
  </w:style>
  <w:style w:type="paragraph" w:customStyle="1" w:styleId="Heading51">
    <w:name w:val="Heading 51"/>
    <w:qFormat/>
    <w:rsid w:val="00E9767B"/>
    <w:rPr>
      <w:color w:val="2E74B5"/>
    </w:rPr>
  </w:style>
  <w:style w:type="paragraph" w:customStyle="1" w:styleId="Heading61">
    <w:name w:val="Heading 61"/>
    <w:qFormat/>
    <w:rsid w:val="00E9767B"/>
    <w:rPr>
      <w:color w:val="1F4D78"/>
    </w:rPr>
  </w:style>
  <w:style w:type="paragraph" w:customStyle="1" w:styleId="Stronge949dfe7-5594-4255-8e8d-1a118cfcbf30">
    <w:name w:val="Strong_e949dfe7-5594-4255-8e8d-1a118cfcbf30"/>
    <w:qFormat/>
    <w:rsid w:val="00E9767B"/>
    <w:rPr>
      <w:b/>
      <w:bCs/>
    </w:rPr>
  </w:style>
  <w:style w:type="paragraph" w:styleId="ListParagraph">
    <w:name w:val="List Paragraph"/>
    <w:qFormat/>
    <w:rsid w:val="00E9767B"/>
  </w:style>
  <w:style w:type="character" w:styleId="Hyperlink">
    <w:name w:val="Hyperlink"/>
    <w:uiPriority w:val="99"/>
    <w:rsid w:val="00E9767B"/>
    <w:rPr>
      <w:color w:val="0563C1"/>
      <w:u w:val="single"/>
    </w:rPr>
  </w:style>
  <w:style w:type="character" w:styleId="FootnoteReference">
    <w:name w:val="footnote reference"/>
    <w:uiPriority w:val="99"/>
    <w:rsid w:val="00E9767B"/>
    <w:rPr>
      <w:vertAlign w:val="superscript"/>
    </w:rPr>
  </w:style>
  <w:style w:type="paragraph" w:styleId="FootnoteText">
    <w:name w:val="footnote text"/>
    <w:link w:val="FootnoteTextChar"/>
    <w:uiPriority w:val="99"/>
    <w:rsid w:val="00E9767B"/>
    <w:rPr>
      <w:sz w:val="20"/>
      <w:szCs w:val="20"/>
    </w:rPr>
  </w:style>
  <w:style w:type="character" w:customStyle="1" w:styleId="FootnoteTextChar">
    <w:name w:val="Footnote Text Char"/>
    <w:link w:val="FootnoteText"/>
    <w:uiPriority w:val="99"/>
    <w:rsid w:val="00E9767B"/>
    <w:rPr>
      <w:sz w:val="20"/>
      <w:szCs w:val="20"/>
    </w:rPr>
  </w:style>
  <w:style w:type="character" w:styleId="EndnoteReference">
    <w:name w:val="endnote reference"/>
    <w:uiPriority w:val="99"/>
    <w:rsid w:val="00E9767B"/>
    <w:rPr>
      <w:vertAlign w:val="superscript"/>
    </w:rPr>
  </w:style>
  <w:style w:type="paragraph" w:styleId="EndnoteText">
    <w:name w:val="endnote text"/>
    <w:link w:val="EndnoteTextChar"/>
    <w:uiPriority w:val="99"/>
    <w:rsid w:val="00E9767B"/>
    <w:rPr>
      <w:sz w:val="20"/>
      <w:szCs w:val="20"/>
    </w:rPr>
  </w:style>
  <w:style w:type="character" w:customStyle="1" w:styleId="EndnoteTextChar">
    <w:name w:val="Endnote Text Char"/>
    <w:link w:val="EndnoteText"/>
    <w:uiPriority w:val="99"/>
    <w:rsid w:val="00E9767B"/>
    <w:rPr>
      <w:sz w:val="20"/>
      <w:szCs w:val="20"/>
    </w:rPr>
  </w:style>
  <w:style w:type="table" w:styleId="TableGrid">
    <w:name w:val="Table Grid"/>
    <w:basedOn w:val="TableNormal"/>
    <w:uiPriority w:val="59"/>
    <w:rsid w:val="00635DF0"/>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E314C"/>
    <w:pPr>
      <w:spacing w:before="100" w:beforeAutospacing="1" w:after="100" w:afterAutospacing="1"/>
      <w:jc w:val="left"/>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8954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Alhagie Darboe (2519531)</cp:lastModifiedBy>
  <cp:revision>2</cp:revision>
  <dcterms:created xsi:type="dcterms:W3CDTF">2026-06-13T15:46:00Z</dcterms:created>
  <dcterms:modified xsi:type="dcterms:W3CDTF">2026-06-13T15:46:00Z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d84271c6e3c14286b97eaa95cef795f3</vt:lpwstr>
  </property>
</Properties>
</file>