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IMPACT OF VIRTUAL LEARNING ENVIRONMENT (VLE) </w:t>
      </w:r>
      <w:r>
        <w:rPr>
          <w:rFonts w:ascii="Arial" w:hAnsi="Arial" w:cs="Arial" w:eastAsia="Arial"/>
          <w:color w:val="0E101A"/>
          <w:spacing w:val="0"/>
          <w:position w:val="0"/>
          <w:sz w:val="22"/>
          <w:shd w:fill="auto" w:val="clear"/>
        </w:rPr>
        <w:t xml:space="preserve">–</w:t>
      </w:r>
      <w:r>
        <w:rPr>
          <w:rFonts w:ascii="Arial" w:hAnsi="Arial" w:cs="Arial" w:eastAsia="Arial"/>
          <w:color w:val="0E101A"/>
          <w:spacing w:val="0"/>
          <w:position w:val="0"/>
          <w:sz w:val="22"/>
          <w:shd w:fill="auto" w:val="clear"/>
        </w:rPr>
        <w:t xml:space="preserve"> MOODLE ON STUDENTS</w:t>
      </w:r>
      <w:r>
        <w:rPr>
          <w:rFonts w:ascii="Arial" w:hAnsi="Arial" w:cs="Arial" w:eastAsia="Arial"/>
          <w:color w:val="0E101A"/>
          <w:spacing w:val="0"/>
          <w:position w:val="0"/>
          <w:sz w:val="22"/>
          <w:shd w:fill="auto" w:val="clear"/>
        </w:rPr>
        <w:t xml:space="preserve">’</w:t>
      </w:r>
      <w:r>
        <w:rPr>
          <w:rFonts w:ascii="Arial" w:hAnsi="Arial" w:cs="Arial" w:eastAsia="Arial"/>
          <w:color w:val="0E101A"/>
          <w:spacing w:val="0"/>
          <w:position w:val="0"/>
          <w:sz w:val="22"/>
          <w:shd w:fill="auto" w:val="clear"/>
        </w:rPr>
        <w:t xml:space="preserve"> LEARNING EXPERIENCE AT THE UNIVERSITY OF WALES</w:t>
      </w:r>
    </w:p>
    <w:p>
      <w:pPr>
        <w:spacing w:before="0" w:after="0" w:line="360"/>
        <w:ind w:right="0" w:left="0" w:firstLine="0"/>
        <w:jc w:val="left"/>
        <w:rPr>
          <w:rFonts w:ascii="Arial" w:hAnsi="Arial" w:cs="Arial" w:eastAsia="Arial"/>
          <w:color w:val="0E101A"/>
          <w:spacing w:val="0"/>
          <w:position w:val="0"/>
          <w:sz w:val="22"/>
          <w:shd w:fill="auto" w:val="clear"/>
        </w:rPr>
      </w:pPr>
    </w:p>
    <w:p>
      <w:pPr>
        <w:spacing w:before="0" w:after="0" w:line="360"/>
        <w:ind w:right="0" w:left="0" w:firstLine="0"/>
        <w:jc w:val="center"/>
        <w:rPr>
          <w:rFonts w:ascii="Arial" w:hAnsi="Arial" w:cs="Arial" w:eastAsia="Arial"/>
          <w:color w:val="0E101A"/>
          <w:spacing w:val="0"/>
          <w:position w:val="0"/>
          <w:sz w:val="22"/>
          <w:shd w:fill="auto" w:val="clear"/>
        </w:rPr>
      </w:pPr>
    </w:p>
    <w:p>
      <w:pPr>
        <w:spacing w:before="0" w:after="0" w:line="360"/>
        <w:ind w:right="0" w:left="0" w:firstLine="0"/>
        <w:jc w:val="center"/>
        <w:rPr>
          <w:rFonts w:ascii="Arial" w:hAnsi="Arial" w:cs="Arial" w:eastAsia="Arial"/>
          <w:color w:val="0E101A"/>
          <w:spacing w:val="0"/>
          <w:position w:val="0"/>
          <w:sz w:val="22"/>
          <w:shd w:fill="auto" w:val="clear"/>
        </w:rPr>
      </w:pPr>
    </w:p>
    <w:p>
      <w:pPr>
        <w:spacing w:before="0" w:after="0" w:line="360"/>
        <w:ind w:right="0" w:left="0" w:firstLine="0"/>
        <w:jc w:val="center"/>
        <w:rPr>
          <w:rFonts w:ascii="Arial" w:hAnsi="Arial" w:cs="Arial" w:eastAsia="Arial"/>
          <w:color w:val="0E101A"/>
          <w:spacing w:val="0"/>
          <w:position w:val="0"/>
          <w:sz w:val="22"/>
          <w:shd w:fill="auto" w:val="clear"/>
        </w:rPr>
      </w:pPr>
    </w:p>
    <w:p>
      <w:pPr>
        <w:spacing w:before="0" w:after="0" w:line="360"/>
        <w:ind w:right="0" w:left="0" w:firstLine="0"/>
        <w:jc w:val="center"/>
        <w:rPr>
          <w:rFonts w:ascii="Arial" w:hAnsi="Arial" w:cs="Arial" w:eastAsia="Arial"/>
          <w:color w:val="0E101A"/>
          <w:spacing w:val="0"/>
          <w:position w:val="0"/>
          <w:sz w:val="22"/>
          <w:shd w:fill="auto" w:val="clear"/>
        </w:rPr>
      </w:pPr>
    </w:p>
    <w:p>
      <w:pPr>
        <w:spacing w:before="0" w:after="160" w:line="273"/>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Elina Fjodorova</w:t>
      </w:r>
    </w:p>
    <w:p>
      <w:pPr>
        <w:spacing w:before="0" w:after="160" w:line="273"/>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University of Wales Trinity Saint David</w:t>
      </w:r>
    </w:p>
    <w:p>
      <w:pPr>
        <w:spacing w:before="0" w:after="160" w:line="273"/>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CertHE Skills for the Workplace</w:t>
      </w:r>
    </w:p>
    <w:p>
      <w:pPr>
        <w:spacing w:before="0" w:after="0" w:line="360"/>
        <w:ind w:right="0" w:left="0" w:firstLine="0"/>
        <w:jc w:val="left"/>
        <w:rPr>
          <w:rFonts w:ascii="Arial" w:hAnsi="Arial" w:cs="Arial" w:eastAsia="Arial"/>
          <w:b/>
          <w:color w:val="0E101A"/>
          <w:spacing w:val="0"/>
          <w:position w:val="0"/>
          <w:sz w:val="22"/>
          <w:shd w:fill="auto" w:val="clear"/>
        </w:rPr>
      </w:pPr>
    </w:p>
    <w:p>
      <w:pPr>
        <w:spacing w:before="0" w:after="0" w:line="360"/>
        <w:ind w:right="0" w:left="0" w:firstLine="0"/>
        <w:jc w:val="left"/>
        <w:rPr>
          <w:rFonts w:ascii="Arial" w:hAnsi="Arial" w:cs="Arial" w:eastAsia="Arial"/>
          <w:b/>
          <w:color w:val="0E101A"/>
          <w:spacing w:val="0"/>
          <w:position w:val="0"/>
          <w:sz w:val="22"/>
          <w:shd w:fill="auto" w:val="clear"/>
        </w:rPr>
      </w:pPr>
    </w:p>
    <w:p>
      <w:pPr>
        <w:spacing w:before="0" w:after="0" w:line="360"/>
        <w:ind w:right="0" w:left="0" w:firstLine="0"/>
        <w:jc w:val="left"/>
        <w:rPr>
          <w:rFonts w:ascii="Arial" w:hAnsi="Arial" w:cs="Arial" w:eastAsia="Arial"/>
          <w:b/>
          <w:color w:val="0E101A"/>
          <w:spacing w:val="0"/>
          <w:position w:val="0"/>
          <w:sz w:val="22"/>
          <w:shd w:fill="auto" w:val="clear"/>
        </w:rPr>
      </w:pPr>
    </w:p>
    <w:p>
      <w:pPr>
        <w:spacing w:before="0" w:after="0" w:line="360"/>
        <w:ind w:right="0" w:left="0" w:firstLine="0"/>
        <w:jc w:val="left"/>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Impact of Virtual Learning Environment (VLE) </w:t>
      </w:r>
      <w:r>
        <w:rPr>
          <w:rFonts w:ascii="Arial" w:hAnsi="Arial" w:cs="Arial" w:eastAsia="Arial"/>
          <w:color w:val="0E101A"/>
          <w:spacing w:val="0"/>
          <w:position w:val="0"/>
          <w:sz w:val="22"/>
          <w:shd w:fill="auto" w:val="clear"/>
        </w:rPr>
        <w:t xml:space="preserve">–</w:t>
      </w:r>
      <w:r>
        <w:rPr>
          <w:rFonts w:ascii="Arial" w:hAnsi="Arial" w:cs="Arial" w:eastAsia="Arial"/>
          <w:color w:val="0E101A"/>
          <w:spacing w:val="0"/>
          <w:position w:val="0"/>
          <w:sz w:val="22"/>
          <w:shd w:fill="auto" w:val="clear"/>
        </w:rPr>
        <w:t xml:space="preserve"> Moodle on Students</w:t>
      </w:r>
      <w:r>
        <w:rPr>
          <w:rFonts w:ascii="Arial" w:hAnsi="Arial" w:cs="Arial" w:eastAsia="Arial"/>
          <w:color w:val="0E101A"/>
          <w:spacing w:val="0"/>
          <w:position w:val="0"/>
          <w:sz w:val="22"/>
          <w:shd w:fill="auto" w:val="clear"/>
        </w:rPr>
        <w:t xml:space="preserve">’</w:t>
      </w:r>
      <w:r>
        <w:rPr>
          <w:rFonts w:ascii="Arial" w:hAnsi="Arial" w:cs="Arial" w:eastAsia="Arial"/>
          <w:color w:val="0E101A"/>
          <w:spacing w:val="0"/>
          <w:position w:val="0"/>
          <w:sz w:val="22"/>
          <w:shd w:fill="auto" w:val="clear"/>
        </w:rPr>
        <w:t xml:space="preserve"> Learning Experience at The University of Wales</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Introduction</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VLE "Virtual Learning Environments" is one of the significant accomplishments for developing students from passive to active apprentices. VLE is termed to be a vital aspect that assists students in developing essential skills hence enhancing their development. Active learning plays a crucial role in students as it enables them to develop crucial skills that promote critical thinking. This research focuses on the impacts of VLE on students.</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Research Goals</w:t>
      </w:r>
    </w:p>
    <w:p>
      <w:pPr>
        <w:spacing w:before="0" w:after="0" w:line="360"/>
        <w:ind w:right="0" w:left="0" w:firstLine="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primary aim of the research is to illustrate the significant impacts of VLE "Virtual Learning Environment" on the learners.</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Study Objectives</w:t>
      </w:r>
    </w:p>
    <w:p>
      <w:pPr>
        <w:numPr>
          <w:ilvl w:val="0"/>
          <w:numId w:val="11"/>
        </w:numPr>
        <w:tabs>
          <w:tab w:val="left" w:pos="720" w:leader="none"/>
        </w:tabs>
        <w:spacing w:before="0" w:after="0" w:line="360"/>
        <w:ind w:right="0" w:left="720" w:hanging="36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To advance the effectiveness of learning among learners in the University of Wales.</w:t>
      </w:r>
    </w:p>
    <w:p>
      <w:pPr>
        <w:numPr>
          <w:ilvl w:val="0"/>
          <w:numId w:val="11"/>
        </w:numPr>
        <w:tabs>
          <w:tab w:val="left" w:pos="720" w:leader="none"/>
        </w:tabs>
        <w:spacing w:before="0" w:after="0" w:line="360"/>
        <w:ind w:right="0" w:left="720" w:hanging="36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To progress, the awareness of the significant benefits of active learning equips students' knowledge and skills.</w:t>
      </w:r>
    </w:p>
    <w:p>
      <w:pPr>
        <w:numPr>
          <w:ilvl w:val="0"/>
          <w:numId w:val="11"/>
        </w:numPr>
        <w:tabs>
          <w:tab w:val="left" w:pos="720" w:leader="none"/>
        </w:tabs>
        <w:spacing w:before="0" w:after="0" w:line="360"/>
        <w:ind w:right="0" w:left="720" w:hanging="36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To enhance the development of digital skills among the students, more so in the workplace</w:t>
      </w:r>
    </w:p>
    <w:p>
      <w:pPr>
        <w:numPr>
          <w:ilvl w:val="0"/>
          <w:numId w:val="11"/>
        </w:numPr>
        <w:tabs>
          <w:tab w:val="left" w:pos="720" w:leader="none"/>
        </w:tabs>
        <w:spacing w:before="0" w:after="0" w:line="360"/>
        <w:ind w:right="0" w:left="720" w:hanging="36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To provide essential recommendations on the ways of overcoming challenges of VLE in future.</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The Rationale of the Study</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students face difficulties due to the change of learning philosophy. The recent modifications influence this in teachers training and the continuous advancement of technology within the universities. This is witnessed by the inability of students to adapt to some of the changes in the education system.</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Literature review</w:t>
      </w:r>
    </w:p>
    <w:p>
      <w:pPr>
        <w:spacing w:before="0" w:after="0" w:line="360"/>
        <w:ind w:right="0" w:left="0" w:firstLine="0"/>
        <w:jc w:val="left"/>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VLE Elements</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VLE comprises different components that involve mapping the "Eight-Dimensional E-Learning Framework", technological contexts and the students' innovative alignments.</w:t>
      </w:r>
    </w:p>
    <w:p>
      <w:pPr>
        <w:spacing w:before="0" w:after="0" w:line="360"/>
        <w:ind w:right="0" w:left="0" w:firstLine="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Huang et al. (2019) illustrate that VLE is commonly applied in developing awareness of its vital role in the analysis of different learners and the enhancement of quality technological skills among learners. Both virtual and operational communities are significant groups of students who apply the internet to enhance their communication and explore more on their academic work. According to Castilla Alcalá et al. (2021), online communities have become more conversant in the application of technological aspects in community projects and improving communication among students and teachers.</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Effects of VLE on learners</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Alves et al. (2017) illustrate that VLE has both positive and negative impacts on the learners as it assists the students in developing knowledge and skills that entail the use of the internet that is essential in the recent changes of technology. VLE helps the students in the reflection of what they have learned as well as improving their learning capabilities. Additionally, VLE assists the learner's in improving their learning confidence through the application of digital skills that enables them to explore through the internet; hence getting essential knowledge boosts their understanding. According to Hussain et al. (2018), VLE improves students' readiness to learn and increases their ambition to become more innovative by applying new technological skills. This improves their performance as they can access huge information relating to their field of specialization.</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Methods of Collecting Data</w:t>
      </w:r>
    </w:p>
    <w:p>
      <w:pPr>
        <w:spacing w:before="0" w:after="0" w:line="360"/>
        <w:ind w:right="0" w:left="0" w:firstLine="0"/>
        <w:jc w:val="left"/>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Qualitative method</w:t>
      </w:r>
    </w:p>
    <w:p>
      <w:pPr>
        <w:spacing w:before="0" w:after="0" w:line="360"/>
        <w:ind w:right="0" w:left="0" w:firstLine="720"/>
        <w:jc w:val="left"/>
        <w:rPr>
          <w:rFonts w:ascii="Arial" w:hAnsi="Arial" w:cs="Arial" w:eastAsia="Arial"/>
          <w:color w:val="auto"/>
          <w:spacing w:val="0"/>
          <w:position w:val="0"/>
          <w:sz w:val="22"/>
          <w:shd w:fill="auto" w:val="clear"/>
        </w:rPr>
      </w:pPr>
      <w:r>
        <w:rPr>
          <w:rFonts w:ascii="Arial" w:hAnsi="Arial" w:cs="Arial" w:eastAsia="Arial"/>
          <w:color w:val="0E101A"/>
          <w:spacing w:val="0"/>
          <w:position w:val="0"/>
          <w:sz w:val="22"/>
          <w:shd w:fill="auto" w:val="clear"/>
        </w:rPr>
        <w:t xml:space="preserve">This is one of the essential methods of collecting research data as it entails the accumulation of individuals interpretations. The qualitative method of collecting data entails applying interviews that advocate the setting of questions, and the respondents are granted the chance to respond to the queries </w:t>
      </w:r>
      <w:r>
        <w:rPr>
          <w:rFonts w:ascii="Arial" w:hAnsi="Arial" w:cs="Arial" w:eastAsia="Arial"/>
          <w:color w:val="auto"/>
          <w:spacing w:val="0"/>
          <w:position w:val="0"/>
          <w:sz w:val="22"/>
          <w:shd w:fill="auto" w:val="clear"/>
        </w:rPr>
        <w:t xml:space="preserve">(Hamilton &amp; Finley, 2019, p. 112516 )</w:t>
      </w:r>
      <w:r>
        <w:rPr>
          <w:rFonts w:ascii="Arial" w:hAnsi="Arial" w:cs="Arial" w:eastAsia="Arial"/>
          <w:color w:val="0E101A"/>
          <w:spacing w:val="0"/>
          <w:position w:val="0"/>
          <w:sz w:val="22"/>
          <w:shd w:fill="auto" w:val="clear"/>
        </w:rPr>
        <w:t xml:space="preserve">. This assists the researcher to generate massive data as it avoids biasness among the interviewer and the interviewee. Although qualitative research is more beneficial to the research, it experiences one major disadvantage. For instance, interviews depend on the individual experience, which may give the wrong conclusion on the study outcomes.</w:t>
      </w:r>
    </w:p>
    <w:p>
      <w:pPr>
        <w:spacing w:before="0" w:after="0" w:line="360"/>
        <w:ind w:right="0" w:left="0" w:firstLine="0"/>
        <w:jc w:val="left"/>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Quantitative Method</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This method is highly beneficial to the researches that require statistical data analysis. It is also crucial to the examinations that require opinions from the respondents. The primary technique that is essential to quantitative data analysis is the use of surveys. A survey is one of the primary methods that have been emphasized throughout the study. Surveys are more critical to small scale researchers as it provides excellent outcomes of the study </w:t>
      </w:r>
      <w:r>
        <w:rPr>
          <w:rFonts w:ascii="Arial" w:hAnsi="Arial" w:cs="Arial" w:eastAsia="Arial"/>
          <w:color w:val="auto"/>
          <w:spacing w:val="0"/>
          <w:position w:val="0"/>
          <w:sz w:val="22"/>
          <w:shd w:fill="auto" w:val="clear"/>
        </w:rPr>
        <w:t xml:space="preserve">(Goertzen, 2017, p. 16)</w:t>
      </w:r>
      <w:r>
        <w:rPr>
          <w:rFonts w:ascii="Arial" w:hAnsi="Arial" w:cs="Arial" w:eastAsia="Arial"/>
          <w:color w:val="0E101A"/>
          <w:spacing w:val="0"/>
          <w:position w:val="0"/>
          <w:sz w:val="22"/>
          <w:shd w:fill="auto" w:val="clear"/>
        </w:rPr>
        <w:t xml:space="preserve">. The significant benefit of quantitative research is that it enables faster collection of data for the intended investigation.</w:t>
      </w:r>
    </w:p>
    <w:p>
      <w:pPr>
        <w:spacing w:before="0" w:after="0" w:line="360"/>
        <w:ind w:right="0" w:left="0" w:firstLine="0"/>
        <w:jc w:val="left"/>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Sample Size  </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sample size is a term applied to refers to the number of interviewees involved in data collection. For instance, the research survey involves 18 students from the University of Wales. The central technique applied is a non-probability sampling that entails the eradication of individuals perceptions. The primary reason for the preference for the non-sampling method in the research is simply because the study involves impacts of VLE on learning and requires opinion from the students' experience. This can only be attained through the non-sampling technique hence emphasized in the research.</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Tools involved in Data Collection</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primary tool emphasized throughout the study is administering a questionnaire as it assists in collecting the essential data required for the study. The questionnaire is designed to cover six questions whereby the students are required to sign before answering the questions.    </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Ethical consideration</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research encourages voluntary participation for students who are only willing to participate in data collection. The process does not advocate the disclosure of confidential information for the participants. This is to ensure that the students are not limited in presenting their views about the research. It also improves their accuracy as there is no biasness in data presentation.</w:t>
      </w: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Data Analysis</w:t>
      </w:r>
    </w:p>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Questionnaire Projection</w:t>
      </w:r>
    </w:p>
    <w:p>
      <w:pPr>
        <w:numPr>
          <w:ilvl w:val="0"/>
          <w:numId w:val="33"/>
        </w:numPr>
        <w:spacing w:before="0" w:after="0" w:line="360"/>
        <w:ind w:right="0" w:left="720" w:hanging="36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Do you have trust on VLE as it assists the students to meet academic necessities?</w:t>
      </w:r>
    </w:p>
    <w:tbl>
      <w:tblPr/>
      <w:tblGrid>
        <w:gridCol w:w="2695"/>
        <w:gridCol w:w="2251"/>
        <w:gridCol w:w="2247"/>
        <w:gridCol w:w="2252"/>
      </w:tblGrid>
      <w:tr>
        <w:trPr>
          <w:trHeight w:val="620" w:hRule="auto"/>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Selections</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Participants</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outcome</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number of participants</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44%</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Not Aware</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bl>
    <w:p>
      <w:pPr>
        <w:spacing w:before="0" w:after="0" w:line="360"/>
        <w:ind w:right="0" w:left="36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ab/>
        <w:t xml:space="preserve">Table 1:</w:t>
      </w:r>
    </w:p>
    <w:p>
      <w:pPr>
        <w:numPr>
          <w:ilvl w:val="0"/>
          <w:numId w:val="49"/>
        </w:numPr>
        <w:spacing w:before="0" w:after="0" w:line="360"/>
        <w:ind w:right="0" w:left="720" w:hanging="36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Do you have the trust that VLE Accounts all the teaching modules?</w:t>
      </w:r>
    </w:p>
    <w:tbl>
      <w:tblPr/>
      <w:tblGrid>
        <w:gridCol w:w="2695"/>
        <w:gridCol w:w="2251"/>
        <w:gridCol w:w="2247"/>
        <w:gridCol w:w="2252"/>
      </w:tblGrid>
      <w:tr>
        <w:trPr>
          <w:trHeight w:val="620" w:hRule="auto"/>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Selections</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Participants</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outcome</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number of participants</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44%</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Not Aware</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bl>
    <w:p>
      <w:pPr>
        <w:spacing w:before="0" w:after="0" w:line="360"/>
        <w:ind w:right="0" w:left="36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2,</w:t>
      </w:r>
    </w:p>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3.Do you trust that VLE has all the essential supportive materials? </w:t>
      </w:r>
    </w:p>
    <w:tbl>
      <w:tblPr/>
      <w:tblGrid>
        <w:gridCol w:w="2695"/>
        <w:gridCol w:w="2251"/>
        <w:gridCol w:w="2247"/>
        <w:gridCol w:w="2252"/>
      </w:tblGrid>
      <w:tr>
        <w:trPr>
          <w:trHeight w:val="620" w:hRule="auto"/>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Selections</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Participants</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outcome</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number of participants</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56%</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Not Aware</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bl>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3,</w:t>
      </w:r>
    </w:p>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4.Do have trust that VLE has enhanced E-Learning?</w:t>
      </w:r>
    </w:p>
    <w:tbl>
      <w:tblPr/>
      <w:tblGrid>
        <w:gridCol w:w="2695"/>
        <w:gridCol w:w="2251"/>
        <w:gridCol w:w="2247"/>
        <w:gridCol w:w="2252"/>
      </w:tblGrid>
      <w:tr>
        <w:trPr>
          <w:trHeight w:val="620" w:hRule="auto"/>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Selections</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Participants</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outcome</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number of participants</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50%</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Not Aware</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bl>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4,</w:t>
      </w:r>
    </w:p>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5. Do you trust that VLE has positively impacted learning experience among the learners?</w:t>
      </w:r>
    </w:p>
    <w:tbl>
      <w:tblPr/>
      <w:tblGrid>
        <w:gridCol w:w="2695"/>
        <w:gridCol w:w="2251"/>
        <w:gridCol w:w="2247"/>
        <w:gridCol w:w="2252"/>
      </w:tblGrid>
      <w:tr>
        <w:trPr>
          <w:trHeight w:val="620" w:hRule="auto"/>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Selections</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Participants</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outcome</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number of participants</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50%</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Not Aware</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bl>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5,</w:t>
      </w:r>
    </w:p>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6. Do you Trust that VLE needs some improvements?</w:t>
      </w:r>
    </w:p>
    <w:tbl>
      <w:tblPr/>
      <w:tblGrid>
        <w:gridCol w:w="2695"/>
        <w:gridCol w:w="2251"/>
        <w:gridCol w:w="2247"/>
        <w:gridCol w:w="2252"/>
      </w:tblGrid>
      <w:tr>
        <w:trPr>
          <w:trHeight w:val="620" w:hRule="auto"/>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Selections</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Participants</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outcome</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number of participants</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33%</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Not Aware</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28%</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r>
        <w:trPr>
          <w:trHeight w:val="1" w:hRule="atLeast"/>
          <w:jc w:val="left"/>
        </w:trPr>
        <w:tc>
          <w:tcPr>
            <w:tcW w:w="2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Powerfully Distrust</w:t>
            </w:r>
          </w:p>
        </w:tc>
        <w:tc>
          <w:tcPr>
            <w:tcW w:w="22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2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225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r>
    </w:tbl>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6,</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Graphical conception and Discussions on the results</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From the data collected, 44% of the students trust VLE as it meets all the academic necessities. This could be because VLE can divide the subjects, enabling the students to capture the content quickly. Another analysis is that 17% of the participants trust that VLE accommodates all the teaching modules. This suggests that VLE plays a significant role in supporting all the teaching modules in UWTSD.</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Additionally, VLE supports adequate academic materials for all the modules as it is trusted by 56% of the respondents. This can be influenced by the students' ability to gain more knowledge and skills through VLE, as they can easily access the learning materials. This indicates that the availing of excellent academic materials improves the learning process. 50 % of the students have a full trust that VLE has greatly enhance E-learning. This indicates that the students may have come into contact with e-learning since the implementation of VLE.</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Another analysis is that VLE has positively impacted the learning experience among the learners as 50% of the students have a powerful acceptance of the positive impacts of VLE. This has also been supported by the other significant secondary research that indicates that VLE has substantial positive effects on the learning experience. 33% of the respondents suggest that VLE needs some improvement. This suggests that the system should be designed to advocate for e-portal that are stimulated by new technology.</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Secondary analysis</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central theme developed through secondary analysis entails the elements of VLE. Tenório et al. (2017) illustrate that the significant aspects of VLE entail mapping and e-portals that are divided into various sections and can be easily accessed by the application of new technology. VLE caters to adequate support for both students and teachers as it provides email communication and online chats. This assists the students in mapping lessons together with improving their interactions with the teachers.</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Limitations involved in the study</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significant primary challenge faced by the researchers in collecting data is the lack of adequate time that would enable them to collect a massive amount of data. The other problem is the lack of funds for awarding the respondents for their time. Due to the government enactments of curbing the pandemic, contacting all the respondents online was time-consuming. Some of the articles were costly to access, and this limited the extent of the research coverage. The aspect also made the respondents provide minimal data contrary to their expectations as they had willing to offer a wide variety of information.</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Recommendations</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To conduct excellent research in future, the stakeholders should accurately estimate the exact funds that will cater for all the expenses incurred in the study. This will assist the researchers in collecting a large amount of data that is beneficial to the research.</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researchers should also seek permission from the university to familiarize themselves with the barriers they may encounter in the actual study. The secondary research should be highly emphasized throughout the research progress as they provide essential information relating to VLE.</w:t>
      </w:r>
    </w:p>
    <w:p>
      <w:pPr>
        <w:spacing w:before="0" w:after="0" w:line="360"/>
        <w:ind w:right="0" w:left="0" w:firstLine="0"/>
        <w:jc w:val="center"/>
        <w:rPr>
          <w:rFonts w:ascii="Arial" w:hAnsi="Arial" w:cs="Arial" w:eastAsia="Arial"/>
          <w:color w:val="0E101A"/>
          <w:spacing w:val="0"/>
          <w:position w:val="0"/>
          <w:sz w:val="22"/>
          <w:shd w:fill="auto" w:val="clear"/>
        </w:rPr>
      </w:pPr>
      <w:r>
        <w:rPr>
          <w:rFonts w:ascii="Arial" w:hAnsi="Arial" w:cs="Arial" w:eastAsia="Arial"/>
          <w:b/>
          <w:color w:val="0E101A"/>
          <w:spacing w:val="0"/>
          <w:position w:val="0"/>
          <w:sz w:val="22"/>
          <w:shd w:fill="auto" w:val="clear"/>
        </w:rPr>
        <w:t xml:space="preserve">Conclusion</w:t>
      </w:r>
    </w:p>
    <w:p>
      <w:pPr>
        <w:spacing w:before="0" w:after="0" w:line="360"/>
        <w:ind w:right="0" w:left="0" w:firstLine="720"/>
        <w:jc w:val="left"/>
        <w:rPr>
          <w:rFonts w:ascii="Arial" w:hAnsi="Arial" w:cs="Arial" w:eastAsia="Arial"/>
          <w:color w:val="0E101A"/>
          <w:spacing w:val="0"/>
          <w:position w:val="0"/>
          <w:sz w:val="22"/>
          <w:shd w:fill="auto" w:val="clear"/>
        </w:rPr>
      </w:pPr>
      <w:r>
        <w:rPr>
          <w:rFonts w:ascii="Arial" w:hAnsi="Arial" w:cs="Arial" w:eastAsia="Arial"/>
          <w:color w:val="0E101A"/>
          <w:spacing w:val="0"/>
          <w:position w:val="0"/>
          <w:sz w:val="22"/>
          <w:shd w:fill="auto" w:val="clear"/>
        </w:rPr>
        <w:t xml:space="preserve">The research is generated to students from the University of Wales as it is based on the impacts of VLE on learning process. VLE has positively impacted the learning progress of the students. The principal aim of primary data is to obtain essential data relating to the student's experience on the application of VLE in learning. The findings indicate that the majority of the students have a positive attitude towards VLE.</w:t>
      </w:r>
    </w:p>
    <w:p>
      <w:pPr>
        <w:spacing w:before="0" w:after="0" w:line="360"/>
        <w:ind w:right="0" w:left="0" w:firstLine="0"/>
        <w:jc w:val="left"/>
        <w:rPr>
          <w:rFonts w:ascii="Arial" w:hAnsi="Arial" w:cs="Arial" w:eastAsia="Arial"/>
          <w:color w:val="0E101A"/>
          <w:spacing w:val="0"/>
          <w:position w:val="0"/>
          <w:sz w:val="22"/>
          <w:shd w:fill="auto" w:val="clear"/>
        </w:rPr>
      </w:pPr>
    </w:p>
    <w:p>
      <w:pPr>
        <w:spacing w:before="0" w:after="0" w:line="360"/>
        <w:ind w:right="0" w:left="0" w:firstLine="0"/>
        <w:jc w:val="left"/>
        <w:rPr>
          <w:rFonts w:ascii="Arial" w:hAnsi="Arial" w:cs="Arial" w:eastAsia="Arial"/>
          <w:color w:val="0E101A"/>
          <w:spacing w:val="0"/>
          <w:position w:val="0"/>
          <w:sz w:val="22"/>
          <w:shd w:fill="auto" w:val="clear"/>
        </w:rPr>
      </w:pPr>
    </w:p>
    <w:p>
      <w:pPr>
        <w:spacing w:before="0" w:after="0" w:line="360"/>
        <w:ind w:right="0" w:left="0" w:firstLine="0"/>
        <w:jc w:val="left"/>
        <w:rPr>
          <w:rFonts w:ascii="Arial" w:hAnsi="Arial" w:cs="Arial" w:eastAsia="Arial"/>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p>
    <w:p>
      <w:pPr>
        <w:spacing w:before="0" w:after="0" w:line="360"/>
        <w:ind w:right="0" w:left="0" w:firstLine="0"/>
        <w:jc w:val="center"/>
        <w:rPr>
          <w:rFonts w:ascii="Arial" w:hAnsi="Arial" w:cs="Arial" w:eastAsia="Arial"/>
          <w:b/>
          <w:color w:val="0E101A"/>
          <w:spacing w:val="0"/>
          <w:position w:val="0"/>
          <w:sz w:val="22"/>
          <w:shd w:fill="auto" w:val="clear"/>
        </w:rPr>
      </w:pPr>
      <w:r>
        <w:rPr>
          <w:rFonts w:ascii="Arial" w:hAnsi="Arial" w:cs="Arial" w:eastAsia="Arial"/>
          <w:b/>
          <w:color w:val="0E101A"/>
          <w:spacing w:val="0"/>
          <w:position w:val="0"/>
          <w:sz w:val="22"/>
          <w:shd w:fill="auto" w:val="clear"/>
        </w:rPr>
        <w:t xml:space="preserve">References</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Alves, P., Miranda, L., &amp; Morais, C. (2017). The influence of virtual learning environments in students’ performance. </w:t>
      </w:r>
      <w:r>
        <w:rPr>
          <w:rFonts w:ascii="Arial" w:hAnsi="Arial" w:cs="Arial" w:eastAsia="Arial"/>
          <w:i/>
          <w:color w:val="auto"/>
          <w:spacing w:val="0"/>
          <w:position w:val="0"/>
          <w:sz w:val="22"/>
          <w:shd w:fill="auto" w:val="clear"/>
        </w:rPr>
        <w:t xml:space="preserve">Universal Journal of Educational Research</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5</w:t>
      </w:r>
      <w:r>
        <w:rPr>
          <w:rFonts w:ascii="Arial" w:hAnsi="Arial" w:cs="Arial" w:eastAsia="Arial"/>
          <w:color w:val="auto"/>
          <w:spacing w:val="0"/>
          <w:position w:val="0"/>
          <w:sz w:val="22"/>
          <w:shd w:fill="auto" w:val="clear"/>
        </w:rPr>
        <w:t xml:space="preserve">(3), pp. 517-527.</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Castilla Alcalá, G., Durán Heras, A., &amp; Ortiz González, J. I. (2021). Reuse of components between virtual, b-learning and face-to-face courses: a case study in Management Information Systems. </w:t>
      </w:r>
      <w:r>
        <w:rPr>
          <w:rFonts w:ascii="Arial" w:hAnsi="Arial" w:cs="Arial" w:eastAsia="Arial"/>
          <w:i/>
          <w:color w:val="auto"/>
          <w:spacing w:val="0"/>
          <w:position w:val="0"/>
          <w:sz w:val="22"/>
          <w:shd w:fill="auto" w:val="clear"/>
        </w:rPr>
        <w:t xml:space="preserve">Aula abierta</w:t>
      </w:r>
      <w:r>
        <w:rPr>
          <w:rFonts w:ascii="Arial" w:hAnsi="Arial" w:cs="Arial" w:eastAsia="Arial"/>
          <w:color w:val="auto"/>
          <w:spacing w:val="0"/>
          <w:position w:val="0"/>
          <w:sz w:val="22"/>
          <w:shd w:fill="auto" w:val="clear"/>
        </w:rPr>
        <w:t xml:space="preserve">.</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Goertzen, M.J., 2017. Introduction to quantitative research and data. </w:t>
      </w:r>
      <w:r>
        <w:rPr>
          <w:rFonts w:ascii="Arial" w:hAnsi="Arial" w:cs="Arial" w:eastAsia="Arial"/>
          <w:i/>
          <w:color w:val="auto"/>
          <w:spacing w:val="0"/>
          <w:position w:val="0"/>
          <w:sz w:val="22"/>
          <w:shd w:fill="auto" w:val="clear"/>
        </w:rPr>
        <w:t xml:space="preserve">Library Technology Reports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53</w:t>
      </w:r>
      <w:r>
        <w:rPr>
          <w:rFonts w:ascii="Arial" w:hAnsi="Arial" w:cs="Arial" w:eastAsia="Arial"/>
          <w:color w:val="auto"/>
          <w:spacing w:val="0"/>
          <w:position w:val="0"/>
          <w:sz w:val="22"/>
          <w:shd w:fill="auto" w:val="clear"/>
        </w:rPr>
        <w:t xml:space="preserve">(4), pp.12-18. </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Hamilton, A. B., &amp; Finley, E. P. (2019). Qualitative methods in implementation research: an introduction. </w:t>
      </w:r>
      <w:r>
        <w:rPr>
          <w:rFonts w:ascii="Arial" w:hAnsi="Arial" w:cs="Arial" w:eastAsia="Arial"/>
          <w:i/>
          <w:color w:val="auto"/>
          <w:spacing w:val="0"/>
          <w:position w:val="0"/>
          <w:sz w:val="22"/>
          <w:shd w:fill="auto" w:val="clear"/>
        </w:rPr>
        <w:t xml:space="preserve">Psychiatry research</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280</w:t>
      </w:r>
      <w:r>
        <w:rPr>
          <w:rFonts w:ascii="Arial" w:hAnsi="Arial" w:cs="Arial" w:eastAsia="Arial"/>
          <w:color w:val="auto"/>
          <w:spacing w:val="0"/>
          <w:position w:val="0"/>
          <w:sz w:val="22"/>
          <w:shd w:fill="auto" w:val="clear"/>
        </w:rPr>
        <w:t xml:space="preserve">, p. 112516. </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Huang, Y. C., Backman, S. J., Backman, K. F., McGuire, F. A., &amp; Moore, D. (2019). An investigation of motivation and experience in virtual learning environments: a self-determination theory. </w:t>
      </w:r>
      <w:r>
        <w:rPr>
          <w:rFonts w:ascii="Arial" w:hAnsi="Arial" w:cs="Arial" w:eastAsia="Arial"/>
          <w:i/>
          <w:color w:val="auto"/>
          <w:spacing w:val="0"/>
          <w:position w:val="0"/>
          <w:sz w:val="22"/>
          <w:shd w:fill="auto" w:val="clear"/>
        </w:rPr>
        <w:t xml:space="preserve">Education and Information Technologies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24</w:t>
      </w:r>
      <w:r>
        <w:rPr>
          <w:rFonts w:ascii="Arial" w:hAnsi="Arial" w:cs="Arial" w:eastAsia="Arial"/>
          <w:color w:val="auto"/>
          <w:spacing w:val="0"/>
          <w:position w:val="0"/>
          <w:sz w:val="22"/>
          <w:shd w:fill="auto" w:val="clear"/>
        </w:rPr>
        <w:t xml:space="preserve">(1), pp. 591-611.</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Hussain, M., Zhu, W., Zhang, W., &amp; Abidi, S. M. R. (2018). Student engagement predictions in an e-learning system and their impact on student course assessment scores. </w:t>
      </w:r>
      <w:r>
        <w:rPr>
          <w:rFonts w:ascii="Arial" w:hAnsi="Arial" w:cs="Arial" w:eastAsia="Arial"/>
          <w:i/>
          <w:color w:val="auto"/>
          <w:spacing w:val="0"/>
          <w:position w:val="0"/>
          <w:sz w:val="22"/>
          <w:shd w:fill="auto" w:val="clear"/>
        </w:rPr>
        <w:t xml:space="preserve">Computational intelligence and neuroscience</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2018</w:t>
      </w:r>
      <w:r>
        <w:rPr>
          <w:rFonts w:ascii="Arial" w:hAnsi="Arial" w:cs="Arial" w:eastAsia="Arial"/>
          <w:color w:val="auto"/>
          <w:spacing w:val="0"/>
          <w:position w:val="0"/>
          <w:sz w:val="22"/>
          <w:shd w:fill="auto" w:val="clear"/>
        </w:rPr>
        <w:t xml:space="preserve">.</w:t>
      </w:r>
    </w:p>
    <w:p>
      <w:pPr>
        <w:spacing w:before="0" w:after="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Tenório, M. M., Reinaldo, F. A. F., Góis, L. A., Lopes, R. P., &amp; dos Santos Junior, G. (2017, September). Elements of gamification in virtual learning environments. In </w:t>
      </w:r>
      <w:r>
        <w:rPr>
          <w:rFonts w:ascii="Arial" w:hAnsi="Arial" w:cs="Arial" w:eastAsia="Arial"/>
          <w:i/>
          <w:color w:val="auto"/>
          <w:spacing w:val="0"/>
          <w:position w:val="0"/>
          <w:sz w:val="22"/>
          <w:shd w:fill="auto" w:val="clear"/>
        </w:rPr>
        <w:t xml:space="preserve">International Conference on Interactive Collaborative Learning</w:t>
      </w:r>
      <w:r>
        <w:rPr>
          <w:rFonts w:ascii="Arial" w:hAnsi="Arial" w:cs="Arial" w:eastAsia="Arial"/>
          <w:color w:val="auto"/>
          <w:spacing w:val="0"/>
          <w:position w:val="0"/>
          <w:sz w:val="22"/>
          <w:shd w:fill="auto" w:val="clear"/>
        </w:rPr>
        <w:t xml:space="preserve"> (pp. 86-96). Springer, Cham.</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1">
    <w:abstractNumId w:val="12"/>
  </w:num>
  <w:num w:numId="33">
    <w:abstractNumId w:val="6"/>
  </w:num>
  <w:num w:numId="4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