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4688" w14:textId="77777777" w:rsidR="000B743B" w:rsidRPr="00BC0B86" w:rsidRDefault="000B743B" w:rsidP="00BC0B86">
      <w:pPr>
        <w:spacing w:line="360" w:lineRule="auto"/>
        <w:jc w:val="both"/>
        <w:rPr>
          <w:rFonts w:asciiTheme="minorBidi" w:eastAsia="Times New Roman" w:hAnsiTheme="minorBidi"/>
          <w:b/>
          <w:bCs/>
          <w:kern w:val="36"/>
          <w:sz w:val="22"/>
          <w:szCs w:val="22"/>
          <w:lang w:val="en-GB" w:eastAsia="en-GB"/>
          <w14:ligatures w14:val="none"/>
        </w:rPr>
      </w:pPr>
    </w:p>
    <w:p w14:paraId="61F3ED86" w14:textId="77777777" w:rsidR="00E2136B" w:rsidRDefault="00E2136B" w:rsidP="00BC0B86">
      <w:pPr>
        <w:spacing w:line="360" w:lineRule="auto"/>
        <w:jc w:val="both"/>
        <w:rPr>
          <w:rFonts w:asciiTheme="minorBidi" w:eastAsia="Times New Roman" w:hAnsiTheme="minorBidi"/>
          <w:b/>
          <w:bCs/>
          <w:kern w:val="36"/>
          <w:sz w:val="22"/>
          <w:szCs w:val="22"/>
          <w:lang w:val="en-GB" w:eastAsia="en-GB"/>
          <w14:ligatures w14:val="none"/>
        </w:rPr>
      </w:pPr>
    </w:p>
    <w:p w14:paraId="30800A20" w14:textId="77777777" w:rsidR="00BC0B86" w:rsidRDefault="00BC0B86" w:rsidP="00BC0B86">
      <w:pPr>
        <w:spacing w:line="360" w:lineRule="auto"/>
        <w:jc w:val="both"/>
        <w:rPr>
          <w:rFonts w:asciiTheme="minorBidi" w:eastAsia="Times New Roman" w:hAnsiTheme="minorBidi"/>
          <w:b/>
          <w:bCs/>
          <w:kern w:val="36"/>
          <w:sz w:val="22"/>
          <w:szCs w:val="22"/>
          <w:lang w:val="en-GB" w:eastAsia="en-GB"/>
          <w14:ligatures w14:val="none"/>
        </w:rPr>
      </w:pPr>
    </w:p>
    <w:p w14:paraId="4B8D93DC" w14:textId="4B7AEB06" w:rsidR="00F34463" w:rsidRPr="0014159A" w:rsidRDefault="00F34463" w:rsidP="00F34463">
      <w:pPr>
        <w:jc w:val="center"/>
        <w:rPr>
          <w:rFonts w:ascii="Arial" w:hAnsi="Arial" w:cs="Arial"/>
          <w:b/>
          <w:bCs/>
          <w:sz w:val="28"/>
          <w:szCs w:val="32"/>
          <w:lang w:val="en-US"/>
        </w:rPr>
      </w:pPr>
      <w:r w:rsidRPr="00F34463">
        <w:rPr>
          <w:rFonts w:ascii="Arial" w:hAnsi="Arial" w:cs="Arial"/>
          <w:b/>
          <w:bCs/>
          <w:sz w:val="28"/>
          <w:szCs w:val="32"/>
        </w:rPr>
        <w:t xml:space="preserve">Name: </w:t>
      </w:r>
      <w:r w:rsidR="0014159A">
        <w:rPr>
          <w:rFonts w:ascii="Arial" w:hAnsi="Arial" w:cs="Arial"/>
          <w:b/>
          <w:bCs/>
          <w:sz w:val="28"/>
          <w:szCs w:val="32"/>
          <w:lang w:val="en-US"/>
        </w:rPr>
        <w:t>Samina Nazir</w:t>
      </w:r>
    </w:p>
    <w:p w14:paraId="116E4667" w14:textId="365896E5" w:rsidR="00F34463" w:rsidRPr="0014159A" w:rsidRDefault="00F34463" w:rsidP="00F34463">
      <w:pPr>
        <w:jc w:val="center"/>
        <w:rPr>
          <w:rFonts w:ascii="Arial" w:hAnsi="Arial" w:cs="Arial"/>
          <w:b/>
          <w:bCs/>
          <w:sz w:val="28"/>
          <w:szCs w:val="32"/>
          <w:lang w:val="en-US"/>
        </w:rPr>
      </w:pPr>
      <w:r w:rsidRPr="00F34463">
        <w:rPr>
          <w:rFonts w:ascii="Arial" w:hAnsi="Arial" w:cs="Arial"/>
          <w:b/>
          <w:bCs/>
          <w:sz w:val="28"/>
          <w:szCs w:val="32"/>
        </w:rPr>
        <w:t xml:space="preserve">Student Number: </w:t>
      </w:r>
      <w:r w:rsidR="0014159A">
        <w:rPr>
          <w:rFonts w:ascii="Arial" w:hAnsi="Arial" w:cs="Arial"/>
          <w:b/>
          <w:bCs/>
          <w:sz w:val="28"/>
          <w:szCs w:val="32"/>
          <w:lang w:val="en-US"/>
        </w:rPr>
        <w:t>2215433</w:t>
      </w:r>
    </w:p>
    <w:p w14:paraId="4E8F8AF9" w14:textId="77777777" w:rsidR="00F34463" w:rsidRPr="00F34463" w:rsidRDefault="00F34463" w:rsidP="00F34463">
      <w:pPr>
        <w:jc w:val="center"/>
        <w:rPr>
          <w:rFonts w:ascii="Arial" w:hAnsi="Arial" w:cs="Arial"/>
          <w:b/>
          <w:bCs/>
          <w:sz w:val="28"/>
          <w:szCs w:val="32"/>
        </w:rPr>
      </w:pPr>
      <w:r w:rsidRPr="00F34463">
        <w:rPr>
          <w:rFonts w:ascii="Arial" w:hAnsi="Arial" w:cs="Arial"/>
          <w:b/>
          <w:bCs/>
          <w:sz w:val="28"/>
          <w:szCs w:val="32"/>
        </w:rPr>
        <w:t>Module: Health, Wellbeing and Sustainable Development (BMHP6030)</w:t>
      </w:r>
    </w:p>
    <w:p w14:paraId="73D35D14" w14:textId="77777777" w:rsidR="00F34463" w:rsidRPr="00F34463" w:rsidRDefault="00F34463" w:rsidP="00F34463">
      <w:pPr>
        <w:jc w:val="center"/>
        <w:rPr>
          <w:rFonts w:ascii="Arial" w:hAnsi="Arial" w:cs="Arial"/>
          <w:b/>
          <w:bCs/>
          <w:sz w:val="28"/>
          <w:szCs w:val="32"/>
        </w:rPr>
      </w:pPr>
      <w:r w:rsidRPr="00F34463">
        <w:rPr>
          <w:rFonts w:ascii="Arial" w:hAnsi="Arial" w:cs="Arial"/>
          <w:b/>
          <w:bCs/>
          <w:sz w:val="28"/>
          <w:szCs w:val="32"/>
        </w:rPr>
        <w:t xml:space="preserve">Assignment Title: Component 2: Written Assignment (Report) </w:t>
      </w:r>
    </w:p>
    <w:p w14:paraId="2CD5FD43" w14:textId="0EA6B451" w:rsidR="00BA444E" w:rsidRDefault="00F34463" w:rsidP="00F34463">
      <w:pPr>
        <w:jc w:val="center"/>
        <w:rPr>
          <w:rFonts w:ascii="Arial" w:hAnsi="Arial" w:cs="Arial"/>
          <w:b/>
          <w:bCs/>
          <w:sz w:val="28"/>
          <w:szCs w:val="32"/>
        </w:rPr>
      </w:pPr>
      <w:r w:rsidRPr="00F34463">
        <w:rPr>
          <w:rFonts w:ascii="Arial" w:hAnsi="Arial" w:cs="Arial"/>
          <w:b/>
          <w:bCs/>
          <w:sz w:val="28"/>
          <w:szCs w:val="32"/>
        </w:rPr>
        <w:t>Lecturer Name: Parese Ahmed</w:t>
      </w:r>
    </w:p>
    <w:p w14:paraId="4C87E70B" w14:textId="77777777" w:rsidR="00BA444E" w:rsidRDefault="00BA444E" w:rsidP="00BA444E">
      <w:pPr>
        <w:jc w:val="center"/>
        <w:rPr>
          <w:rFonts w:ascii="Arial" w:hAnsi="Arial" w:cs="Arial"/>
          <w:b/>
          <w:bCs/>
          <w:sz w:val="28"/>
          <w:szCs w:val="32"/>
        </w:rPr>
      </w:pPr>
    </w:p>
    <w:p w14:paraId="5A3CF46A" w14:textId="77777777" w:rsidR="00BA444E" w:rsidRDefault="00BA444E" w:rsidP="00BA444E">
      <w:pPr>
        <w:jc w:val="center"/>
        <w:rPr>
          <w:rFonts w:ascii="Arial" w:hAnsi="Arial" w:cs="Arial"/>
          <w:b/>
          <w:bCs/>
          <w:sz w:val="28"/>
          <w:szCs w:val="32"/>
        </w:rPr>
      </w:pPr>
    </w:p>
    <w:p w14:paraId="21072A43" w14:textId="77777777" w:rsidR="00BA444E" w:rsidRDefault="00BA444E" w:rsidP="00BA444E">
      <w:pPr>
        <w:jc w:val="center"/>
        <w:rPr>
          <w:rFonts w:ascii="Arial" w:hAnsi="Arial" w:cs="Arial"/>
          <w:b/>
          <w:bCs/>
          <w:sz w:val="28"/>
          <w:szCs w:val="32"/>
        </w:rPr>
      </w:pPr>
    </w:p>
    <w:p w14:paraId="62BCB3F9" w14:textId="77777777" w:rsidR="00BA444E" w:rsidRDefault="00BA444E" w:rsidP="00BA444E">
      <w:pPr>
        <w:jc w:val="center"/>
        <w:rPr>
          <w:rFonts w:ascii="Arial" w:hAnsi="Arial" w:cs="Arial"/>
          <w:b/>
          <w:bCs/>
          <w:sz w:val="28"/>
          <w:szCs w:val="32"/>
        </w:rPr>
      </w:pPr>
    </w:p>
    <w:p w14:paraId="54D99FE1" w14:textId="77777777" w:rsidR="00BA444E" w:rsidRDefault="00BA444E" w:rsidP="00BA444E">
      <w:pPr>
        <w:jc w:val="center"/>
        <w:rPr>
          <w:rFonts w:ascii="Arial" w:hAnsi="Arial" w:cs="Arial"/>
          <w:b/>
          <w:bCs/>
          <w:sz w:val="28"/>
          <w:szCs w:val="32"/>
        </w:rPr>
      </w:pPr>
    </w:p>
    <w:p w14:paraId="5135E805" w14:textId="77777777" w:rsidR="00BA444E" w:rsidRDefault="00BA444E" w:rsidP="00BA444E">
      <w:pPr>
        <w:jc w:val="center"/>
        <w:rPr>
          <w:rFonts w:ascii="Arial" w:hAnsi="Arial" w:cs="Arial"/>
          <w:b/>
          <w:bCs/>
          <w:sz w:val="28"/>
          <w:szCs w:val="32"/>
        </w:rPr>
      </w:pPr>
    </w:p>
    <w:p w14:paraId="1CA3ED7B" w14:textId="77777777" w:rsidR="00BA444E" w:rsidRDefault="00BA444E" w:rsidP="00BA444E">
      <w:pPr>
        <w:jc w:val="center"/>
        <w:rPr>
          <w:rFonts w:ascii="Arial" w:hAnsi="Arial" w:cs="Arial"/>
          <w:b/>
          <w:bCs/>
          <w:sz w:val="28"/>
          <w:szCs w:val="32"/>
        </w:rPr>
      </w:pPr>
    </w:p>
    <w:p w14:paraId="6B195A2F" w14:textId="77777777" w:rsidR="00BA444E" w:rsidRDefault="00BA444E" w:rsidP="00BA444E">
      <w:pPr>
        <w:jc w:val="center"/>
        <w:rPr>
          <w:rFonts w:ascii="Arial" w:hAnsi="Arial" w:cs="Arial"/>
          <w:b/>
          <w:bCs/>
          <w:sz w:val="28"/>
          <w:szCs w:val="32"/>
        </w:rPr>
      </w:pPr>
    </w:p>
    <w:p w14:paraId="5CAEFD51" w14:textId="77777777" w:rsidR="00BA444E" w:rsidRDefault="00BA444E" w:rsidP="00BA444E">
      <w:pPr>
        <w:jc w:val="center"/>
        <w:rPr>
          <w:rFonts w:ascii="Arial" w:hAnsi="Arial" w:cs="Arial"/>
          <w:b/>
          <w:bCs/>
          <w:sz w:val="28"/>
          <w:szCs w:val="32"/>
        </w:rPr>
      </w:pPr>
    </w:p>
    <w:p w14:paraId="66223F9E" w14:textId="77777777" w:rsidR="00BA444E" w:rsidRDefault="00BA444E" w:rsidP="00BA444E">
      <w:pPr>
        <w:jc w:val="center"/>
        <w:rPr>
          <w:rFonts w:ascii="Arial" w:hAnsi="Arial" w:cs="Arial"/>
          <w:b/>
          <w:bCs/>
          <w:sz w:val="28"/>
          <w:szCs w:val="32"/>
        </w:rPr>
      </w:pPr>
    </w:p>
    <w:p w14:paraId="609CF75F" w14:textId="77777777" w:rsidR="00BA444E" w:rsidRDefault="00BA444E" w:rsidP="00BA444E">
      <w:pPr>
        <w:jc w:val="center"/>
        <w:rPr>
          <w:rFonts w:ascii="Arial" w:hAnsi="Arial" w:cs="Arial"/>
          <w:b/>
          <w:bCs/>
          <w:sz w:val="28"/>
          <w:szCs w:val="32"/>
        </w:rPr>
      </w:pPr>
    </w:p>
    <w:p w14:paraId="7FF399AF" w14:textId="77777777" w:rsidR="00BA444E" w:rsidRDefault="00BA444E" w:rsidP="00BA444E">
      <w:pPr>
        <w:jc w:val="center"/>
        <w:rPr>
          <w:rFonts w:ascii="Arial" w:hAnsi="Arial" w:cs="Arial"/>
          <w:b/>
          <w:bCs/>
          <w:sz w:val="28"/>
          <w:szCs w:val="32"/>
        </w:rPr>
      </w:pPr>
    </w:p>
    <w:p w14:paraId="3DBFC089" w14:textId="77777777" w:rsidR="00BA444E" w:rsidRDefault="00BA444E" w:rsidP="00BA444E">
      <w:pPr>
        <w:jc w:val="center"/>
        <w:rPr>
          <w:rFonts w:ascii="Arial" w:hAnsi="Arial" w:cs="Arial"/>
          <w:b/>
          <w:bCs/>
          <w:sz w:val="28"/>
          <w:szCs w:val="32"/>
        </w:rPr>
      </w:pPr>
    </w:p>
    <w:p w14:paraId="3396F646" w14:textId="77777777" w:rsidR="00BA444E" w:rsidRDefault="00BA444E" w:rsidP="00BA444E">
      <w:pPr>
        <w:jc w:val="center"/>
        <w:rPr>
          <w:rFonts w:ascii="Arial" w:hAnsi="Arial" w:cs="Arial"/>
          <w:b/>
          <w:bCs/>
          <w:sz w:val="28"/>
          <w:szCs w:val="32"/>
        </w:rPr>
      </w:pPr>
    </w:p>
    <w:p w14:paraId="64BB8500" w14:textId="77777777" w:rsidR="00BA444E" w:rsidRDefault="00BA444E" w:rsidP="00BA444E">
      <w:pPr>
        <w:jc w:val="center"/>
        <w:rPr>
          <w:rFonts w:ascii="Arial" w:hAnsi="Arial" w:cs="Arial"/>
          <w:b/>
          <w:bCs/>
          <w:sz w:val="28"/>
          <w:szCs w:val="32"/>
        </w:rPr>
      </w:pPr>
    </w:p>
    <w:p w14:paraId="1B466299" w14:textId="77777777" w:rsidR="00BA444E" w:rsidRDefault="00BA444E" w:rsidP="00BA444E">
      <w:pPr>
        <w:jc w:val="center"/>
        <w:rPr>
          <w:rFonts w:ascii="Arial" w:hAnsi="Arial" w:cs="Arial"/>
          <w:b/>
          <w:bCs/>
          <w:sz w:val="28"/>
          <w:szCs w:val="32"/>
        </w:rPr>
      </w:pPr>
    </w:p>
    <w:p w14:paraId="41974832" w14:textId="77777777" w:rsidR="00BA444E" w:rsidRDefault="00BA444E" w:rsidP="00BA444E">
      <w:pPr>
        <w:jc w:val="center"/>
        <w:rPr>
          <w:rFonts w:ascii="Arial" w:hAnsi="Arial" w:cs="Arial"/>
          <w:b/>
          <w:bCs/>
          <w:sz w:val="28"/>
          <w:szCs w:val="32"/>
        </w:rPr>
      </w:pPr>
    </w:p>
    <w:sdt>
      <w:sdtPr>
        <w:rPr>
          <w:rFonts w:asciiTheme="minorBidi" w:eastAsiaTheme="minorHAnsi" w:hAnsiTheme="minorBidi" w:cstheme="minorBidi"/>
          <w:b w:val="0"/>
          <w:bCs w:val="0"/>
          <w:color w:val="auto"/>
          <w:kern w:val="2"/>
          <w:sz w:val="22"/>
          <w:szCs w:val="22"/>
          <w:lang/>
          <w14:ligatures w14:val="standardContextual"/>
        </w:rPr>
        <w:id w:val="-1605501899"/>
        <w:docPartObj>
          <w:docPartGallery w:val="Table of Contents"/>
          <w:docPartUnique/>
        </w:docPartObj>
      </w:sdtPr>
      <w:sdtEndPr>
        <w:rPr>
          <w:noProof/>
        </w:rPr>
      </w:sdtEndPr>
      <w:sdtContent>
        <w:p w14:paraId="3AD6C431" w14:textId="27DC7951" w:rsidR="00830AD6" w:rsidRPr="00830AD6" w:rsidRDefault="00830AD6">
          <w:pPr>
            <w:pStyle w:val="TOCHeading"/>
            <w:rPr>
              <w:rFonts w:asciiTheme="minorBidi" w:hAnsiTheme="minorBidi" w:cstheme="minorBidi"/>
            </w:rPr>
          </w:pPr>
          <w:r w:rsidRPr="00830AD6">
            <w:rPr>
              <w:rFonts w:asciiTheme="minorBidi" w:hAnsiTheme="minorBidi" w:cstheme="minorBidi"/>
            </w:rPr>
            <w:t>Table of Contents</w:t>
          </w:r>
        </w:p>
        <w:p w14:paraId="017222F2" w14:textId="12F42912" w:rsidR="00830AD6" w:rsidRPr="00830AD6" w:rsidRDefault="00830AD6">
          <w:pPr>
            <w:pStyle w:val="TOC1"/>
            <w:tabs>
              <w:tab w:val="left" w:pos="480"/>
              <w:tab w:val="right" w:leader="dot" w:pos="9016"/>
            </w:tabs>
            <w:rPr>
              <w:rFonts w:asciiTheme="minorBidi" w:hAnsiTheme="minorBidi" w:cstheme="minorBidi"/>
              <w:noProof/>
              <w:sz w:val="22"/>
              <w:szCs w:val="22"/>
            </w:rPr>
          </w:pPr>
          <w:r w:rsidRPr="00830AD6">
            <w:rPr>
              <w:rFonts w:asciiTheme="minorBidi" w:hAnsiTheme="minorBidi" w:cstheme="minorBidi"/>
              <w:b w:val="0"/>
              <w:bCs w:val="0"/>
              <w:sz w:val="22"/>
              <w:szCs w:val="22"/>
            </w:rPr>
            <w:fldChar w:fldCharType="begin"/>
          </w:r>
          <w:r w:rsidRPr="00830AD6">
            <w:rPr>
              <w:rFonts w:asciiTheme="minorBidi" w:hAnsiTheme="minorBidi" w:cstheme="minorBidi"/>
              <w:sz w:val="22"/>
              <w:szCs w:val="22"/>
            </w:rPr>
            <w:instrText xml:space="preserve"> TOC \o "1-3" \h \z \u </w:instrText>
          </w:r>
          <w:r w:rsidRPr="00830AD6">
            <w:rPr>
              <w:rFonts w:asciiTheme="minorBidi" w:hAnsiTheme="minorBidi" w:cstheme="minorBidi"/>
              <w:b w:val="0"/>
              <w:bCs w:val="0"/>
              <w:sz w:val="22"/>
              <w:szCs w:val="22"/>
            </w:rPr>
            <w:fldChar w:fldCharType="separate"/>
          </w:r>
          <w:hyperlink w:anchor="_Toc222758387" w:history="1">
            <w:r w:rsidRPr="00830AD6">
              <w:rPr>
                <w:rStyle w:val="Hyperlink"/>
                <w:rFonts w:asciiTheme="minorBidi" w:eastAsia="Times New Roman" w:hAnsiTheme="minorBidi" w:cstheme="minorBidi"/>
                <w:noProof/>
                <w:sz w:val="22"/>
                <w:szCs w:val="22"/>
                <w:lang w:eastAsia="en-GB"/>
              </w:rPr>
              <w:t>1.</w:t>
            </w:r>
            <w:r w:rsidRPr="00830AD6">
              <w:rPr>
                <w:rFonts w:asciiTheme="minorBidi" w:hAnsiTheme="minorBidi" w:cstheme="minorBidi"/>
                <w:noProof/>
                <w:sz w:val="22"/>
                <w:szCs w:val="22"/>
              </w:rPr>
              <w:tab/>
            </w:r>
            <w:r w:rsidRPr="00830AD6">
              <w:rPr>
                <w:rStyle w:val="Hyperlink"/>
                <w:rFonts w:asciiTheme="minorBidi" w:eastAsia="Times New Roman" w:hAnsiTheme="minorBidi" w:cstheme="minorBidi"/>
                <w:noProof/>
                <w:sz w:val="22"/>
                <w:szCs w:val="22"/>
                <w:lang w:eastAsia="en-GB"/>
              </w:rPr>
              <w:t>Introduction</w:t>
            </w:r>
            <w:r w:rsidRPr="00830AD6">
              <w:rPr>
                <w:rFonts w:asciiTheme="minorBidi" w:hAnsiTheme="minorBidi" w:cstheme="minorBidi"/>
                <w:noProof/>
                <w:webHidden/>
                <w:sz w:val="22"/>
                <w:szCs w:val="22"/>
              </w:rPr>
              <w:tab/>
            </w:r>
            <w:r w:rsidRPr="00830AD6">
              <w:rPr>
                <w:rFonts w:asciiTheme="minorBidi" w:hAnsiTheme="minorBidi" w:cstheme="minorBidi"/>
                <w:noProof/>
                <w:webHidden/>
                <w:sz w:val="22"/>
                <w:szCs w:val="22"/>
              </w:rPr>
              <w:fldChar w:fldCharType="begin"/>
            </w:r>
            <w:r w:rsidRPr="00830AD6">
              <w:rPr>
                <w:rFonts w:asciiTheme="minorBidi" w:hAnsiTheme="minorBidi" w:cstheme="minorBidi"/>
                <w:noProof/>
                <w:webHidden/>
                <w:sz w:val="22"/>
                <w:szCs w:val="22"/>
              </w:rPr>
              <w:instrText xml:space="preserve"> PAGEREF _Toc222758387 \h </w:instrText>
            </w:r>
            <w:r w:rsidRPr="00830AD6">
              <w:rPr>
                <w:rFonts w:asciiTheme="minorBidi" w:hAnsiTheme="minorBidi" w:cstheme="minorBidi"/>
                <w:noProof/>
                <w:webHidden/>
                <w:sz w:val="22"/>
                <w:szCs w:val="22"/>
              </w:rPr>
            </w:r>
            <w:r w:rsidRPr="00830AD6">
              <w:rPr>
                <w:rFonts w:asciiTheme="minorBidi" w:hAnsiTheme="minorBidi" w:cstheme="minorBidi"/>
                <w:noProof/>
                <w:webHidden/>
                <w:sz w:val="22"/>
                <w:szCs w:val="22"/>
              </w:rPr>
              <w:fldChar w:fldCharType="separate"/>
            </w:r>
            <w:r w:rsidR="005D01F6">
              <w:rPr>
                <w:rFonts w:asciiTheme="minorBidi" w:hAnsiTheme="minorBidi" w:cstheme="minorBidi"/>
                <w:noProof/>
                <w:webHidden/>
                <w:sz w:val="22"/>
                <w:szCs w:val="22"/>
              </w:rPr>
              <w:t>3</w:t>
            </w:r>
            <w:r w:rsidRPr="00830AD6">
              <w:rPr>
                <w:rFonts w:asciiTheme="minorBidi" w:hAnsiTheme="minorBidi" w:cstheme="minorBidi"/>
                <w:noProof/>
                <w:webHidden/>
                <w:sz w:val="22"/>
                <w:szCs w:val="22"/>
              </w:rPr>
              <w:fldChar w:fldCharType="end"/>
            </w:r>
          </w:hyperlink>
        </w:p>
        <w:p w14:paraId="12B33E83" w14:textId="7569371C" w:rsidR="00830AD6" w:rsidRPr="00830AD6" w:rsidRDefault="00830AD6">
          <w:pPr>
            <w:pStyle w:val="TOC1"/>
            <w:tabs>
              <w:tab w:val="left" w:pos="480"/>
              <w:tab w:val="right" w:leader="dot" w:pos="9016"/>
            </w:tabs>
            <w:rPr>
              <w:rFonts w:asciiTheme="minorBidi" w:hAnsiTheme="minorBidi" w:cstheme="minorBidi"/>
              <w:noProof/>
              <w:sz w:val="22"/>
              <w:szCs w:val="22"/>
            </w:rPr>
          </w:pPr>
          <w:hyperlink w:anchor="_Toc222758388" w:history="1">
            <w:r w:rsidRPr="00830AD6">
              <w:rPr>
                <w:rStyle w:val="Hyperlink"/>
                <w:rFonts w:asciiTheme="minorBidi" w:eastAsia="Times New Roman" w:hAnsiTheme="minorBidi" w:cstheme="minorBidi"/>
                <w:noProof/>
                <w:sz w:val="22"/>
                <w:szCs w:val="22"/>
                <w:lang w:eastAsia="en-GB"/>
              </w:rPr>
              <w:t>2.</w:t>
            </w:r>
            <w:r w:rsidRPr="00830AD6">
              <w:rPr>
                <w:rFonts w:asciiTheme="minorBidi" w:hAnsiTheme="minorBidi" w:cstheme="minorBidi"/>
                <w:noProof/>
                <w:sz w:val="22"/>
                <w:szCs w:val="22"/>
              </w:rPr>
              <w:tab/>
            </w:r>
            <w:r w:rsidRPr="00830AD6">
              <w:rPr>
                <w:rStyle w:val="Hyperlink"/>
                <w:rFonts w:asciiTheme="minorBidi" w:eastAsia="Times New Roman" w:hAnsiTheme="minorBidi" w:cstheme="minorBidi"/>
                <w:noProof/>
                <w:sz w:val="22"/>
                <w:szCs w:val="22"/>
                <w:lang w:eastAsia="en-GB"/>
              </w:rPr>
              <w:t>SDG 3: Good Health and Wellbeing</w:t>
            </w:r>
            <w:r w:rsidRPr="00830AD6">
              <w:rPr>
                <w:rFonts w:asciiTheme="minorBidi" w:hAnsiTheme="minorBidi" w:cstheme="minorBidi"/>
                <w:noProof/>
                <w:webHidden/>
                <w:sz w:val="22"/>
                <w:szCs w:val="22"/>
              </w:rPr>
              <w:tab/>
            </w:r>
            <w:r w:rsidRPr="00830AD6">
              <w:rPr>
                <w:rFonts w:asciiTheme="minorBidi" w:hAnsiTheme="minorBidi" w:cstheme="minorBidi"/>
                <w:noProof/>
                <w:webHidden/>
                <w:sz w:val="22"/>
                <w:szCs w:val="22"/>
              </w:rPr>
              <w:fldChar w:fldCharType="begin"/>
            </w:r>
            <w:r w:rsidRPr="00830AD6">
              <w:rPr>
                <w:rFonts w:asciiTheme="minorBidi" w:hAnsiTheme="minorBidi" w:cstheme="minorBidi"/>
                <w:noProof/>
                <w:webHidden/>
                <w:sz w:val="22"/>
                <w:szCs w:val="22"/>
              </w:rPr>
              <w:instrText xml:space="preserve"> PAGEREF _Toc222758388 \h </w:instrText>
            </w:r>
            <w:r w:rsidRPr="00830AD6">
              <w:rPr>
                <w:rFonts w:asciiTheme="minorBidi" w:hAnsiTheme="minorBidi" w:cstheme="minorBidi"/>
                <w:noProof/>
                <w:webHidden/>
                <w:sz w:val="22"/>
                <w:szCs w:val="22"/>
              </w:rPr>
            </w:r>
            <w:r w:rsidRPr="00830AD6">
              <w:rPr>
                <w:rFonts w:asciiTheme="minorBidi" w:hAnsiTheme="minorBidi" w:cstheme="minorBidi"/>
                <w:noProof/>
                <w:webHidden/>
                <w:sz w:val="22"/>
                <w:szCs w:val="22"/>
              </w:rPr>
              <w:fldChar w:fldCharType="separate"/>
            </w:r>
            <w:r w:rsidR="005D01F6">
              <w:rPr>
                <w:rFonts w:asciiTheme="minorBidi" w:hAnsiTheme="minorBidi" w:cstheme="minorBidi"/>
                <w:noProof/>
                <w:webHidden/>
                <w:sz w:val="22"/>
                <w:szCs w:val="22"/>
              </w:rPr>
              <w:t>4</w:t>
            </w:r>
            <w:r w:rsidRPr="00830AD6">
              <w:rPr>
                <w:rFonts w:asciiTheme="minorBidi" w:hAnsiTheme="minorBidi" w:cstheme="minorBidi"/>
                <w:noProof/>
                <w:webHidden/>
                <w:sz w:val="22"/>
                <w:szCs w:val="22"/>
              </w:rPr>
              <w:fldChar w:fldCharType="end"/>
            </w:r>
          </w:hyperlink>
        </w:p>
        <w:p w14:paraId="0171DB98" w14:textId="651FE07C" w:rsidR="00830AD6" w:rsidRPr="00830AD6" w:rsidRDefault="00830AD6">
          <w:pPr>
            <w:pStyle w:val="TOC2"/>
            <w:tabs>
              <w:tab w:val="left" w:pos="960"/>
              <w:tab w:val="right" w:leader="dot" w:pos="9016"/>
            </w:tabs>
            <w:rPr>
              <w:rFonts w:asciiTheme="minorBidi" w:hAnsiTheme="minorBidi" w:cstheme="minorBidi"/>
              <w:noProof/>
              <w:sz w:val="22"/>
              <w:szCs w:val="22"/>
            </w:rPr>
          </w:pPr>
          <w:hyperlink w:anchor="_Toc222758389" w:history="1">
            <w:r w:rsidRPr="00830AD6">
              <w:rPr>
                <w:rStyle w:val="Hyperlink"/>
                <w:rFonts w:asciiTheme="minorBidi" w:eastAsia="Times New Roman" w:hAnsiTheme="minorBidi" w:cstheme="minorBidi"/>
                <w:noProof/>
                <w:sz w:val="22"/>
                <w:szCs w:val="22"/>
                <w:lang w:eastAsia="en-GB"/>
              </w:rPr>
              <w:t>2.2.</w:t>
            </w:r>
            <w:r w:rsidRPr="00830AD6">
              <w:rPr>
                <w:rFonts w:asciiTheme="minorBidi" w:hAnsiTheme="minorBidi" w:cstheme="minorBidi"/>
                <w:noProof/>
                <w:sz w:val="22"/>
                <w:szCs w:val="22"/>
              </w:rPr>
              <w:tab/>
            </w:r>
            <w:r w:rsidRPr="00830AD6">
              <w:rPr>
                <w:rStyle w:val="Hyperlink"/>
                <w:rFonts w:asciiTheme="minorBidi" w:eastAsia="Times New Roman" w:hAnsiTheme="minorBidi" w:cstheme="minorBidi"/>
                <w:noProof/>
                <w:sz w:val="22"/>
                <w:szCs w:val="22"/>
                <w:lang w:eastAsia="en-GB"/>
              </w:rPr>
              <w:t>Overview of SDG 3</w:t>
            </w:r>
            <w:r w:rsidRPr="00830AD6">
              <w:rPr>
                <w:rFonts w:asciiTheme="minorBidi" w:hAnsiTheme="minorBidi" w:cstheme="minorBidi"/>
                <w:noProof/>
                <w:webHidden/>
                <w:sz w:val="22"/>
                <w:szCs w:val="22"/>
              </w:rPr>
              <w:tab/>
            </w:r>
            <w:r w:rsidRPr="00830AD6">
              <w:rPr>
                <w:rFonts w:asciiTheme="minorBidi" w:hAnsiTheme="minorBidi" w:cstheme="minorBidi"/>
                <w:noProof/>
                <w:webHidden/>
                <w:sz w:val="22"/>
                <w:szCs w:val="22"/>
              </w:rPr>
              <w:fldChar w:fldCharType="begin"/>
            </w:r>
            <w:r w:rsidRPr="00830AD6">
              <w:rPr>
                <w:rFonts w:asciiTheme="minorBidi" w:hAnsiTheme="minorBidi" w:cstheme="minorBidi"/>
                <w:noProof/>
                <w:webHidden/>
                <w:sz w:val="22"/>
                <w:szCs w:val="22"/>
              </w:rPr>
              <w:instrText xml:space="preserve"> PAGEREF _Toc222758389 \h </w:instrText>
            </w:r>
            <w:r w:rsidRPr="00830AD6">
              <w:rPr>
                <w:rFonts w:asciiTheme="minorBidi" w:hAnsiTheme="minorBidi" w:cstheme="minorBidi"/>
                <w:noProof/>
                <w:webHidden/>
                <w:sz w:val="22"/>
                <w:szCs w:val="22"/>
              </w:rPr>
            </w:r>
            <w:r w:rsidRPr="00830AD6">
              <w:rPr>
                <w:rFonts w:asciiTheme="minorBidi" w:hAnsiTheme="minorBidi" w:cstheme="minorBidi"/>
                <w:noProof/>
                <w:webHidden/>
                <w:sz w:val="22"/>
                <w:szCs w:val="22"/>
              </w:rPr>
              <w:fldChar w:fldCharType="separate"/>
            </w:r>
            <w:r w:rsidR="005D01F6">
              <w:rPr>
                <w:rFonts w:asciiTheme="minorBidi" w:hAnsiTheme="minorBidi" w:cstheme="minorBidi"/>
                <w:noProof/>
                <w:webHidden/>
                <w:sz w:val="22"/>
                <w:szCs w:val="22"/>
              </w:rPr>
              <w:t>4</w:t>
            </w:r>
            <w:r w:rsidRPr="00830AD6">
              <w:rPr>
                <w:rFonts w:asciiTheme="minorBidi" w:hAnsiTheme="minorBidi" w:cstheme="minorBidi"/>
                <w:noProof/>
                <w:webHidden/>
                <w:sz w:val="22"/>
                <w:szCs w:val="22"/>
              </w:rPr>
              <w:fldChar w:fldCharType="end"/>
            </w:r>
          </w:hyperlink>
        </w:p>
        <w:p w14:paraId="08021773" w14:textId="2F20C2F5" w:rsidR="00830AD6" w:rsidRPr="00830AD6" w:rsidRDefault="00830AD6">
          <w:pPr>
            <w:pStyle w:val="TOC2"/>
            <w:tabs>
              <w:tab w:val="left" w:pos="960"/>
              <w:tab w:val="right" w:leader="dot" w:pos="9016"/>
            </w:tabs>
            <w:rPr>
              <w:rFonts w:asciiTheme="minorBidi" w:hAnsiTheme="minorBidi" w:cstheme="minorBidi"/>
              <w:noProof/>
              <w:sz w:val="22"/>
              <w:szCs w:val="22"/>
            </w:rPr>
          </w:pPr>
          <w:hyperlink w:anchor="_Toc222758390" w:history="1">
            <w:r w:rsidRPr="00830AD6">
              <w:rPr>
                <w:rStyle w:val="Hyperlink"/>
                <w:rFonts w:asciiTheme="minorBidi" w:eastAsia="Times New Roman" w:hAnsiTheme="minorBidi" w:cstheme="minorBidi"/>
                <w:noProof/>
                <w:sz w:val="22"/>
                <w:szCs w:val="22"/>
                <w:lang w:eastAsia="en-GB"/>
              </w:rPr>
              <w:t>2.2.</w:t>
            </w:r>
            <w:r w:rsidRPr="00830AD6">
              <w:rPr>
                <w:rFonts w:asciiTheme="minorBidi" w:hAnsiTheme="minorBidi" w:cstheme="minorBidi"/>
                <w:noProof/>
                <w:sz w:val="22"/>
                <w:szCs w:val="22"/>
              </w:rPr>
              <w:tab/>
            </w:r>
            <w:r w:rsidRPr="00830AD6">
              <w:rPr>
                <w:rStyle w:val="Hyperlink"/>
                <w:rFonts w:asciiTheme="minorBidi" w:eastAsia="Times New Roman" w:hAnsiTheme="minorBidi" w:cstheme="minorBidi"/>
                <w:noProof/>
                <w:sz w:val="22"/>
                <w:szCs w:val="22"/>
                <w:lang w:eastAsia="en-GB"/>
              </w:rPr>
              <w:t>Global Policy Evaluation</w:t>
            </w:r>
            <w:r w:rsidRPr="00830AD6">
              <w:rPr>
                <w:rFonts w:asciiTheme="minorBidi" w:hAnsiTheme="minorBidi" w:cstheme="minorBidi"/>
                <w:noProof/>
                <w:webHidden/>
                <w:sz w:val="22"/>
                <w:szCs w:val="22"/>
              </w:rPr>
              <w:tab/>
            </w:r>
            <w:r w:rsidRPr="00830AD6">
              <w:rPr>
                <w:rFonts w:asciiTheme="minorBidi" w:hAnsiTheme="minorBidi" w:cstheme="minorBidi"/>
                <w:noProof/>
                <w:webHidden/>
                <w:sz w:val="22"/>
                <w:szCs w:val="22"/>
              </w:rPr>
              <w:fldChar w:fldCharType="begin"/>
            </w:r>
            <w:r w:rsidRPr="00830AD6">
              <w:rPr>
                <w:rFonts w:asciiTheme="minorBidi" w:hAnsiTheme="minorBidi" w:cstheme="minorBidi"/>
                <w:noProof/>
                <w:webHidden/>
                <w:sz w:val="22"/>
                <w:szCs w:val="22"/>
              </w:rPr>
              <w:instrText xml:space="preserve"> PAGEREF _Toc222758390 \h </w:instrText>
            </w:r>
            <w:r w:rsidRPr="00830AD6">
              <w:rPr>
                <w:rFonts w:asciiTheme="minorBidi" w:hAnsiTheme="minorBidi" w:cstheme="minorBidi"/>
                <w:noProof/>
                <w:webHidden/>
                <w:sz w:val="22"/>
                <w:szCs w:val="22"/>
              </w:rPr>
            </w:r>
            <w:r w:rsidRPr="00830AD6">
              <w:rPr>
                <w:rFonts w:asciiTheme="minorBidi" w:hAnsiTheme="minorBidi" w:cstheme="minorBidi"/>
                <w:noProof/>
                <w:webHidden/>
                <w:sz w:val="22"/>
                <w:szCs w:val="22"/>
              </w:rPr>
              <w:fldChar w:fldCharType="separate"/>
            </w:r>
            <w:r w:rsidR="005D01F6">
              <w:rPr>
                <w:rFonts w:asciiTheme="minorBidi" w:hAnsiTheme="minorBidi" w:cstheme="minorBidi"/>
                <w:noProof/>
                <w:webHidden/>
                <w:sz w:val="22"/>
                <w:szCs w:val="22"/>
              </w:rPr>
              <w:t>4</w:t>
            </w:r>
            <w:r w:rsidRPr="00830AD6">
              <w:rPr>
                <w:rFonts w:asciiTheme="minorBidi" w:hAnsiTheme="minorBidi" w:cstheme="minorBidi"/>
                <w:noProof/>
                <w:webHidden/>
                <w:sz w:val="22"/>
                <w:szCs w:val="22"/>
              </w:rPr>
              <w:fldChar w:fldCharType="end"/>
            </w:r>
          </w:hyperlink>
        </w:p>
        <w:p w14:paraId="534A3B9B" w14:textId="41D4DC6E" w:rsidR="00830AD6" w:rsidRPr="00830AD6" w:rsidRDefault="00830AD6">
          <w:pPr>
            <w:pStyle w:val="TOC2"/>
            <w:tabs>
              <w:tab w:val="left" w:pos="960"/>
              <w:tab w:val="right" w:leader="dot" w:pos="9016"/>
            </w:tabs>
            <w:rPr>
              <w:rFonts w:asciiTheme="minorBidi" w:hAnsiTheme="minorBidi" w:cstheme="minorBidi"/>
              <w:noProof/>
              <w:sz w:val="22"/>
              <w:szCs w:val="22"/>
            </w:rPr>
          </w:pPr>
          <w:hyperlink w:anchor="_Toc222758391" w:history="1">
            <w:r w:rsidRPr="00830AD6">
              <w:rPr>
                <w:rStyle w:val="Hyperlink"/>
                <w:rFonts w:asciiTheme="minorBidi" w:eastAsia="Times New Roman" w:hAnsiTheme="minorBidi" w:cstheme="minorBidi"/>
                <w:noProof/>
                <w:sz w:val="22"/>
                <w:szCs w:val="22"/>
                <w:lang w:eastAsia="en-GB"/>
              </w:rPr>
              <w:t>2.3.</w:t>
            </w:r>
            <w:r w:rsidRPr="00830AD6">
              <w:rPr>
                <w:rFonts w:asciiTheme="minorBidi" w:hAnsiTheme="minorBidi" w:cstheme="minorBidi"/>
                <w:noProof/>
                <w:sz w:val="22"/>
                <w:szCs w:val="22"/>
              </w:rPr>
              <w:tab/>
            </w:r>
            <w:r w:rsidRPr="00830AD6">
              <w:rPr>
                <w:rStyle w:val="Hyperlink"/>
                <w:rFonts w:asciiTheme="minorBidi" w:eastAsia="Times New Roman" w:hAnsiTheme="minorBidi" w:cstheme="minorBidi"/>
                <w:noProof/>
                <w:sz w:val="22"/>
                <w:szCs w:val="22"/>
                <w:lang w:eastAsia="en-GB"/>
              </w:rPr>
              <w:t>National/local Evaluation (UK and India)</w:t>
            </w:r>
            <w:r w:rsidRPr="00830AD6">
              <w:rPr>
                <w:rFonts w:asciiTheme="minorBidi" w:hAnsiTheme="minorBidi" w:cstheme="minorBidi"/>
                <w:noProof/>
                <w:webHidden/>
                <w:sz w:val="22"/>
                <w:szCs w:val="22"/>
              </w:rPr>
              <w:tab/>
            </w:r>
            <w:r w:rsidRPr="00830AD6">
              <w:rPr>
                <w:rFonts w:asciiTheme="minorBidi" w:hAnsiTheme="minorBidi" w:cstheme="minorBidi"/>
                <w:noProof/>
                <w:webHidden/>
                <w:sz w:val="22"/>
                <w:szCs w:val="22"/>
              </w:rPr>
              <w:fldChar w:fldCharType="begin"/>
            </w:r>
            <w:r w:rsidRPr="00830AD6">
              <w:rPr>
                <w:rFonts w:asciiTheme="minorBidi" w:hAnsiTheme="minorBidi" w:cstheme="minorBidi"/>
                <w:noProof/>
                <w:webHidden/>
                <w:sz w:val="22"/>
                <w:szCs w:val="22"/>
              </w:rPr>
              <w:instrText xml:space="preserve"> PAGEREF _Toc222758391 \h </w:instrText>
            </w:r>
            <w:r w:rsidRPr="00830AD6">
              <w:rPr>
                <w:rFonts w:asciiTheme="minorBidi" w:hAnsiTheme="minorBidi" w:cstheme="minorBidi"/>
                <w:noProof/>
                <w:webHidden/>
                <w:sz w:val="22"/>
                <w:szCs w:val="22"/>
              </w:rPr>
            </w:r>
            <w:r w:rsidRPr="00830AD6">
              <w:rPr>
                <w:rFonts w:asciiTheme="minorBidi" w:hAnsiTheme="minorBidi" w:cstheme="minorBidi"/>
                <w:noProof/>
                <w:webHidden/>
                <w:sz w:val="22"/>
                <w:szCs w:val="22"/>
              </w:rPr>
              <w:fldChar w:fldCharType="separate"/>
            </w:r>
            <w:r w:rsidR="005D01F6">
              <w:rPr>
                <w:rFonts w:asciiTheme="minorBidi" w:hAnsiTheme="minorBidi" w:cstheme="minorBidi"/>
                <w:noProof/>
                <w:webHidden/>
                <w:sz w:val="22"/>
                <w:szCs w:val="22"/>
              </w:rPr>
              <w:t>5</w:t>
            </w:r>
            <w:r w:rsidRPr="00830AD6">
              <w:rPr>
                <w:rFonts w:asciiTheme="minorBidi" w:hAnsiTheme="minorBidi" w:cstheme="minorBidi"/>
                <w:noProof/>
                <w:webHidden/>
                <w:sz w:val="22"/>
                <w:szCs w:val="22"/>
              </w:rPr>
              <w:fldChar w:fldCharType="end"/>
            </w:r>
          </w:hyperlink>
        </w:p>
        <w:p w14:paraId="61DD8611" w14:textId="4AA7BF84" w:rsidR="00830AD6" w:rsidRPr="00830AD6" w:rsidRDefault="00830AD6">
          <w:pPr>
            <w:pStyle w:val="TOC2"/>
            <w:tabs>
              <w:tab w:val="left" w:pos="960"/>
              <w:tab w:val="right" w:leader="dot" w:pos="9016"/>
            </w:tabs>
            <w:rPr>
              <w:rFonts w:asciiTheme="minorBidi" w:hAnsiTheme="minorBidi" w:cstheme="minorBidi"/>
              <w:noProof/>
              <w:sz w:val="22"/>
              <w:szCs w:val="22"/>
            </w:rPr>
          </w:pPr>
          <w:hyperlink w:anchor="_Toc222758392" w:history="1">
            <w:r w:rsidRPr="00830AD6">
              <w:rPr>
                <w:rStyle w:val="Hyperlink"/>
                <w:rFonts w:asciiTheme="minorBidi" w:eastAsia="Times New Roman" w:hAnsiTheme="minorBidi" w:cstheme="minorBidi"/>
                <w:noProof/>
                <w:sz w:val="22"/>
                <w:szCs w:val="22"/>
                <w:lang w:eastAsia="en-GB"/>
              </w:rPr>
              <w:t>2.4.</w:t>
            </w:r>
            <w:r w:rsidRPr="00830AD6">
              <w:rPr>
                <w:rFonts w:asciiTheme="minorBidi" w:hAnsiTheme="minorBidi" w:cstheme="minorBidi"/>
                <w:noProof/>
                <w:sz w:val="22"/>
                <w:szCs w:val="22"/>
              </w:rPr>
              <w:tab/>
            </w:r>
            <w:r w:rsidRPr="00830AD6">
              <w:rPr>
                <w:rStyle w:val="Hyperlink"/>
                <w:rFonts w:asciiTheme="minorBidi" w:eastAsia="Times New Roman" w:hAnsiTheme="minorBidi" w:cstheme="minorBidi"/>
                <w:noProof/>
                <w:sz w:val="22"/>
                <w:szCs w:val="22"/>
                <w:lang w:eastAsia="en-GB"/>
              </w:rPr>
              <w:t>Theory Application</w:t>
            </w:r>
            <w:r w:rsidRPr="00830AD6">
              <w:rPr>
                <w:rFonts w:asciiTheme="minorBidi" w:hAnsiTheme="minorBidi" w:cstheme="minorBidi"/>
                <w:noProof/>
                <w:webHidden/>
                <w:sz w:val="22"/>
                <w:szCs w:val="22"/>
              </w:rPr>
              <w:tab/>
            </w:r>
            <w:r w:rsidRPr="00830AD6">
              <w:rPr>
                <w:rFonts w:asciiTheme="minorBidi" w:hAnsiTheme="minorBidi" w:cstheme="minorBidi"/>
                <w:noProof/>
                <w:webHidden/>
                <w:sz w:val="22"/>
                <w:szCs w:val="22"/>
              </w:rPr>
              <w:fldChar w:fldCharType="begin"/>
            </w:r>
            <w:r w:rsidRPr="00830AD6">
              <w:rPr>
                <w:rFonts w:asciiTheme="minorBidi" w:hAnsiTheme="minorBidi" w:cstheme="minorBidi"/>
                <w:noProof/>
                <w:webHidden/>
                <w:sz w:val="22"/>
                <w:szCs w:val="22"/>
              </w:rPr>
              <w:instrText xml:space="preserve"> PAGEREF _Toc222758392 \h </w:instrText>
            </w:r>
            <w:r w:rsidRPr="00830AD6">
              <w:rPr>
                <w:rFonts w:asciiTheme="minorBidi" w:hAnsiTheme="minorBidi" w:cstheme="minorBidi"/>
                <w:noProof/>
                <w:webHidden/>
                <w:sz w:val="22"/>
                <w:szCs w:val="22"/>
              </w:rPr>
            </w:r>
            <w:r w:rsidRPr="00830AD6">
              <w:rPr>
                <w:rFonts w:asciiTheme="minorBidi" w:hAnsiTheme="minorBidi" w:cstheme="minorBidi"/>
                <w:noProof/>
                <w:webHidden/>
                <w:sz w:val="22"/>
                <w:szCs w:val="22"/>
              </w:rPr>
              <w:fldChar w:fldCharType="separate"/>
            </w:r>
            <w:r w:rsidR="005D01F6">
              <w:rPr>
                <w:rFonts w:asciiTheme="minorBidi" w:hAnsiTheme="minorBidi" w:cstheme="minorBidi"/>
                <w:noProof/>
                <w:webHidden/>
                <w:sz w:val="22"/>
                <w:szCs w:val="22"/>
              </w:rPr>
              <w:t>5</w:t>
            </w:r>
            <w:r w:rsidRPr="00830AD6">
              <w:rPr>
                <w:rFonts w:asciiTheme="minorBidi" w:hAnsiTheme="minorBidi" w:cstheme="minorBidi"/>
                <w:noProof/>
                <w:webHidden/>
                <w:sz w:val="22"/>
                <w:szCs w:val="22"/>
              </w:rPr>
              <w:fldChar w:fldCharType="end"/>
            </w:r>
          </w:hyperlink>
        </w:p>
        <w:p w14:paraId="0A6D3570" w14:textId="42A12891" w:rsidR="00830AD6" w:rsidRPr="00830AD6" w:rsidRDefault="00830AD6">
          <w:pPr>
            <w:pStyle w:val="TOC2"/>
            <w:tabs>
              <w:tab w:val="left" w:pos="960"/>
              <w:tab w:val="right" w:leader="dot" w:pos="9016"/>
            </w:tabs>
            <w:rPr>
              <w:rFonts w:asciiTheme="minorBidi" w:hAnsiTheme="minorBidi" w:cstheme="minorBidi"/>
              <w:noProof/>
              <w:sz w:val="22"/>
              <w:szCs w:val="22"/>
            </w:rPr>
          </w:pPr>
          <w:hyperlink w:anchor="_Toc222758393" w:history="1">
            <w:r w:rsidRPr="00830AD6">
              <w:rPr>
                <w:rStyle w:val="Hyperlink"/>
                <w:rFonts w:asciiTheme="minorBidi" w:eastAsia="Times New Roman" w:hAnsiTheme="minorBidi" w:cstheme="minorBidi"/>
                <w:noProof/>
                <w:sz w:val="22"/>
                <w:szCs w:val="22"/>
                <w:lang w:eastAsia="en-GB"/>
              </w:rPr>
              <w:t>2.5.</w:t>
            </w:r>
            <w:r w:rsidRPr="00830AD6">
              <w:rPr>
                <w:rFonts w:asciiTheme="minorBidi" w:hAnsiTheme="minorBidi" w:cstheme="minorBidi"/>
                <w:noProof/>
                <w:sz w:val="22"/>
                <w:szCs w:val="22"/>
              </w:rPr>
              <w:tab/>
            </w:r>
            <w:r w:rsidRPr="00830AD6">
              <w:rPr>
                <w:rStyle w:val="Hyperlink"/>
                <w:rFonts w:asciiTheme="minorBidi" w:eastAsia="Times New Roman" w:hAnsiTheme="minorBidi" w:cstheme="minorBidi"/>
                <w:noProof/>
                <w:sz w:val="22"/>
                <w:szCs w:val="22"/>
                <w:lang w:eastAsia="en-GB"/>
              </w:rPr>
              <w:t>Evidence-Informed Recommendations</w:t>
            </w:r>
            <w:r w:rsidRPr="00830AD6">
              <w:rPr>
                <w:rFonts w:asciiTheme="minorBidi" w:hAnsiTheme="minorBidi" w:cstheme="minorBidi"/>
                <w:noProof/>
                <w:webHidden/>
                <w:sz w:val="22"/>
                <w:szCs w:val="22"/>
              </w:rPr>
              <w:tab/>
            </w:r>
            <w:r w:rsidRPr="00830AD6">
              <w:rPr>
                <w:rFonts w:asciiTheme="minorBidi" w:hAnsiTheme="minorBidi" w:cstheme="minorBidi"/>
                <w:noProof/>
                <w:webHidden/>
                <w:sz w:val="22"/>
                <w:szCs w:val="22"/>
              </w:rPr>
              <w:fldChar w:fldCharType="begin"/>
            </w:r>
            <w:r w:rsidRPr="00830AD6">
              <w:rPr>
                <w:rFonts w:asciiTheme="minorBidi" w:hAnsiTheme="minorBidi" w:cstheme="minorBidi"/>
                <w:noProof/>
                <w:webHidden/>
                <w:sz w:val="22"/>
                <w:szCs w:val="22"/>
              </w:rPr>
              <w:instrText xml:space="preserve"> PAGEREF _Toc222758393 \h </w:instrText>
            </w:r>
            <w:r w:rsidRPr="00830AD6">
              <w:rPr>
                <w:rFonts w:asciiTheme="minorBidi" w:hAnsiTheme="minorBidi" w:cstheme="minorBidi"/>
                <w:noProof/>
                <w:webHidden/>
                <w:sz w:val="22"/>
                <w:szCs w:val="22"/>
              </w:rPr>
            </w:r>
            <w:r w:rsidRPr="00830AD6">
              <w:rPr>
                <w:rFonts w:asciiTheme="minorBidi" w:hAnsiTheme="minorBidi" w:cstheme="minorBidi"/>
                <w:noProof/>
                <w:webHidden/>
                <w:sz w:val="22"/>
                <w:szCs w:val="22"/>
              </w:rPr>
              <w:fldChar w:fldCharType="separate"/>
            </w:r>
            <w:r w:rsidR="005D01F6">
              <w:rPr>
                <w:rFonts w:asciiTheme="minorBidi" w:hAnsiTheme="minorBidi" w:cstheme="minorBidi"/>
                <w:noProof/>
                <w:webHidden/>
                <w:sz w:val="22"/>
                <w:szCs w:val="22"/>
              </w:rPr>
              <w:t>6</w:t>
            </w:r>
            <w:r w:rsidRPr="00830AD6">
              <w:rPr>
                <w:rFonts w:asciiTheme="minorBidi" w:hAnsiTheme="minorBidi" w:cstheme="minorBidi"/>
                <w:noProof/>
                <w:webHidden/>
                <w:sz w:val="22"/>
                <w:szCs w:val="22"/>
              </w:rPr>
              <w:fldChar w:fldCharType="end"/>
            </w:r>
          </w:hyperlink>
        </w:p>
        <w:p w14:paraId="1AA7B573" w14:textId="3CF7D745" w:rsidR="00830AD6" w:rsidRPr="00830AD6" w:rsidRDefault="00830AD6">
          <w:pPr>
            <w:pStyle w:val="TOC1"/>
            <w:tabs>
              <w:tab w:val="left" w:pos="480"/>
              <w:tab w:val="right" w:leader="dot" w:pos="9016"/>
            </w:tabs>
            <w:rPr>
              <w:rFonts w:asciiTheme="minorBidi" w:hAnsiTheme="minorBidi" w:cstheme="minorBidi"/>
              <w:noProof/>
              <w:sz w:val="22"/>
              <w:szCs w:val="22"/>
            </w:rPr>
          </w:pPr>
          <w:hyperlink w:anchor="_Toc222758394" w:history="1">
            <w:r w:rsidRPr="00830AD6">
              <w:rPr>
                <w:rStyle w:val="Hyperlink"/>
                <w:rFonts w:asciiTheme="minorBidi" w:eastAsia="Times New Roman" w:hAnsiTheme="minorBidi" w:cstheme="minorBidi"/>
                <w:noProof/>
                <w:sz w:val="22"/>
                <w:szCs w:val="22"/>
                <w:lang w:eastAsia="en-GB"/>
              </w:rPr>
              <w:t>3.</w:t>
            </w:r>
            <w:r w:rsidRPr="00830AD6">
              <w:rPr>
                <w:rFonts w:asciiTheme="minorBidi" w:hAnsiTheme="minorBidi" w:cstheme="minorBidi"/>
                <w:noProof/>
                <w:sz w:val="22"/>
                <w:szCs w:val="22"/>
              </w:rPr>
              <w:tab/>
            </w:r>
            <w:r w:rsidRPr="00830AD6">
              <w:rPr>
                <w:rStyle w:val="Hyperlink"/>
                <w:rFonts w:asciiTheme="minorBidi" w:eastAsia="Times New Roman" w:hAnsiTheme="minorBidi" w:cstheme="minorBidi"/>
                <w:noProof/>
                <w:sz w:val="22"/>
                <w:szCs w:val="22"/>
                <w:lang w:eastAsia="en-GB"/>
              </w:rPr>
              <w:t>SDG 13: Climate Action</w:t>
            </w:r>
            <w:r w:rsidRPr="00830AD6">
              <w:rPr>
                <w:rFonts w:asciiTheme="minorBidi" w:hAnsiTheme="minorBidi" w:cstheme="minorBidi"/>
                <w:noProof/>
                <w:webHidden/>
                <w:sz w:val="22"/>
                <w:szCs w:val="22"/>
              </w:rPr>
              <w:tab/>
            </w:r>
            <w:r w:rsidRPr="00830AD6">
              <w:rPr>
                <w:rFonts w:asciiTheme="minorBidi" w:hAnsiTheme="minorBidi" w:cstheme="minorBidi"/>
                <w:noProof/>
                <w:webHidden/>
                <w:sz w:val="22"/>
                <w:szCs w:val="22"/>
              </w:rPr>
              <w:fldChar w:fldCharType="begin"/>
            </w:r>
            <w:r w:rsidRPr="00830AD6">
              <w:rPr>
                <w:rFonts w:asciiTheme="minorBidi" w:hAnsiTheme="minorBidi" w:cstheme="minorBidi"/>
                <w:noProof/>
                <w:webHidden/>
                <w:sz w:val="22"/>
                <w:szCs w:val="22"/>
              </w:rPr>
              <w:instrText xml:space="preserve"> PAGEREF _Toc222758394 \h </w:instrText>
            </w:r>
            <w:r w:rsidRPr="00830AD6">
              <w:rPr>
                <w:rFonts w:asciiTheme="minorBidi" w:hAnsiTheme="minorBidi" w:cstheme="minorBidi"/>
                <w:noProof/>
                <w:webHidden/>
                <w:sz w:val="22"/>
                <w:szCs w:val="22"/>
              </w:rPr>
            </w:r>
            <w:r w:rsidRPr="00830AD6">
              <w:rPr>
                <w:rFonts w:asciiTheme="minorBidi" w:hAnsiTheme="minorBidi" w:cstheme="minorBidi"/>
                <w:noProof/>
                <w:webHidden/>
                <w:sz w:val="22"/>
                <w:szCs w:val="22"/>
              </w:rPr>
              <w:fldChar w:fldCharType="separate"/>
            </w:r>
            <w:r w:rsidR="005D01F6">
              <w:rPr>
                <w:rFonts w:asciiTheme="minorBidi" w:hAnsiTheme="minorBidi" w:cstheme="minorBidi"/>
                <w:noProof/>
                <w:webHidden/>
                <w:sz w:val="22"/>
                <w:szCs w:val="22"/>
              </w:rPr>
              <w:t>6</w:t>
            </w:r>
            <w:r w:rsidRPr="00830AD6">
              <w:rPr>
                <w:rFonts w:asciiTheme="minorBidi" w:hAnsiTheme="minorBidi" w:cstheme="minorBidi"/>
                <w:noProof/>
                <w:webHidden/>
                <w:sz w:val="22"/>
                <w:szCs w:val="22"/>
              </w:rPr>
              <w:fldChar w:fldCharType="end"/>
            </w:r>
          </w:hyperlink>
        </w:p>
        <w:p w14:paraId="2EE8B340" w14:textId="256DB0B0" w:rsidR="00830AD6" w:rsidRPr="00830AD6" w:rsidRDefault="00830AD6">
          <w:pPr>
            <w:pStyle w:val="TOC2"/>
            <w:tabs>
              <w:tab w:val="right" w:leader="dot" w:pos="9016"/>
            </w:tabs>
            <w:rPr>
              <w:rFonts w:asciiTheme="minorBidi" w:hAnsiTheme="minorBidi" w:cstheme="minorBidi"/>
              <w:noProof/>
              <w:sz w:val="22"/>
              <w:szCs w:val="22"/>
            </w:rPr>
          </w:pPr>
          <w:hyperlink w:anchor="_Toc222758395" w:history="1">
            <w:r w:rsidRPr="00830AD6">
              <w:rPr>
                <w:rStyle w:val="Hyperlink"/>
                <w:rFonts w:asciiTheme="minorBidi" w:eastAsia="Times New Roman" w:hAnsiTheme="minorBidi" w:cstheme="minorBidi"/>
                <w:noProof/>
                <w:sz w:val="22"/>
                <w:szCs w:val="22"/>
                <w:lang w:eastAsia="en-GB"/>
              </w:rPr>
              <w:t>3.1. Overview</w:t>
            </w:r>
            <w:r w:rsidRPr="00830AD6">
              <w:rPr>
                <w:rFonts w:asciiTheme="minorBidi" w:hAnsiTheme="minorBidi" w:cstheme="minorBidi"/>
                <w:noProof/>
                <w:webHidden/>
                <w:sz w:val="22"/>
                <w:szCs w:val="22"/>
              </w:rPr>
              <w:tab/>
            </w:r>
            <w:r w:rsidRPr="00830AD6">
              <w:rPr>
                <w:rFonts w:asciiTheme="minorBidi" w:hAnsiTheme="minorBidi" w:cstheme="minorBidi"/>
                <w:noProof/>
                <w:webHidden/>
                <w:sz w:val="22"/>
                <w:szCs w:val="22"/>
              </w:rPr>
              <w:fldChar w:fldCharType="begin"/>
            </w:r>
            <w:r w:rsidRPr="00830AD6">
              <w:rPr>
                <w:rFonts w:asciiTheme="minorBidi" w:hAnsiTheme="minorBidi" w:cstheme="minorBidi"/>
                <w:noProof/>
                <w:webHidden/>
                <w:sz w:val="22"/>
                <w:szCs w:val="22"/>
              </w:rPr>
              <w:instrText xml:space="preserve"> PAGEREF _Toc222758395 \h </w:instrText>
            </w:r>
            <w:r w:rsidRPr="00830AD6">
              <w:rPr>
                <w:rFonts w:asciiTheme="minorBidi" w:hAnsiTheme="minorBidi" w:cstheme="minorBidi"/>
                <w:noProof/>
                <w:webHidden/>
                <w:sz w:val="22"/>
                <w:szCs w:val="22"/>
              </w:rPr>
            </w:r>
            <w:r w:rsidRPr="00830AD6">
              <w:rPr>
                <w:rFonts w:asciiTheme="minorBidi" w:hAnsiTheme="minorBidi" w:cstheme="minorBidi"/>
                <w:noProof/>
                <w:webHidden/>
                <w:sz w:val="22"/>
                <w:szCs w:val="22"/>
              </w:rPr>
              <w:fldChar w:fldCharType="separate"/>
            </w:r>
            <w:r w:rsidR="005D01F6">
              <w:rPr>
                <w:rFonts w:asciiTheme="minorBidi" w:hAnsiTheme="minorBidi" w:cstheme="minorBidi"/>
                <w:noProof/>
                <w:webHidden/>
                <w:sz w:val="22"/>
                <w:szCs w:val="22"/>
              </w:rPr>
              <w:t>6</w:t>
            </w:r>
            <w:r w:rsidRPr="00830AD6">
              <w:rPr>
                <w:rFonts w:asciiTheme="minorBidi" w:hAnsiTheme="minorBidi" w:cstheme="minorBidi"/>
                <w:noProof/>
                <w:webHidden/>
                <w:sz w:val="22"/>
                <w:szCs w:val="22"/>
              </w:rPr>
              <w:fldChar w:fldCharType="end"/>
            </w:r>
          </w:hyperlink>
        </w:p>
        <w:p w14:paraId="30317A1D" w14:textId="75BC4DD2" w:rsidR="00830AD6" w:rsidRPr="00830AD6" w:rsidRDefault="00830AD6">
          <w:pPr>
            <w:pStyle w:val="TOC2"/>
            <w:tabs>
              <w:tab w:val="left" w:pos="960"/>
              <w:tab w:val="right" w:leader="dot" w:pos="9016"/>
            </w:tabs>
            <w:rPr>
              <w:rFonts w:asciiTheme="minorBidi" w:hAnsiTheme="minorBidi" w:cstheme="minorBidi"/>
              <w:noProof/>
              <w:sz w:val="22"/>
              <w:szCs w:val="22"/>
            </w:rPr>
          </w:pPr>
          <w:hyperlink w:anchor="_Toc222758396" w:history="1">
            <w:r w:rsidRPr="00830AD6">
              <w:rPr>
                <w:rStyle w:val="Hyperlink"/>
                <w:rFonts w:asciiTheme="minorBidi" w:eastAsia="Times New Roman" w:hAnsiTheme="minorBidi" w:cstheme="minorBidi"/>
                <w:noProof/>
                <w:sz w:val="22"/>
                <w:szCs w:val="22"/>
                <w:lang w:eastAsia="en-GB"/>
              </w:rPr>
              <w:t>3.2.</w:t>
            </w:r>
            <w:r w:rsidRPr="00830AD6">
              <w:rPr>
                <w:rFonts w:asciiTheme="minorBidi" w:hAnsiTheme="minorBidi" w:cstheme="minorBidi"/>
                <w:noProof/>
                <w:sz w:val="22"/>
                <w:szCs w:val="22"/>
              </w:rPr>
              <w:tab/>
            </w:r>
            <w:r w:rsidRPr="00830AD6">
              <w:rPr>
                <w:rStyle w:val="Hyperlink"/>
                <w:rFonts w:asciiTheme="minorBidi" w:eastAsia="Times New Roman" w:hAnsiTheme="minorBidi" w:cstheme="minorBidi"/>
                <w:noProof/>
                <w:sz w:val="22"/>
                <w:szCs w:val="22"/>
                <w:lang w:eastAsia="en-GB"/>
              </w:rPr>
              <w:t>Global Initiatives</w:t>
            </w:r>
            <w:r w:rsidRPr="00830AD6">
              <w:rPr>
                <w:rFonts w:asciiTheme="minorBidi" w:hAnsiTheme="minorBidi" w:cstheme="minorBidi"/>
                <w:noProof/>
                <w:webHidden/>
                <w:sz w:val="22"/>
                <w:szCs w:val="22"/>
              </w:rPr>
              <w:tab/>
            </w:r>
            <w:r w:rsidRPr="00830AD6">
              <w:rPr>
                <w:rFonts w:asciiTheme="minorBidi" w:hAnsiTheme="minorBidi" w:cstheme="minorBidi"/>
                <w:noProof/>
                <w:webHidden/>
                <w:sz w:val="22"/>
                <w:szCs w:val="22"/>
              </w:rPr>
              <w:fldChar w:fldCharType="begin"/>
            </w:r>
            <w:r w:rsidRPr="00830AD6">
              <w:rPr>
                <w:rFonts w:asciiTheme="minorBidi" w:hAnsiTheme="minorBidi" w:cstheme="minorBidi"/>
                <w:noProof/>
                <w:webHidden/>
                <w:sz w:val="22"/>
                <w:szCs w:val="22"/>
              </w:rPr>
              <w:instrText xml:space="preserve"> PAGEREF _Toc222758396 \h </w:instrText>
            </w:r>
            <w:r w:rsidRPr="00830AD6">
              <w:rPr>
                <w:rFonts w:asciiTheme="minorBidi" w:hAnsiTheme="minorBidi" w:cstheme="minorBidi"/>
                <w:noProof/>
                <w:webHidden/>
                <w:sz w:val="22"/>
                <w:szCs w:val="22"/>
              </w:rPr>
            </w:r>
            <w:r w:rsidRPr="00830AD6">
              <w:rPr>
                <w:rFonts w:asciiTheme="minorBidi" w:hAnsiTheme="minorBidi" w:cstheme="minorBidi"/>
                <w:noProof/>
                <w:webHidden/>
                <w:sz w:val="22"/>
                <w:szCs w:val="22"/>
              </w:rPr>
              <w:fldChar w:fldCharType="separate"/>
            </w:r>
            <w:r w:rsidR="005D01F6">
              <w:rPr>
                <w:rFonts w:asciiTheme="minorBidi" w:hAnsiTheme="minorBidi" w:cstheme="minorBidi"/>
                <w:noProof/>
                <w:webHidden/>
                <w:sz w:val="22"/>
                <w:szCs w:val="22"/>
              </w:rPr>
              <w:t>6</w:t>
            </w:r>
            <w:r w:rsidRPr="00830AD6">
              <w:rPr>
                <w:rFonts w:asciiTheme="minorBidi" w:hAnsiTheme="minorBidi" w:cstheme="minorBidi"/>
                <w:noProof/>
                <w:webHidden/>
                <w:sz w:val="22"/>
                <w:szCs w:val="22"/>
              </w:rPr>
              <w:fldChar w:fldCharType="end"/>
            </w:r>
          </w:hyperlink>
        </w:p>
        <w:p w14:paraId="75267888" w14:textId="7A841AA4" w:rsidR="00830AD6" w:rsidRPr="00830AD6" w:rsidRDefault="00830AD6">
          <w:pPr>
            <w:pStyle w:val="TOC2"/>
            <w:tabs>
              <w:tab w:val="left" w:pos="960"/>
              <w:tab w:val="right" w:leader="dot" w:pos="9016"/>
            </w:tabs>
            <w:rPr>
              <w:rFonts w:asciiTheme="minorBidi" w:hAnsiTheme="minorBidi" w:cstheme="minorBidi"/>
              <w:noProof/>
              <w:sz w:val="22"/>
              <w:szCs w:val="22"/>
            </w:rPr>
          </w:pPr>
          <w:hyperlink w:anchor="_Toc222758397" w:history="1">
            <w:r w:rsidRPr="00830AD6">
              <w:rPr>
                <w:rStyle w:val="Hyperlink"/>
                <w:rFonts w:asciiTheme="minorBidi" w:eastAsia="Times New Roman" w:hAnsiTheme="minorBidi" w:cstheme="minorBidi"/>
                <w:noProof/>
                <w:sz w:val="22"/>
                <w:szCs w:val="22"/>
                <w:lang w:eastAsia="en-GB"/>
              </w:rPr>
              <w:t>3.3.</w:t>
            </w:r>
            <w:r w:rsidRPr="00830AD6">
              <w:rPr>
                <w:rFonts w:asciiTheme="minorBidi" w:hAnsiTheme="minorBidi" w:cstheme="minorBidi"/>
                <w:noProof/>
                <w:sz w:val="22"/>
                <w:szCs w:val="22"/>
              </w:rPr>
              <w:tab/>
            </w:r>
            <w:r w:rsidRPr="00830AD6">
              <w:rPr>
                <w:rStyle w:val="Hyperlink"/>
                <w:rFonts w:asciiTheme="minorBidi" w:eastAsia="Times New Roman" w:hAnsiTheme="minorBidi" w:cstheme="minorBidi"/>
                <w:noProof/>
                <w:sz w:val="22"/>
                <w:szCs w:val="22"/>
                <w:lang w:eastAsia="en-GB"/>
              </w:rPr>
              <w:t>National/local Level</w:t>
            </w:r>
            <w:r w:rsidRPr="00830AD6">
              <w:rPr>
                <w:rFonts w:asciiTheme="minorBidi" w:hAnsiTheme="minorBidi" w:cstheme="minorBidi"/>
                <w:noProof/>
                <w:webHidden/>
                <w:sz w:val="22"/>
                <w:szCs w:val="22"/>
              </w:rPr>
              <w:tab/>
            </w:r>
            <w:r w:rsidRPr="00830AD6">
              <w:rPr>
                <w:rFonts w:asciiTheme="minorBidi" w:hAnsiTheme="minorBidi" w:cstheme="minorBidi"/>
                <w:noProof/>
                <w:webHidden/>
                <w:sz w:val="22"/>
                <w:szCs w:val="22"/>
              </w:rPr>
              <w:fldChar w:fldCharType="begin"/>
            </w:r>
            <w:r w:rsidRPr="00830AD6">
              <w:rPr>
                <w:rFonts w:asciiTheme="minorBidi" w:hAnsiTheme="minorBidi" w:cstheme="minorBidi"/>
                <w:noProof/>
                <w:webHidden/>
                <w:sz w:val="22"/>
                <w:szCs w:val="22"/>
              </w:rPr>
              <w:instrText xml:space="preserve"> PAGEREF _Toc222758397 \h </w:instrText>
            </w:r>
            <w:r w:rsidRPr="00830AD6">
              <w:rPr>
                <w:rFonts w:asciiTheme="minorBidi" w:hAnsiTheme="minorBidi" w:cstheme="minorBidi"/>
                <w:noProof/>
                <w:webHidden/>
                <w:sz w:val="22"/>
                <w:szCs w:val="22"/>
              </w:rPr>
            </w:r>
            <w:r w:rsidRPr="00830AD6">
              <w:rPr>
                <w:rFonts w:asciiTheme="minorBidi" w:hAnsiTheme="minorBidi" w:cstheme="minorBidi"/>
                <w:noProof/>
                <w:webHidden/>
                <w:sz w:val="22"/>
                <w:szCs w:val="22"/>
              </w:rPr>
              <w:fldChar w:fldCharType="separate"/>
            </w:r>
            <w:r w:rsidR="005D01F6">
              <w:rPr>
                <w:rFonts w:asciiTheme="minorBidi" w:hAnsiTheme="minorBidi" w:cstheme="minorBidi"/>
                <w:noProof/>
                <w:webHidden/>
                <w:sz w:val="22"/>
                <w:szCs w:val="22"/>
              </w:rPr>
              <w:t>7</w:t>
            </w:r>
            <w:r w:rsidRPr="00830AD6">
              <w:rPr>
                <w:rFonts w:asciiTheme="minorBidi" w:hAnsiTheme="minorBidi" w:cstheme="minorBidi"/>
                <w:noProof/>
                <w:webHidden/>
                <w:sz w:val="22"/>
                <w:szCs w:val="22"/>
              </w:rPr>
              <w:fldChar w:fldCharType="end"/>
            </w:r>
          </w:hyperlink>
        </w:p>
        <w:p w14:paraId="5FEAFCFB" w14:textId="29CD03FF" w:rsidR="00830AD6" w:rsidRPr="00830AD6" w:rsidRDefault="00830AD6">
          <w:pPr>
            <w:pStyle w:val="TOC2"/>
            <w:tabs>
              <w:tab w:val="left" w:pos="960"/>
              <w:tab w:val="right" w:leader="dot" w:pos="9016"/>
            </w:tabs>
            <w:rPr>
              <w:rFonts w:asciiTheme="minorBidi" w:hAnsiTheme="minorBidi" w:cstheme="minorBidi"/>
              <w:noProof/>
              <w:sz w:val="22"/>
              <w:szCs w:val="22"/>
            </w:rPr>
          </w:pPr>
          <w:hyperlink w:anchor="_Toc222758398" w:history="1">
            <w:r w:rsidRPr="00830AD6">
              <w:rPr>
                <w:rStyle w:val="Hyperlink"/>
                <w:rFonts w:asciiTheme="minorBidi" w:eastAsia="Times New Roman" w:hAnsiTheme="minorBidi" w:cstheme="minorBidi"/>
                <w:noProof/>
                <w:sz w:val="22"/>
                <w:szCs w:val="22"/>
                <w:lang w:eastAsia="en-GB"/>
              </w:rPr>
              <w:t>3.4.</w:t>
            </w:r>
            <w:r w:rsidRPr="00830AD6">
              <w:rPr>
                <w:rFonts w:asciiTheme="minorBidi" w:hAnsiTheme="minorBidi" w:cstheme="minorBidi"/>
                <w:noProof/>
                <w:sz w:val="22"/>
                <w:szCs w:val="22"/>
              </w:rPr>
              <w:tab/>
            </w:r>
            <w:r w:rsidRPr="00830AD6">
              <w:rPr>
                <w:rStyle w:val="Hyperlink"/>
                <w:rFonts w:asciiTheme="minorBidi" w:eastAsia="Times New Roman" w:hAnsiTheme="minorBidi" w:cstheme="minorBidi"/>
                <w:noProof/>
                <w:sz w:val="22"/>
                <w:szCs w:val="22"/>
                <w:lang w:eastAsia="en-GB"/>
              </w:rPr>
              <w:t>Theory Application</w:t>
            </w:r>
            <w:r w:rsidRPr="00830AD6">
              <w:rPr>
                <w:rFonts w:asciiTheme="minorBidi" w:hAnsiTheme="minorBidi" w:cstheme="minorBidi"/>
                <w:noProof/>
                <w:webHidden/>
                <w:sz w:val="22"/>
                <w:szCs w:val="22"/>
              </w:rPr>
              <w:tab/>
            </w:r>
            <w:r w:rsidRPr="00830AD6">
              <w:rPr>
                <w:rFonts w:asciiTheme="minorBidi" w:hAnsiTheme="minorBidi" w:cstheme="minorBidi"/>
                <w:noProof/>
                <w:webHidden/>
                <w:sz w:val="22"/>
                <w:szCs w:val="22"/>
              </w:rPr>
              <w:fldChar w:fldCharType="begin"/>
            </w:r>
            <w:r w:rsidRPr="00830AD6">
              <w:rPr>
                <w:rFonts w:asciiTheme="minorBidi" w:hAnsiTheme="minorBidi" w:cstheme="minorBidi"/>
                <w:noProof/>
                <w:webHidden/>
                <w:sz w:val="22"/>
                <w:szCs w:val="22"/>
              </w:rPr>
              <w:instrText xml:space="preserve"> PAGEREF _Toc222758398 \h </w:instrText>
            </w:r>
            <w:r w:rsidRPr="00830AD6">
              <w:rPr>
                <w:rFonts w:asciiTheme="minorBidi" w:hAnsiTheme="minorBidi" w:cstheme="minorBidi"/>
                <w:noProof/>
                <w:webHidden/>
                <w:sz w:val="22"/>
                <w:szCs w:val="22"/>
              </w:rPr>
            </w:r>
            <w:r w:rsidRPr="00830AD6">
              <w:rPr>
                <w:rFonts w:asciiTheme="minorBidi" w:hAnsiTheme="minorBidi" w:cstheme="minorBidi"/>
                <w:noProof/>
                <w:webHidden/>
                <w:sz w:val="22"/>
                <w:szCs w:val="22"/>
              </w:rPr>
              <w:fldChar w:fldCharType="separate"/>
            </w:r>
            <w:r w:rsidR="005D01F6">
              <w:rPr>
                <w:rFonts w:asciiTheme="minorBidi" w:hAnsiTheme="minorBidi" w:cstheme="minorBidi"/>
                <w:noProof/>
                <w:webHidden/>
                <w:sz w:val="22"/>
                <w:szCs w:val="22"/>
              </w:rPr>
              <w:t>8</w:t>
            </w:r>
            <w:r w:rsidRPr="00830AD6">
              <w:rPr>
                <w:rFonts w:asciiTheme="minorBidi" w:hAnsiTheme="minorBidi" w:cstheme="minorBidi"/>
                <w:noProof/>
                <w:webHidden/>
                <w:sz w:val="22"/>
                <w:szCs w:val="22"/>
              </w:rPr>
              <w:fldChar w:fldCharType="end"/>
            </w:r>
          </w:hyperlink>
        </w:p>
        <w:p w14:paraId="54F80186" w14:textId="768B9AEB" w:rsidR="00830AD6" w:rsidRPr="00830AD6" w:rsidRDefault="00830AD6">
          <w:pPr>
            <w:pStyle w:val="TOC2"/>
            <w:tabs>
              <w:tab w:val="left" w:pos="960"/>
              <w:tab w:val="right" w:leader="dot" w:pos="9016"/>
            </w:tabs>
            <w:rPr>
              <w:rFonts w:asciiTheme="minorBidi" w:hAnsiTheme="minorBidi" w:cstheme="minorBidi"/>
              <w:noProof/>
              <w:sz w:val="22"/>
              <w:szCs w:val="22"/>
            </w:rPr>
          </w:pPr>
          <w:hyperlink w:anchor="_Toc222758399" w:history="1">
            <w:r w:rsidRPr="00830AD6">
              <w:rPr>
                <w:rStyle w:val="Hyperlink"/>
                <w:rFonts w:asciiTheme="minorBidi" w:eastAsia="Times New Roman" w:hAnsiTheme="minorBidi" w:cstheme="minorBidi"/>
                <w:noProof/>
                <w:sz w:val="22"/>
                <w:szCs w:val="22"/>
                <w:lang w:eastAsia="en-GB"/>
              </w:rPr>
              <w:t>3.5.</w:t>
            </w:r>
            <w:r w:rsidRPr="00830AD6">
              <w:rPr>
                <w:rFonts w:asciiTheme="minorBidi" w:hAnsiTheme="minorBidi" w:cstheme="minorBidi"/>
                <w:noProof/>
                <w:sz w:val="22"/>
                <w:szCs w:val="22"/>
              </w:rPr>
              <w:tab/>
            </w:r>
            <w:r w:rsidRPr="00830AD6">
              <w:rPr>
                <w:rStyle w:val="Hyperlink"/>
                <w:rFonts w:asciiTheme="minorBidi" w:eastAsia="Times New Roman" w:hAnsiTheme="minorBidi" w:cstheme="minorBidi"/>
                <w:noProof/>
                <w:sz w:val="22"/>
                <w:szCs w:val="22"/>
                <w:lang w:eastAsia="en-GB"/>
              </w:rPr>
              <w:t>Evidence Based Recommendations</w:t>
            </w:r>
            <w:r w:rsidRPr="00830AD6">
              <w:rPr>
                <w:rFonts w:asciiTheme="minorBidi" w:hAnsiTheme="minorBidi" w:cstheme="minorBidi"/>
                <w:noProof/>
                <w:webHidden/>
                <w:sz w:val="22"/>
                <w:szCs w:val="22"/>
              </w:rPr>
              <w:tab/>
            </w:r>
            <w:r w:rsidRPr="00830AD6">
              <w:rPr>
                <w:rFonts w:asciiTheme="minorBidi" w:hAnsiTheme="minorBidi" w:cstheme="minorBidi"/>
                <w:noProof/>
                <w:webHidden/>
                <w:sz w:val="22"/>
                <w:szCs w:val="22"/>
              </w:rPr>
              <w:fldChar w:fldCharType="begin"/>
            </w:r>
            <w:r w:rsidRPr="00830AD6">
              <w:rPr>
                <w:rFonts w:asciiTheme="minorBidi" w:hAnsiTheme="minorBidi" w:cstheme="minorBidi"/>
                <w:noProof/>
                <w:webHidden/>
                <w:sz w:val="22"/>
                <w:szCs w:val="22"/>
              </w:rPr>
              <w:instrText xml:space="preserve"> PAGEREF _Toc222758399 \h </w:instrText>
            </w:r>
            <w:r w:rsidRPr="00830AD6">
              <w:rPr>
                <w:rFonts w:asciiTheme="minorBidi" w:hAnsiTheme="minorBidi" w:cstheme="minorBidi"/>
                <w:noProof/>
                <w:webHidden/>
                <w:sz w:val="22"/>
                <w:szCs w:val="22"/>
              </w:rPr>
            </w:r>
            <w:r w:rsidRPr="00830AD6">
              <w:rPr>
                <w:rFonts w:asciiTheme="minorBidi" w:hAnsiTheme="minorBidi" w:cstheme="minorBidi"/>
                <w:noProof/>
                <w:webHidden/>
                <w:sz w:val="22"/>
                <w:szCs w:val="22"/>
              </w:rPr>
              <w:fldChar w:fldCharType="separate"/>
            </w:r>
            <w:r w:rsidR="005D01F6">
              <w:rPr>
                <w:rFonts w:asciiTheme="minorBidi" w:hAnsiTheme="minorBidi" w:cstheme="minorBidi"/>
                <w:noProof/>
                <w:webHidden/>
                <w:sz w:val="22"/>
                <w:szCs w:val="22"/>
              </w:rPr>
              <w:t>8</w:t>
            </w:r>
            <w:r w:rsidRPr="00830AD6">
              <w:rPr>
                <w:rFonts w:asciiTheme="minorBidi" w:hAnsiTheme="minorBidi" w:cstheme="minorBidi"/>
                <w:noProof/>
                <w:webHidden/>
                <w:sz w:val="22"/>
                <w:szCs w:val="22"/>
              </w:rPr>
              <w:fldChar w:fldCharType="end"/>
            </w:r>
          </w:hyperlink>
        </w:p>
        <w:p w14:paraId="495F5170" w14:textId="2CDFAC6E" w:rsidR="00830AD6" w:rsidRPr="00830AD6" w:rsidRDefault="00830AD6">
          <w:pPr>
            <w:pStyle w:val="TOC1"/>
            <w:tabs>
              <w:tab w:val="left" w:pos="480"/>
              <w:tab w:val="right" w:leader="dot" w:pos="9016"/>
            </w:tabs>
            <w:rPr>
              <w:rFonts w:asciiTheme="minorBidi" w:hAnsiTheme="minorBidi" w:cstheme="minorBidi"/>
              <w:noProof/>
              <w:sz w:val="22"/>
              <w:szCs w:val="22"/>
            </w:rPr>
          </w:pPr>
          <w:hyperlink w:anchor="_Toc222758400" w:history="1">
            <w:r w:rsidRPr="00830AD6">
              <w:rPr>
                <w:rStyle w:val="Hyperlink"/>
                <w:rFonts w:asciiTheme="minorBidi" w:eastAsia="Times New Roman" w:hAnsiTheme="minorBidi" w:cstheme="minorBidi"/>
                <w:noProof/>
                <w:sz w:val="22"/>
                <w:szCs w:val="22"/>
                <w:lang w:eastAsia="en-GB"/>
              </w:rPr>
              <w:t>4.</w:t>
            </w:r>
            <w:r w:rsidRPr="00830AD6">
              <w:rPr>
                <w:rFonts w:asciiTheme="minorBidi" w:hAnsiTheme="minorBidi" w:cstheme="minorBidi"/>
                <w:noProof/>
                <w:sz w:val="22"/>
                <w:szCs w:val="22"/>
              </w:rPr>
              <w:tab/>
            </w:r>
            <w:r w:rsidRPr="00830AD6">
              <w:rPr>
                <w:rStyle w:val="Hyperlink"/>
                <w:rFonts w:asciiTheme="minorBidi" w:eastAsia="Times New Roman" w:hAnsiTheme="minorBidi" w:cstheme="minorBidi"/>
                <w:noProof/>
                <w:sz w:val="22"/>
                <w:szCs w:val="22"/>
                <w:lang w:eastAsia="en-GB"/>
              </w:rPr>
              <w:t>Conclusion</w:t>
            </w:r>
            <w:r w:rsidRPr="00830AD6">
              <w:rPr>
                <w:rFonts w:asciiTheme="minorBidi" w:hAnsiTheme="minorBidi" w:cstheme="minorBidi"/>
                <w:noProof/>
                <w:webHidden/>
                <w:sz w:val="22"/>
                <w:szCs w:val="22"/>
              </w:rPr>
              <w:tab/>
            </w:r>
            <w:r w:rsidRPr="00830AD6">
              <w:rPr>
                <w:rFonts w:asciiTheme="minorBidi" w:hAnsiTheme="minorBidi" w:cstheme="minorBidi"/>
                <w:noProof/>
                <w:webHidden/>
                <w:sz w:val="22"/>
                <w:szCs w:val="22"/>
              </w:rPr>
              <w:fldChar w:fldCharType="begin"/>
            </w:r>
            <w:r w:rsidRPr="00830AD6">
              <w:rPr>
                <w:rFonts w:asciiTheme="minorBidi" w:hAnsiTheme="minorBidi" w:cstheme="minorBidi"/>
                <w:noProof/>
                <w:webHidden/>
                <w:sz w:val="22"/>
                <w:szCs w:val="22"/>
              </w:rPr>
              <w:instrText xml:space="preserve"> PAGEREF _Toc222758400 \h </w:instrText>
            </w:r>
            <w:r w:rsidRPr="00830AD6">
              <w:rPr>
                <w:rFonts w:asciiTheme="minorBidi" w:hAnsiTheme="minorBidi" w:cstheme="minorBidi"/>
                <w:noProof/>
                <w:webHidden/>
                <w:sz w:val="22"/>
                <w:szCs w:val="22"/>
              </w:rPr>
            </w:r>
            <w:r w:rsidRPr="00830AD6">
              <w:rPr>
                <w:rFonts w:asciiTheme="minorBidi" w:hAnsiTheme="minorBidi" w:cstheme="minorBidi"/>
                <w:noProof/>
                <w:webHidden/>
                <w:sz w:val="22"/>
                <w:szCs w:val="22"/>
              </w:rPr>
              <w:fldChar w:fldCharType="separate"/>
            </w:r>
            <w:r w:rsidR="005D01F6">
              <w:rPr>
                <w:rFonts w:asciiTheme="minorBidi" w:hAnsiTheme="minorBidi" w:cstheme="minorBidi"/>
                <w:noProof/>
                <w:webHidden/>
                <w:sz w:val="22"/>
                <w:szCs w:val="22"/>
              </w:rPr>
              <w:t>9</w:t>
            </w:r>
            <w:r w:rsidRPr="00830AD6">
              <w:rPr>
                <w:rFonts w:asciiTheme="minorBidi" w:hAnsiTheme="minorBidi" w:cstheme="minorBidi"/>
                <w:noProof/>
                <w:webHidden/>
                <w:sz w:val="22"/>
                <w:szCs w:val="22"/>
              </w:rPr>
              <w:fldChar w:fldCharType="end"/>
            </w:r>
          </w:hyperlink>
        </w:p>
        <w:p w14:paraId="68C414C5" w14:textId="008A1CF8" w:rsidR="00830AD6" w:rsidRPr="00830AD6" w:rsidRDefault="00830AD6">
          <w:pPr>
            <w:pStyle w:val="TOC1"/>
            <w:tabs>
              <w:tab w:val="left" w:pos="480"/>
              <w:tab w:val="right" w:leader="dot" w:pos="9016"/>
            </w:tabs>
            <w:rPr>
              <w:rFonts w:asciiTheme="minorBidi" w:hAnsiTheme="minorBidi" w:cstheme="minorBidi"/>
              <w:noProof/>
              <w:sz w:val="22"/>
              <w:szCs w:val="22"/>
            </w:rPr>
          </w:pPr>
          <w:hyperlink w:anchor="_Toc222758401" w:history="1">
            <w:r w:rsidRPr="00830AD6">
              <w:rPr>
                <w:rStyle w:val="Hyperlink"/>
                <w:rFonts w:asciiTheme="minorBidi" w:hAnsiTheme="minorBidi" w:cstheme="minorBidi"/>
                <w:noProof/>
                <w:sz w:val="22"/>
                <w:szCs w:val="22"/>
                <w:lang w:val="en-GB"/>
              </w:rPr>
              <w:t>5.</w:t>
            </w:r>
            <w:r w:rsidRPr="00830AD6">
              <w:rPr>
                <w:rFonts w:asciiTheme="minorBidi" w:hAnsiTheme="minorBidi" w:cstheme="minorBidi"/>
                <w:noProof/>
                <w:sz w:val="22"/>
                <w:szCs w:val="22"/>
              </w:rPr>
              <w:tab/>
            </w:r>
            <w:r w:rsidRPr="00830AD6">
              <w:rPr>
                <w:rStyle w:val="Hyperlink"/>
                <w:rFonts w:asciiTheme="minorBidi" w:hAnsiTheme="minorBidi" w:cstheme="minorBidi"/>
                <w:noProof/>
                <w:sz w:val="22"/>
                <w:szCs w:val="22"/>
                <w:lang w:val="en-GB"/>
              </w:rPr>
              <w:t>References</w:t>
            </w:r>
            <w:r w:rsidRPr="00830AD6">
              <w:rPr>
                <w:rFonts w:asciiTheme="minorBidi" w:hAnsiTheme="minorBidi" w:cstheme="minorBidi"/>
                <w:noProof/>
                <w:webHidden/>
                <w:sz w:val="22"/>
                <w:szCs w:val="22"/>
              </w:rPr>
              <w:tab/>
            </w:r>
            <w:r w:rsidRPr="00830AD6">
              <w:rPr>
                <w:rFonts w:asciiTheme="minorBidi" w:hAnsiTheme="minorBidi" w:cstheme="minorBidi"/>
                <w:noProof/>
                <w:webHidden/>
                <w:sz w:val="22"/>
                <w:szCs w:val="22"/>
              </w:rPr>
              <w:fldChar w:fldCharType="begin"/>
            </w:r>
            <w:r w:rsidRPr="00830AD6">
              <w:rPr>
                <w:rFonts w:asciiTheme="minorBidi" w:hAnsiTheme="minorBidi" w:cstheme="minorBidi"/>
                <w:noProof/>
                <w:webHidden/>
                <w:sz w:val="22"/>
                <w:szCs w:val="22"/>
              </w:rPr>
              <w:instrText xml:space="preserve"> PAGEREF _Toc222758401 \h </w:instrText>
            </w:r>
            <w:r w:rsidRPr="00830AD6">
              <w:rPr>
                <w:rFonts w:asciiTheme="minorBidi" w:hAnsiTheme="minorBidi" w:cstheme="minorBidi"/>
                <w:noProof/>
                <w:webHidden/>
                <w:sz w:val="22"/>
                <w:szCs w:val="22"/>
              </w:rPr>
            </w:r>
            <w:r w:rsidRPr="00830AD6">
              <w:rPr>
                <w:rFonts w:asciiTheme="minorBidi" w:hAnsiTheme="minorBidi" w:cstheme="minorBidi"/>
                <w:noProof/>
                <w:webHidden/>
                <w:sz w:val="22"/>
                <w:szCs w:val="22"/>
              </w:rPr>
              <w:fldChar w:fldCharType="separate"/>
            </w:r>
            <w:r w:rsidR="005D01F6">
              <w:rPr>
                <w:rFonts w:asciiTheme="minorBidi" w:hAnsiTheme="minorBidi" w:cstheme="minorBidi"/>
                <w:noProof/>
                <w:webHidden/>
                <w:sz w:val="22"/>
                <w:szCs w:val="22"/>
              </w:rPr>
              <w:t>10</w:t>
            </w:r>
            <w:r w:rsidRPr="00830AD6">
              <w:rPr>
                <w:rFonts w:asciiTheme="minorBidi" w:hAnsiTheme="minorBidi" w:cstheme="minorBidi"/>
                <w:noProof/>
                <w:webHidden/>
                <w:sz w:val="22"/>
                <w:szCs w:val="22"/>
              </w:rPr>
              <w:fldChar w:fldCharType="end"/>
            </w:r>
          </w:hyperlink>
        </w:p>
        <w:p w14:paraId="5C3160FE" w14:textId="53E58998" w:rsidR="00830AD6" w:rsidRDefault="00830AD6">
          <w:r w:rsidRPr="00830AD6">
            <w:rPr>
              <w:rFonts w:asciiTheme="minorBidi" w:hAnsiTheme="minorBidi"/>
              <w:b/>
              <w:bCs/>
              <w:noProof/>
              <w:sz w:val="22"/>
              <w:szCs w:val="22"/>
            </w:rPr>
            <w:fldChar w:fldCharType="end"/>
          </w:r>
        </w:p>
      </w:sdtContent>
    </w:sdt>
    <w:p w14:paraId="5F1CF046" w14:textId="77777777" w:rsidR="00BA444E" w:rsidRDefault="00BA444E" w:rsidP="00BA444E">
      <w:pPr>
        <w:jc w:val="center"/>
        <w:rPr>
          <w:rFonts w:ascii="Arial" w:hAnsi="Arial" w:cs="Arial"/>
          <w:b/>
          <w:bCs/>
          <w:sz w:val="28"/>
          <w:szCs w:val="28"/>
          <w:lang w:val="en-GB"/>
        </w:rPr>
      </w:pPr>
    </w:p>
    <w:p w14:paraId="312BDFDA" w14:textId="77777777" w:rsidR="00830AD6" w:rsidRDefault="00830AD6" w:rsidP="00BA444E">
      <w:pPr>
        <w:jc w:val="center"/>
        <w:rPr>
          <w:rFonts w:ascii="Arial" w:hAnsi="Arial" w:cs="Arial"/>
          <w:b/>
          <w:bCs/>
          <w:sz w:val="28"/>
          <w:szCs w:val="28"/>
          <w:lang w:val="en-GB"/>
        </w:rPr>
      </w:pPr>
    </w:p>
    <w:p w14:paraId="1B2E612B" w14:textId="77777777" w:rsidR="00830AD6" w:rsidRDefault="00830AD6" w:rsidP="00BA444E">
      <w:pPr>
        <w:jc w:val="center"/>
        <w:rPr>
          <w:rFonts w:ascii="Arial" w:hAnsi="Arial" w:cs="Arial"/>
          <w:b/>
          <w:bCs/>
          <w:sz w:val="28"/>
          <w:szCs w:val="28"/>
          <w:lang w:val="en-GB"/>
        </w:rPr>
      </w:pPr>
    </w:p>
    <w:p w14:paraId="412A7579" w14:textId="77777777" w:rsidR="00830AD6" w:rsidRDefault="00830AD6" w:rsidP="00BA444E">
      <w:pPr>
        <w:jc w:val="center"/>
        <w:rPr>
          <w:rFonts w:ascii="Arial" w:hAnsi="Arial" w:cs="Arial"/>
          <w:b/>
          <w:bCs/>
          <w:sz w:val="28"/>
          <w:szCs w:val="28"/>
          <w:lang w:val="en-GB"/>
        </w:rPr>
      </w:pPr>
    </w:p>
    <w:p w14:paraId="5AD8C1A0" w14:textId="77777777" w:rsidR="00830AD6" w:rsidRDefault="00830AD6" w:rsidP="00BA444E">
      <w:pPr>
        <w:jc w:val="center"/>
        <w:rPr>
          <w:rFonts w:ascii="Arial" w:hAnsi="Arial" w:cs="Arial"/>
          <w:b/>
          <w:bCs/>
          <w:sz w:val="28"/>
          <w:szCs w:val="28"/>
          <w:lang w:val="en-GB"/>
        </w:rPr>
      </w:pPr>
    </w:p>
    <w:p w14:paraId="4D3CCF9A" w14:textId="77777777" w:rsidR="00830AD6" w:rsidRDefault="00830AD6" w:rsidP="00BA444E">
      <w:pPr>
        <w:jc w:val="center"/>
        <w:rPr>
          <w:rFonts w:ascii="Arial" w:hAnsi="Arial" w:cs="Arial"/>
          <w:b/>
          <w:bCs/>
          <w:sz w:val="28"/>
          <w:szCs w:val="28"/>
          <w:lang w:val="en-GB"/>
        </w:rPr>
      </w:pPr>
    </w:p>
    <w:p w14:paraId="48B23CC6" w14:textId="77777777" w:rsidR="00830AD6" w:rsidRDefault="00830AD6" w:rsidP="00BA444E">
      <w:pPr>
        <w:jc w:val="center"/>
        <w:rPr>
          <w:rFonts w:ascii="Arial" w:hAnsi="Arial" w:cs="Arial"/>
          <w:b/>
          <w:bCs/>
          <w:sz w:val="28"/>
          <w:szCs w:val="28"/>
          <w:lang w:val="en-GB"/>
        </w:rPr>
      </w:pPr>
    </w:p>
    <w:p w14:paraId="3A2726C1" w14:textId="77777777" w:rsidR="00830AD6" w:rsidRDefault="00830AD6" w:rsidP="00BA444E">
      <w:pPr>
        <w:jc w:val="center"/>
        <w:rPr>
          <w:rFonts w:ascii="Arial" w:hAnsi="Arial" w:cs="Arial"/>
          <w:b/>
          <w:bCs/>
          <w:sz w:val="28"/>
          <w:szCs w:val="28"/>
          <w:lang w:val="en-GB"/>
        </w:rPr>
      </w:pPr>
    </w:p>
    <w:p w14:paraId="13812AAE" w14:textId="77777777" w:rsidR="00830AD6" w:rsidRPr="00BA444E" w:rsidRDefault="00830AD6" w:rsidP="00BA444E">
      <w:pPr>
        <w:jc w:val="center"/>
        <w:rPr>
          <w:rFonts w:ascii="Arial" w:hAnsi="Arial" w:cs="Arial"/>
          <w:b/>
          <w:bCs/>
          <w:sz w:val="28"/>
          <w:szCs w:val="28"/>
          <w:lang w:val="en-GB"/>
        </w:rPr>
      </w:pPr>
    </w:p>
    <w:p w14:paraId="1FE13E10" w14:textId="77777777" w:rsidR="00BC0B86" w:rsidRPr="00BC0B86" w:rsidRDefault="00BC0B86" w:rsidP="00BC0B86">
      <w:pPr>
        <w:spacing w:line="360" w:lineRule="auto"/>
        <w:jc w:val="both"/>
        <w:rPr>
          <w:rFonts w:asciiTheme="minorBidi" w:eastAsia="Times New Roman" w:hAnsiTheme="minorBidi"/>
          <w:b/>
          <w:bCs/>
          <w:kern w:val="36"/>
          <w:sz w:val="22"/>
          <w:szCs w:val="22"/>
          <w:lang w:val="en-GB" w:eastAsia="en-GB"/>
          <w14:ligatures w14:val="none"/>
        </w:rPr>
      </w:pPr>
    </w:p>
    <w:p w14:paraId="3EC2FA62" w14:textId="5733C2AD" w:rsidR="00E2136B" w:rsidRPr="00BC0B86" w:rsidRDefault="00E2136B" w:rsidP="00BC0B86">
      <w:pPr>
        <w:pStyle w:val="Heading1"/>
        <w:numPr>
          <w:ilvl w:val="0"/>
          <w:numId w:val="17"/>
        </w:numPr>
        <w:spacing w:line="360" w:lineRule="auto"/>
        <w:jc w:val="both"/>
        <w:rPr>
          <w:rFonts w:asciiTheme="minorBidi" w:eastAsia="Times New Roman" w:hAnsiTheme="minorBidi" w:cstheme="minorBidi"/>
          <w:sz w:val="22"/>
          <w:szCs w:val="22"/>
          <w:lang w:eastAsia="en-GB"/>
        </w:rPr>
      </w:pPr>
      <w:bookmarkStart w:id="0" w:name="_Toc222758387"/>
      <w:r w:rsidRPr="00BC0B86">
        <w:rPr>
          <w:rFonts w:asciiTheme="minorBidi" w:eastAsia="Times New Roman" w:hAnsiTheme="minorBidi" w:cstheme="minorBidi"/>
          <w:sz w:val="22"/>
          <w:szCs w:val="22"/>
          <w:lang w:eastAsia="en-GB"/>
        </w:rPr>
        <w:lastRenderedPageBreak/>
        <w:t>Introduction</w:t>
      </w:r>
      <w:bookmarkEnd w:id="0"/>
      <w:r w:rsidRPr="00BC0B86">
        <w:rPr>
          <w:rFonts w:asciiTheme="minorBidi" w:eastAsia="Times New Roman" w:hAnsiTheme="minorBidi" w:cstheme="minorBidi"/>
          <w:sz w:val="22"/>
          <w:szCs w:val="22"/>
          <w:lang w:eastAsia="en-GB"/>
        </w:rPr>
        <w:t xml:space="preserve"> </w:t>
      </w:r>
    </w:p>
    <w:p w14:paraId="590C6328" w14:textId="183D85FA" w:rsidR="00E2136B" w:rsidRDefault="00E2136B" w:rsidP="00BC0B86">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E2136B">
        <w:rPr>
          <w:rFonts w:asciiTheme="minorBidi" w:eastAsia="Times New Roman" w:hAnsiTheme="minorBidi"/>
          <w:kern w:val="0"/>
          <w:sz w:val="22"/>
          <w:szCs w:val="22"/>
          <w:lang w:eastAsia="en-GB"/>
          <w14:ligatures w14:val="none"/>
        </w:rPr>
        <w:t>Sustainable development requires policy integration across sectors so that economic and social progress is achieved within ecological limits, rather than trading population wellbeing against environmental degradation</w:t>
      </w:r>
      <w:r w:rsidR="00FE7194" w:rsidRPr="00BC0B86">
        <w:rPr>
          <w:rFonts w:asciiTheme="minorBidi" w:eastAsia="Times New Roman" w:hAnsiTheme="minorBidi"/>
          <w:kern w:val="0"/>
          <w:sz w:val="22"/>
          <w:szCs w:val="22"/>
          <w:lang w:eastAsia="en-GB"/>
          <w14:ligatures w14:val="none"/>
        </w:rPr>
        <w:t xml:space="preserve"> </w:t>
      </w:r>
      <w:r w:rsidR="00FE7194" w:rsidRPr="00BC0B86">
        <w:rPr>
          <w:rFonts w:asciiTheme="minorBidi" w:hAnsiTheme="minorBidi"/>
          <w:sz w:val="22"/>
          <w:szCs w:val="22"/>
        </w:rPr>
        <w:t xml:space="preserve">(Yang </w:t>
      </w:r>
      <w:r w:rsidR="00FE7194" w:rsidRPr="00BC0B86">
        <w:rPr>
          <w:rFonts w:asciiTheme="minorBidi" w:hAnsiTheme="minorBidi"/>
          <w:i/>
          <w:iCs/>
          <w:sz w:val="22"/>
          <w:szCs w:val="22"/>
        </w:rPr>
        <w:t>et al.</w:t>
      </w:r>
      <w:r w:rsidR="00FE7194" w:rsidRPr="00BC0B86">
        <w:rPr>
          <w:rFonts w:asciiTheme="minorBidi" w:hAnsiTheme="minorBidi"/>
          <w:sz w:val="22"/>
          <w:szCs w:val="22"/>
        </w:rPr>
        <w:t>, 2025)</w:t>
      </w:r>
      <w:r w:rsidRPr="00E2136B">
        <w:rPr>
          <w:rFonts w:asciiTheme="minorBidi" w:eastAsia="Times New Roman" w:hAnsiTheme="minorBidi"/>
          <w:kern w:val="0"/>
          <w:sz w:val="22"/>
          <w:szCs w:val="22"/>
          <w:lang w:eastAsia="en-GB"/>
          <w14:ligatures w14:val="none"/>
        </w:rPr>
        <w:t>. In this report, SDG 3 (</w:t>
      </w:r>
      <w:r w:rsidRPr="00E2136B">
        <w:rPr>
          <w:rFonts w:asciiTheme="minorBidi" w:eastAsia="Times New Roman" w:hAnsiTheme="minorBidi"/>
          <w:b/>
          <w:bCs/>
          <w:kern w:val="0"/>
          <w:sz w:val="22"/>
          <w:szCs w:val="22"/>
          <w:lang w:eastAsia="en-GB"/>
          <w14:ligatures w14:val="none"/>
        </w:rPr>
        <w:t>Good Health and Wellbeing</w:t>
      </w:r>
      <w:r w:rsidRPr="00E2136B">
        <w:rPr>
          <w:rFonts w:asciiTheme="minorBidi" w:eastAsia="Times New Roman" w:hAnsiTheme="minorBidi"/>
          <w:kern w:val="0"/>
          <w:sz w:val="22"/>
          <w:szCs w:val="22"/>
          <w:lang w:eastAsia="en-GB"/>
          <w14:ligatures w14:val="none"/>
        </w:rPr>
        <w:t>) and SDG 13 (</w:t>
      </w:r>
      <w:r w:rsidRPr="00E2136B">
        <w:rPr>
          <w:rFonts w:asciiTheme="minorBidi" w:eastAsia="Times New Roman" w:hAnsiTheme="minorBidi"/>
          <w:b/>
          <w:bCs/>
          <w:kern w:val="0"/>
          <w:sz w:val="22"/>
          <w:szCs w:val="22"/>
          <w:lang w:eastAsia="en-GB"/>
          <w14:ligatures w14:val="none"/>
        </w:rPr>
        <w:t>Climate Action</w:t>
      </w:r>
      <w:r w:rsidRPr="00E2136B">
        <w:rPr>
          <w:rFonts w:asciiTheme="minorBidi" w:eastAsia="Times New Roman" w:hAnsiTheme="minorBidi"/>
          <w:kern w:val="0"/>
          <w:sz w:val="22"/>
          <w:szCs w:val="22"/>
          <w:lang w:eastAsia="en-GB"/>
          <w14:ligatures w14:val="none"/>
        </w:rPr>
        <w:t xml:space="preserve">) are treated as </w:t>
      </w:r>
      <w:r w:rsidRPr="00E2136B">
        <w:rPr>
          <w:rFonts w:asciiTheme="minorBidi" w:eastAsia="Times New Roman" w:hAnsiTheme="minorBidi"/>
          <w:b/>
          <w:bCs/>
          <w:kern w:val="0"/>
          <w:sz w:val="22"/>
          <w:szCs w:val="22"/>
          <w:lang w:eastAsia="en-GB"/>
          <w14:ligatures w14:val="none"/>
        </w:rPr>
        <w:t>interlinked determinants of health</w:t>
      </w:r>
      <w:r w:rsidRPr="00E2136B">
        <w:rPr>
          <w:rFonts w:asciiTheme="minorBidi" w:eastAsia="Times New Roman" w:hAnsiTheme="minorBidi"/>
          <w:kern w:val="0"/>
          <w:sz w:val="22"/>
          <w:szCs w:val="22"/>
          <w:lang w:eastAsia="en-GB"/>
          <w14:ligatures w14:val="none"/>
        </w:rPr>
        <w:t>, because climate hazards (heat, floods, air pollution) directly raise morbidity and mortality while also weakening the social and health-system conditions needed to deliver universal, equitable care</w:t>
      </w:r>
      <w:r w:rsidR="002C459E" w:rsidRPr="00BC0B86">
        <w:rPr>
          <w:rFonts w:asciiTheme="minorBidi" w:eastAsia="Times New Roman" w:hAnsiTheme="minorBidi"/>
          <w:kern w:val="0"/>
          <w:sz w:val="22"/>
          <w:szCs w:val="22"/>
          <w:lang w:eastAsia="en-GB"/>
          <w14:ligatures w14:val="none"/>
        </w:rPr>
        <w:t xml:space="preserve"> </w:t>
      </w:r>
      <w:r w:rsidR="002C459E" w:rsidRPr="00BC0B86">
        <w:rPr>
          <w:rFonts w:asciiTheme="minorBidi" w:hAnsiTheme="minorBidi"/>
          <w:sz w:val="22"/>
          <w:szCs w:val="22"/>
        </w:rPr>
        <w:t xml:space="preserve">(Gkouliaveras </w:t>
      </w:r>
      <w:r w:rsidR="002C459E" w:rsidRPr="00BC0B86">
        <w:rPr>
          <w:rFonts w:asciiTheme="minorBidi" w:hAnsiTheme="minorBidi"/>
          <w:i/>
          <w:iCs/>
          <w:sz w:val="22"/>
          <w:szCs w:val="22"/>
        </w:rPr>
        <w:t>et al.</w:t>
      </w:r>
      <w:r w:rsidR="002C459E" w:rsidRPr="00BC0B86">
        <w:rPr>
          <w:rFonts w:asciiTheme="minorBidi" w:hAnsiTheme="minorBidi"/>
          <w:sz w:val="22"/>
          <w:szCs w:val="22"/>
        </w:rPr>
        <w:t>, 2025)</w:t>
      </w:r>
      <w:r w:rsidRPr="00E2136B">
        <w:rPr>
          <w:rFonts w:asciiTheme="minorBidi" w:eastAsia="Times New Roman" w:hAnsiTheme="minorBidi"/>
          <w:kern w:val="0"/>
          <w:sz w:val="22"/>
          <w:szCs w:val="22"/>
          <w:lang w:eastAsia="en-GB"/>
          <w14:ligatures w14:val="none"/>
        </w:rPr>
        <w:t xml:space="preserve">. </w:t>
      </w:r>
    </w:p>
    <w:p w14:paraId="27002154" w14:textId="77777777" w:rsidR="00BA444E" w:rsidRDefault="00BA444E" w:rsidP="00BA444E">
      <w:pPr>
        <w:keepNext/>
        <w:spacing w:before="100" w:beforeAutospacing="1" w:after="100" w:afterAutospacing="1" w:line="360" w:lineRule="auto"/>
        <w:jc w:val="center"/>
      </w:pPr>
      <w:r>
        <w:fldChar w:fldCharType="begin"/>
      </w:r>
      <w:r>
        <w:instrText xml:space="preserve"> INCLUDEPICTURE "https://upload.wikimedia.org/wikipedia/commons/thumb/a/a7/Sustainable_Development_Goals.svg/3840px-Sustainable_Development_Goals.svg.png" \* MERGEFORMATINET </w:instrText>
      </w:r>
      <w:r>
        <w:fldChar w:fldCharType="separate"/>
      </w:r>
      <w:r>
        <w:rPr>
          <w:noProof/>
        </w:rPr>
        <w:drawing>
          <wp:inline distT="0" distB="0" distL="0" distR="0" wp14:anchorId="23F04A31" wp14:editId="70317B67">
            <wp:extent cx="5467559" cy="3462505"/>
            <wp:effectExtent l="0" t="0" r="0" b="0"/>
            <wp:docPr id="132054000" name="Picture 1" descr="A chart of goals for sustainable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54000" name="Picture 1" descr="A chart of goals for sustainable developmen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78763" cy="3469600"/>
                    </a:xfrm>
                    <a:prstGeom prst="rect">
                      <a:avLst/>
                    </a:prstGeom>
                    <a:noFill/>
                    <a:ln>
                      <a:noFill/>
                    </a:ln>
                  </pic:spPr>
                </pic:pic>
              </a:graphicData>
            </a:graphic>
          </wp:inline>
        </w:drawing>
      </w:r>
      <w:r>
        <w:fldChar w:fldCharType="end"/>
      </w:r>
    </w:p>
    <w:p w14:paraId="5769E86A" w14:textId="5083ED3F" w:rsidR="00BA444E" w:rsidRPr="00E2136B" w:rsidRDefault="00BA444E" w:rsidP="00BA444E">
      <w:pPr>
        <w:pStyle w:val="Caption"/>
        <w:jc w:val="center"/>
        <w:rPr>
          <w:rFonts w:asciiTheme="minorBidi" w:eastAsia="Times New Roman" w:hAnsiTheme="minorBidi"/>
          <w:kern w:val="0"/>
          <w:sz w:val="22"/>
          <w:szCs w:val="22"/>
          <w:lang w:eastAsia="en-GB"/>
          <w14:ligatures w14:val="none"/>
        </w:rPr>
      </w:pPr>
      <w:r>
        <w:t xml:space="preserve">Figure </w:t>
      </w:r>
      <w:fldSimple w:instr=" SEQ Figure \* ARABIC ">
        <w:r>
          <w:rPr>
            <w:noProof/>
          </w:rPr>
          <w:t>1</w:t>
        </w:r>
      </w:fldSimple>
      <w:r>
        <w:rPr>
          <w:lang w:val="en-GB"/>
        </w:rPr>
        <w:t>: 17 SDGs (Yang et al., 2025)</w:t>
      </w:r>
    </w:p>
    <w:p w14:paraId="38B291B1" w14:textId="07189B02" w:rsidR="00E2136B" w:rsidRPr="00E2136B" w:rsidRDefault="00E2136B" w:rsidP="00BC0B86">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E2136B">
        <w:rPr>
          <w:rFonts w:asciiTheme="minorBidi" w:eastAsia="Times New Roman" w:hAnsiTheme="minorBidi"/>
          <w:kern w:val="0"/>
          <w:sz w:val="22"/>
          <w:szCs w:val="22"/>
          <w:lang w:eastAsia="en-GB"/>
          <w14:ligatures w14:val="none"/>
        </w:rPr>
        <w:t xml:space="preserve">The aim is to </w:t>
      </w:r>
      <w:r w:rsidRPr="005D40CE">
        <w:rPr>
          <w:rFonts w:asciiTheme="minorBidi" w:eastAsia="Times New Roman" w:hAnsiTheme="minorBidi"/>
          <w:kern w:val="0"/>
          <w:sz w:val="22"/>
          <w:szCs w:val="22"/>
          <w:lang w:eastAsia="en-GB"/>
          <w14:ligatures w14:val="none"/>
        </w:rPr>
        <w:t>critically examine</w:t>
      </w:r>
      <w:r w:rsidRPr="00E2136B">
        <w:rPr>
          <w:rFonts w:asciiTheme="minorBidi" w:eastAsia="Times New Roman" w:hAnsiTheme="minorBidi"/>
          <w:kern w:val="0"/>
          <w:sz w:val="22"/>
          <w:szCs w:val="22"/>
          <w:lang w:eastAsia="en-GB"/>
          <w14:ligatures w14:val="none"/>
        </w:rPr>
        <w:t xml:space="preserve"> how global, national and local policies aligned to SDG 3 and SDG 13 affect citizens’ health and wellbeing, and to evaluate their effectiveness using evidence and theory. Section 1 evaluates SDG 3 globally and through UK and India case examples; Section 2 evaluates SDG 13 using global climate governance and national/local air-quality and net-zero policies</w:t>
      </w:r>
      <w:r w:rsidR="005F79EB">
        <w:rPr>
          <w:rFonts w:asciiTheme="minorBidi" w:eastAsia="Times New Roman" w:hAnsiTheme="minorBidi"/>
          <w:kern w:val="0"/>
          <w:sz w:val="22"/>
          <w:szCs w:val="22"/>
          <w:lang w:eastAsia="en-GB"/>
          <w14:ligatures w14:val="none"/>
        </w:rPr>
        <w:t>.</w:t>
      </w:r>
    </w:p>
    <w:p w14:paraId="358C13F6" w14:textId="2E32F864" w:rsidR="00E2136B" w:rsidRPr="00BC0B86" w:rsidRDefault="00E2136B" w:rsidP="00BC0B86">
      <w:pPr>
        <w:pStyle w:val="Heading1"/>
        <w:numPr>
          <w:ilvl w:val="0"/>
          <w:numId w:val="17"/>
        </w:numPr>
        <w:spacing w:line="360" w:lineRule="auto"/>
        <w:jc w:val="both"/>
        <w:rPr>
          <w:rFonts w:asciiTheme="minorBidi" w:eastAsia="Times New Roman" w:hAnsiTheme="minorBidi" w:cstheme="minorBidi"/>
          <w:sz w:val="22"/>
          <w:szCs w:val="22"/>
          <w:lang w:eastAsia="en-GB"/>
        </w:rPr>
      </w:pPr>
      <w:bookmarkStart w:id="1" w:name="_Toc222758388"/>
      <w:r w:rsidRPr="00BC0B86">
        <w:rPr>
          <w:rFonts w:asciiTheme="minorBidi" w:eastAsia="Times New Roman" w:hAnsiTheme="minorBidi" w:cstheme="minorBidi"/>
          <w:sz w:val="22"/>
          <w:szCs w:val="22"/>
          <w:lang w:eastAsia="en-GB"/>
        </w:rPr>
        <w:lastRenderedPageBreak/>
        <w:t>SDG 3</w:t>
      </w:r>
      <w:r w:rsidR="00375E3F" w:rsidRPr="00BC0B86">
        <w:rPr>
          <w:rFonts w:asciiTheme="minorBidi" w:eastAsia="Times New Roman" w:hAnsiTheme="minorBidi" w:cstheme="minorBidi"/>
          <w:sz w:val="22"/>
          <w:szCs w:val="22"/>
          <w:lang w:eastAsia="en-GB"/>
        </w:rPr>
        <w:t>:</w:t>
      </w:r>
      <w:r w:rsidRPr="00BC0B86">
        <w:rPr>
          <w:rFonts w:asciiTheme="minorBidi" w:eastAsia="Times New Roman" w:hAnsiTheme="minorBidi" w:cstheme="minorBidi"/>
          <w:sz w:val="22"/>
          <w:szCs w:val="22"/>
          <w:lang w:eastAsia="en-GB"/>
        </w:rPr>
        <w:t xml:space="preserve"> Good Health and Wellbeing</w:t>
      </w:r>
      <w:bookmarkEnd w:id="1"/>
      <w:r w:rsidRPr="00BC0B86">
        <w:rPr>
          <w:rFonts w:asciiTheme="minorBidi" w:eastAsia="Times New Roman" w:hAnsiTheme="minorBidi" w:cstheme="minorBidi"/>
          <w:sz w:val="22"/>
          <w:szCs w:val="22"/>
          <w:lang w:eastAsia="en-GB"/>
        </w:rPr>
        <w:t xml:space="preserve"> </w:t>
      </w:r>
    </w:p>
    <w:p w14:paraId="59E683FB" w14:textId="3F089E82" w:rsidR="00E2136B" w:rsidRPr="00BC0B86" w:rsidRDefault="00E2136B" w:rsidP="00BC0B86">
      <w:pPr>
        <w:pStyle w:val="Heading2"/>
        <w:numPr>
          <w:ilvl w:val="1"/>
          <w:numId w:val="17"/>
        </w:numPr>
        <w:spacing w:line="360" w:lineRule="auto"/>
        <w:jc w:val="both"/>
        <w:rPr>
          <w:rFonts w:asciiTheme="minorBidi" w:eastAsia="Times New Roman" w:hAnsiTheme="minorBidi" w:cstheme="minorBidi"/>
          <w:sz w:val="22"/>
          <w:szCs w:val="22"/>
          <w:lang w:eastAsia="en-GB"/>
        </w:rPr>
      </w:pPr>
      <w:bookmarkStart w:id="2" w:name="_Toc222758389"/>
      <w:r w:rsidRPr="00BC0B86">
        <w:rPr>
          <w:rFonts w:asciiTheme="minorBidi" w:eastAsia="Times New Roman" w:hAnsiTheme="minorBidi" w:cstheme="minorBidi"/>
          <w:sz w:val="22"/>
          <w:szCs w:val="22"/>
          <w:lang w:eastAsia="en-GB"/>
        </w:rPr>
        <w:t>Overview of SDG 3</w:t>
      </w:r>
      <w:bookmarkEnd w:id="2"/>
      <w:r w:rsidRPr="00BC0B86">
        <w:rPr>
          <w:rFonts w:asciiTheme="minorBidi" w:eastAsia="Times New Roman" w:hAnsiTheme="minorBidi" w:cstheme="minorBidi"/>
          <w:sz w:val="22"/>
          <w:szCs w:val="22"/>
          <w:lang w:eastAsia="en-GB"/>
        </w:rPr>
        <w:t xml:space="preserve"> </w:t>
      </w:r>
    </w:p>
    <w:p w14:paraId="7B621630" w14:textId="7840D1C5" w:rsidR="00E2136B" w:rsidRPr="00E2136B" w:rsidRDefault="00E2136B" w:rsidP="00BC0B86">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E2136B">
        <w:rPr>
          <w:rFonts w:asciiTheme="minorBidi" w:eastAsia="Times New Roman" w:hAnsiTheme="minorBidi"/>
          <w:kern w:val="0"/>
          <w:sz w:val="22"/>
          <w:szCs w:val="22"/>
          <w:lang w:eastAsia="en-GB"/>
          <w14:ligatures w14:val="none"/>
        </w:rPr>
        <w:t>SDG 3 commits countries to “ensure healthy lives and promote wellbeing for all at all ages,” spanning targets such as universal health coverage (UHC), communicable disease control, non-communicable diseases, maternal and child health, and mental health</w:t>
      </w:r>
      <w:r w:rsidR="00DE6D99" w:rsidRPr="00BC0B86">
        <w:rPr>
          <w:rFonts w:asciiTheme="minorBidi" w:eastAsia="Times New Roman" w:hAnsiTheme="minorBidi"/>
          <w:kern w:val="0"/>
          <w:sz w:val="22"/>
          <w:szCs w:val="22"/>
          <w:lang w:eastAsia="en-GB"/>
          <w14:ligatures w14:val="none"/>
        </w:rPr>
        <w:t xml:space="preserve"> </w:t>
      </w:r>
      <w:r w:rsidR="00DE6D99" w:rsidRPr="00BC0B86">
        <w:rPr>
          <w:rFonts w:asciiTheme="minorBidi" w:hAnsiTheme="minorBidi"/>
          <w:sz w:val="22"/>
          <w:szCs w:val="22"/>
        </w:rPr>
        <w:t>(WHO, 2022)</w:t>
      </w:r>
      <w:r w:rsidRPr="00E2136B">
        <w:rPr>
          <w:rFonts w:asciiTheme="minorBidi" w:eastAsia="Times New Roman" w:hAnsiTheme="minorBidi"/>
          <w:kern w:val="0"/>
          <w:sz w:val="22"/>
          <w:szCs w:val="22"/>
          <w:lang w:eastAsia="en-GB"/>
          <w14:ligatures w14:val="none"/>
        </w:rPr>
        <w:t xml:space="preserve">. The WHO’s GPW13 operationalised SDG-linked progress through the </w:t>
      </w:r>
      <w:r w:rsidRPr="00E2136B">
        <w:rPr>
          <w:rFonts w:asciiTheme="minorBidi" w:eastAsia="Times New Roman" w:hAnsiTheme="minorBidi"/>
          <w:b/>
          <w:bCs/>
          <w:kern w:val="0"/>
          <w:sz w:val="22"/>
          <w:szCs w:val="22"/>
          <w:lang w:eastAsia="en-GB"/>
          <w14:ligatures w14:val="none"/>
        </w:rPr>
        <w:t>triple billion</w:t>
      </w:r>
      <w:r w:rsidRPr="00E2136B">
        <w:rPr>
          <w:rFonts w:asciiTheme="minorBidi" w:eastAsia="Times New Roman" w:hAnsiTheme="minorBidi"/>
          <w:kern w:val="0"/>
          <w:sz w:val="22"/>
          <w:szCs w:val="22"/>
          <w:lang w:eastAsia="en-GB"/>
          <w14:ligatures w14:val="none"/>
        </w:rPr>
        <w:t xml:space="preserve"> framework: one billion more people benefiting from UHC, one billion better protected from health emergencies, and one billion enjoying better health and wellbeing</w:t>
      </w:r>
      <w:r w:rsidR="00DE6D99" w:rsidRPr="00BC0B86">
        <w:rPr>
          <w:rFonts w:asciiTheme="minorBidi" w:eastAsia="Times New Roman" w:hAnsiTheme="minorBidi"/>
          <w:kern w:val="0"/>
          <w:sz w:val="22"/>
          <w:szCs w:val="22"/>
          <w:lang w:eastAsia="en-GB"/>
          <w14:ligatures w14:val="none"/>
        </w:rPr>
        <w:t xml:space="preserve"> (WHO, 2020). </w:t>
      </w:r>
      <w:r w:rsidRPr="00E2136B">
        <w:rPr>
          <w:rFonts w:asciiTheme="minorBidi" w:eastAsia="Times New Roman" w:hAnsiTheme="minorBidi"/>
          <w:kern w:val="0"/>
          <w:sz w:val="22"/>
          <w:szCs w:val="22"/>
          <w:lang w:eastAsia="en-GB"/>
          <w14:ligatures w14:val="none"/>
        </w:rPr>
        <w:t>This framing is useful for accountability because it links outcomes to system enablers (primary care, surveillance, workforce), but it can also bias evaluation toward what is easiest to count, risking a metrics over meaning implementation culture</w:t>
      </w:r>
      <w:r w:rsidR="0066296D" w:rsidRPr="00BC0B86">
        <w:rPr>
          <w:rFonts w:asciiTheme="minorBidi" w:eastAsia="Times New Roman" w:hAnsiTheme="minorBidi"/>
          <w:kern w:val="0"/>
          <w:sz w:val="22"/>
          <w:szCs w:val="22"/>
          <w:lang w:eastAsia="en-GB"/>
          <w14:ligatures w14:val="none"/>
        </w:rPr>
        <w:t xml:space="preserve"> </w:t>
      </w:r>
      <w:r w:rsidR="0066296D" w:rsidRPr="00BC0B86">
        <w:rPr>
          <w:rFonts w:asciiTheme="minorBidi" w:hAnsiTheme="minorBidi"/>
          <w:sz w:val="22"/>
          <w:szCs w:val="22"/>
        </w:rPr>
        <w:t xml:space="preserve">(Yang </w:t>
      </w:r>
      <w:r w:rsidR="0066296D" w:rsidRPr="00BC0B86">
        <w:rPr>
          <w:rFonts w:asciiTheme="minorBidi" w:hAnsiTheme="minorBidi"/>
          <w:i/>
          <w:iCs/>
          <w:sz w:val="22"/>
          <w:szCs w:val="22"/>
        </w:rPr>
        <w:t>et al.</w:t>
      </w:r>
      <w:r w:rsidR="0066296D" w:rsidRPr="00BC0B86">
        <w:rPr>
          <w:rFonts w:asciiTheme="minorBidi" w:hAnsiTheme="minorBidi"/>
          <w:sz w:val="22"/>
          <w:szCs w:val="22"/>
        </w:rPr>
        <w:t>, 2025)</w:t>
      </w:r>
      <w:r w:rsidRPr="00E2136B">
        <w:rPr>
          <w:rFonts w:asciiTheme="minorBidi" w:eastAsia="Times New Roman" w:hAnsiTheme="minorBidi"/>
          <w:kern w:val="0"/>
          <w:sz w:val="22"/>
          <w:szCs w:val="22"/>
          <w:lang w:eastAsia="en-GB"/>
          <w14:ligatures w14:val="none"/>
        </w:rPr>
        <w:t>.</w:t>
      </w:r>
    </w:p>
    <w:p w14:paraId="7CFA1FC0" w14:textId="1ADA5D8B" w:rsidR="00E2136B" w:rsidRPr="00BC0B86" w:rsidRDefault="00E2136B" w:rsidP="00BC0B86">
      <w:pPr>
        <w:pStyle w:val="Heading2"/>
        <w:numPr>
          <w:ilvl w:val="1"/>
          <w:numId w:val="19"/>
        </w:numPr>
        <w:spacing w:line="360" w:lineRule="auto"/>
        <w:jc w:val="both"/>
        <w:rPr>
          <w:rFonts w:asciiTheme="minorBidi" w:eastAsia="Times New Roman" w:hAnsiTheme="minorBidi" w:cstheme="minorBidi"/>
          <w:sz w:val="22"/>
          <w:szCs w:val="22"/>
          <w:lang w:eastAsia="en-GB"/>
        </w:rPr>
      </w:pPr>
      <w:bookmarkStart w:id="3" w:name="_Toc222758390"/>
      <w:r w:rsidRPr="00BC0B86">
        <w:rPr>
          <w:rFonts w:asciiTheme="minorBidi" w:eastAsia="Times New Roman" w:hAnsiTheme="minorBidi" w:cstheme="minorBidi"/>
          <w:sz w:val="22"/>
          <w:szCs w:val="22"/>
          <w:lang w:eastAsia="en-GB"/>
        </w:rPr>
        <w:t xml:space="preserve">Global </w:t>
      </w:r>
      <w:r w:rsidR="00375E3F" w:rsidRPr="00BC0B86">
        <w:rPr>
          <w:rFonts w:asciiTheme="minorBidi" w:eastAsia="Times New Roman" w:hAnsiTheme="minorBidi" w:cstheme="minorBidi"/>
          <w:sz w:val="22"/>
          <w:szCs w:val="22"/>
          <w:lang w:eastAsia="en-GB"/>
        </w:rPr>
        <w:t>Policy Evaluation</w:t>
      </w:r>
      <w:bookmarkEnd w:id="3"/>
    </w:p>
    <w:p w14:paraId="6D93B64E" w14:textId="77777777" w:rsidR="00B5602E" w:rsidRPr="00B5602E" w:rsidRDefault="00B5602E" w:rsidP="00BC0B86">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B5602E">
        <w:rPr>
          <w:rFonts w:asciiTheme="minorBidi" w:eastAsia="Times New Roman" w:hAnsiTheme="minorBidi"/>
          <w:kern w:val="0"/>
          <w:sz w:val="22"/>
          <w:szCs w:val="22"/>
          <w:lang w:eastAsia="en-GB"/>
          <w14:ligatures w14:val="none"/>
        </w:rPr>
        <w:t>UHC agendas are set to alleviate financial distress and access by enhancing primary care, financing, and service coverage. The primary limitation is that UHC movement is not equal: nations increase the nominal coverage and leave significant gaps in quality, workforce capacity and access among disadvantaged groups (Collins et al., 2023). This is explained by implementation theory: health reforms are high-discretion systems in which decisions at the street level, staffing constraints, and fragmented governance can water down desired benefits. Practically, inequities in financing and the Global North-south difference in fiscal capacity determine whether SDG 3 will become a universal right or a quiltwork of disproportionate coverage (Hsu et al., 2025).</w:t>
      </w:r>
    </w:p>
    <w:p w14:paraId="311458B6" w14:textId="25ACB475" w:rsidR="00CC0BFF" w:rsidRPr="00BC0B86" w:rsidRDefault="00E2136B" w:rsidP="00BC0B86">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E2136B">
        <w:rPr>
          <w:rFonts w:asciiTheme="minorBidi" w:eastAsia="Times New Roman" w:hAnsiTheme="minorBidi"/>
          <w:kern w:val="0"/>
          <w:sz w:val="22"/>
          <w:szCs w:val="22"/>
          <w:lang w:eastAsia="en-GB"/>
          <w14:ligatures w14:val="none"/>
        </w:rPr>
        <w:t xml:space="preserve">Mental health illustrates the prevention–treatment tension within SDG 3. WHO’s </w:t>
      </w:r>
      <w:r w:rsidRPr="00E2136B">
        <w:rPr>
          <w:rFonts w:asciiTheme="minorBidi" w:eastAsia="Times New Roman" w:hAnsiTheme="minorBidi"/>
          <w:b/>
          <w:bCs/>
          <w:kern w:val="0"/>
          <w:sz w:val="22"/>
          <w:szCs w:val="22"/>
          <w:lang w:eastAsia="en-GB"/>
          <w14:ligatures w14:val="none"/>
        </w:rPr>
        <w:t>Comprehensive Mental Health Action Plan 2013–2030</w:t>
      </w:r>
      <w:r w:rsidRPr="00E2136B">
        <w:rPr>
          <w:rFonts w:asciiTheme="minorBidi" w:eastAsia="Times New Roman" w:hAnsiTheme="minorBidi"/>
          <w:kern w:val="0"/>
          <w:sz w:val="22"/>
          <w:szCs w:val="22"/>
          <w:lang w:eastAsia="en-GB"/>
          <w14:ligatures w14:val="none"/>
        </w:rPr>
        <w:t xml:space="preserve"> explicitly targets: promotion of mental wellbeing, prevention for at-risk groups, and universal coverage for mental health services</w:t>
      </w:r>
      <w:r w:rsidR="00CC0BFF" w:rsidRPr="00BC0B86">
        <w:rPr>
          <w:rFonts w:asciiTheme="minorBidi" w:eastAsia="Times New Roman" w:hAnsiTheme="minorBidi"/>
          <w:kern w:val="0"/>
          <w:sz w:val="22"/>
          <w:szCs w:val="22"/>
          <w:lang w:eastAsia="en-GB"/>
          <w14:ligatures w14:val="none"/>
        </w:rPr>
        <w:t xml:space="preserve"> </w:t>
      </w:r>
      <w:r w:rsidR="00CC0BFF" w:rsidRPr="00BC0B86">
        <w:rPr>
          <w:rFonts w:asciiTheme="minorBidi" w:hAnsiTheme="minorBidi"/>
          <w:sz w:val="22"/>
          <w:szCs w:val="22"/>
        </w:rPr>
        <w:t>(WHO, 2021)</w:t>
      </w:r>
      <w:r w:rsidRPr="00E2136B">
        <w:rPr>
          <w:rFonts w:asciiTheme="minorBidi" w:eastAsia="Times New Roman" w:hAnsiTheme="minorBidi"/>
          <w:kern w:val="0"/>
          <w:sz w:val="22"/>
          <w:szCs w:val="22"/>
          <w:lang w:eastAsia="en-GB"/>
          <w14:ligatures w14:val="none"/>
        </w:rPr>
        <w:t>.</w:t>
      </w:r>
    </w:p>
    <w:p w14:paraId="187F37C4" w14:textId="44C69CCA" w:rsidR="00E2136B" w:rsidRPr="00E2136B" w:rsidRDefault="00B5602E" w:rsidP="00BC0B86">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B5602E">
        <w:rPr>
          <w:rFonts w:asciiTheme="minorBidi" w:eastAsia="Times New Roman" w:hAnsiTheme="minorBidi"/>
          <w:kern w:val="0"/>
          <w:sz w:val="22"/>
          <w:szCs w:val="22"/>
          <w:lang w:eastAsia="en-GB"/>
          <w14:ligatures w14:val="none"/>
        </w:rPr>
        <w:t>Nevertheless, an ongoing criticism is a bias in biomedicine: systems continue to prioritize downstream clinical reactions (crisis care, medication, specialist pathways) and underinvest in upstream determinants (poverty, school stressors, housing insecurity, climate anxiety). This is not merely conceptual, but institutional. Prevention is cross-sector (education, urban planning, labour), benefits more long-term, and the accountability diffuse therefore funding and performance management is more inclined towards clinical throughput</w:t>
      </w:r>
      <w:r>
        <w:rPr>
          <w:rFonts w:asciiTheme="minorBidi" w:eastAsia="Times New Roman" w:hAnsiTheme="minorBidi"/>
          <w:kern w:val="0"/>
          <w:sz w:val="22"/>
          <w:szCs w:val="22"/>
          <w:lang w:eastAsia="en-GB"/>
          <w14:ligatures w14:val="none"/>
        </w:rPr>
        <w:t xml:space="preserve"> </w:t>
      </w:r>
      <w:r w:rsidR="00CC0BFF" w:rsidRPr="00BC0B86">
        <w:rPr>
          <w:rFonts w:asciiTheme="minorBidi" w:hAnsiTheme="minorBidi"/>
          <w:sz w:val="22"/>
          <w:szCs w:val="22"/>
        </w:rPr>
        <w:t xml:space="preserve">(Kirkbride </w:t>
      </w:r>
      <w:r w:rsidR="00CC0BFF" w:rsidRPr="00BC0B86">
        <w:rPr>
          <w:rFonts w:asciiTheme="minorBidi" w:hAnsiTheme="minorBidi"/>
          <w:i/>
          <w:iCs/>
          <w:sz w:val="22"/>
          <w:szCs w:val="22"/>
        </w:rPr>
        <w:t>et al.</w:t>
      </w:r>
      <w:r w:rsidR="00CC0BFF" w:rsidRPr="00BC0B86">
        <w:rPr>
          <w:rFonts w:asciiTheme="minorBidi" w:hAnsiTheme="minorBidi"/>
          <w:sz w:val="22"/>
          <w:szCs w:val="22"/>
        </w:rPr>
        <w:t>, 2024)</w:t>
      </w:r>
      <w:r w:rsidR="00E2136B" w:rsidRPr="00E2136B">
        <w:rPr>
          <w:rFonts w:asciiTheme="minorBidi" w:eastAsia="Times New Roman" w:hAnsiTheme="minorBidi"/>
          <w:kern w:val="0"/>
          <w:sz w:val="22"/>
          <w:szCs w:val="22"/>
          <w:lang w:eastAsia="en-GB"/>
          <w14:ligatures w14:val="none"/>
        </w:rPr>
        <w:t>.</w:t>
      </w:r>
    </w:p>
    <w:p w14:paraId="638B2894" w14:textId="03D69EFA" w:rsidR="00E2136B" w:rsidRPr="00BC0B86" w:rsidRDefault="00E2136B" w:rsidP="00BC0B86">
      <w:pPr>
        <w:pStyle w:val="Heading2"/>
        <w:numPr>
          <w:ilvl w:val="1"/>
          <w:numId w:val="19"/>
        </w:numPr>
        <w:spacing w:line="360" w:lineRule="auto"/>
        <w:jc w:val="both"/>
        <w:rPr>
          <w:rFonts w:asciiTheme="minorBidi" w:eastAsia="Times New Roman" w:hAnsiTheme="minorBidi" w:cstheme="minorBidi"/>
          <w:sz w:val="22"/>
          <w:szCs w:val="22"/>
          <w:lang w:eastAsia="en-GB"/>
        </w:rPr>
      </w:pPr>
      <w:bookmarkStart w:id="4" w:name="_Toc222758391"/>
      <w:r w:rsidRPr="00BC0B86">
        <w:rPr>
          <w:rFonts w:asciiTheme="minorBidi" w:eastAsia="Times New Roman" w:hAnsiTheme="minorBidi" w:cstheme="minorBidi"/>
          <w:sz w:val="22"/>
          <w:szCs w:val="22"/>
          <w:lang w:eastAsia="en-GB"/>
        </w:rPr>
        <w:lastRenderedPageBreak/>
        <w:t xml:space="preserve">National/local </w:t>
      </w:r>
      <w:r w:rsidR="009B7911" w:rsidRPr="00BC0B86">
        <w:rPr>
          <w:rFonts w:asciiTheme="minorBidi" w:eastAsia="Times New Roman" w:hAnsiTheme="minorBidi" w:cstheme="minorBidi"/>
          <w:sz w:val="22"/>
          <w:szCs w:val="22"/>
          <w:lang w:eastAsia="en-GB"/>
        </w:rPr>
        <w:t>E</w:t>
      </w:r>
      <w:r w:rsidRPr="00BC0B86">
        <w:rPr>
          <w:rFonts w:asciiTheme="minorBidi" w:eastAsia="Times New Roman" w:hAnsiTheme="minorBidi" w:cstheme="minorBidi"/>
          <w:sz w:val="22"/>
          <w:szCs w:val="22"/>
          <w:lang w:eastAsia="en-GB"/>
        </w:rPr>
        <w:t>valuation (UK and India)</w:t>
      </w:r>
      <w:bookmarkEnd w:id="4"/>
    </w:p>
    <w:p w14:paraId="35C1DF88" w14:textId="77777777" w:rsidR="00E55290" w:rsidRPr="00E55290" w:rsidRDefault="00E2136B" w:rsidP="004959D0">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E2136B">
        <w:rPr>
          <w:rFonts w:asciiTheme="minorBidi" w:eastAsia="Times New Roman" w:hAnsiTheme="minorBidi"/>
          <w:b/>
          <w:bCs/>
          <w:kern w:val="0"/>
          <w:sz w:val="22"/>
          <w:szCs w:val="22"/>
          <w:lang w:eastAsia="en-GB"/>
          <w14:ligatures w14:val="none"/>
        </w:rPr>
        <w:t>UK example (national/local): NHS Long Term Plan and crisis pathways.</w:t>
      </w:r>
      <w:r w:rsidRPr="00E2136B">
        <w:rPr>
          <w:rFonts w:asciiTheme="minorBidi" w:eastAsia="Times New Roman" w:hAnsiTheme="minorBidi"/>
          <w:kern w:val="0"/>
          <w:sz w:val="22"/>
          <w:szCs w:val="22"/>
          <w:lang w:eastAsia="en-GB"/>
          <w14:ligatures w14:val="none"/>
        </w:rPr>
        <w:t xml:space="preserve"> </w:t>
      </w:r>
      <w:r w:rsidR="00E55290" w:rsidRPr="00E55290">
        <w:rPr>
          <w:rFonts w:asciiTheme="minorBidi" w:eastAsia="Times New Roman" w:hAnsiTheme="minorBidi"/>
          <w:kern w:val="0"/>
          <w:sz w:val="22"/>
          <w:szCs w:val="22"/>
          <w:lang w:eastAsia="en-GB"/>
          <w14:ligatures w14:val="none"/>
        </w:rPr>
        <w:t>In the NHS Long Term Plan, it was declared to extend the mental health provision to children and young people, including in schools, and that 345,000 more young people would obtain help by increasing community support and provision in school/college (NHS England, 2015). Simultaneously, NHS England outlined an urgent mental health access model through NHS 111, targeting the easier universal access to urgent care (NHS England, 2024).</w:t>
      </w:r>
    </w:p>
    <w:p w14:paraId="6CA08F74" w14:textId="6A49F994" w:rsidR="00E2136B" w:rsidRPr="00E2136B" w:rsidRDefault="00E55290" w:rsidP="00E55290">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E55290">
        <w:rPr>
          <w:rFonts w:asciiTheme="minorBidi" w:eastAsia="Times New Roman" w:hAnsiTheme="minorBidi"/>
          <w:kern w:val="0"/>
          <w:sz w:val="22"/>
          <w:szCs w:val="22"/>
          <w:lang w:eastAsia="en-GB"/>
          <w14:ligatures w14:val="none"/>
        </w:rPr>
        <w:t>Such policies are consistent with the equity purpose of SDG 3, as they expand access and reduce barriers. Weaknesses: it requires availability of workforce, local system coordination, and downstream capacity. In case specialist services are already limited, opening up front doors may boost demand without boosting throughput and thus may redistribute the bottleneck instead of eliminating it. This prediction is predictable by the implementation theory: increasing eligibility/access without corresponding resourcing may result in longer waits/thresholding which diminishes perceived legitimacy/equity</w:t>
      </w:r>
      <w:r>
        <w:rPr>
          <w:rFonts w:asciiTheme="minorBidi" w:eastAsia="Times New Roman" w:hAnsiTheme="minorBidi"/>
          <w:kern w:val="0"/>
          <w:sz w:val="22"/>
          <w:szCs w:val="22"/>
          <w:lang w:eastAsia="en-GB"/>
          <w14:ligatures w14:val="none"/>
        </w:rPr>
        <w:t xml:space="preserve"> </w:t>
      </w:r>
      <w:r w:rsidR="00BC50AA" w:rsidRPr="00BC0B86">
        <w:rPr>
          <w:rFonts w:asciiTheme="minorBidi" w:hAnsiTheme="minorBidi"/>
          <w:sz w:val="22"/>
          <w:szCs w:val="22"/>
        </w:rPr>
        <w:t xml:space="preserve">(Chimukuche </w:t>
      </w:r>
      <w:r w:rsidR="00BC50AA" w:rsidRPr="00BC0B86">
        <w:rPr>
          <w:rFonts w:asciiTheme="minorBidi" w:hAnsiTheme="minorBidi"/>
          <w:i/>
          <w:iCs/>
          <w:sz w:val="22"/>
          <w:szCs w:val="22"/>
        </w:rPr>
        <w:t>et al.</w:t>
      </w:r>
      <w:r w:rsidR="00BC50AA" w:rsidRPr="00BC0B86">
        <w:rPr>
          <w:rFonts w:asciiTheme="minorBidi" w:hAnsiTheme="minorBidi"/>
          <w:sz w:val="22"/>
          <w:szCs w:val="22"/>
        </w:rPr>
        <w:t>, 2025)</w:t>
      </w:r>
      <w:r w:rsidR="00E2136B" w:rsidRPr="00E2136B">
        <w:rPr>
          <w:rFonts w:asciiTheme="minorBidi" w:eastAsia="Times New Roman" w:hAnsiTheme="minorBidi"/>
          <w:kern w:val="0"/>
          <w:sz w:val="22"/>
          <w:szCs w:val="22"/>
          <w:lang w:eastAsia="en-GB"/>
          <w14:ligatures w14:val="none"/>
        </w:rPr>
        <w:t>.</w:t>
      </w:r>
    </w:p>
    <w:p w14:paraId="00724F2A" w14:textId="42EE4A38" w:rsidR="00682095" w:rsidRPr="004959D0" w:rsidRDefault="00E2136B" w:rsidP="00BC0B86">
      <w:pPr>
        <w:spacing w:before="100" w:beforeAutospacing="1" w:after="100" w:afterAutospacing="1" w:line="360" w:lineRule="auto"/>
        <w:jc w:val="both"/>
        <w:rPr>
          <w:rFonts w:asciiTheme="minorBidi" w:hAnsiTheme="minorBidi"/>
          <w:sz w:val="22"/>
          <w:szCs w:val="22"/>
        </w:rPr>
      </w:pPr>
      <w:r w:rsidRPr="004959D0">
        <w:rPr>
          <w:rFonts w:asciiTheme="minorBidi" w:eastAsia="Times New Roman" w:hAnsiTheme="minorBidi"/>
          <w:kern w:val="0"/>
          <w:sz w:val="22"/>
          <w:szCs w:val="22"/>
          <w:lang w:eastAsia="en-GB"/>
          <w14:ligatures w14:val="none"/>
        </w:rPr>
        <w:t xml:space="preserve">India example (national/local): </w:t>
      </w:r>
      <w:r w:rsidR="004959D0" w:rsidRPr="004959D0">
        <w:rPr>
          <w:rFonts w:asciiTheme="minorBidi" w:eastAsia="Times New Roman" w:hAnsiTheme="minorBidi"/>
          <w:kern w:val="0"/>
          <w:sz w:val="22"/>
          <w:szCs w:val="22"/>
          <w:lang w:eastAsia="en-GB"/>
          <w14:ligatures w14:val="none"/>
        </w:rPr>
        <w:t xml:space="preserve">PM-JAY and community health workforce. In India, the Ayushman Bharat PM-JAY is a flagship financial protection program aimed at promoting UHC by covering the economically disadvantaged population (Grewal et al., 2023). Critical issues comprise (i) coverage vs effective access (insurance may not necessarily translate into high-quality and timely care); (ii) rural -urban and public -private capacity gradient; and (iii) governance risks in large payer systems. The recent news on the fraudulent claims and misuse of portals (that is not characteristic of the entire programme) underscores the fact that a very robust system of verification and accountability is necessary to secure confidence and resources </w:t>
      </w:r>
      <w:r w:rsidR="00290AFD" w:rsidRPr="004959D0">
        <w:rPr>
          <w:rFonts w:asciiTheme="minorBidi" w:hAnsiTheme="minorBidi"/>
          <w:sz w:val="22"/>
          <w:szCs w:val="22"/>
        </w:rPr>
        <w:t>(Chakraborty, 2026).</w:t>
      </w:r>
    </w:p>
    <w:p w14:paraId="7902E8CA" w14:textId="3984C829" w:rsidR="00E2136B" w:rsidRPr="00BC0B86" w:rsidRDefault="00E2136B" w:rsidP="00BC0B86">
      <w:pPr>
        <w:pStyle w:val="Heading2"/>
        <w:numPr>
          <w:ilvl w:val="1"/>
          <w:numId w:val="19"/>
        </w:numPr>
        <w:spacing w:line="360" w:lineRule="auto"/>
        <w:jc w:val="both"/>
        <w:rPr>
          <w:rFonts w:asciiTheme="minorBidi" w:eastAsia="Times New Roman" w:hAnsiTheme="minorBidi" w:cstheme="minorBidi"/>
          <w:sz w:val="22"/>
          <w:szCs w:val="22"/>
          <w:lang w:eastAsia="en-GB"/>
        </w:rPr>
      </w:pPr>
      <w:bookmarkStart w:id="5" w:name="_Toc222758392"/>
      <w:r w:rsidRPr="00BC0B86">
        <w:rPr>
          <w:rFonts w:asciiTheme="minorBidi" w:eastAsia="Times New Roman" w:hAnsiTheme="minorBidi" w:cstheme="minorBidi"/>
          <w:sz w:val="22"/>
          <w:szCs w:val="22"/>
          <w:lang w:eastAsia="en-GB"/>
        </w:rPr>
        <w:t xml:space="preserve">Theory </w:t>
      </w:r>
      <w:r w:rsidR="009B7911" w:rsidRPr="00BC0B86">
        <w:rPr>
          <w:rFonts w:asciiTheme="minorBidi" w:eastAsia="Times New Roman" w:hAnsiTheme="minorBidi" w:cstheme="minorBidi"/>
          <w:sz w:val="22"/>
          <w:szCs w:val="22"/>
          <w:lang w:eastAsia="en-GB"/>
        </w:rPr>
        <w:t>Application</w:t>
      </w:r>
      <w:bookmarkEnd w:id="5"/>
    </w:p>
    <w:p w14:paraId="15B9274D" w14:textId="77777777" w:rsidR="003E5536" w:rsidRPr="003E5536" w:rsidRDefault="003E5536" w:rsidP="008E6074">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3E5536">
        <w:rPr>
          <w:rFonts w:asciiTheme="minorBidi" w:eastAsia="Times New Roman" w:hAnsiTheme="minorBidi"/>
          <w:kern w:val="0"/>
          <w:sz w:val="22"/>
          <w:szCs w:val="22"/>
          <w:lang w:eastAsia="en-GB"/>
          <w14:ligatures w14:val="none"/>
        </w:rPr>
        <w:t>The success of SDG 3 is not merely biomedical but behavioural as demonstrated by vaccination campaigns. Health Belief Model predicts greater uptake in cases where individuals believe that they are susceptible and face seriousness (threat), believe that the benefits exceed the barriers, get action cues and think they can act (self-efficacy). There is a tendency in policies to focus on reminders, campaigns yet insufficient attention to self-efficacy and marginalisation barriers (digital booking, language access, transport, mistrust). Here is the point of intersection between SDG 3 and SDG 13: climate-related misinformation, disruptions, and stress may create more hurdles and decrease institutional trust (Jones et al., 2014).</w:t>
      </w:r>
    </w:p>
    <w:p w14:paraId="24CF3A81" w14:textId="167348F0" w:rsidR="00E2136B" w:rsidRPr="00E2136B" w:rsidRDefault="003E5536" w:rsidP="003E5536">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3E5536">
        <w:rPr>
          <w:rFonts w:asciiTheme="minorBidi" w:eastAsia="Times New Roman" w:hAnsiTheme="minorBidi"/>
          <w:kern w:val="0"/>
          <w:sz w:val="22"/>
          <w:szCs w:val="22"/>
          <w:lang w:eastAsia="en-GB"/>
          <w14:ligatures w14:val="none"/>
        </w:rPr>
        <w:lastRenderedPageBreak/>
        <w:t>The Social Ecological Model explains the significance of the school or community platform: it does not just rely on individual knowledge but on interpersonal norms and institutional settings. Providing prevention solely in clinic based models overlooks the most important leverage points (schools, workplaces, neighbourhoods) where health behaviours and exposures are created</w:t>
      </w:r>
      <w:r>
        <w:rPr>
          <w:rFonts w:asciiTheme="minorBidi" w:eastAsia="Times New Roman" w:hAnsiTheme="minorBidi"/>
          <w:kern w:val="0"/>
          <w:sz w:val="22"/>
          <w:szCs w:val="22"/>
          <w:lang w:eastAsia="en-GB"/>
          <w14:ligatures w14:val="none"/>
        </w:rPr>
        <w:t xml:space="preserve"> </w:t>
      </w:r>
      <w:r w:rsidR="00063E6B" w:rsidRPr="00BC0B86">
        <w:rPr>
          <w:rFonts w:asciiTheme="minorBidi" w:hAnsiTheme="minorBidi"/>
          <w:sz w:val="22"/>
          <w:szCs w:val="22"/>
        </w:rPr>
        <w:t xml:space="preserve">(Salihu </w:t>
      </w:r>
      <w:r w:rsidR="00063E6B" w:rsidRPr="00BC0B86">
        <w:rPr>
          <w:rFonts w:asciiTheme="minorBidi" w:hAnsiTheme="minorBidi"/>
          <w:i/>
          <w:iCs/>
          <w:sz w:val="22"/>
          <w:szCs w:val="22"/>
        </w:rPr>
        <w:t>et al.</w:t>
      </w:r>
      <w:r w:rsidR="00063E6B" w:rsidRPr="00BC0B86">
        <w:rPr>
          <w:rFonts w:asciiTheme="minorBidi" w:hAnsiTheme="minorBidi"/>
          <w:sz w:val="22"/>
          <w:szCs w:val="22"/>
        </w:rPr>
        <w:t>, 2015)</w:t>
      </w:r>
      <w:r w:rsidR="00E2136B" w:rsidRPr="00E2136B">
        <w:rPr>
          <w:rFonts w:asciiTheme="minorBidi" w:eastAsia="Times New Roman" w:hAnsiTheme="minorBidi"/>
          <w:kern w:val="0"/>
          <w:sz w:val="22"/>
          <w:szCs w:val="22"/>
          <w:lang w:eastAsia="en-GB"/>
          <w14:ligatures w14:val="none"/>
        </w:rPr>
        <w:t>.</w:t>
      </w:r>
    </w:p>
    <w:p w14:paraId="3D0435C3" w14:textId="08B22D58" w:rsidR="00E2136B" w:rsidRPr="00BC0B86" w:rsidRDefault="00E2136B" w:rsidP="00BC0B86">
      <w:pPr>
        <w:pStyle w:val="Heading2"/>
        <w:numPr>
          <w:ilvl w:val="1"/>
          <w:numId w:val="19"/>
        </w:numPr>
        <w:spacing w:line="360" w:lineRule="auto"/>
        <w:jc w:val="both"/>
        <w:rPr>
          <w:rFonts w:asciiTheme="minorBidi" w:eastAsia="Times New Roman" w:hAnsiTheme="minorBidi" w:cstheme="minorBidi"/>
          <w:sz w:val="22"/>
          <w:szCs w:val="22"/>
          <w:lang w:eastAsia="en-GB"/>
        </w:rPr>
      </w:pPr>
      <w:bookmarkStart w:id="6" w:name="_Toc222758393"/>
      <w:r w:rsidRPr="00BC0B86">
        <w:rPr>
          <w:rFonts w:asciiTheme="minorBidi" w:eastAsia="Times New Roman" w:hAnsiTheme="minorBidi" w:cstheme="minorBidi"/>
          <w:sz w:val="22"/>
          <w:szCs w:val="22"/>
          <w:lang w:eastAsia="en-GB"/>
        </w:rPr>
        <w:t>Evidence-</w:t>
      </w:r>
      <w:r w:rsidR="0045446D" w:rsidRPr="00BC0B86">
        <w:rPr>
          <w:rFonts w:asciiTheme="minorBidi" w:eastAsia="Times New Roman" w:hAnsiTheme="minorBidi" w:cstheme="minorBidi"/>
          <w:sz w:val="22"/>
          <w:szCs w:val="22"/>
          <w:lang w:eastAsia="en-GB"/>
        </w:rPr>
        <w:t>Informed Recommendations</w:t>
      </w:r>
      <w:bookmarkEnd w:id="6"/>
      <w:r w:rsidR="0045446D" w:rsidRPr="00BC0B86">
        <w:rPr>
          <w:rFonts w:asciiTheme="minorBidi" w:eastAsia="Times New Roman" w:hAnsiTheme="minorBidi" w:cstheme="minorBidi"/>
          <w:sz w:val="22"/>
          <w:szCs w:val="22"/>
          <w:lang w:eastAsia="en-GB"/>
        </w:rPr>
        <w:t xml:space="preserve"> </w:t>
      </w:r>
    </w:p>
    <w:p w14:paraId="5DD5E34E" w14:textId="4E9C2D7D" w:rsidR="00E2136B" w:rsidRPr="00E2136B" w:rsidRDefault="008E6074" w:rsidP="00BC0B86">
      <w:pPr>
        <w:spacing w:after="0" w:line="360" w:lineRule="auto"/>
        <w:jc w:val="both"/>
        <w:rPr>
          <w:rFonts w:asciiTheme="minorBidi" w:eastAsia="Times New Roman" w:hAnsiTheme="minorBidi"/>
          <w:kern w:val="0"/>
          <w:sz w:val="22"/>
          <w:szCs w:val="22"/>
          <w:lang w:eastAsia="en-GB"/>
          <w14:ligatures w14:val="none"/>
        </w:rPr>
      </w:pPr>
      <w:r w:rsidRPr="008E6074">
        <w:rPr>
          <w:rFonts w:asciiTheme="minorBidi" w:hAnsiTheme="minorBidi"/>
          <w:sz w:val="22"/>
          <w:szCs w:val="22"/>
        </w:rPr>
        <w:t>First, rebalance SDG 3 delivery in favor of prevention by insuring funding of school and community early intervention, as treatment led systems experience demand overload and unaddressed upstream drivers. This corresponds to the priorities of World Health Organisation that point to promotion and prevention, not service coverage (Voss, Marten and Gulati, 2019). Second, enhance accountability in large coverage plans with payer audits, anomaly detection, and sanctions since fraud and leakage erode equity, waste limited resources, and diminish trust in the wisdom of the coverage, regardless of increased enrolment (Syam, 2023). Third, articulate design behavioural elements within vaccination and prevention programmes by ethically, enhancing perceived threat awareness, Requesting practical barriers and developing self efficacy through health literacy and low friction access. In their absence, uptake would be lop-sided and disparities would be exacerbated with advantaged groups enjoying the benefits of available services most</w:t>
      </w:r>
      <w:r>
        <w:rPr>
          <w:rFonts w:asciiTheme="minorBidi" w:hAnsiTheme="minorBidi"/>
          <w:sz w:val="22"/>
          <w:szCs w:val="22"/>
        </w:rPr>
        <w:t xml:space="preserve"> </w:t>
      </w:r>
      <w:r w:rsidR="0011103C" w:rsidRPr="00BC0B86">
        <w:rPr>
          <w:rFonts w:asciiTheme="minorBidi" w:hAnsiTheme="minorBidi"/>
          <w:sz w:val="22"/>
          <w:szCs w:val="22"/>
        </w:rPr>
        <w:t xml:space="preserve">(Malik </w:t>
      </w:r>
      <w:r w:rsidR="0011103C" w:rsidRPr="00BC0B86">
        <w:rPr>
          <w:rFonts w:asciiTheme="minorBidi" w:hAnsiTheme="minorBidi"/>
          <w:i/>
          <w:iCs/>
          <w:sz w:val="22"/>
          <w:szCs w:val="22"/>
        </w:rPr>
        <w:t>et al.</w:t>
      </w:r>
      <w:r w:rsidR="0011103C" w:rsidRPr="00BC0B86">
        <w:rPr>
          <w:rFonts w:asciiTheme="minorBidi" w:hAnsiTheme="minorBidi"/>
          <w:sz w:val="22"/>
          <w:szCs w:val="22"/>
        </w:rPr>
        <w:t>, 2023)</w:t>
      </w:r>
      <w:r w:rsidR="00EC5574" w:rsidRPr="00BC0B86">
        <w:rPr>
          <w:rFonts w:asciiTheme="minorBidi" w:hAnsiTheme="minorBidi"/>
          <w:sz w:val="22"/>
          <w:szCs w:val="22"/>
        </w:rPr>
        <w:t>.</w:t>
      </w:r>
    </w:p>
    <w:p w14:paraId="399ADDE9" w14:textId="22C81775" w:rsidR="0045446D" w:rsidRPr="00BC0B86" w:rsidRDefault="00E2136B" w:rsidP="00BC0B86">
      <w:pPr>
        <w:pStyle w:val="Heading1"/>
        <w:numPr>
          <w:ilvl w:val="0"/>
          <w:numId w:val="19"/>
        </w:numPr>
        <w:spacing w:line="360" w:lineRule="auto"/>
        <w:jc w:val="both"/>
        <w:rPr>
          <w:rFonts w:asciiTheme="minorBidi" w:eastAsia="Times New Roman" w:hAnsiTheme="minorBidi" w:cstheme="minorBidi"/>
          <w:sz w:val="22"/>
          <w:szCs w:val="22"/>
          <w:lang w:eastAsia="en-GB"/>
        </w:rPr>
      </w:pPr>
      <w:bookmarkStart w:id="7" w:name="_Toc222758394"/>
      <w:r w:rsidRPr="00BC0B86">
        <w:rPr>
          <w:rFonts w:asciiTheme="minorBidi" w:eastAsia="Times New Roman" w:hAnsiTheme="minorBidi" w:cstheme="minorBidi"/>
          <w:sz w:val="22"/>
          <w:szCs w:val="22"/>
          <w:lang w:eastAsia="en-GB"/>
        </w:rPr>
        <w:t>SDG 13</w:t>
      </w:r>
      <w:r w:rsidR="0045446D" w:rsidRPr="00BC0B86">
        <w:rPr>
          <w:rFonts w:asciiTheme="minorBidi" w:eastAsia="Times New Roman" w:hAnsiTheme="minorBidi" w:cstheme="minorBidi"/>
          <w:sz w:val="22"/>
          <w:szCs w:val="22"/>
          <w:lang w:eastAsia="en-GB"/>
        </w:rPr>
        <w:t>:</w:t>
      </w:r>
      <w:r w:rsidRPr="00BC0B86">
        <w:rPr>
          <w:rFonts w:asciiTheme="minorBidi" w:eastAsia="Times New Roman" w:hAnsiTheme="minorBidi" w:cstheme="minorBidi"/>
          <w:sz w:val="22"/>
          <w:szCs w:val="22"/>
          <w:lang w:eastAsia="en-GB"/>
        </w:rPr>
        <w:t xml:space="preserve"> Climate Action</w:t>
      </w:r>
      <w:bookmarkEnd w:id="7"/>
      <w:r w:rsidRPr="00BC0B86">
        <w:rPr>
          <w:rFonts w:asciiTheme="minorBidi" w:eastAsia="Times New Roman" w:hAnsiTheme="minorBidi" w:cstheme="minorBidi"/>
          <w:sz w:val="22"/>
          <w:szCs w:val="22"/>
          <w:lang w:eastAsia="en-GB"/>
        </w:rPr>
        <w:t xml:space="preserve"> </w:t>
      </w:r>
    </w:p>
    <w:p w14:paraId="0A506967" w14:textId="18683F65" w:rsidR="00E2136B" w:rsidRPr="00BC0B86" w:rsidRDefault="0045446D" w:rsidP="00BC0B86">
      <w:pPr>
        <w:pStyle w:val="Heading2"/>
        <w:spacing w:line="360" w:lineRule="auto"/>
        <w:jc w:val="both"/>
        <w:rPr>
          <w:rFonts w:asciiTheme="minorBidi" w:eastAsia="Times New Roman" w:hAnsiTheme="minorBidi" w:cstheme="minorBidi"/>
          <w:sz w:val="22"/>
          <w:szCs w:val="22"/>
          <w:lang w:eastAsia="en-GB"/>
        </w:rPr>
      </w:pPr>
      <w:bookmarkStart w:id="8" w:name="_Toc222758395"/>
      <w:r w:rsidRPr="00BC0B86">
        <w:rPr>
          <w:rFonts w:asciiTheme="minorBidi" w:eastAsia="Times New Roman" w:hAnsiTheme="minorBidi" w:cstheme="minorBidi"/>
          <w:sz w:val="22"/>
          <w:szCs w:val="22"/>
          <w:lang w:eastAsia="en-GB"/>
        </w:rPr>
        <w:t xml:space="preserve">3.1. </w:t>
      </w:r>
      <w:r w:rsidR="00E2136B" w:rsidRPr="00BC0B86">
        <w:rPr>
          <w:rFonts w:asciiTheme="minorBidi" w:eastAsia="Times New Roman" w:hAnsiTheme="minorBidi" w:cstheme="minorBidi"/>
          <w:sz w:val="22"/>
          <w:szCs w:val="22"/>
          <w:lang w:eastAsia="en-GB"/>
        </w:rPr>
        <w:t>Overview</w:t>
      </w:r>
      <w:bookmarkEnd w:id="8"/>
    </w:p>
    <w:p w14:paraId="49E84725" w14:textId="46BD3DE3" w:rsidR="00E2136B" w:rsidRPr="00E2136B" w:rsidRDefault="00DF53C8" w:rsidP="00BC0B86">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DF53C8">
        <w:rPr>
          <w:rFonts w:asciiTheme="minorBidi" w:eastAsia="Times New Roman" w:hAnsiTheme="minorBidi"/>
          <w:kern w:val="0"/>
          <w:sz w:val="22"/>
          <w:szCs w:val="22"/>
          <w:lang w:eastAsia="en-GB"/>
          <w14:ligatures w14:val="none"/>
        </w:rPr>
        <w:t>SDG 13 demands that there is an urgent action to address climate change and its effects through mitigation (reducing emissions) and adaptation (reducing risks/building resilience) (United Nations, 2015). The health case is quite established: WHO records that climate change is already amplifying the magnitude and frequency of hazards and predicts that at least two hundred and fifty thousand extra deaths every year (20302050) will be caused by undernutrition, malaria, diarrhoea and heat stresses alone. This causes climate to be a health multiplier: it exacerbates existing burdens (respiratory disease, cardiovascular risk, mental health stress) and increases inequalities as exposure and adaptive capacity are socially patterned</w:t>
      </w:r>
      <w:r w:rsidR="00E2136B" w:rsidRPr="00E2136B">
        <w:rPr>
          <w:rFonts w:asciiTheme="minorBidi" w:eastAsia="Times New Roman" w:hAnsiTheme="minorBidi"/>
          <w:kern w:val="0"/>
          <w:sz w:val="22"/>
          <w:szCs w:val="22"/>
          <w:lang w:eastAsia="en-GB"/>
          <w14:ligatures w14:val="none"/>
        </w:rPr>
        <w:t>.</w:t>
      </w:r>
    </w:p>
    <w:p w14:paraId="6EFE2F27" w14:textId="6637B67F" w:rsidR="00E2136B" w:rsidRPr="00BC0B86" w:rsidRDefault="0045446D" w:rsidP="00BC0B86">
      <w:pPr>
        <w:pStyle w:val="Heading2"/>
        <w:numPr>
          <w:ilvl w:val="1"/>
          <w:numId w:val="19"/>
        </w:numPr>
        <w:spacing w:line="360" w:lineRule="auto"/>
        <w:jc w:val="both"/>
        <w:rPr>
          <w:rFonts w:asciiTheme="minorBidi" w:eastAsia="Times New Roman" w:hAnsiTheme="minorBidi" w:cstheme="minorBidi"/>
          <w:sz w:val="22"/>
          <w:szCs w:val="22"/>
          <w:lang w:eastAsia="en-GB"/>
        </w:rPr>
      </w:pPr>
      <w:r w:rsidRPr="00BC0B86">
        <w:rPr>
          <w:rFonts w:asciiTheme="minorBidi" w:eastAsia="Times New Roman" w:hAnsiTheme="minorBidi" w:cstheme="minorBidi"/>
          <w:sz w:val="22"/>
          <w:szCs w:val="22"/>
          <w:lang w:eastAsia="en-GB"/>
        </w:rPr>
        <w:t xml:space="preserve"> </w:t>
      </w:r>
      <w:bookmarkStart w:id="9" w:name="_Toc222758396"/>
      <w:r w:rsidR="00E2136B" w:rsidRPr="00BC0B86">
        <w:rPr>
          <w:rFonts w:asciiTheme="minorBidi" w:eastAsia="Times New Roman" w:hAnsiTheme="minorBidi" w:cstheme="minorBidi"/>
          <w:sz w:val="22"/>
          <w:szCs w:val="22"/>
          <w:lang w:eastAsia="en-GB"/>
        </w:rPr>
        <w:t xml:space="preserve">Global </w:t>
      </w:r>
      <w:r w:rsidRPr="00BC0B86">
        <w:rPr>
          <w:rFonts w:asciiTheme="minorBidi" w:eastAsia="Times New Roman" w:hAnsiTheme="minorBidi" w:cstheme="minorBidi"/>
          <w:sz w:val="22"/>
          <w:szCs w:val="22"/>
          <w:lang w:eastAsia="en-GB"/>
        </w:rPr>
        <w:t>I</w:t>
      </w:r>
      <w:r w:rsidR="00E2136B" w:rsidRPr="00BC0B86">
        <w:rPr>
          <w:rFonts w:asciiTheme="minorBidi" w:eastAsia="Times New Roman" w:hAnsiTheme="minorBidi" w:cstheme="minorBidi"/>
          <w:sz w:val="22"/>
          <w:szCs w:val="22"/>
          <w:lang w:eastAsia="en-GB"/>
        </w:rPr>
        <w:t>nitiatives</w:t>
      </w:r>
      <w:bookmarkEnd w:id="9"/>
    </w:p>
    <w:p w14:paraId="5DBF6DDE" w14:textId="77777777" w:rsidR="00D77E9A" w:rsidRPr="00D77E9A" w:rsidRDefault="00D77E9A" w:rsidP="00624B7E">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D77E9A">
        <w:rPr>
          <w:rFonts w:asciiTheme="minorBidi" w:eastAsia="Times New Roman" w:hAnsiTheme="minorBidi"/>
          <w:kern w:val="0"/>
          <w:sz w:val="22"/>
          <w:szCs w:val="22"/>
          <w:lang w:eastAsia="en-GB"/>
          <w14:ligatures w14:val="none"/>
        </w:rPr>
        <w:t xml:space="preserve">The Paris Agreement offers the overall global governance framework with an aim of keeping temperature rise at levels that are low, below 2C with an aim of keeping it at 1.5C. </w:t>
      </w:r>
    </w:p>
    <w:p w14:paraId="1CA5691F" w14:textId="6E1DF1B4" w:rsidR="00E2136B" w:rsidRPr="00E2136B" w:rsidRDefault="00D77E9A" w:rsidP="00D77E9A">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D77E9A">
        <w:rPr>
          <w:rFonts w:asciiTheme="minorBidi" w:eastAsia="Times New Roman" w:hAnsiTheme="minorBidi"/>
          <w:kern w:val="0"/>
          <w:sz w:val="22"/>
          <w:szCs w:val="22"/>
          <w:lang w:eastAsia="en-GB"/>
          <w14:ligatures w14:val="none"/>
        </w:rPr>
        <w:lastRenderedPageBreak/>
        <w:t>The strengths are the almost universal participation and a ratchet mechanism based on nationally determined contributions (NDCs). Its fundamental weakness is implementation leverage: there are no binding sanctions to targets, and ambition is tied to domestic politics, funding, and institutional capacity. This creates an anticipated discrepancy between long-term targets and short-term emissions trajectories an accountability shortfall that a policy implementation theory would explain as poor enforcement, divided incentives, and high substitution risk (countries may re-brand policy but not reduce underlying emissions) (Lawrence and Wong, 2017). International evaluations are also more and more reminding that the Paris framework has led to momentum but emissions cuts are too slow and climate injustice continues (those least to blame often have the greatest health impact</w:t>
      </w:r>
      <w:r w:rsidR="00E2136B" w:rsidRPr="00E2136B">
        <w:rPr>
          <w:rFonts w:asciiTheme="minorBidi" w:eastAsia="Times New Roman" w:hAnsiTheme="minorBidi"/>
          <w:kern w:val="0"/>
          <w:sz w:val="22"/>
          <w:szCs w:val="22"/>
          <w:lang w:eastAsia="en-GB"/>
          <w14:ligatures w14:val="none"/>
        </w:rPr>
        <w:t xml:space="preserve">). </w:t>
      </w:r>
    </w:p>
    <w:p w14:paraId="10BE99D7" w14:textId="73A50A2D" w:rsidR="00E2136B" w:rsidRPr="00BC0B86" w:rsidRDefault="00E2136B" w:rsidP="00BC0B86">
      <w:pPr>
        <w:pStyle w:val="Heading2"/>
        <w:numPr>
          <w:ilvl w:val="1"/>
          <w:numId w:val="19"/>
        </w:numPr>
        <w:spacing w:line="360" w:lineRule="auto"/>
        <w:jc w:val="both"/>
        <w:rPr>
          <w:rFonts w:asciiTheme="minorBidi" w:eastAsia="Times New Roman" w:hAnsiTheme="minorBidi" w:cstheme="minorBidi"/>
          <w:sz w:val="22"/>
          <w:szCs w:val="22"/>
          <w:lang w:eastAsia="en-GB"/>
        </w:rPr>
      </w:pPr>
      <w:bookmarkStart w:id="10" w:name="_Toc222758397"/>
      <w:r w:rsidRPr="00BC0B86">
        <w:rPr>
          <w:rFonts w:asciiTheme="minorBidi" w:eastAsia="Times New Roman" w:hAnsiTheme="minorBidi" w:cstheme="minorBidi"/>
          <w:sz w:val="22"/>
          <w:szCs w:val="22"/>
          <w:lang w:eastAsia="en-GB"/>
        </w:rPr>
        <w:t xml:space="preserve">National/local </w:t>
      </w:r>
      <w:r w:rsidR="00C672A9" w:rsidRPr="00BC0B86">
        <w:rPr>
          <w:rFonts w:asciiTheme="minorBidi" w:eastAsia="Times New Roman" w:hAnsiTheme="minorBidi" w:cstheme="minorBidi"/>
          <w:sz w:val="22"/>
          <w:szCs w:val="22"/>
          <w:lang w:eastAsia="en-GB"/>
        </w:rPr>
        <w:t>Level</w:t>
      </w:r>
      <w:bookmarkEnd w:id="10"/>
    </w:p>
    <w:p w14:paraId="7D989AD8" w14:textId="77777777" w:rsidR="0058280B" w:rsidRPr="00BC0B86" w:rsidRDefault="00E2136B" w:rsidP="00BC0B86">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E2136B">
        <w:rPr>
          <w:rFonts w:asciiTheme="minorBidi" w:eastAsia="Times New Roman" w:hAnsiTheme="minorBidi"/>
          <w:b/>
          <w:bCs/>
          <w:kern w:val="0"/>
          <w:sz w:val="22"/>
          <w:szCs w:val="22"/>
          <w:lang w:eastAsia="en-GB"/>
          <w14:ligatures w14:val="none"/>
        </w:rPr>
        <w:t>UK: Net Zero Strategy and clean air interventions.</w:t>
      </w:r>
      <w:r w:rsidRPr="00E2136B">
        <w:rPr>
          <w:rFonts w:asciiTheme="minorBidi" w:eastAsia="Times New Roman" w:hAnsiTheme="minorBidi"/>
          <w:kern w:val="0"/>
          <w:sz w:val="22"/>
          <w:szCs w:val="22"/>
          <w:lang w:eastAsia="en-GB"/>
          <w14:ligatures w14:val="none"/>
        </w:rPr>
        <w:t xml:space="preserve"> The UK’s </w:t>
      </w:r>
      <w:r w:rsidRPr="00E2136B">
        <w:rPr>
          <w:rFonts w:asciiTheme="minorBidi" w:eastAsia="Times New Roman" w:hAnsiTheme="minorBidi"/>
          <w:b/>
          <w:bCs/>
          <w:kern w:val="0"/>
          <w:sz w:val="22"/>
          <w:szCs w:val="22"/>
          <w:lang w:eastAsia="en-GB"/>
          <w14:ligatures w14:val="none"/>
        </w:rPr>
        <w:t>Net Zero Strategy</w:t>
      </w:r>
      <w:r w:rsidRPr="00E2136B">
        <w:rPr>
          <w:rFonts w:asciiTheme="minorBidi" w:eastAsia="Times New Roman" w:hAnsiTheme="minorBidi"/>
          <w:kern w:val="0"/>
          <w:sz w:val="22"/>
          <w:szCs w:val="22"/>
          <w:lang w:eastAsia="en-GB"/>
          <w14:ligatures w14:val="none"/>
        </w:rPr>
        <w:t xml:space="preserve"> sets out cross-sector decarbonisation policies to meet net zero by 2050</w:t>
      </w:r>
      <w:r w:rsidR="001C5662" w:rsidRPr="00BC0B86">
        <w:rPr>
          <w:rFonts w:asciiTheme="minorBidi" w:eastAsia="Times New Roman" w:hAnsiTheme="minorBidi"/>
          <w:kern w:val="0"/>
          <w:sz w:val="22"/>
          <w:szCs w:val="22"/>
          <w:lang w:eastAsia="en-GB"/>
          <w14:ligatures w14:val="none"/>
        </w:rPr>
        <w:t xml:space="preserve"> </w:t>
      </w:r>
      <w:r w:rsidR="001C5662" w:rsidRPr="00BC0B86">
        <w:rPr>
          <w:rFonts w:asciiTheme="minorBidi" w:hAnsiTheme="minorBidi"/>
          <w:sz w:val="22"/>
          <w:szCs w:val="22"/>
        </w:rPr>
        <w:t>(Gov UK, 2021)</w:t>
      </w:r>
      <w:r w:rsidRPr="00E2136B">
        <w:rPr>
          <w:rFonts w:asciiTheme="minorBidi" w:eastAsia="Times New Roman" w:hAnsiTheme="minorBidi"/>
          <w:kern w:val="0"/>
          <w:sz w:val="22"/>
          <w:szCs w:val="22"/>
          <w:lang w:eastAsia="en-GB"/>
          <w14:ligatures w14:val="none"/>
        </w:rPr>
        <w:t>.</w:t>
      </w:r>
      <w:r w:rsidRPr="00E2136B">
        <w:rPr>
          <w:rFonts w:asciiTheme="minorBidi" w:eastAsia="Times New Roman" w:hAnsiTheme="minorBidi"/>
          <w:kern w:val="0"/>
          <w:sz w:val="22"/>
          <w:szCs w:val="22"/>
          <w:lang w:eastAsia="en-GB"/>
          <w14:ligatures w14:val="none"/>
        </w:rPr>
        <w:br/>
        <w:t>However, the UK policy environment illustrates implementation fragility: a UK Parliament briefing notes that a High Court judgment found the strategy unlawful under the Climate Change Act due to insufficient detail, prompting updated delivery plans</w:t>
      </w:r>
      <w:r w:rsidR="001C5662" w:rsidRPr="00BC0B86">
        <w:rPr>
          <w:rFonts w:asciiTheme="minorBidi" w:eastAsia="Times New Roman" w:hAnsiTheme="minorBidi"/>
          <w:kern w:val="0"/>
          <w:sz w:val="22"/>
          <w:szCs w:val="22"/>
          <w:lang w:eastAsia="en-GB"/>
          <w14:ligatures w14:val="none"/>
        </w:rPr>
        <w:t xml:space="preserve"> </w:t>
      </w:r>
      <w:r w:rsidR="001C5662" w:rsidRPr="00BC0B86">
        <w:rPr>
          <w:rFonts w:asciiTheme="minorBidi" w:hAnsiTheme="minorBidi"/>
          <w:sz w:val="22"/>
          <w:szCs w:val="22"/>
        </w:rPr>
        <w:t>(Horton, 2024)</w:t>
      </w:r>
      <w:r w:rsidRPr="00E2136B">
        <w:rPr>
          <w:rFonts w:asciiTheme="minorBidi" w:eastAsia="Times New Roman" w:hAnsiTheme="minorBidi"/>
          <w:kern w:val="0"/>
          <w:sz w:val="22"/>
          <w:szCs w:val="22"/>
          <w:lang w:eastAsia="en-GB"/>
          <w14:ligatures w14:val="none"/>
        </w:rPr>
        <w:t>.</w:t>
      </w:r>
    </w:p>
    <w:p w14:paraId="68A28A8A" w14:textId="77777777" w:rsidR="001867F3" w:rsidRDefault="001867F3" w:rsidP="00BC0B86">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1867F3">
        <w:rPr>
          <w:rFonts w:asciiTheme="minorBidi" w:eastAsia="Times New Roman" w:hAnsiTheme="minorBidi"/>
          <w:kern w:val="0"/>
          <w:sz w:val="22"/>
          <w:szCs w:val="22"/>
          <w:lang w:eastAsia="en-GB"/>
          <w14:ligatures w14:val="none"/>
        </w:rPr>
        <w:t>A practical SDG 13 to SDG 3 co-benefit tool at the local level is Clean Air Zones (CAZs), which aim at roadside NO 2 and population exposure. Government structures establish principles on how a local authority should be conducted (Williams, Chan and Ortiz, 2025). The effectiveness evidence is growing: the expanded ULEZ (a similar low-emission policy) in London was found to lower toxic emissions significantly, which demonstrates the potential of plausible health benefits in terms of exposure-reduction (Prieto-Rodriguez et al., 2022).But CAZs are politicizable (impact on low-income drivers and small businesses), which explains why it should be implemented with equity considerations (scrappage schemes, exemptions, public transport improvements) to prevent regressiveness.</w:t>
      </w:r>
    </w:p>
    <w:p w14:paraId="4FB1D454" w14:textId="25626C4C" w:rsidR="00E2136B" w:rsidRPr="00E2136B" w:rsidRDefault="00E2136B" w:rsidP="00BC0B86">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E2136B">
        <w:rPr>
          <w:rFonts w:asciiTheme="minorBidi" w:eastAsia="Times New Roman" w:hAnsiTheme="minorBidi"/>
          <w:b/>
          <w:bCs/>
          <w:kern w:val="0"/>
          <w:sz w:val="22"/>
          <w:szCs w:val="22"/>
          <w:lang w:eastAsia="en-GB"/>
          <w14:ligatures w14:val="none"/>
        </w:rPr>
        <w:t>India: climate strategy and air quality programmes.</w:t>
      </w:r>
      <w:r w:rsidRPr="00E2136B">
        <w:rPr>
          <w:rFonts w:asciiTheme="minorBidi" w:eastAsia="Times New Roman" w:hAnsiTheme="minorBidi"/>
          <w:kern w:val="0"/>
          <w:sz w:val="22"/>
          <w:szCs w:val="22"/>
          <w:lang w:eastAsia="en-GB"/>
          <w14:ligatures w14:val="none"/>
        </w:rPr>
        <w:t xml:space="preserve"> </w:t>
      </w:r>
      <w:r w:rsidR="00DD6DE6" w:rsidRPr="00DD6DE6">
        <w:rPr>
          <w:rFonts w:asciiTheme="minorBidi" w:eastAsia="Times New Roman" w:hAnsiTheme="minorBidi"/>
          <w:kern w:val="0"/>
          <w:sz w:val="22"/>
          <w:szCs w:val="22"/>
          <w:lang w:eastAsia="en-GB"/>
          <w14:ligatures w14:val="none"/>
        </w:rPr>
        <w:t xml:space="preserve">India has a National Action Plan on Climate Change (NAPCC) that describes eight missions (e.g., solar, energy efficiency, sustainable habitat) indicating national will to co-locate development and climate response. India National Clean Air Programme (NCAP) targets a 20-30% PM2.5/PM10 reduction by 2024 (as of 2017) (Pandve, 2017). Baig et al. (2025) note governance and tracking issues and discovered that only a small number of cities met the original target and performance gaps are missing in most cities, frustrating accountability and questioning performance comparisons. It is a problem of implementation, without well-developed monitoring </w:t>
      </w:r>
      <w:r w:rsidR="00DD6DE6" w:rsidRPr="00DD6DE6">
        <w:rPr>
          <w:rFonts w:asciiTheme="minorBidi" w:eastAsia="Times New Roman" w:hAnsiTheme="minorBidi"/>
          <w:kern w:val="0"/>
          <w:sz w:val="22"/>
          <w:szCs w:val="22"/>
          <w:lang w:eastAsia="en-GB"/>
          <w14:ligatures w14:val="none"/>
        </w:rPr>
        <w:lastRenderedPageBreak/>
        <w:t>infrastructure and clarity of legal mandates, city plans can turn into wish lists instead of binding action plans, undermining SDG 13 implementation and SDG 3 health co-benefits</w:t>
      </w:r>
      <w:r w:rsidRPr="00E2136B">
        <w:rPr>
          <w:rFonts w:asciiTheme="minorBidi" w:eastAsia="Times New Roman" w:hAnsiTheme="minorBidi"/>
          <w:kern w:val="0"/>
          <w:sz w:val="22"/>
          <w:szCs w:val="22"/>
          <w:lang w:eastAsia="en-GB"/>
          <w14:ligatures w14:val="none"/>
        </w:rPr>
        <w:t>.</w:t>
      </w:r>
    </w:p>
    <w:p w14:paraId="742B7C5E" w14:textId="490E782B" w:rsidR="00E2136B" w:rsidRPr="00BC0B86" w:rsidRDefault="00891CA6" w:rsidP="00BC0B86">
      <w:pPr>
        <w:pStyle w:val="Heading2"/>
        <w:numPr>
          <w:ilvl w:val="1"/>
          <w:numId w:val="19"/>
        </w:numPr>
        <w:spacing w:line="360" w:lineRule="auto"/>
        <w:jc w:val="both"/>
        <w:rPr>
          <w:rFonts w:asciiTheme="minorBidi" w:eastAsia="Times New Roman" w:hAnsiTheme="minorBidi" w:cstheme="minorBidi"/>
          <w:sz w:val="22"/>
          <w:szCs w:val="22"/>
          <w:lang w:eastAsia="en-GB"/>
        </w:rPr>
      </w:pPr>
      <w:bookmarkStart w:id="11" w:name="_Toc222758398"/>
      <w:r w:rsidRPr="00BC0B86">
        <w:rPr>
          <w:rFonts w:asciiTheme="minorBidi" w:eastAsia="Times New Roman" w:hAnsiTheme="minorBidi" w:cstheme="minorBidi"/>
          <w:sz w:val="22"/>
          <w:szCs w:val="22"/>
          <w:lang w:eastAsia="en-GB"/>
        </w:rPr>
        <w:t>Theory Application</w:t>
      </w:r>
      <w:bookmarkEnd w:id="11"/>
    </w:p>
    <w:p w14:paraId="0A9C6BC4" w14:textId="77777777" w:rsidR="00195655" w:rsidRPr="00195655" w:rsidRDefault="00195655" w:rsidP="00A71BB0">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195655">
        <w:rPr>
          <w:rFonts w:asciiTheme="minorBidi" w:eastAsia="Times New Roman" w:hAnsiTheme="minorBidi"/>
          <w:kern w:val="0"/>
          <w:sz w:val="22"/>
          <w:szCs w:val="22"/>
          <w:lang w:eastAsia="en-GB"/>
          <w14:ligatures w14:val="none"/>
        </w:rPr>
        <w:t>Health belief model claims that protective behaviours (hydration, cooling, checking on vulnerable neighbours, using clean transport) are more likely when perceived susceptibility/severity is salient, barriers are low (affordable cooling, safe public spaces), and self-efficacy is facilitated (clear guidance, available services). Risk communication that focuses on threat without facilitating action may result in anxiety and fatalism instead of protective behaviour (Akompab et al., 2013).</w:t>
      </w:r>
    </w:p>
    <w:p w14:paraId="4F2D59B3" w14:textId="14419719" w:rsidR="00E2136B" w:rsidRPr="00E2136B" w:rsidRDefault="00195655" w:rsidP="00195655">
      <w:pPr>
        <w:spacing w:before="100" w:beforeAutospacing="1" w:after="100" w:afterAutospacing="1" w:line="360" w:lineRule="auto"/>
        <w:jc w:val="both"/>
        <w:rPr>
          <w:rFonts w:asciiTheme="minorBidi" w:eastAsia="Times New Roman" w:hAnsiTheme="minorBidi"/>
          <w:kern w:val="0"/>
          <w:sz w:val="22"/>
          <w:szCs w:val="22"/>
          <w:lang w:eastAsia="en-GB"/>
          <w14:ligatures w14:val="none"/>
        </w:rPr>
      </w:pPr>
      <w:r w:rsidRPr="00195655">
        <w:rPr>
          <w:rFonts w:asciiTheme="minorBidi" w:eastAsia="Times New Roman" w:hAnsiTheme="minorBidi"/>
          <w:kern w:val="0"/>
          <w:sz w:val="22"/>
          <w:szCs w:val="22"/>
          <w:lang w:eastAsia="en-GB"/>
          <w14:ligatures w14:val="none"/>
        </w:rPr>
        <w:t>Policy feedback is also important: once established, e.g., CAZ, clean-energy subsidies can create constituencies (clean transport industries, health advocates), reinforcing future action; conversely, when policies are perceived as unfair, backlash can undermine climate governance. This is why SDG 13 does not consider just transition design optional, why equity is a part of political feasibility</w:t>
      </w:r>
      <w:r>
        <w:rPr>
          <w:rFonts w:asciiTheme="minorBidi" w:eastAsia="Times New Roman" w:hAnsiTheme="minorBidi"/>
          <w:kern w:val="0"/>
          <w:sz w:val="22"/>
          <w:szCs w:val="22"/>
          <w:lang w:eastAsia="en-GB"/>
          <w14:ligatures w14:val="none"/>
        </w:rPr>
        <w:t xml:space="preserve"> </w:t>
      </w:r>
      <w:r w:rsidR="006B69A6" w:rsidRPr="00BC0B86">
        <w:rPr>
          <w:rFonts w:asciiTheme="minorBidi" w:hAnsiTheme="minorBidi"/>
          <w:sz w:val="22"/>
          <w:szCs w:val="22"/>
        </w:rPr>
        <w:t>(Dokshin, 2024)</w:t>
      </w:r>
      <w:r w:rsidR="00E2136B" w:rsidRPr="00E2136B">
        <w:rPr>
          <w:rFonts w:asciiTheme="minorBidi" w:eastAsia="Times New Roman" w:hAnsiTheme="minorBidi"/>
          <w:kern w:val="0"/>
          <w:sz w:val="22"/>
          <w:szCs w:val="22"/>
          <w:lang w:eastAsia="en-GB"/>
          <w14:ligatures w14:val="none"/>
        </w:rPr>
        <w:t>.</w:t>
      </w:r>
    </w:p>
    <w:p w14:paraId="19D6FEF2" w14:textId="560780FB" w:rsidR="00E2136B" w:rsidRPr="00BC0B86" w:rsidRDefault="00891CA6" w:rsidP="00BC0B86">
      <w:pPr>
        <w:pStyle w:val="Heading2"/>
        <w:numPr>
          <w:ilvl w:val="1"/>
          <w:numId w:val="19"/>
        </w:numPr>
        <w:spacing w:line="360" w:lineRule="auto"/>
        <w:jc w:val="both"/>
        <w:rPr>
          <w:rFonts w:asciiTheme="minorBidi" w:eastAsia="Times New Roman" w:hAnsiTheme="minorBidi" w:cstheme="minorBidi"/>
          <w:sz w:val="22"/>
          <w:szCs w:val="22"/>
          <w:lang w:eastAsia="en-GB"/>
        </w:rPr>
      </w:pPr>
      <w:bookmarkStart w:id="12" w:name="_Toc222758399"/>
      <w:r w:rsidRPr="00BC0B86">
        <w:rPr>
          <w:rFonts w:asciiTheme="minorBidi" w:eastAsia="Times New Roman" w:hAnsiTheme="minorBidi" w:cstheme="minorBidi"/>
          <w:sz w:val="22"/>
          <w:szCs w:val="22"/>
          <w:lang w:eastAsia="en-GB"/>
        </w:rPr>
        <w:t>Evidence Based Recommendations</w:t>
      </w:r>
      <w:bookmarkEnd w:id="12"/>
    </w:p>
    <w:p w14:paraId="187E787F" w14:textId="2C2B764E" w:rsidR="00EC5574" w:rsidRPr="00BC0B86" w:rsidRDefault="00EC5574" w:rsidP="00BC0B86">
      <w:pPr>
        <w:pStyle w:val="NormalWeb"/>
        <w:numPr>
          <w:ilvl w:val="0"/>
          <w:numId w:val="21"/>
        </w:numPr>
        <w:spacing w:line="360" w:lineRule="auto"/>
        <w:jc w:val="both"/>
        <w:rPr>
          <w:rFonts w:asciiTheme="minorBidi" w:hAnsiTheme="minorBidi" w:cstheme="minorBidi"/>
          <w:sz w:val="22"/>
          <w:szCs w:val="22"/>
        </w:rPr>
      </w:pPr>
      <w:r w:rsidRPr="00BC0B86">
        <w:rPr>
          <w:rStyle w:val="Strong"/>
          <w:rFonts w:asciiTheme="minorBidi" w:eastAsiaTheme="majorEastAsia" w:hAnsiTheme="minorBidi" w:cstheme="minorBidi"/>
          <w:sz w:val="22"/>
          <w:szCs w:val="22"/>
        </w:rPr>
        <w:t>Adopt explicit climate health co benefit frameworks.</w:t>
      </w:r>
      <w:r w:rsidRPr="00BC0B86">
        <w:rPr>
          <w:rFonts w:asciiTheme="minorBidi" w:hAnsiTheme="minorBidi" w:cstheme="minorBidi"/>
          <w:sz w:val="22"/>
          <w:szCs w:val="22"/>
        </w:rPr>
        <w:t xml:space="preserve"> </w:t>
      </w:r>
      <w:r w:rsidR="00A71BB0" w:rsidRPr="00A71BB0">
        <w:rPr>
          <w:rFonts w:asciiTheme="minorBidi" w:hAnsiTheme="minorBidi" w:cstheme="minorBidi"/>
          <w:sz w:val="22"/>
          <w:szCs w:val="22"/>
        </w:rPr>
        <w:t>The analysis reveals that climate policies tend to be evaluated based on emissions alone which may obscure immediate health benefits and undermine political priority. Governments must evaluate net zero and air quality policies based on the avoided deaths and air pollution and heat-related illness, using World Health Organisation climate health evidence, and incorporate the indicators into spending packages. This enhances accountability since it connects SDG 13 action with measurable SDG 3 outcome, yet it needs believable modelling and clear assumptions to ensure that benefits are not exaggerated</w:t>
      </w:r>
      <w:r w:rsidR="00A71BB0">
        <w:rPr>
          <w:rFonts w:asciiTheme="minorBidi" w:hAnsiTheme="minorBidi" w:cstheme="minorBidi"/>
          <w:sz w:val="22"/>
          <w:szCs w:val="22"/>
        </w:rPr>
        <w:t xml:space="preserve"> </w:t>
      </w:r>
      <w:r w:rsidR="00542F30" w:rsidRPr="00BC0B86">
        <w:rPr>
          <w:rFonts w:asciiTheme="minorBidi" w:hAnsiTheme="minorBidi" w:cstheme="minorBidi"/>
          <w:sz w:val="22"/>
          <w:szCs w:val="22"/>
        </w:rPr>
        <w:t xml:space="preserve">(Prieto-Rodriguez </w:t>
      </w:r>
      <w:r w:rsidR="00542F30" w:rsidRPr="00BC0B86">
        <w:rPr>
          <w:rFonts w:asciiTheme="minorBidi" w:hAnsiTheme="minorBidi" w:cstheme="minorBidi"/>
          <w:i/>
          <w:iCs/>
          <w:sz w:val="22"/>
          <w:szCs w:val="22"/>
        </w:rPr>
        <w:t>et al.</w:t>
      </w:r>
      <w:r w:rsidR="00542F30" w:rsidRPr="00BC0B86">
        <w:rPr>
          <w:rFonts w:asciiTheme="minorBidi" w:hAnsiTheme="minorBidi" w:cstheme="minorBidi"/>
          <w:sz w:val="22"/>
          <w:szCs w:val="22"/>
        </w:rPr>
        <w:t>, 2022; World Health Organization, 2023)</w:t>
      </w:r>
      <w:r w:rsidRPr="00BC0B86">
        <w:rPr>
          <w:rFonts w:asciiTheme="minorBidi" w:hAnsiTheme="minorBidi" w:cstheme="minorBidi"/>
          <w:sz w:val="22"/>
          <w:szCs w:val="22"/>
        </w:rPr>
        <w:t>.</w:t>
      </w:r>
    </w:p>
    <w:p w14:paraId="46E16CB7" w14:textId="1905303B" w:rsidR="00EC5574" w:rsidRPr="00BC0B86" w:rsidRDefault="00EC5574" w:rsidP="00BC0B86">
      <w:pPr>
        <w:pStyle w:val="NormalWeb"/>
        <w:numPr>
          <w:ilvl w:val="0"/>
          <w:numId w:val="21"/>
        </w:numPr>
        <w:spacing w:line="360" w:lineRule="auto"/>
        <w:jc w:val="both"/>
        <w:rPr>
          <w:rFonts w:asciiTheme="minorBidi" w:hAnsiTheme="minorBidi" w:cstheme="minorBidi"/>
          <w:sz w:val="22"/>
          <w:szCs w:val="22"/>
        </w:rPr>
      </w:pPr>
      <w:r w:rsidRPr="00BC0B86">
        <w:rPr>
          <w:rStyle w:val="Strong"/>
          <w:rFonts w:asciiTheme="minorBidi" w:eastAsiaTheme="majorEastAsia" w:hAnsiTheme="minorBidi" w:cstheme="minorBidi"/>
          <w:sz w:val="22"/>
          <w:szCs w:val="22"/>
        </w:rPr>
        <w:t>Strengthen local enforcement and monitoring.</w:t>
      </w:r>
      <w:r w:rsidRPr="00BC0B86">
        <w:rPr>
          <w:rFonts w:asciiTheme="minorBidi" w:hAnsiTheme="minorBidi" w:cstheme="minorBidi"/>
          <w:sz w:val="22"/>
          <w:szCs w:val="22"/>
        </w:rPr>
        <w:t xml:space="preserve"> </w:t>
      </w:r>
      <w:r w:rsidR="00FF7EB9" w:rsidRPr="00FF7EB9">
        <w:rPr>
          <w:rFonts w:asciiTheme="minorBidi" w:hAnsiTheme="minorBidi" w:cstheme="minorBidi"/>
          <w:sz w:val="22"/>
          <w:szCs w:val="22"/>
        </w:rPr>
        <w:t>One common weakness is that a city target can be aspirational where compliance is low and monitoring is incomplete. Review of NCAP progress by Baig et al. (2025) indicates gaps in targets and uneven measurement capability, indicating that the performance cannot be reliably checked in most settings. Funding and sanctions should thus be linked to continuous monitoring networks, open data, and audit trails. In its absence policy credibility is damaged and incentives to change behaviour are undermined</w:t>
      </w:r>
      <w:r w:rsidRPr="00BC0B86">
        <w:rPr>
          <w:rFonts w:asciiTheme="minorBidi" w:hAnsiTheme="minorBidi" w:cstheme="minorBidi"/>
          <w:sz w:val="22"/>
          <w:szCs w:val="22"/>
        </w:rPr>
        <w:t>.</w:t>
      </w:r>
    </w:p>
    <w:p w14:paraId="2F5ADA15" w14:textId="36476275" w:rsidR="001A0921" w:rsidRPr="00E2136B" w:rsidRDefault="00EC5574" w:rsidP="00BC0B86">
      <w:pPr>
        <w:pStyle w:val="NormalWeb"/>
        <w:numPr>
          <w:ilvl w:val="0"/>
          <w:numId w:val="21"/>
        </w:numPr>
        <w:spacing w:line="360" w:lineRule="auto"/>
        <w:jc w:val="both"/>
        <w:rPr>
          <w:rFonts w:asciiTheme="minorBidi" w:hAnsiTheme="minorBidi" w:cstheme="minorBidi"/>
          <w:sz w:val="22"/>
          <w:szCs w:val="22"/>
        </w:rPr>
      </w:pPr>
      <w:r w:rsidRPr="00BC0B86">
        <w:rPr>
          <w:rStyle w:val="Strong"/>
          <w:rFonts w:asciiTheme="minorBidi" w:eastAsiaTheme="majorEastAsia" w:hAnsiTheme="minorBidi" w:cstheme="minorBidi"/>
          <w:sz w:val="22"/>
          <w:szCs w:val="22"/>
        </w:rPr>
        <w:t>Green urban planning with equity safeguards.</w:t>
      </w:r>
      <w:r w:rsidRPr="00BC0B86">
        <w:rPr>
          <w:rFonts w:asciiTheme="minorBidi" w:hAnsiTheme="minorBidi" w:cstheme="minorBidi"/>
          <w:sz w:val="22"/>
          <w:szCs w:val="22"/>
        </w:rPr>
        <w:t xml:space="preserve"> Local low emission measures can reduce exposure and deliver rapid health gains, but GOV UK guidance and experience </w:t>
      </w:r>
      <w:r w:rsidRPr="00BC0B86">
        <w:rPr>
          <w:rFonts w:asciiTheme="minorBidi" w:hAnsiTheme="minorBidi" w:cstheme="minorBidi"/>
          <w:sz w:val="22"/>
          <w:szCs w:val="22"/>
        </w:rPr>
        <w:lastRenderedPageBreak/>
        <w:t>indicate that distributional impacts matter for feasibility. If costs fall on low income households and small firms, opposition can reduce compliance and durability. Equity safeguards such as targeted grants, scrappage support, better public transport, and phased implementation make clean air interventions more legitimate and effective</w:t>
      </w:r>
      <w:r w:rsidR="001A0921" w:rsidRPr="00BC0B86">
        <w:rPr>
          <w:rFonts w:asciiTheme="minorBidi" w:hAnsiTheme="minorBidi" w:cstheme="minorBidi"/>
          <w:sz w:val="22"/>
          <w:szCs w:val="22"/>
        </w:rPr>
        <w:t xml:space="preserve"> (Chimukuche </w:t>
      </w:r>
      <w:r w:rsidR="001A0921" w:rsidRPr="00BC0B86">
        <w:rPr>
          <w:rFonts w:asciiTheme="minorBidi" w:hAnsiTheme="minorBidi" w:cstheme="minorBidi"/>
          <w:i/>
          <w:iCs/>
          <w:sz w:val="22"/>
          <w:szCs w:val="22"/>
        </w:rPr>
        <w:t>et al.</w:t>
      </w:r>
      <w:r w:rsidR="001A0921" w:rsidRPr="00BC0B86">
        <w:rPr>
          <w:rFonts w:asciiTheme="minorBidi" w:hAnsiTheme="minorBidi" w:cstheme="minorBidi"/>
          <w:sz w:val="22"/>
          <w:szCs w:val="22"/>
        </w:rPr>
        <w:t>, 2025)</w:t>
      </w:r>
      <w:r w:rsidRPr="00BC0B86">
        <w:rPr>
          <w:rFonts w:asciiTheme="minorBidi" w:hAnsiTheme="minorBidi" w:cstheme="minorBidi"/>
          <w:sz w:val="22"/>
          <w:szCs w:val="22"/>
        </w:rPr>
        <w:t>.</w:t>
      </w:r>
    </w:p>
    <w:p w14:paraId="038350E8" w14:textId="75C3AEB2" w:rsidR="00E2136B" w:rsidRPr="00BC0B86" w:rsidRDefault="00E2136B" w:rsidP="00BC0B86">
      <w:pPr>
        <w:pStyle w:val="Heading1"/>
        <w:numPr>
          <w:ilvl w:val="0"/>
          <w:numId w:val="19"/>
        </w:numPr>
        <w:spacing w:line="360" w:lineRule="auto"/>
        <w:jc w:val="both"/>
        <w:rPr>
          <w:rFonts w:asciiTheme="minorBidi" w:eastAsia="Times New Roman" w:hAnsiTheme="minorBidi" w:cstheme="minorBidi"/>
          <w:sz w:val="22"/>
          <w:szCs w:val="22"/>
          <w:lang w:eastAsia="en-GB"/>
        </w:rPr>
      </w:pPr>
      <w:bookmarkStart w:id="13" w:name="_Toc222758400"/>
      <w:r w:rsidRPr="00BC0B86">
        <w:rPr>
          <w:rFonts w:asciiTheme="minorBidi" w:eastAsia="Times New Roman" w:hAnsiTheme="minorBidi" w:cstheme="minorBidi"/>
          <w:sz w:val="22"/>
          <w:szCs w:val="22"/>
          <w:lang w:eastAsia="en-GB"/>
        </w:rPr>
        <w:t>Conclusion</w:t>
      </w:r>
      <w:bookmarkEnd w:id="13"/>
      <w:r w:rsidRPr="00BC0B86">
        <w:rPr>
          <w:rFonts w:asciiTheme="minorBidi" w:eastAsia="Times New Roman" w:hAnsiTheme="minorBidi" w:cstheme="minorBidi"/>
          <w:sz w:val="22"/>
          <w:szCs w:val="22"/>
          <w:lang w:eastAsia="en-GB"/>
        </w:rPr>
        <w:t xml:space="preserve"> </w:t>
      </w:r>
    </w:p>
    <w:p w14:paraId="5F1CBE57" w14:textId="00F42A74" w:rsidR="005E5ADD" w:rsidRDefault="00CE2A46" w:rsidP="00BC0B86">
      <w:pPr>
        <w:pStyle w:val="NormalWeb"/>
        <w:spacing w:line="360" w:lineRule="auto"/>
        <w:jc w:val="both"/>
        <w:rPr>
          <w:rFonts w:asciiTheme="minorBidi" w:hAnsiTheme="minorBidi" w:cstheme="minorBidi"/>
          <w:sz w:val="22"/>
          <w:szCs w:val="22"/>
        </w:rPr>
      </w:pPr>
      <w:r w:rsidRPr="00CE2A46">
        <w:rPr>
          <w:rFonts w:asciiTheme="minorBidi" w:hAnsiTheme="minorBidi" w:cstheme="minorBidi"/>
          <w:sz w:val="22"/>
          <w:szCs w:val="22"/>
        </w:rPr>
        <w:t>SDG 13 and SDG 3 are interconnected as climate change significantly contributes to disease, mortality, and disparate wellbeing both directly and indirectly. Climate hazards are rising and health harms are expected to rise, and SDG 3 gains will remain tenuous until SDG 13 progress is made simultaneously. Universal health coverage agendas, mental health action plans, and the Paris Agreement are global strategies, but accountability is limited by inequities in financing, inconsistent capacity, and political rivalry. In SDG 3, the major weakness is the ongoing focus on treatment, particularly mental health, whereas prevention and early intervention are underfunded. UK reforms increase access but need more workforce to prevent bottlenecks. India is ambitious, yet governance is paramount. In the case of SDG 13, there are improvements, but gaps in monitoring remain.</w:t>
      </w:r>
    </w:p>
    <w:p w14:paraId="7464A828" w14:textId="77777777" w:rsidR="005E5ADD" w:rsidRDefault="005E5ADD" w:rsidP="00BC0B86">
      <w:pPr>
        <w:pStyle w:val="NormalWeb"/>
        <w:spacing w:line="360" w:lineRule="auto"/>
        <w:jc w:val="both"/>
        <w:rPr>
          <w:rFonts w:asciiTheme="minorBidi" w:hAnsiTheme="minorBidi" w:cstheme="minorBidi"/>
          <w:sz w:val="22"/>
          <w:szCs w:val="22"/>
        </w:rPr>
      </w:pPr>
    </w:p>
    <w:p w14:paraId="1E522FEB" w14:textId="77777777" w:rsidR="005E5ADD" w:rsidRDefault="005E5ADD" w:rsidP="00BC0B86">
      <w:pPr>
        <w:pStyle w:val="NormalWeb"/>
        <w:spacing w:line="360" w:lineRule="auto"/>
        <w:jc w:val="both"/>
        <w:rPr>
          <w:rFonts w:asciiTheme="minorBidi" w:hAnsiTheme="minorBidi" w:cstheme="minorBidi"/>
          <w:sz w:val="22"/>
          <w:szCs w:val="22"/>
        </w:rPr>
      </w:pPr>
    </w:p>
    <w:p w14:paraId="6A2B9AC9" w14:textId="77777777" w:rsidR="005E5ADD" w:rsidRDefault="005E5ADD" w:rsidP="00BC0B86">
      <w:pPr>
        <w:pStyle w:val="NormalWeb"/>
        <w:spacing w:line="360" w:lineRule="auto"/>
        <w:jc w:val="both"/>
        <w:rPr>
          <w:rFonts w:asciiTheme="minorBidi" w:hAnsiTheme="minorBidi" w:cstheme="minorBidi"/>
          <w:sz w:val="22"/>
          <w:szCs w:val="22"/>
        </w:rPr>
      </w:pPr>
    </w:p>
    <w:p w14:paraId="47FBF1DB" w14:textId="77777777" w:rsidR="005E5ADD" w:rsidRDefault="005E5ADD" w:rsidP="00BC0B86">
      <w:pPr>
        <w:pStyle w:val="NormalWeb"/>
        <w:spacing w:line="360" w:lineRule="auto"/>
        <w:jc w:val="both"/>
        <w:rPr>
          <w:rFonts w:asciiTheme="minorBidi" w:hAnsiTheme="minorBidi" w:cstheme="minorBidi"/>
          <w:sz w:val="22"/>
          <w:szCs w:val="22"/>
        </w:rPr>
      </w:pPr>
    </w:p>
    <w:p w14:paraId="368A0D4F" w14:textId="77777777" w:rsidR="005E5ADD" w:rsidRDefault="005E5ADD" w:rsidP="00BC0B86">
      <w:pPr>
        <w:pStyle w:val="NormalWeb"/>
        <w:spacing w:line="360" w:lineRule="auto"/>
        <w:jc w:val="both"/>
        <w:rPr>
          <w:rFonts w:asciiTheme="minorBidi" w:hAnsiTheme="minorBidi" w:cstheme="minorBidi"/>
          <w:sz w:val="22"/>
          <w:szCs w:val="22"/>
        </w:rPr>
      </w:pPr>
    </w:p>
    <w:p w14:paraId="049066E7" w14:textId="77777777" w:rsidR="005E5ADD" w:rsidRDefault="005E5ADD" w:rsidP="00BC0B86">
      <w:pPr>
        <w:pStyle w:val="NormalWeb"/>
        <w:spacing w:line="360" w:lineRule="auto"/>
        <w:jc w:val="both"/>
        <w:rPr>
          <w:rFonts w:asciiTheme="minorBidi" w:hAnsiTheme="minorBidi" w:cstheme="minorBidi"/>
          <w:sz w:val="22"/>
          <w:szCs w:val="22"/>
        </w:rPr>
      </w:pPr>
    </w:p>
    <w:p w14:paraId="479E1B02" w14:textId="77777777" w:rsidR="005E5ADD" w:rsidRDefault="005E5ADD" w:rsidP="00BC0B86">
      <w:pPr>
        <w:pStyle w:val="NormalWeb"/>
        <w:spacing w:line="360" w:lineRule="auto"/>
        <w:jc w:val="both"/>
        <w:rPr>
          <w:rFonts w:asciiTheme="minorBidi" w:hAnsiTheme="minorBidi" w:cstheme="minorBidi"/>
          <w:sz w:val="22"/>
          <w:szCs w:val="22"/>
        </w:rPr>
      </w:pPr>
    </w:p>
    <w:p w14:paraId="46FF920D" w14:textId="77777777" w:rsidR="005E5ADD" w:rsidRDefault="005E5ADD" w:rsidP="00BC0B86">
      <w:pPr>
        <w:pStyle w:val="NormalWeb"/>
        <w:spacing w:line="360" w:lineRule="auto"/>
        <w:jc w:val="both"/>
        <w:rPr>
          <w:rFonts w:asciiTheme="minorBidi" w:hAnsiTheme="minorBidi" w:cstheme="minorBidi"/>
          <w:sz w:val="22"/>
          <w:szCs w:val="22"/>
        </w:rPr>
      </w:pPr>
    </w:p>
    <w:p w14:paraId="7D0049DD" w14:textId="77777777" w:rsidR="005E5ADD" w:rsidRDefault="005E5ADD" w:rsidP="00BC0B86">
      <w:pPr>
        <w:pStyle w:val="NormalWeb"/>
        <w:spacing w:line="360" w:lineRule="auto"/>
        <w:jc w:val="both"/>
        <w:rPr>
          <w:rFonts w:asciiTheme="minorBidi" w:hAnsiTheme="minorBidi" w:cstheme="minorBidi"/>
          <w:sz w:val="22"/>
          <w:szCs w:val="22"/>
        </w:rPr>
      </w:pPr>
    </w:p>
    <w:p w14:paraId="2DEDECA4" w14:textId="77777777" w:rsidR="005E5ADD" w:rsidRPr="00BC0B86" w:rsidRDefault="005E5ADD" w:rsidP="00BC0B86">
      <w:pPr>
        <w:pStyle w:val="NormalWeb"/>
        <w:spacing w:line="360" w:lineRule="auto"/>
        <w:jc w:val="both"/>
        <w:rPr>
          <w:rFonts w:asciiTheme="minorBidi" w:hAnsiTheme="minorBidi" w:cstheme="minorBidi"/>
          <w:sz w:val="22"/>
          <w:szCs w:val="22"/>
        </w:rPr>
      </w:pPr>
    </w:p>
    <w:p w14:paraId="2B3407A1" w14:textId="7A8FB7B2" w:rsidR="00E2136B" w:rsidRPr="00BC0B86" w:rsidRDefault="001A0921" w:rsidP="00BC0B86">
      <w:pPr>
        <w:pStyle w:val="Heading1"/>
        <w:numPr>
          <w:ilvl w:val="0"/>
          <w:numId w:val="19"/>
        </w:numPr>
        <w:spacing w:line="360" w:lineRule="auto"/>
        <w:jc w:val="both"/>
        <w:rPr>
          <w:rFonts w:asciiTheme="minorBidi" w:hAnsiTheme="minorBidi" w:cstheme="minorBidi"/>
          <w:sz w:val="22"/>
          <w:szCs w:val="22"/>
          <w:lang w:val="en-GB"/>
        </w:rPr>
      </w:pPr>
      <w:bookmarkStart w:id="14" w:name="_Toc222758401"/>
      <w:r w:rsidRPr="00BC0B86">
        <w:rPr>
          <w:rFonts w:asciiTheme="minorBidi" w:hAnsiTheme="minorBidi" w:cstheme="minorBidi"/>
          <w:sz w:val="22"/>
          <w:szCs w:val="22"/>
          <w:lang w:val="en-GB"/>
        </w:rPr>
        <w:lastRenderedPageBreak/>
        <w:t>References</w:t>
      </w:r>
      <w:bookmarkEnd w:id="14"/>
    </w:p>
    <w:p w14:paraId="677A1526"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Akompab, D. </w:t>
      </w:r>
      <w:r w:rsidRPr="00BC0B86">
        <w:rPr>
          <w:rFonts w:asciiTheme="minorBidi" w:hAnsiTheme="minorBidi" w:cstheme="minorBidi"/>
          <w:i/>
          <w:iCs/>
          <w:sz w:val="22"/>
          <w:szCs w:val="22"/>
        </w:rPr>
        <w:t>et al.</w:t>
      </w:r>
      <w:r w:rsidRPr="00BC0B86">
        <w:rPr>
          <w:rFonts w:asciiTheme="minorBidi" w:hAnsiTheme="minorBidi" w:cstheme="minorBidi"/>
          <w:sz w:val="22"/>
          <w:szCs w:val="22"/>
        </w:rPr>
        <w:t xml:space="preserve"> (2013) ‘Heat Waves and Climate Change: Applying the Health Belief Model to Identify Predictors of Risk Perception and Adaptive Behaviours in Adelaide, Australia’, </w:t>
      </w:r>
      <w:r w:rsidRPr="00BC0B86">
        <w:rPr>
          <w:rFonts w:asciiTheme="minorBidi" w:hAnsiTheme="minorBidi" w:cstheme="minorBidi"/>
          <w:i/>
          <w:iCs/>
          <w:sz w:val="22"/>
          <w:szCs w:val="22"/>
        </w:rPr>
        <w:t>International Journal of Environmental Research and Public Health</w:t>
      </w:r>
      <w:r w:rsidRPr="00BC0B86">
        <w:rPr>
          <w:rFonts w:asciiTheme="minorBidi" w:hAnsiTheme="minorBidi" w:cstheme="minorBidi"/>
          <w:sz w:val="22"/>
          <w:szCs w:val="22"/>
        </w:rPr>
        <w:t>, 10(6), pp. 2164–2184. Available at: https://doi.org/10.3390/ijerph10062164.</w:t>
      </w:r>
    </w:p>
    <w:p w14:paraId="518A3123"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Baig, F. </w:t>
      </w:r>
      <w:r w:rsidRPr="00BC0B86">
        <w:rPr>
          <w:rFonts w:asciiTheme="minorBidi" w:hAnsiTheme="minorBidi" w:cstheme="minorBidi"/>
          <w:i/>
          <w:iCs/>
          <w:sz w:val="22"/>
          <w:szCs w:val="22"/>
        </w:rPr>
        <w:t>et al.</w:t>
      </w:r>
      <w:r w:rsidRPr="00BC0B86">
        <w:rPr>
          <w:rFonts w:asciiTheme="minorBidi" w:hAnsiTheme="minorBidi" w:cstheme="minorBidi"/>
          <w:sz w:val="22"/>
          <w:szCs w:val="22"/>
        </w:rPr>
        <w:t xml:space="preserve"> (2025) ‘Synergies and struggles: Water security and climate action in South Asia’s quest for SDG 6 and SDG 13’, </w:t>
      </w:r>
      <w:r w:rsidRPr="00BC0B86">
        <w:rPr>
          <w:rFonts w:asciiTheme="minorBidi" w:hAnsiTheme="minorBidi" w:cstheme="minorBidi"/>
          <w:i/>
          <w:iCs/>
          <w:sz w:val="22"/>
          <w:szCs w:val="22"/>
        </w:rPr>
        <w:t>Gondwana Research</w:t>
      </w:r>
      <w:r w:rsidRPr="00BC0B86">
        <w:rPr>
          <w:rFonts w:asciiTheme="minorBidi" w:hAnsiTheme="minorBidi" w:cstheme="minorBidi"/>
          <w:sz w:val="22"/>
          <w:szCs w:val="22"/>
        </w:rPr>
        <w:t>, 148, pp. 393–414. Available at: https://doi.org/10.1016/j.gr.2025.07.022.</w:t>
      </w:r>
    </w:p>
    <w:p w14:paraId="3D8BFFDB"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Chakraborty, P. (2026) </w:t>
      </w:r>
      <w:r w:rsidRPr="00BC0B86">
        <w:rPr>
          <w:rFonts w:asciiTheme="minorBidi" w:hAnsiTheme="minorBidi" w:cstheme="minorBidi"/>
          <w:i/>
          <w:iCs/>
          <w:sz w:val="22"/>
          <w:szCs w:val="22"/>
        </w:rPr>
        <w:t>Fake Ayushman Bharat claims cleared</w:t>
      </w:r>
      <w:r w:rsidRPr="00BC0B86">
        <w:rPr>
          <w:rFonts w:asciiTheme="minorBidi" w:hAnsiTheme="minorBidi" w:cstheme="minorBidi"/>
          <w:sz w:val="22"/>
          <w:szCs w:val="22"/>
        </w:rPr>
        <w:t xml:space="preserve">, </w:t>
      </w:r>
      <w:r w:rsidRPr="00BC0B86">
        <w:rPr>
          <w:rFonts w:asciiTheme="minorBidi" w:hAnsiTheme="minorBidi" w:cstheme="minorBidi"/>
          <w:i/>
          <w:iCs/>
          <w:sz w:val="22"/>
          <w:szCs w:val="22"/>
        </w:rPr>
        <w:t>The Times of India</w:t>
      </w:r>
      <w:r w:rsidRPr="00BC0B86">
        <w:rPr>
          <w:rFonts w:asciiTheme="minorBidi" w:hAnsiTheme="minorBidi" w:cstheme="minorBidi"/>
          <w:sz w:val="22"/>
          <w:szCs w:val="22"/>
        </w:rPr>
        <w:t>. The Times Of India. Available at: https://timesofindia.indiatimes.com/city/lucknow/fake-ayushman-bharat-claims-cleared/articleshow/128524558.cms? (Accessed: 23 February 2026).</w:t>
      </w:r>
    </w:p>
    <w:p w14:paraId="3EE33CDD"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Chimukuche, R.S. </w:t>
      </w:r>
      <w:r w:rsidRPr="00BC0B86">
        <w:rPr>
          <w:rFonts w:asciiTheme="minorBidi" w:hAnsiTheme="minorBidi" w:cstheme="minorBidi"/>
          <w:i/>
          <w:iCs/>
          <w:sz w:val="22"/>
          <w:szCs w:val="22"/>
        </w:rPr>
        <w:t>et al.</w:t>
      </w:r>
      <w:r w:rsidRPr="00BC0B86">
        <w:rPr>
          <w:rFonts w:asciiTheme="minorBidi" w:hAnsiTheme="minorBidi" w:cstheme="minorBidi"/>
          <w:sz w:val="22"/>
          <w:szCs w:val="22"/>
        </w:rPr>
        <w:t xml:space="preserve"> (2025) ‘Challenges and opportunities in achieving sustainable development goal 3 in KwaZulu-Natal: reflections from a research institute, South Africa’, </w:t>
      </w:r>
      <w:r w:rsidRPr="00BC0B86">
        <w:rPr>
          <w:rFonts w:asciiTheme="minorBidi" w:hAnsiTheme="minorBidi" w:cstheme="minorBidi"/>
          <w:i/>
          <w:iCs/>
          <w:sz w:val="22"/>
          <w:szCs w:val="22"/>
        </w:rPr>
        <w:t>BMC Public Health</w:t>
      </w:r>
      <w:r w:rsidRPr="00BC0B86">
        <w:rPr>
          <w:rFonts w:asciiTheme="minorBidi" w:hAnsiTheme="minorBidi" w:cstheme="minorBidi"/>
          <w:sz w:val="22"/>
          <w:szCs w:val="22"/>
        </w:rPr>
        <w:t>, 25(1). Available at: https://doi.org/10.1186/s12889-025-24306-7.</w:t>
      </w:r>
    </w:p>
    <w:p w14:paraId="2EA2CEFD"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Collins, T. </w:t>
      </w:r>
      <w:r w:rsidRPr="00BC0B86">
        <w:rPr>
          <w:rFonts w:asciiTheme="minorBidi" w:hAnsiTheme="minorBidi" w:cstheme="minorBidi"/>
          <w:i/>
          <w:iCs/>
          <w:sz w:val="22"/>
          <w:szCs w:val="22"/>
        </w:rPr>
        <w:t>et al.</w:t>
      </w:r>
      <w:r w:rsidRPr="00BC0B86">
        <w:rPr>
          <w:rFonts w:asciiTheme="minorBidi" w:hAnsiTheme="minorBidi" w:cstheme="minorBidi"/>
          <w:sz w:val="22"/>
          <w:szCs w:val="22"/>
        </w:rPr>
        <w:t xml:space="preserve"> (2023) ‘Converging global health agendas and universal health coverage: financing whole-of-government action through UHC+’, </w:t>
      </w:r>
      <w:r w:rsidRPr="00BC0B86">
        <w:rPr>
          <w:rFonts w:asciiTheme="minorBidi" w:hAnsiTheme="minorBidi" w:cstheme="minorBidi"/>
          <w:i/>
          <w:iCs/>
          <w:sz w:val="22"/>
          <w:szCs w:val="22"/>
        </w:rPr>
        <w:t>The Lancet Global Health</w:t>
      </w:r>
      <w:r w:rsidRPr="00BC0B86">
        <w:rPr>
          <w:rFonts w:asciiTheme="minorBidi" w:hAnsiTheme="minorBidi" w:cstheme="minorBidi"/>
          <w:sz w:val="22"/>
          <w:szCs w:val="22"/>
        </w:rPr>
        <w:t>, 11(12), pp. e1978–e1985. Available at: https://doi.org/10.1016/s2214-109x(23)00489-8.</w:t>
      </w:r>
    </w:p>
    <w:p w14:paraId="36EB9E8C"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Dokshin, F.A. (2024) ‘Assessing potential for policy feedback from renewable energy incentive programs’, </w:t>
      </w:r>
      <w:r w:rsidRPr="00BC0B86">
        <w:rPr>
          <w:rFonts w:asciiTheme="minorBidi" w:hAnsiTheme="minorBidi" w:cstheme="minorBidi"/>
          <w:i/>
          <w:iCs/>
          <w:sz w:val="22"/>
          <w:szCs w:val="22"/>
        </w:rPr>
        <w:t>Climate Action</w:t>
      </w:r>
      <w:r w:rsidRPr="00BC0B86">
        <w:rPr>
          <w:rFonts w:asciiTheme="minorBidi" w:hAnsiTheme="minorBidi" w:cstheme="minorBidi"/>
          <w:sz w:val="22"/>
          <w:szCs w:val="22"/>
        </w:rPr>
        <w:t>, 3(1). Available at: https://doi.org/10.1038/s44168-024-00164-8.</w:t>
      </w:r>
    </w:p>
    <w:p w14:paraId="082E2426"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Gkouliaveras, V. </w:t>
      </w:r>
      <w:r w:rsidRPr="00BC0B86">
        <w:rPr>
          <w:rFonts w:asciiTheme="minorBidi" w:hAnsiTheme="minorBidi" w:cstheme="minorBidi"/>
          <w:i/>
          <w:iCs/>
          <w:sz w:val="22"/>
          <w:szCs w:val="22"/>
        </w:rPr>
        <w:t>et al.</w:t>
      </w:r>
      <w:r w:rsidRPr="00BC0B86">
        <w:rPr>
          <w:rFonts w:asciiTheme="minorBidi" w:hAnsiTheme="minorBidi" w:cstheme="minorBidi"/>
          <w:sz w:val="22"/>
          <w:szCs w:val="22"/>
        </w:rPr>
        <w:t xml:space="preserve"> (2025) ‘Effects of Climate Change on Health and Health Systems: A Systematic Review of Preparedness, Resilience, and Challenges’, </w:t>
      </w:r>
      <w:r w:rsidRPr="00BC0B86">
        <w:rPr>
          <w:rFonts w:asciiTheme="minorBidi" w:hAnsiTheme="minorBidi" w:cstheme="minorBidi"/>
          <w:i/>
          <w:iCs/>
          <w:sz w:val="22"/>
          <w:szCs w:val="22"/>
        </w:rPr>
        <w:t>International Journal of Environmental Research and Public Health</w:t>
      </w:r>
      <w:r w:rsidRPr="00BC0B86">
        <w:rPr>
          <w:rFonts w:asciiTheme="minorBidi" w:hAnsiTheme="minorBidi" w:cstheme="minorBidi"/>
          <w:sz w:val="22"/>
          <w:szCs w:val="22"/>
        </w:rPr>
        <w:t>, 22(2), p. 232. Available at: https://doi.org/10.3390/ijerph22020232.</w:t>
      </w:r>
    </w:p>
    <w:p w14:paraId="6D2D7DA0"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Gov UK (2021) </w:t>
      </w:r>
      <w:r w:rsidRPr="00BC0B86">
        <w:rPr>
          <w:rFonts w:asciiTheme="minorBidi" w:hAnsiTheme="minorBidi" w:cstheme="minorBidi"/>
          <w:i/>
          <w:iCs/>
          <w:sz w:val="22"/>
          <w:szCs w:val="22"/>
        </w:rPr>
        <w:t>Net Zero Strategy: Build Back Greener</w:t>
      </w:r>
      <w:r w:rsidRPr="00BC0B86">
        <w:rPr>
          <w:rFonts w:asciiTheme="minorBidi" w:hAnsiTheme="minorBidi" w:cstheme="minorBidi"/>
          <w:sz w:val="22"/>
          <w:szCs w:val="22"/>
        </w:rPr>
        <w:t xml:space="preserve">, </w:t>
      </w:r>
      <w:r w:rsidRPr="00BC0B86">
        <w:rPr>
          <w:rFonts w:asciiTheme="minorBidi" w:hAnsiTheme="minorBidi" w:cstheme="minorBidi"/>
          <w:i/>
          <w:iCs/>
          <w:sz w:val="22"/>
          <w:szCs w:val="22"/>
        </w:rPr>
        <w:t>GOV.UK</w:t>
      </w:r>
      <w:r w:rsidRPr="00BC0B86">
        <w:rPr>
          <w:rFonts w:asciiTheme="minorBidi" w:hAnsiTheme="minorBidi" w:cstheme="minorBidi"/>
          <w:sz w:val="22"/>
          <w:szCs w:val="22"/>
        </w:rPr>
        <w:t>. Available at: https://www.gov.uk/government/publications/net-zero-strategy (Accessed: 23 February 2026).</w:t>
      </w:r>
    </w:p>
    <w:p w14:paraId="05394955"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Grewal, H. </w:t>
      </w:r>
      <w:r w:rsidRPr="00BC0B86">
        <w:rPr>
          <w:rFonts w:asciiTheme="minorBidi" w:hAnsiTheme="minorBidi" w:cstheme="minorBidi"/>
          <w:i/>
          <w:iCs/>
          <w:sz w:val="22"/>
          <w:szCs w:val="22"/>
        </w:rPr>
        <w:t>et al.</w:t>
      </w:r>
      <w:r w:rsidRPr="00BC0B86">
        <w:rPr>
          <w:rFonts w:asciiTheme="minorBidi" w:hAnsiTheme="minorBidi" w:cstheme="minorBidi"/>
          <w:sz w:val="22"/>
          <w:szCs w:val="22"/>
        </w:rPr>
        <w:t xml:space="preserve"> (2023) ‘Universal Health Care System in India: An In-Depth Examination of the Ayushman Bharat Initiative’, </w:t>
      </w:r>
      <w:r w:rsidRPr="00BC0B86">
        <w:rPr>
          <w:rFonts w:asciiTheme="minorBidi" w:hAnsiTheme="minorBidi" w:cstheme="minorBidi"/>
          <w:i/>
          <w:iCs/>
          <w:sz w:val="22"/>
          <w:szCs w:val="22"/>
        </w:rPr>
        <w:t>Cureus</w:t>
      </w:r>
      <w:r w:rsidRPr="00BC0B86">
        <w:rPr>
          <w:rFonts w:asciiTheme="minorBidi" w:hAnsiTheme="minorBidi" w:cstheme="minorBidi"/>
          <w:sz w:val="22"/>
          <w:szCs w:val="22"/>
        </w:rPr>
        <w:t>, 15(6). Available at: https://doi.org/10.7759/cureus.40733.</w:t>
      </w:r>
    </w:p>
    <w:p w14:paraId="01BEEC11"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Horton, H. (2024) </w:t>
      </w:r>
      <w:r w:rsidRPr="00BC0B86">
        <w:rPr>
          <w:rFonts w:asciiTheme="minorBidi" w:hAnsiTheme="minorBidi" w:cstheme="minorBidi"/>
          <w:i/>
          <w:iCs/>
          <w:sz w:val="22"/>
          <w:szCs w:val="22"/>
        </w:rPr>
        <w:t>Britain’s climate action plan unlawful, high court rules</w:t>
      </w:r>
      <w:r w:rsidRPr="00BC0B86">
        <w:rPr>
          <w:rFonts w:asciiTheme="minorBidi" w:hAnsiTheme="minorBidi" w:cstheme="minorBidi"/>
          <w:sz w:val="22"/>
          <w:szCs w:val="22"/>
        </w:rPr>
        <w:t xml:space="preserve">, </w:t>
      </w:r>
      <w:r w:rsidRPr="00BC0B86">
        <w:rPr>
          <w:rFonts w:asciiTheme="minorBidi" w:hAnsiTheme="minorBidi" w:cstheme="minorBidi"/>
          <w:i/>
          <w:iCs/>
          <w:sz w:val="22"/>
          <w:szCs w:val="22"/>
        </w:rPr>
        <w:t>the Guardian</w:t>
      </w:r>
      <w:r w:rsidRPr="00BC0B86">
        <w:rPr>
          <w:rFonts w:asciiTheme="minorBidi" w:hAnsiTheme="minorBidi" w:cstheme="minorBidi"/>
          <w:sz w:val="22"/>
          <w:szCs w:val="22"/>
        </w:rPr>
        <w:t xml:space="preserve">. The Guardian. Available at: </w:t>
      </w:r>
      <w:r w:rsidRPr="00BC0B86">
        <w:rPr>
          <w:rFonts w:asciiTheme="minorBidi" w:hAnsiTheme="minorBidi" w:cstheme="minorBidi"/>
          <w:sz w:val="22"/>
          <w:szCs w:val="22"/>
        </w:rPr>
        <w:lastRenderedPageBreak/>
        <w:t>https://www.theguardian.com/environment/article/2024/may/03/britain-climate-action-plan-unlawful-high-court (Accessed: 23 February 2026).</w:t>
      </w:r>
    </w:p>
    <w:p w14:paraId="147305C5"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Hsu, J. </w:t>
      </w:r>
      <w:r w:rsidRPr="00BC0B86">
        <w:rPr>
          <w:rFonts w:asciiTheme="minorBidi" w:hAnsiTheme="minorBidi" w:cstheme="minorBidi"/>
          <w:i/>
          <w:iCs/>
          <w:sz w:val="22"/>
          <w:szCs w:val="22"/>
        </w:rPr>
        <w:t>et al.</w:t>
      </w:r>
      <w:r w:rsidRPr="00BC0B86">
        <w:rPr>
          <w:rFonts w:asciiTheme="minorBidi" w:hAnsiTheme="minorBidi" w:cstheme="minorBidi"/>
          <w:sz w:val="22"/>
          <w:szCs w:val="22"/>
        </w:rPr>
        <w:t xml:space="preserve"> (2025) ‘What influences the impact of health financing reforms? Using qualitative comparative analysis to identify patterns in health financing systems and their effects on financial protection’, </w:t>
      </w:r>
      <w:r w:rsidRPr="00BC0B86">
        <w:rPr>
          <w:rFonts w:asciiTheme="minorBidi" w:hAnsiTheme="minorBidi" w:cstheme="minorBidi"/>
          <w:i/>
          <w:iCs/>
          <w:sz w:val="22"/>
          <w:szCs w:val="22"/>
        </w:rPr>
        <w:t>SSM - Health Systems</w:t>
      </w:r>
      <w:r w:rsidRPr="00BC0B86">
        <w:rPr>
          <w:rFonts w:asciiTheme="minorBidi" w:hAnsiTheme="minorBidi" w:cstheme="minorBidi"/>
          <w:sz w:val="22"/>
          <w:szCs w:val="22"/>
        </w:rPr>
        <w:t>, p. 100055. Available at: https://doi.org/10.1016/j.ssmhs.2025.100055.</w:t>
      </w:r>
    </w:p>
    <w:p w14:paraId="1BB115E3"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Jones, C.L. </w:t>
      </w:r>
      <w:r w:rsidRPr="00BC0B86">
        <w:rPr>
          <w:rFonts w:asciiTheme="minorBidi" w:hAnsiTheme="minorBidi" w:cstheme="minorBidi"/>
          <w:i/>
          <w:iCs/>
          <w:sz w:val="22"/>
          <w:szCs w:val="22"/>
        </w:rPr>
        <w:t>et al.</w:t>
      </w:r>
      <w:r w:rsidRPr="00BC0B86">
        <w:rPr>
          <w:rFonts w:asciiTheme="minorBidi" w:hAnsiTheme="minorBidi" w:cstheme="minorBidi"/>
          <w:sz w:val="22"/>
          <w:szCs w:val="22"/>
        </w:rPr>
        <w:t xml:space="preserve"> (2014) ‘The Health Belief Model as an Explanatory Framework in Communication Research: Exploring Parallel, Serial, and Moderated Mediation’, </w:t>
      </w:r>
      <w:r w:rsidRPr="00BC0B86">
        <w:rPr>
          <w:rFonts w:asciiTheme="minorBidi" w:hAnsiTheme="minorBidi" w:cstheme="minorBidi"/>
          <w:i/>
          <w:iCs/>
          <w:sz w:val="22"/>
          <w:szCs w:val="22"/>
        </w:rPr>
        <w:t>Health Communication</w:t>
      </w:r>
      <w:r w:rsidRPr="00BC0B86">
        <w:rPr>
          <w:rFonts w:asciiTheme="minorBidi" w:hAnsiTheme="minorBidi" w:cstheme="minorBidi"/>
          <w:sz w:val="22"/>
          <w:szCs w:val="22"/>
        </w:rPr>
        <w:t>, 30(6), pp. 566–576. Available at: https://doi.org/10.1080/10410236.2013.873363.</w:t>
      </w:r>
    </w:p>
    <w:p w14:paraId="73A15C3C"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Kirkbride, J.B. </w:t>
      </w:r>
      <w:r w:rsidRPr="00BC0B86">
        <w:rPr>
          <w:rFonts w:asciiTheme="minorBidi" w:hAnsiTheme="minorBidi" w:cstheme="minorBidi"/>
          <w:i/>
          <w:iCs/>
          <w:sz w:val="22"/>
          <w:szCs w:val="22"/>
        </w:rPr>
        <w:t>et al.</w:t>
      </w:r>
      <w:r w:rsidRPr="00BC0B86">
        <w:rPr>
          <w:rFonts w:asciiTheme="minorBidi" w:hAnsiTheme="minorBidi" w:cstheme="minorBidi"/>
          <w:sz w:val="22"/>
          <w:szCs w:val="22"/>
        </w:rPr>
        <w:t xml:space="preserve"> (2024) ‘The social determinants of mental health and disorder: Evidence, prevention and recommendations’, </w:t>
      </w:r>
      <w:r w:rsidRPr="00BC0B86">
        <w:rPr>
          <w:rFonts w:asciiTheme="minorBidi" w:hAnsiTheme="minorBidi" w:cstheme="minorBidi"/>
          <w:i/>
          <w:iCs/>
          <w:sz w:val="22"/>
          <w:szCs w:val="22"/>
        </w:rPr>
        <w:t>World Psychiatry : Official Journal of the World Psychiatric Association (WPA)</w:t>
      </w:r>
      <w:r w:rsidRPr="00BC0B86">
        <w:rPr>
          <w:rFonts w:asciiTheme="minorBidi" w:hAnsiTheme="minorBidi" w:cstheme="minorBidi"/>
          <w:sz w:val="22"/>
          <w:szCs w:val="22"/>
        </w:rPr>
        <w:t>, 23(1), pp. 58–90. Available at: https://doi.org/10.1002/wps.21160.</w:t>
      </w:r>
    </w:p>
    <w:p w14:paraId="105C6189"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Lawrence, P. and Wong, D. (2017) ‘Soft law in the Paris Climate Agreement: Strength or weakness?’, </w:t>
      </w:r>
      <w:r w:rsidRPr="00BC0B86">
        <w:rPr>
          <w:rFonts w:asciiTheme="minorBidi" w:hAnsiTheme="minorBidi" w:cstheme="minorBidi"/>
          <w:i/>
          <w:iCs/>
          <w:sz w:val="22"/>
          <w:szCs w:val="22"/>
        </w:rPr>
        <w:t>Review of European, Comparative &amp; International Environmental Law</w:t>
      </w:r>
      <w:r w:rsidRPr="00BC0B86">
        <w:rPr>
          <w:rFonts w:asciiTheme="minorBidi" w:hAnsiTheme="minorBidi" w:cstheme="minorBidi"/>
          <w:sz w:val="22"/>
          <w:szCs w:val="22"/>
        </w:rPr>
        <w:t>, 26(3), pp. 276–286. Available at: https://doi.org/10.1111/reel.12210.</w:t>
      </w:r>
    </w:p>
    <w:p w14:paraId="43168249"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Malik, A.A. </w:t>
      </w:r>
      <w:r w:rsidRPr="00BC0B86">
        <w:rPr>
          <w:rFonts w:asciiTheme="minorBidi" w:hAnsiTheme="minorBidi" w:cstheme="minorBidi"/>
          <w:i/>
          <w:iCs/>
          <w:sz w:val="22"/>
          <w:szCs w:val="22"/>
        </w:rPr>
        <w:t>et al.</w:t>
      </w:r>
      <w:r w:rsidRPr="00BC0B86">
        <w:rPr>
          <w:rFonts w:asciiTheme="minorBidi" w:hAnsiTheme="minorBidi" w:cstheme="minorBidi"/>
          <w:sz w:val="22"/>
          <w:szCs w:val="22"/>
        </w:rPr>
        <w:t xml:space="preserve"> (2023) ‘Behavioral interventions for vaccination uptake: A systematic review and meta-analysis’, </w:t>
      </w:r>
      <w:r w:rsidRPr="00BC0B86">
        <w:rPr>
          <w:rFonts w:asciiTheme="minorBidi" w:hAnsiTheme="minorBidi" w:cstheme="minorBidi"/>
          <w:i/>
          <w:iCs/>
          <w:sz w:val="22"/>
          <w:szCs w:val="22"/>
        </w:rPr>
        <w:t>Health Policy</w:t>
      </w:r>
      <w:r w:rsidRPr="00BC0B86">
        <w:rPr>
          <w:rFonts w:asciiTheme="minorBidi" w:hAnsiTheme="minorBidi" w:cstheme="minorBidi"/>
          <w:sz w:val="22"/>
          <w:szCs w:val="22"/>
        </w:rPr>
        <w:t>, 137, pp. 104894–104894. Available at: https://doi.org/10.1016/j.healthpol.2023.104894.</w:t>
      </w:r>
    </w:p>
    <w:p w14:paraId="5191093A"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NHS England (2015) </w:t>
      </w:r>
      <w:r w:rsidRPr="00BC0B86">
        <w:rPr>
          <w:rFonts w:asciiTheme="minorBidi" w:hAnsiTheme="minorBidi" w:cstheme="minorBidi"/>
          <w:i/>
          <w:iCs/>
          <w:sz w:val="22"/>
          <w:szCs w:val="22"/>
        </w:rPr>
        <w:t>NHS England» Children and young people</w:t>
      </w:r>
      <w:r w:rsidRPr="00BC0B86">
        <w:rPr>
          <w:rFonts w:asciiTheme="minorBidi" w:hAnsiTheme="minorBidi" w:cstheme="minorBidi"/>
          <w:sz w:val="22"/>
          <w:szCs w:val="22"/>
        </w:rPr>
        <w:t xml:space="preserve">, </w:t>
      </w:r>
      <w:r w:rsidRPr="00BC0B86">
        <w:rPr>
          <w:rFonts w:asciiTheme="minorBidi" w:hAnsiTheme="minorBidi" w:cstheme="minorBidi"/>
          <w:i/>
          <w:iCs/>
          <w:sz w:val="22"/>
          <w:szCs w:val="22"/>
        </w:rPr>
        <w:t>England.nhs.uk</w:t>
      </w:r>
      <w:r w:rsidRPr="00BC0B86">
        <w:rPr>
          <w:rFonts w:asciiTheme="minorBidi" w:hAnsiTheme="minorBidi" w:cstheme="minorBidi"/>
          <w:sz w:val="22"/>
          <w:szCs w:val="22"/>
        </w:rPr>
        <w:t>. NHS England. Available at: https://www.england.nhs.uk/mental-health/cyp/ (Accessed: 23 February 2026).</w:t>
      </w:r>
    </w:p>
    <w:p w14:paraId="441BE6B0"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NHS England (2024) </w:t>
      </w:r>
      <w:r w:rsidRPr="00BC0B86">
        <w:rPr>
          <w:rFonts w:asciiTheme="minorBidi" w:hAnsiTheme="minorBidi" w:cstheme="minorBidi"/>
          <w:i/>
          <w:iCs/>
          <w:sz w:val="22"/>
          <w:szCs w:val="22"/>
        </w:rPr>
        <w:t>NHS England» NHS 111 Offering Crisis Mental Health Support for the First Time</w:t>
      </w:r>
      <w:r w:rsidRPr="00BC0B86">
        <w:rPr>
          <w:rFonts w:asciiTheme="minorBidi" w:hAnsiTheme="minorBidi" w:cstheme="minorBidi"/>
          <w:sz w:val="22"/>
          <w:szCs w:val="22"/>
        </w:rPr>
        <w:t xml:space="preserve">, </w:t>
      </w:r>
      <w:r w:rsidRPr="00BC0B86">
        <w:rPr>
          <w:rFonts w:asciiTheme="minorBidi" w:hAnsiTheme="minorBidi" w:cstheme="minorBidi"/>
          <w:i/>
          <w:iCs/>
          <w:sz w:val="22"/>
          <w:szCs w:val="22"/>
        </w:rPr>
        <w:t>England.nhs.uk</w:t>
      </w:r>
      <w:r w:rsidRPr="00BC0B86">
        <w:rPr>
          <w:rFonts w:asciiTheme="minorBidi" w:hAnsiTheme="minorBidi" w:cstheme="minorBidi"/>
          <w:sz w:val="22"/>
          <w:szCs w:val="22"/>
        </w:rPr>
        <w:t>. Available at: https://www.england.nhs.uk/2024/08/nhs-111-offering-crisis-mental-health-support-for-the-first-time/ (Accessed: 23 February 2026).</w:t>
      </w:r>
    </w:p>
    <w:p w14:paraId="7D6DC7FF"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Pandve, H.T. (2017) ‘India′s National Action Plan on Climate Change’, </w:t>
      </w:r>
      <w:r w:rsidRPr="00BC0B86">
        <w:rPr>
          <w:rFonts w:asciiTheme="minorBidi" w:hAnsiTheme="minorBidi" w:cstheme="minorBidi"/>
          <w:i/>
          <w:iCs/>
          <w:sz w:val="22"/>
          <w:szCs w:val="22"/>
        </w:rPr>
        <w:t>Indian Journal of Occupational and Environmental Medicine</w:t>
      </w:r>
      <w:r w:rsidRPr="00BC0B86">
        <w:rPr>
          <w:rFonts w:asciiTheme="minorBidi" w:hAnsiTheme="minorBidi" w:cstheme="minorBidi"/>
          <w:sz w:val="22"/>
          <w:szCs w:val="22"/>
        </w:rPr>
        <w:t>, 13(1), p. 17. Available at: https://doi.org/10.4103/0019-5278.50718.</w:t>
      </w:r>
    </w:p>
    <w:p w14:paraId="779E8E93"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Prieto-Rodriguez, J. </w:t>
      </w:r>
      <w:r w:rsidRPr="00BC0B86">
        <w:rPr>
          <w:rFonts w:asciiTheme="minorBidi" w:hAnsiTheme="minorBidi" w:cstheme="minorBidi"/>
          <w:i/>
          <w:iCs/>
          <w:sz w:val="22"/>
          <w:szCs w:val="22"/>
        </w:rPr>
        <w:t>et al.</w:t>
      </w:r>
      <w:r w:rsidRPr="00BC0B86">
        <w:rPr>
          <w:rFonts w:asciiTheme="minorBidi" w:hAnsiTheme="minorBidi" w:cstheme="minorBidi"/>
          <w:sz w:val="22"/>
          <w:szCs w:val="22"/>
        </w:rPr>
        <w:t xml:space="preserve"> (2022) ‘Impact of London Toxicity Charge and Ultra Low Emission Zone on NO2’, </w:t>
      </w:r>
      <w:r w:rsidRPr="00BC0B86">
        <w:rPr>
          <w:rFonts w:asciiTheme="minorBidi" w:hAnsiTheme="minorBidi" w:cstheme="minorBidi"/>
          <w:i/>
          <w:iCs/>
          <w:sz w:val="22"/>
          <w:szCs w:val="22"/>
        </w:rPr>
        <w:t>Transport Policy</w:t>
      </w:r>
      <w:r w:rsidRPr="00BC0B86">
        <w:rPr>
          <w:rFonts w:asciiTheme="minorBidi" w:hAnsiTheme="minorBidi" w:cstheme="minorBidi"/>
          <w:sz w:val="22"/>
          <w:szCs w:val="22"/>
        </w:rPr>
        <w:t>, 129, pp. 237–247. Available at: https://doi.org/10.1016/j.tranpol.2022.10.010.</w:t>
      </w:r>
    </w:p>
    <w:p w14:paraId="18D090DF"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lastRenderedPageBreak/>
        <w:t xml:space="preserve">Salihu, H.M. </w:t>
      </w:r>
      <w:r w:rsidRPr="00BC0B86">
        <w:rPr>
          <w:rFonts w:asciiTheme="minorBidi" w:hAnsiTheme="minorBidi" w:cstheme="minorBidi"/>
          <w:i/>
          <w:iCs/>
          <w:sz w:val="22"/>
          <w:szCs w:val="22"/>
        </w:rPr>
        <w:t>et al.</w:t>
      </w:r>
      <w:r w:rsidRPr="00BC0B86">
        <w:rPr>
          <w:rFonts w:asciiTheme="minorBidi" w:hAnsiTheme="minorBidi" w:cstheme="minorBidi"/>
          <w:sz w:val="22"/>
          <w:szCs w:val="22"/>
        </w:rPr>
        <w:t xml:space="preserve"> (2015) ‘Socio-ecological Model as a Framework for Overcoming Barriers and Challenges in Randomized Control Trials in Minority and Underserved Communities’, </w:t>
      </w:r>
      <w:r w:rsidRPr="00BC0B86">
        <w:rPr>
          <w:rFonts w:asciiTheme="minorBidi" w:hAnsiTheme="minorBidi" w:cstheme="minorBidi"/>
          <w:i/>
          <w:iCs/>
          <w:sz w:val="22"/>
          <w:szCs w:val="22"/>
        </w:rPr>
        <w:t>International Journal of MCH and AIDS</w:t>
      </w:r>
      <w:r w:rsidRPr="00BC0B86">
        <w:rPr>
          <w:rFonts w:asciiTheme="minorBidi" w:hAnsiTheme="minorBidi" w:cstheme="minorBidi"/>
          <w:sz w:val="22"/>
          <w:szCs w:val="22"/>
        </w:rPr>
        <w:t>, 3(1), p. 85.</w:t>
      </w:r>
    </w:p>
    <w:p w14:paraId="14526B0B"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Syam, H. (2023) ‘The Role and Impact of Government Audit Practices in Maintaining Public Trust’, </w:t>
      </w:r>
      <w:r w:rsidRPr="00BC0B86">
        <w:rPr>
          <w:rFonts w:asciiTheme="minorBidi" w:hAnsiTheme="minorBidi" w:cstheme="minorBidi"/>
          <w:i/>
          <w:iCs/>
          <w:sz w:val="22"/>
          <w:szCs w:val="22"/>
        </w:rPr>
        <w:t>Advances: Jurnal Ekonomi &amp; Bisnis</w:t>
      </w:r>
      <w:r w:rsidRPr="00BC0B86">
        <w:rPr>
          <w:rFonts w:asciiTheme="minorBidi" w:hAnsiTheme="minorBidi" w:cstheme="minorBidi"/>
          <w:sz w:val="22"/>
          <w:szCs w:val="22"/>
        </w:rPr>
        <w:t>, 1(5). Available at: https://doi.org/10.60079/ajeb.v1i5.279.</w:t>
      </w:r>
    </w:p>
    <w:p w14:paraId="38E14908"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United Nations (2015) </w:t>
      </w:r>
      <w:r w:rsidRPr="00BC0B86">
        <w:rPr>
          <w:rFonts w:asciiTheme="minorBidi" w:hAnsiTheme="minorBidi" w:cstheme="minorBidi"/>
          <w:i/>
          <w:iCs/>
          <w:sz w:val="22"/>
          <w:szCs w:val="22"/>
        </w:rPr>
        <w:t>Goal 13 | Take urgent action to combat climate change and its impacts</w:t>
      </w:r>
      <w:r w:rsidRPr="00BC0B86">
        <w:rPr>
          <w:rFonts w:asciiTheme="minorBidi" w:hAnsiTheme="minorBidi" w:cstheme="minorBidi"/>
          <w:sz w:val="22"/>
          <w:szCs w:val="22"/>
        </w:rPr>
        <w:t xml:space="preserve">, </w:t>
      </w:r>
      <w:r w:rsidRPr="00BC0B86">
        <w:rPr>
          <w:rFonts w:asciiTheme="minorBidi" w:hAnsiTheme="minorBidi" w:cstheme="minorBidi"/>
          <w:i/>
          <w:iCs/>
          <w:sz w:val="22"/>
          <w:szCs w:val="22"/>
        </w:rPr>
        <w:t>United Nations</w:t>
      </w:r>
      <w:r w:rsidRPr="00BC0B86">
        <w:rPr>
          <w:rFonts w:asciiTheme="minorBidi" w:hAnsiTheme="minorBidi" w:cstheme="minorBidi"/>
          <w:sz w:val="22"/>
          <w:szCs w:val="22"/>
        </w:rPr>
        <w:t>. Available at: https://sdgs.un.org/goals/goal13 (Accessed: 23 February 2026).</w:t>
      </w:r>
    </w:p>
    <w:p w14:paraId="35BB8F0C"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Voss, M., Marten, R. and Gulati, D. (2019) ‘Accelerating the SDG3 Global Action Plan’, </w:t>
      </w:r>
      <w:r w:rsidRPr="00BC0B86">
        <w:rPr>
          <w:rFonts w:asciiTheme="minorBidi" w:hAnsiTheme="minorBidi" w:cstheme="minorBidi"/>
          <w:i/>
          <w:iCs/>
          <w:sz w:val="22"/>
          <w:szCs w:val="22"/>
        </w:rPr>
        <w:t>BMJ Global Health</w:t>
      </w:r>
      <w:r w:rsidRPr="00BC0B86">
        <w:rPr>
          <w:rFonts w:asciiTheme="minorBidi" w:hAnsiTheme="minorBidi" w:cstheme="minorBidi"/>
          <w:sz w:val="22"/>
          <w:szCs w:val="22"/>
        </w:rPr>
        <w:t>, 4(5), p. e001930. Available at: https://doi.org/10.1136/bmjgh-2019-001930.</w:t>
      </w:r>
    </w:p>
    <w:p w14:paraId="776BA2B6"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WHO (2021) </w:t>
      </w:r>
      <w:r w:rsidRPr="00BC0B86">
        <w:rPr>
          <w:rFonts w:asciiTheme="minorBidi" w:hAnsiTheme="minorBidi" w:cstheme="minorBidi"/>
          <w:i/>
          <w:iCs/>
          <w:sz w:val="22"/>
          <w:szCs w:val="22"/>
        </w:rPr>
        <w:t>Comprehensive Mental Health Action Plan 2013 - 2030</w:t>
      </w:r>
      <w:r w:rsidRPr="00BC0B86">
        <w:rPr>
          <w:rFonts w:asciiTheme="minorBidi" w:hAnsiTheme="minorBidi" w:cstheme="minorBidi"/>
          <w:sz w:val="22"/>
          <w:szCs w:val="22"/>
        </w:rPr>
        <w:t xml:space="preserve">, </w:t>
      </w:r>
      <w:r w:rsidRPr="00BC0B86">
        <w:rPr>
          <w:rFonts w:asciiTheme="minorBidi" w:hAnsiTheme="minorBidi" w:cstheme="minorBidi"/>
          <w:i/>
          <w:iCs/>
          <w:sz w:val="22"/>
          <w:szCs w:val="22"/>
        </w:rPr>
        <w:t>www.who.int</w:t>
      </w:r>
      <w:r w:rsidRPr="00BC0B86">
        <w:rPr>
          <w:rFonts w:asciiTheme="minorBidi" w:hAnsiTheme="minorBidi" w:cstheme="minorBidi"/>
          <w:sz w:val="22"/>
          <w:szCs w:val="22"/>
        </w:rPr>
        <w:t>. Available at: https://www.who.int/publications/i/item/9789240031029 (Accessed: 23 February 2026).</w:t>
      </w:r>
    </w:p>
    <w:p w14:paraId="774E1AC6"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WHO (2022) </w:t>
      </w:r>
      <w:r w:rsidRPr="00BC0B86">
        <w:rPr>
          <w:rFonts w:asciiTheme="minorBidi" w:hAnsiTheme="minorBidi" w:cstheme="minorBidi"/>
          <w:i/>
          <w:iCs/>
          <w:sz w:val="22"/>
          <w:szCs w:val="22"/>
        </w:rPr>
        <w:t>Targets of sustainable development goal 3</w:t>
      </w:r>
      <w:r w:rsidRPr="00BC0B86">
        <w:rPr>
          <w:rFonts w:asciiTheme="minorBidi" w:hAnsiTheme="minorBidi" w:cstheme="minorBidi"/>
          <w:sz w:val="22"/>
          <w:szCs w:val="22"/>
        </w:rPr>
        <w:t xml:space="preserve">, </w:t>
      </w:r>
      <w:r w:rsidRPr="00BC0B86">
        <w:rPr>
          <w:rFonts w:asciiTheme="minorBidi" w:hAnsiTheme="minorBidi" w:cstheme="minorBidi"/>
          <w:i/>
          <w:iCs/>
          <w:sz w:val="22"/>
          <w:szCs w:val="22"/>
        </w:rPr>
        <w:t>World Health Organisation</w:t>
      </w:r>
      <w:r w:rsidRPr="00BC0B86">
        <w:rPr>
          <w:rFonts w:asciiTheme="minorBidi" w:hAnsiTheme="minorBidi" w:cstheme="minorBidi"/>
          <w:sz w:val="22"/>
          <w:szCs w:val="22"/>
        </w:rPr>
        <w:t>. Available at: https://www.who.int/europe/about-us/our-work/sustainable-development-goals/targets-of-sustainable-development-goal-3 (Accessed: 23 February 2026).</w:t>
      </w:r>
    </w:p>
    <w:p w14:paraId="0A66051C"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Williams, G., Chan, H.K.-H. and Ortiz, P.F. (2025) ‘Exploring the Effects of Sheffield’s Clean Air Zone on Air Quality and Traffic Volume’, </w:t>
      </w:r>
      <w:r w:rsidRPr="00BC0B86">
        <w:rPr>
          <w:rFonts w:asciiTheme="minorBidi" w:hAnsiTheme="minorBidi" w:cstheme="minorBidi"/>
          <w:i/>
          <w:iCs/>
          <w:sz w:val="22"/>
          <w:szCs w:val="22"/>
        </w:rPr>
        <w:t>Environmental Research Communications</w:t>
      </w:r>
      <w:r w:rsidRPr="00BC0B86">
        <w:rPr>
          <w:rFonts w:asciiTheme="minorBidi" w:hAnsiTheme="minorBidi" w:cstheme="minorBidi"/>
          <w:sz w:val="22"/>
          <w:szCs w:val="22"/>
        </w:rPr>
        <w:t>, 7(8). Available at: https://doi.org/10.1088/2515-7620/adf52f.</w:t>
      </w:r>
    </w:p>
    <w:p w14:paraId="06DEBB4C"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World Health Organization (2020) </w:t>
      </w:r>
      <w:r w:rsidRPr="00BC0B86">
        <w:rPr>
          <w:rFonts w:asciiTheme="minorBidi" w:hAnsiTheme="minorBidi" w:cstheme="minorBidi"/>
          <w:i/>
          <w:iCs/>
          <w:sz w:val="22"/>
          <w:szCs w:val="22"/>
        </w:rPr>
        <w:t>The Triple Billion targets</w:t>
      </w:r>
      <w:r w:rsidRPr="00BC0B86">
        <w:rPr>
          <w:rFonts w:asciiTheme="minorBidi" w:hAnsiTheme="minorBidi" w:cstheme="minorBidi"/>
          <w:sz w:val="22"/>
          <w:szCs w:val="22"/>
        </w:rPr>
        <w:t xml:space="preserve">, </w:t>
      </w:r>
      <w:r w:rsidRPr="00BC0B86">
        <w:rPr>
          <w:rFonts w:asciiTheme="minorBidi" w:hAnsiTheme="minorBidi" w:cstheme="minorBidi"/>
          <w:i/>
          <w:iCs/>
          <w:sz w:val="22"/>
          <w:szCs w:val="22"/>
        </w:rPr>
        <w:t>www.who.int</w:t>
      </w:r>
      <w:r w:rsidRPr="00BC0B86">
        <w:rPr>
          <w:rFonts w:asciiTheme="minorBidi" w:hAnsiTheme="minorBidi" w:cstheme="minorBidi"/>
          <w:sz w:val="22"/>
          <w:szCs w:val="22"/>
        </w:rPr>
        <w:t>. Available at: https://www.who.int/news-room/questions-and-answers/item/the-triple-billion-targets (Accessed: 23 February 2026).</w:t>
      </w:r>
    </w:p>
    <w:p w14:paraId="29C407F6"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World Health Organization (2023) </w:t>
      </w:r>
      <w:r w:rsidRPr="00BC0B86">
        <w:rPr>
          <w:rFonts w:asciiTheme="minorBidi" w:hAnsiTheme="minorBidi" w:cstheme="minorBidi"/>
          <w:i/>
          <w:iCs/>
          <w:sz w:val="22"/>
          <w:szCs w:val="22"/>
        </w:rPr>
        <w:t>Climate Change</w:t>
      </w:r>
      <w:r w:rsidRPr="00BC0B86">
        <w:rPr>
          <w:rFonts w:asciiTheme="minorBidi" w:hAnsiTheme="minorBidi" w:cstheme="minorBidi"/>
          <w:sz w:val="22"/>
          <w:szCs w:val="22"/>
        </w:rPr>
        <w:t xml:space="preserve">, </w:t>
      </w:r>
      <w:r w:rsidRPr="00BC0B86">
        <w:rPr>
          <w:rFonts w:asciiTheme="minorBidi" w:hAnsiTheme="minorBidi" w:cstheme="minorBidi"/>
          <w:i/>
          <w:iCs/>
          <w:sz w:val="22"/>
          <w:szCs w:val="22"/>
        </w:rPr>
        <w:t>World Health Organization</w:t>
      </w:r>
      <w:r w:rsidRPr="00BC0B86">
        <w:rPr>
          <w:rFonts w:asciiTheme="minorBidi" w:hAnsiTheme="minorBidi" w:cstheme="minorBidi"/>
          <w:sz w:val="22"/>
          <w:szCs w:val="22"/>
        </w:rPr>
        <w:t>. Available at: https://www.who.int/news-room/fact-sheets/detail/climate-change-and-health (Accessed: 23 February 2026).</w:t>
      </w:r>
    </w:p>
    <w:p w14:paraId="6072286E" w14:textId="77777777" w:rsidR="001A0921" w:rsidRPr="00BC0B86" w:rsidRDefault="001A0921" w:rsidP="00BC0B86">
      <w:pPr>
        <w:pStyle w:val="NormalWeb"/>
        <w:spacing w:before="0" w:beforeAutospacing="0" w:after="240" w:afterAutospacing="0" w:line="360" w:lineRule="auto"/>
        <w:jc w:val="both"/>
        <w:rPr>
          <w:rFonts w:asciiTheme="minorBidi" w:hAnsiTheme="minorBidi" w:cstheme="minorBidi"/>
          <w:sz w:val="22"/>
          <w:szCs w:val="22"/>
        </w:rPr>
      </w:pPr>
      <w:r w:rsidRPr="00BC0B86">
        <w:rPr>
          <w:rFonts w:asciiTheme="minorBidi" w:hAnsiTheme="minorBidi" w:cstheme="minorBidi"/>
          <w:sz w:val="22"/>
          <w:szCs w:val="22"/>
        </w:rPr>
        <w:t xml:space="preserve">Yang, J. </w:t>
      </w:r>
      <w:r w:rsidRPr="00BC0B86">
        <w:rPr>
          <w:rFonts w:asciiTheme="minorBidi" w:hAnsiTheme="minorBidi" w:cstheme="minorBidi"/>
          <w:i/>
          <w:iCs/>
          <w:sz w:val="22"/>
          <w:szCs w:val="22"/>
        </w:rPr>
        <w:t>et al.</w:t>
      </w:r>
      <w:r w:rsidRPr="00BC0B86">
        <w:rPr>
          <w:rFonts w:asciiTheme="minorBidi" w:hAnsiTheme="minorBidi" w:cstheme="minorBidi"/>
          <w:sz w:val="22"/>
          <w:szCs w:val="22"/>
        </w:rPr>
        <w:t xml:space="preserve"> (2025) ‘Integrative Sustainable Development Goal policy portfolios to accelerate global progress towards a more sustainable future: a modelling study’, </w:t>
      </w:r>
      <w:r w:rsidRPr="00BC0B86">
        <w:rPr>
          <w:rFonts w:asciiTheme="minorBidi" w:hAnsiTheme="minorBidi" w:cstheme="minorBidi"/>
          <w:i/>
          <w:iCs/>
          <w:sz w:val="22"/>
          <w:szCs w:val="22"/>
        </w:rPr>
        <w:t>The Lancet Planetary Health</w:t>
      </w:r>
      <w:r w:rsidRPr="00BC0B86">
        <w:rPr>
          <w:rFonts w:asciiTheme="minorBidi" w:hAnsiTheme="minorBidi" w:cstheme="minorBidi"/>
          <w:sz w:val="22"/>
          <w:szCs w:val="22"/>
        </w:rPr>
        <w:t>, 9-12, pp. 101318–101318. Available at: https://doi.org/10.1016/j.lanplh.2025.101318.</w:t>
      </w:r>
    </w:p>
    <w:p w14:paraId="52A6D5CF" w14:textId="77777777" w:rsidR="001A0921" w:rsidRPr="00BC0B86" w:rsidRDefault="001A0921" w:rsidP="00BC0B86">
      <w:pPr>
        <w:spacing w:line="360" w:lineRule="auto"/>
        <w:jc w:val="both"/>
        <w:rPr>
          <w:rFonts w:asciiTheme="minorBidi" w:hAnsiTheme="minorBidi"/>
          <w:sz w:val="22"/>
          <w:szCs w:val="22"/>
          <w:lang w:val="en-GB"/>
        </w:rPr>
      </w:pPr>
    </w:p>
    <w:sectPr w:rsidR="001A0921" w:rsidRPr="00BC0B86">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F1A65" w14:textId="77777777" w:rsidR="0030694F" w:rsidRDefault="0030694F" w:rsidP="00BA444E">
      <w:pPr>
        <w:spacing w:after="0" w:line="240" w:lineRule="auto"/>
      </w:pPr>
      <w:r>
        <w:separator/>
      </w:r>
    </w:p>
  </w:endnote>
  <w:endnote w:type="continuationSeparator" w:id="0">
    <w:p w14:paraId="793D1EC9" w14:textId="77777777" w:rsidR="0030694F" w:rsidRDefault="0030694F" w:rsidP="00BA4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34654928"/>
      <w:docPartObj>
        <w:docPartGallery w:val="Page Numbers (Bottom of Page)"/>
        <w:docPartUnique/>
      </w:docPartObj>
    </w:sdtPr>
    <w:sdtContent>
      <w:p w14:paraId="7D33A3E1" w14:textId="73F907F0" w:rsidR="00BA444E" w:rsidRDefault="00BA444E" w:rsidP="00F2354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E953FFF" w14:textId="77777777" w:rsidR="00BA444E" w:rsidRDefault="00BA444E" w:rsidP="00BA44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81385328"/>
      <w:docPartObj>
        <w:docPartGallery w:val="Page Numbers (Bottom of Page)"/>
        <w:docPartUnique/>
      </w:docPartObj>
    </w:sdtPr>
    <w:sdtContent>
      <w:p w14:paraId="3F6AADB4" w14:textId="6B1F5DD4" w:rsidR="00BA444E" w:rsidRDefault="00BA444E" w:rsidP="00F2354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16FF83" w14:textId="77777777" w:rsidR="00BA444E" w:rsidRDefault="00BA444E" w:rsidP="00BA44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DA043" w14:textId="77777777" w:rsidR="0030694F" w:rsidRDefault="0030694F" w:rsidP="00BA444E">
      <w:pPr>
        <w:spacing w:after="0" w:line="240" w:lineRule="auto"/>
      </w:pPr>
      <w:r>
        <w:separator/>
      </w:r>
    </w:p>
  </w:footnote>
  <w:footnote w:type="continuationSeparator" w:id="0">
    <w:p w14:paraId="06E5D87C" w14:textId="77777777" w:rsidR="0030694F" w:rsidRDefault="0030694F" w:rsidP="00BA44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85231"/>
    <w:multiLevelType w:val="hybridMultilevel"/>
    <w:tmpl w:val="7CCAF29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783921"/>
    <w:multiLevelType w:val="multilevel"/>
    <w:tmpl w:val="CDE2F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862D03"/>
    <w:multiLevelType w:val="multilevel"/>
    <w:tmpl w:val="243C5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DA3FF1"/>
    <w:multiLevelType w:val="multilevel"/>
    <w:tmpl w:val="A68CC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AE2968"/>
    <w:multiLevelType w:val="multilevel"/>
    <w:tmpl w:val="51A4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21244D"/>
    <w:multiLevelType w:val="multilevel"/>
    <w:tmpl w:val="89921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C02DF0"/>
    <w:multiLevelType w:val="multilevel"/>
    <w:tmpl w:val="FE0CA8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83036C"/>
    <w:multiLevelType w:val="multilevel"/>
    <w:tmpl w:val="0E5AF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E21325"/>
    <w:multiLevelType w:val="hybridMultilevel"/>
    <w:tmpl w:val="630AD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324BD8"/>
    <w:multiLevelType w:val="multilevel"/>
    <w:tmpl w:val="E86AC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75757A"/>
    <w:multiLevelType w:val="multilevel"/>
    <w:tmpl w:val="1F020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823109"/>
    <w:multiLevelType w:val="multilevel"/>
    <w:tmpl w:val="F278883E"/>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20B18AE"/>
    <w:multiLevelType w:val="multilevel"/>
    <w:tmpl w:val="E5F8D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B03A0C"/>
    <w:multiLevelType w:val="multilevel"/>
    <w:tmpl w:val="951AAE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241A83"/>
    <w:multiLevelType w:val="multilevel"/>
    <w:tmpl w:val="B8481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F33291"/>
    <w:multiLevelType w:val="multilevel"/>
    <w:tmpl w:val="5C0CA71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E3E0703"/>
    <w:multiLevelType w:val="multilevel"/>
    <w:tmpl w:val="379E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77709E"/>
    <w:multiLevelType w:val="multilevel"/>
    <w:tmpl w:val="F278883E"/>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CF513E7"/>
    <w:multiLevelType w:val="multilevel"/>
    <w:tmpl w:val="81308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623A42"/>
    <w:multiLevelType w:val="multilevel"/>
    <w:tmpl w:val="78668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442DF1"/>
    <w:multiLevelType w:val="multilevel"/>
    <w:tmpl w:val="420AF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8989898">
    <w:abstractNumId w:val="13"/>
  </w:num>
  <w:num w:numId="2" w16cid:durableId="209657277">
    <w:abstractNumId w:val="14"/>
  </w:num>
  <w:num w:numId="3" w16cid:durableId="439568298">
    <w:abstractNumId w:val="6"/>
  </w:num>
  <w:num w:numId="4" w16cid:durableId="182477839">
    <w:abstractNumId w:val="19"/>
  </w:num>
  <w:num w:numId="5" w16cid:durableId="1244946855">
    <w:abstractNumId w:val="12"/>
  </w:num>
  <w:num w:numId="6" w16cid:durableId="1147358099">
    <w:abstractNumId w:val="20"/>
  </w:num>
  <w:num w:numId="7" w16cid:durableId="1542984539">
    <w:abstractNumId w:val="4"/>
  </w:num>
  <w:num w:numId="8" w16cid:durableId="1503812396">
    <w:abstractNumId w:val="9"/>
  </w:num>
  <w:num w:numId="9" w16cid:durableId="1095248128">
    <w:abstractNumId w:val="16"/>
  </w:num>
  <w:num w:numId="10" w16cid:durableId="38870105">
    <w:abstractNumId w:val="3"/>
  </w:num>
  <w:num w:numId="11" w16cid:durableId="1212618310">
    <w:abstractNumId w:val="7"/>
  </w:num>
  <w:num w:numId="12" w16cid:durableId="54864925">
    <w:abstractNumId w:val="10"/>
  </w:num>
  <w:num w:numId="13" w16cid:durableId="1152254872">
    <w:abstractNumId w:val="5"/>
  </w:num>
  <w:num w:numId="14" w16cid:durableId="1645890038">
    <w:abstractNumId w:val="18"/>
  </w:num>
  <w:num w:numId="15" w16cid:durableId="220138760">
    <w:abstractNumId w:val="2"/>
  </w:num>
  <w:num w:numId="16" w16cid:durableId="147208079">
    <w:abstractNumId w:val="1"/>
  </w:num>
  <w:num w:numId="17" w16cid:durableId="503786700">
    <w:abstractNumId w:val="11"/>
  </w:num>
  <w:num w:numId="18" w16cid:durableId="849874353">
    <w:abstractNumId w:val="17"/>
  </w:num>
  <w:num w:numId="19" w16cid:durableId="116071011">
    <w:abstractNumId w:val="15"/>
  </w:num>
  <w:num w:numId="20" w16cid:durableId="1294872333">
    <w:abstractNumId w:val="8"/>
  </w:num>
  <w:num w:numId="21" w16cid:durableId="592936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DB8"/>
    <w:rsid w:val="00021B15"/>
    <w:rsid w:val="000363C5"/>
    <w:rsid w:val="00047267"/>
    <w:rsid w:val="00063E6B"/>
    <w:rsid w:val="00086309"/>
    <w:rsid w:val="000B743B"/>
    <w:rsid w:val="0011103C"/>
    <w:rsid w:val="00121956"/>
    <w:rsid w:val="0014159A"/>
    <w:rsid w:val="001867F3"/>
    <w:rsid w:val="00195655"/>
    <w:rsid w:val="001A0921"/>
    <w:rsid w:val="001C5662"/>
    <w:rsid w:val="001C5F0B"/>
    <w:rsid w:val="001C7404"/>
    <w:rsid w:val="0020374E"/>
    <w:rsid w:val="00271113"/>
    <w:rsid w:val="00290AFD"/>
    <w:rsid w:val="002A5235"/>
    <w:rsid w:val="002A72EA"/>
    <w:rsid w:val="002C459E"/>
    <w:rsid w:val="0030694F"/>
    <w:rsid w:val="00307DA5"/>
    <w:rsid w:val="00340028"/>
    <w:rsid w:val="00375E3F"/>
    <w:rsid w:val="003C0C39"/>
    <w:rsid w:val="003E5536"/>
    <w:rsid w:val="003F7BE7"/>
    <w:rsid w:val="00437888"/>
    <w:rsid w:val="0045446D"/>
    <w:rsid w:val="00461624"/>
    <w:rsid w:val="004724A6"/>
    <w:rsid w:val="004959D0"/>
    <w:rsid w:val="005006D8"/>
    <w:rsid w:val="00542F30"/>
    <w:rsid w:val="0058280B"/>
    <w:rsid w:val="005D01F6"/>
    <w:rsid w:val="005D40CE"/>
    <w:rsid w:val="005E5ADD"/>
    <w:rsid w:val="005F79EB"/>
    <w:rsid w:val="00624B7E"/>
    <w:rsid w:val="006304E7"/>
    <w:rsid w:val="00636023"/>
    <w:rsid w:val="0066296D"/>
    <w:rsid w:val="006815F0"/>
    <w:rsid w:val="00682095"/>
    <w:rsid w:val="006B69A6"/>
    <w:rsid w:val="007726EA"/>
    <w:rsid w:val="007C37E3"/>
    <w:rsid w:val="00804503"/>
    <w:rsid w:val="00830AD6"/>
    <w:rsid w:val="00832438"/>
    <w:rsid w:val="00891CA6"/>
    <w:rsid w:val="008A38A2"/>
    <w:rsid w:val="008A3EE7"/>
    <w:rsid w:val="008D2435"/>
    <w:rsid w:val="008E6074"/>
    <w:rsid w:val="009B14D7"/>
    <w:rsid w:val="009B7911"/>
    <w:rsid w:val="00A12EE4"/>
    <w:rsid w:val="00A43C2C"/>
    <w:rsid w:val="00A71302"/>
    <w:rsid w:val="00A71BB0"/>
    <w:rsid w:val="00B5602E"/>
    <w:rsid w:val="00BA15BD"/>
    <w:rsid w:val="00BA444E"/>
    <w:rsid w:val="00BC0B86"/>
    <w:rsid w:val="00BC50AA"/>
    <w:rsid w:val="00BD4DB8"/>
    <w:rsid w:val="00BE4882"/>
    <w:rsid w:val="00C672A9"/>
    <w:rsid w:val="00CC0BFF"/>
    <w:rsid w:val="00CE2A46"/>
    <w:rsid w:val="00CF7839"/>
    <w:rsid w:val="00D3049F"/>
    <w:rsid w:val="00D715C9"/>
    <w:rsid w:val="00D77E9A"/>
    <w:rsid w:val="00D77FBA"/>
    <w:rsid w:val="00D95A10"/>
    <w:rsid w:val="00DD6DE6"/>
    <w:rsid w:val="00DE6D99"/>
    <w:rsid w:val="00DF53C8"/>
    <w:rsid w:val="00E2136B"/>
    <w:rsid w:val="00E55290"/>
    <w:rsid w:val="00E947F1"/>
    <w:rsid w:val="00EC5574"/>
    <w:rsid w:val="00F34463"/>
    <w:rsid w:val="00FB6C67"/>
    <w:rsid w:val="00FE0AC9"/>
    <w:rsid w:val="00FE7194"/>
    <w:rsid w:val="00FF7EB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25387"/>
  <w15:chartTrackingRefBased/>
  <w15:docId w15:val="{5F0F2891-DC1A-B44D-BE43-E365F63D7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235"/>
    <w:rPr>
      <w:rFonts w:asciiTheme="majorBidi" w:hAnsiTheme="majorBidi"/>
    </w:rPr>
  </w:style>
  <w:style w:type="paragraph" w:styleId="Heading1">
    <w:name w:val="heading 1"/>
    <w:basedOn w:val="Normal"/>
    <w:next w:val="Normal"/>
    <w:link w:val="Heading1Char"/>
    <w:uiPriority w:val="9"/>
    <w:qFormat/>
    <w:rsid w:val="00461624"/>
    <w:pPr>
      <w:keepNext/>
      <w:keepLines/>
      <w:spacing w:before="360" w:after="80"/>
      <w:outlineLvl w:val="0"/>
    </w:pPr>
    <w:rPr>
      <w:rFonts w:eastAsiaTheme="majorEastAsia"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FB6C67"/>
    <w:pPr>
      <w:keepNext/>
      <w:keepLines/>
      <w:spacing w:before="160" w:after="80"/>
      <w:outlineLvl w:val="1"/>
    </w:pPr>
    <w:rPr>
      <w:rFonts w:eastAsiaTheme="majorEastAsia" w:cstheme="majorBidi"/>
      <w:b/>
      <w:color w:val="0F4761" w:themeColor="accent1" w:themeShade="BF"/>
      <w:szCs w:val="32"/>
    </w:rPr>
  </w:style>
  <w:style w:type="paragraph" w:styleId="Heading3">
    <w:name w:val="heading 3"/>
    <w:basedOn w:val="Normal"/>
    <w:next w:val="Normal"/>
    <w:link w:val="Heading3Char"/>
    <w:uiPriority w:val="9"/>
    <w:unhideWhenUsed/>
    <w:qFormat/>
    <w:rsid w:val="00BE4882"/>
    <w:pPr>
      <w:keepNext/>
      <w:keepLines/>
      <w:spacing w:before="160" w:after="80"/>
      <w:outlineLvl w:val="2"/>
    </w:pPr>
    <w:rPr>
      <w:rFonts w:eastAsiaTheme="majorEastAsia" w:cstheme="majorBidi"/>
      <w:b/>
      <w:i/>
      <w:color w:val="0F4761" w:themeColor="accent1" w:themeShade="BF"/>
      <w:szCs w:val="28"/>
    </w:rPr>
  </w:style>
  <w:style w:type="paragraph" w:styleId="Heading4">
    <w:name w:val="heading 4"/>
    <w:basedOn w:val="Normal"/>
    <w:next w:val="Normal"/>
    <w:link w:val="Heading4Char"/>
    <w:uiPriority w:val="9"/>
    <w:semiHidden/>
    <w:unhideWhenUsed/>
    <w:qFormat/>
    <w:rsid w:val="00BD4DB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D4DB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D4DB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D4DB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D4DB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D4DB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624"/>
    <w:rPr>
      <w:rFonts w:asciiTheme="majorBidi" w:eastAsiaTheme="majorEastAsia" w:hAnsiTheme="majorBidi" w:cstheme="majorBidi"/>
      <w:b/>
      <w:color w:val="0F4761" w:themeColor="accent1" w:themeShade="BF"/>
      <w:sz w:val="28"/>
      <w:szCs w:val="40"/>
    </w:rPr>
  </w:style>
  <w:style w:type="character" w:customStyle="1" w:styleId="Heading2Char">
    <w:name w:val="Heading 2 Char"/>
    <w:basedOn w:val="DefaultParagraphFont"/>
    <w:link w:val="Heading2"/>
    <w:uiPriority w:val="9"/>
    <w:rsid w:val="00FB6C67"/>
    <w:rPr>
      <w:rFonts w:asciiTheme="majorBidi" w:eastAsiaTheme="majorEastAsia" w:hAnsiTheme="majorBidi" w:cstheme="majorBidi"/>
      <w:b/>
      <w:color w:val="0F4761" w:themeColor="accent1" w:themeShade="BF"/>
      <w:szCs w:val="32"/>
    </w:rPr>
  </w:style>
  <w:style w:type="character" w:customStyle="1" w:styleId="Heading3Char">
    <w:name w:val="Heading 3 Char"/>
    <w:basedOn w:val="DefaultParagraphFont"/>
    <w:link w:val="Heading3"/>
    <w:uiPriority w:val="9"/>
    <w:rsid w:val="00BE4882"/>
    <w:rPr>
      <w:rFonts w:asciiTheme="majorBidi" w:eastAsiaTheme="majorEastAsia" w:hAnsiTheme="majorBidi" w:cstheme="majorBidi"/>
      <w:b/>
      <w:i/>
      <w:color w:val="0F4761" w:themeColor="accent1" w:themeShade="BF"/>
      <w:szCs w:val="28"/>
    </w:rPr>
  </w:style>
  <w:style w:type="character" w:customStyle="1" w:styleId="Heading4Char">
    <w:name w:val="Heading 4 Char"/>
    <w:basedOn w:val="DefaultParagraphFont"/>
    <w:link w:val="Heading4"/>
    <w:uiPriority w:val="9"/>
    <w:semiHidden/>
    <w:rsid w:val="00BD4D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4D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4D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4D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4D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4DB8"/>
    <w:rPr>
      <w:rFonts w:eastAsiaTheme="majorEastAsia" w:cstheme="majorBidi"/>
      <w:color w:val="272727" w:themeColor="text1" w:themeTint="D8"/>
    </w:rPr>
  </w:style>
  <w:style w:type="paragraph" w:styleId="Title">
    <w:name w:val="Title"/>
    <w:basedOn w:val="Normal"/>
    <w:next w:val="Normal"/>
    <w:link w:val="TitleChar"/>
    <w:uiPriority w:val="10"/>
    <w:qFormat/>
    <w:rsid w:val="00BD4D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4D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4DB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4D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4DB8"/>
    <w:pPr>
      <w:spacing w:before="160"/>
      <w:jc w:val="center"/>
    </w:pPr>
    <w:rPr>
      <w:i/>
      <w:iCs/>
      <w:color w:val="404040" w:themeColor="text1" w:themeTint="BF"/>
    </w:rPr>
  </w:style>
  <w:style w:type="character" w:customStyle="1" w:styleId="QuoteChar">
    <w:name w:val="Quote Char"/>
    <w:basedOn w:val="DefaultParagraphFont"/>
    <w:link w:val="Quote"/>
    <w:uiPriority w:val="29"/>
    <w:rsid w:val="00BD4DB8"/>
    <w:rPr>
      <w:rFonts w:asciiTheme="majorBidi" w:hAnsiTheme="majorBidi"/>
      <w:i/>
      <w:iCs/>
      <w:color w:val="404040" w:themeColor="text1" w:themeTint="BF"/>
    </w:rPr>
  </w:style>
  <w:style w:type="paragraph" w:styleId="ListParagraph">
    <w:name w:val="List Paragraph"/>
    <w:basedOn w:val="Normal"/>
    <w:uiPriority w:val="34"/>
    <w:qFormat/>
    <w:rsid w:val="00BD4DB8"/>
    <w:pPr>
      <w:ind w:left="720"/>
      <w:contextualSpacing/>
    </w:pPr>
  </w:style>
  <w:style w:type="character" w:styleId="IntenseEmphasis">
    <w:name w:val="Intense Emphasis"/>
    <w:basedOn w:val="DefaultParagraphFont"/>
    <w:uiPriority w:val="21"/>
    <w:qFormat/>
    <w:rsid w:val="00BD4DB8"/>
    <w:rPr>
      <w:i/>
      <w:iCs/>
      <w:color w:val="0F4761" w:themeColor="accent1" w:themeShade="BF"/>
    </w:rPr>
  </w:style>
  <w:style w:type="paragraph" w:styleId="IntenseQuote">
    <w:name w:val="Intense Quote"/>
    <w:basedOn w:val="Normal"/>
    <w:next w:val="Normal"/>
    <w:link w:val="IntenseQuoteChar"/>
    <w:uiPriority w:val="30"/>
    <w:qFormat/>
    <w:rsid w:val="00BD4D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4DB8"/>
    <w:rPr>
      <w:rFonts w:asciiTheme="majorBidi" w:hAnsiTheme="majorBidi"/>
      <w:i/>
      <w:iCs/>
      <w:color w:val="0F4761" w:themeColor="accent1" w:themeShade="BF"/>
    </w:rPr>
  </w:style>
  <w:style w:type="character" w:styleId="IntenseReference">
    <w:name w:val="Intense Reference"/>
    <w:basedOn w:val="DefaultParagraphFont"/>
    <w:uiPriority w:val="32"/>
    <w:qFormat/>
    <w:rsid w:val="00BD4DB8"/>
    <w:rPr>
      <w:b/>
      <w:bCs/>
      <w:smallCaps/>
      <w:color w:val="0F4761" w:themeColor="accent1" w:themeShade="BF"/>
      <w:spacing w:val="5"/>
    </w:rPr>
  </w:style>
  <w:style w:type="character" w:styleId="Strong">
    <w:name w:val="Strong"/>
    <w:basedOn w:val="DefaultParagraphFont"/>
    <w:uiPriority w:val="22"/>
    <w:qFormat/>
    <w:rsid w:val="00D715C9"/>
    <w:rPr>
      <w:b/>
      <w:bCs/>
    </w:rPr>
  </w:style>
  <w:style w:type="paragraph" w:styleId="NormalWeb">
    <w:name w:val="Normal (Web)"/>
    <w:basedOn w:val="Normal"/>
    <w:uiPriority w:val="99"/>
    <w:unhideWhenUsed/>
    <w:rsid w:val="00D715C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E2136B"/>
    <w:rPr>
      <w:color w:val="0000FF"/>
      <w:u w:val="single"/>
    </w:rPr>
  </w:style>
  <w:style w:type="paragraph" w:styleId="Header">
    <w:name w:val="header"/>
    <w:basedOn w:val="Normal"/>
    <w:link w:val="HeaderChar"/>
    <w:uiPriority w:val="99"/>
    <w:unhideWhenUsed/>
    <w:rsid w:val="00BA44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444E"/>
    <w:rPr>
      <w:rFonts w:asciiTheme="majorBidi" w:hAnsiTheme="majorBidi"/>
    </w:rPr>
  </w:style>
  <w:style w:type="paragraph" w:styleId="Footer">
    <w:name w:val="footer"/>
    <w:basedOn w:val="Normal"/>
    <w:link w:val="FooterChar"/>
    <w:uiPriority w:val="99"/>
    <w:unhideWhenUsed/>
    <w:rsid w:val="00BA44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44E"/>
    <w:rPr>
      <w:rFonts w:asciiTheme="majorBidi" w:hAnsiTheme="majorBidi"/>
    </w:rPr>
  </w:style>
  <w:style w:type="character" w:styleId="PageNumber">
    <w:name w:val="page number"/>
    <w:basedOn w:val="DefaultParagraphFont"/>
    <w:uiPriority w:val="99"/>
    <w:semiHidden/>
    <w:unhideWhenUsed/>
    <w:rsid w:val="00BA444E"/>
  </w:style>
  <w:style w:type="paragraph" w:styleId="Caption">
    <w:name w:val="caption"/>
    <w:basedOn w:val="Normal"/>
    <w:next w:val="Normal"/>
    <w:uiPriority w:val="35"/>
    <w:unhideWhenUsed/>
    <w:qFormat/>
    <w:rsid w:val="00BA444E"/>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830AD6"/>
    <w:pPr>
      <w:spacing w:before="480" w:after="0" w:line="276" w:lineRule="auto"/>
      <w:outlineLvl w:val="9"/>
    </w:pPr>
    <w:rPr>
      <w:rFonts w:asciiTheme="majorHAnsi" w:hAnsiTheme="majorHAnsi"/>
      <w:bCs/>
      <w:kern w:val="0"/>
      <w:szCs w:val="28"/>
      <w:lang w:val="en-US"/>
      <w14:ligatures w14:val="none"/>
    </w:rPr>
  </w:style>
  <w:style w:type="paragraph" w:styleId="TOC1">
    <w:name w:val="toc 1"/>
    <w:basedOn w:val="Normal"/>
    <w:next w:val="Normal"/>
    <w:autoRedefine/>
    <w:uiPriority w:val="39"/>
    <w:unhideWhenUsed/>
    <w:rsid w:val="00830AD6"/>
    <w:pPr>
      <w:spacing w:before="240" w:after="120"/>
    </w:pPr>
    <w:rPr>
      <w:rFonts w:asciiTheme="minorHAnsi" w:hAnsiTheme="minorHAnsi" w:cs="Times New Roman"/>
      <w:b/>
      <w:bCs/>
      <w:sz w:val="20"/>
    </w:rPr>
  </w:style>
  <w:style w:type="paragraph" w:styleId="TOC2">
    <w:name w:val="toc 2"/>
    <w:basedOn w:val="Normal"/>
    <w:next w:val="Normal"/>
    <w:autoRedefine/>
    <w:uiPriority w:val="39"/>
    <w:unhideWhenUsed/>
    <w:rsid w:val="00830AD6"/>
    <w:pPr>
      <w:spacing w:before="120" w:after="0"/>
      <w:ind w:left="240"/>
    </w:pPr>
    <w:rPr>
      <w:rFonts w:asciiTheme="minorHAnsi" w:hAnsiTheme="minorHAnsi" w:cs="Times New Roman"/>
      <w:i/>
      <w:iCs/>
      <w:sz w:val="20"/>
    </w:rPr>
  </w:style>
  <w:style w:type="paragraph" w:styleId="TOC3">
    <w:name w:val="toc 3"/>
    <w:basedOn w:val="Normal"/>
    <w:next w:val="Normal"/>
    <w:autoRedefine/>
    <w:uiPriority w:val="39"/>
    <w:semiHidden/>
    <w:unhideWhenUsed/>
    <w:rsid w:val="00830AD6"/>
    <w:pPr>
      <w:spacing w:after="0"/>
      <w:ind w:left="480"/>
    </w:pPr>
    <w:rPr>
      <w:rFonts w:asciiTheme="minorHAnsi" w:hAnsiTheme="minorHAnsi" w:cs="Times New Roman"/>
      <w:sz w:val="20"/>
    </w:rPr>
  </w:style>
  <w:style w:type="paragraph" w:styleId="TOC4">
    <w:name w:val="toc 4"/>
    <w:basedOn w:val="Normal"/>
    <w:next w:val="Normal"/>
    <w:autoRedefine/>
    <w:uiPriority w:val="39"/>
    <w:semiHidden/>
    <w:unhideWhenUsed/>
    <w:rsid w:val="00830AD6"/>
    <w:pPr>
      <w:spacing w:after="0"/>
      <w:ind w:left="720"/>
    </w:pPr>
    <w:rPr>
      <w:rFonts w:asciiTheme="minorHAnsi" w:hAnsiTheme="minorHAnsi" w:cs="Times New Roman"/>
      <w:sz w:val="20"/>
    </w:rPr>
  </w:style>
  <w:style w:type="paragraph" w:styleId="TOC5">
    <w:name w:val="toc 5"/>
    <w:basedOn w:val="Normal"/>
    <w:next w:val="Normal"/>
    <w:autoRedefine/>
    <w:uiPriority w:val="39"/>
    <w:semiHidden/>
    <w:unhideWhenUsed/>
    <w:rsid w:val="00830AD6"/>
    <w:pPr>
      <w:spacing w:after="0"/>
      <w:ind w:left="960"/>
    </w:pPr>
    <w:rPr>
      <w:rFonts w:asciiTheme="minorHAnsi" w:hAnsiTheme="minorHAnsi" w:cs="Times New Roman"/>
      <w:sz w:val="20"/>
    </w:rPr>
  </w:style>
  <w:style w:type="paragraph" w:styleId="TOC6">
    <w:name w:val="toc 6"/>
    <w:basedOn w:val="Normal"/>
    <w:next w:val="Normal"/>
    <w:autoRedefine/>
    <w:uiPriority w:val="39"/>
    <w:semiHidden/>
    <w:unhideWhenUsed/>
    <w:rsid w:val="00830AD6"/>
    <w:pPr>
      <w:spacing w:after="0"/>
      <w:ind w:left="1200"/>
    </w:pPr>
    <w:rPr>
      <w:rFonts w:asciiTheme="minorHAnsi" w:hAnsiTheme="minorHAnsi" w:cs="Times New Roman"/>
      <w:sz w:val="20"/>
    </w:rPr>
  </w:style>
  <w:style w:type="paragraph" w:styleId="TOC7">
    <w:name w:val="toc 7"/>
    <w:basedOn w:val="Normal"/>
    <w:next w:val="Normal"/>
    <w:autoRedefine/>
    <w:uiPriority w:val="39"/>
    <w:semiHidden/>
    <w:unhideWhenUsed/>
    <w:rsid w:val="00830AD6"/>
    <w:pPr>
      <w:spacing w:after="0"/>
      <w:ind w:left="1440"/>
    </w:pPr>
    <w:rPr>
      <w:rFonts w:asciiTheme="minorHAnsi" w:hAnsiTheme="minorHAnsi" w:cs="Times New Roman"/>
      <w:sz w:val="20"/>
    </w:rPr>
  </w:style>
  <w:style w:type="paragraph" w:styleId="TOC8">
    <w:name w:val="toc 8"/>
    <w:basedOn w:val="Normal"/>
    <w:next w:val="Normal"/>
    <w:autoRedefine/>
    <w:uiPriority w:val="39"/>
    <w:semiHidden/>
    <w:unhideWhenUsed/>
    <w:rsid w:val="00830AD6"/>
    <w:pPr>
      <w:spacing w:after="0"/>
      <w:ind w:left="1680"/>
    </w:pPr>
    <w:rPr>
      <w:rFonts w:asciiTheme="minorHAnsi" w:hAnsiTheme="minorHAnsi" w:cs="Times New Roman"/>
      <w:sz w:val="20"/>
    </w:rPr>
  </w:style>
  <w:style w:type="paragraph" w:styleId="TOC9">
    <w:name w:val="toc 9"/>
    <w:basedOn w:val="Normal"/>
    <w:next w:val="Normal"/>
    <w:autoRedefine/>
    <w:uiPriority w:val="39"/>
    <w:semiHidden/>
    <w:unhideWhenUsed/>
    <w:rsid w:val="00830AD6"/>
    <w:pPr>
      <w:spacing w:after="0"/>
      <w:ind w:left="1920"/>
    </w:pPr>
    <w:rPr>
      <w:rFonts w:asciiTheme="minorHAnsi" w:hAnsiTheme="minorHAnsi"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A3823-0F6B-9749-BDF5-2130CA2F1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12</Pages>
  <Words>3551</Words>
  <Characters>20241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 FILE</dc:creator>
  <cp:keywords/>
  <dc:description/>
  <cp:lastModifiedBy>Naqi Mir</cp:lastModifiedBy>
  <cp:revision>68</cp:revision>
  <dcterms:created xsi:type="dcterms:W3CDTF">2026-02-05T12:23:00Z</dcterms:created>
  <dcterms:modified xsi:type="dcterms:W3CDTF">2026-02-24T19:00:00Z</dcterms:modified>
</cp:coreProperties>
</file>