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8D35C7" w14:textId="6B47FC16" w:rsidR="00F4730D" w:rsidRPr="009C525D" w:rsidRDefault="00F4730D" w:rsidP="001A7FAF">
      <w:pPr>
        <w:pStyle w:val="NoSpacing"/>
        <w:rPr>
          <w:rFonts w:asciiTheme="majorHAnsi" w:hAnsiTheme="majorHAnsi" w:cstheme="majorHAnsi"/>
        </w:rPr>
      </w:pPr>
    </w:p>
    <w:p w14:paraId="18155952" w14:textId="3EA91B6B" w:rsidR="007D7BC7" w:rsidRDefault="00FE4308" w:rsidP="007D7BC7">
      <w:pPr>
        <w:pStyle w:val="NormalWeb"/>
        <w:spacing w:line="360" w:lineRule="auto"/>
        <w:jc w:val="center"/>
        <w:rPr>
          <w:rFonts w:ascii="Calibri" w:hAnsi="Calibri" w:cs="Calibri"/>
          <w:b/>
          <w:bCs/>
          <w:u w:val="single"/>
        </w:rPr>
      </w:pPr>
      <w:r>
        <w:rPr>
          <w:rFonts w:ascii="Calibri" w:hAnsi="Calibri" w:cs="Calibri"/>
          <w:b/>
          <w:bCs/>
          <w:u w:val="single"/>
        </w:rPr>
        <w:t>Assignment 2A</w:t>
      </w:r>
      <w:r>
        <w:rPr>
          <w:rFonts w:ascii="Calibri" w:hAnsi="Calibri" w:cs="Calibri"/>
          <w:b/>
          <w:bCs/>
        </w:rPr>
        <w:t xml:space="preserve"> </w:t>
      </w:r>
      <w:r w:rsidR="007D7BC7">
        <w:rPr>
          <w:rFonts w:ascii="Calibri" w:hAnsi="Calibri" w:cs="Calibri"/>
          <w:b/>
          <w:bCs/>
        </w:rPr>
        <w:t>–</w:t>
      </w:r>
      <w:r>
        <w:rPr>
          <w:rFonts w:ascii="Calibri" w:hAnsi="Calibri" w:cs="Calibri"/>
          <w:b/>
          <w:bCs/>
        </w:rPr>
        <w:t xml:space="preserve"> </w:t>
      </w:r>
      <w:r>
        <w:rPr>
          <w:rFonts w:ascii="Calibri" w:hAnsi="Calibri" w:cs="Calibri"/>
          <w:b/>
          <w:bCs/>
          <w:u w:val="single"/>
        </w:rPr>
        <w:t>Defamation</w:t>
      </w:r>
    </w:p>
    <w:p w14:paraId="451D0739" w14:textId="01E3B7F8" w:rsidR="006451B0" w:rsidRPr="007D7BC7" w:rsidRDefault="00727909" w:rsidP="007D7BC7">
      <w:pPr>
        <w:pStyle w:val="NormalWeb"/>
        <w:spacing w:line="360" w:lineRule="auto"/>
        <w:jc w:val="both"/>
        <w:rPr>
          <w:rFonts w:ascii="Calibri" w:hAnsi="Calibri" w:cs="Calibri"/>
          <w:b/>
          <w:bCs/>
          <w:u w:val="single"/>
        </w:rPr>
      </w:pPr>
      <w:r w:rsidRPr="009C525D">
        <w:rPr>
          <w:rFonts w:asciiTheme="majorHAnsi" w:hAnsiTheme="majorHAnsi" w:cstheme="majorHAnsi"/>
        </w:rPr>
        <w:t xml:space="preserve">According to </w:t>
      </w:r>
      <w:r w:rsidR="00604723">
        <w:rPr>
          <w:rFonts w:asciiTheme="majorHAnsi" w:hAnsiTheme="majorHAnsi" w:cstheme="majorHAnsi"/>
        </w:rPr>
        <w:t>Martin (2017)</w:t>
      </w:r>
      <w:r w:rsidRPr="009C525D">
        <w:rPr>
          <w:rFonts w:asciiTheme="majorHAnsi" w:hAnsiTheme="majorHAnsi" w:cstheme="majorHAnsi"/>
        </w:rPr>
        <w:t>,</w:t>
      </w:r>
      <w:r w:rsidR="00A74316">
        <w:rPr>
          <w:rFonts w:asciiTheme="majorHAnsi" w:hAnsiTheme="majorHAnsi" w:cstheme="majorHAnsi"/>
        </w:rPr>
        <w:t xml:space="preserve"> there are two main forms of defamation. The first is libel</w:t>
      </w:r>
      <w:r w:rsidR="00D93F6F">
        <w:rPr>
          <w:rFonts w:asciiTheme="majorHAnsi" w:hAnsiTheme="majorHAnsi" w:cstheme="majorHAnsi"/>
        </w:rPr>
        <w:t xml:space="preserve"> and includes a permanent statement about someone which is false or untrue. These statements are usually made in newspapers or books, but social media posts can also be considered libellous and also someone who shares or retweets the statement can also be sued for defamation. The second is slander which is an oral statement made about someone, this is known as temporary as the statement is not printed anywhere it has been made through word of mouth. Since the introduction of the Defamation Act 2013, a claimant now has to demonstrate that ‘serious harm’ has been done to their reputation as a result of an untrue statement</w:t>
      </w:r>
      <w:r w:rsidR="00DB0BF4">
        <w:rPr>
          <w:rFonts w:asciiTheme="majorHAnsi" w:hAnsiTheme="majorHAnsi" w:cstheme="majorHAnsi"/>
        </w:rPr>
        <w:t xml:space="preserve">. </w:t>
      </w:r>
      <w:r w:rsidR="00466F1E">
        <w:rPr>
          <w:rFonts w:asciiTheme="majorHAnsi" w:hAnsiTheme="majorHAnsi" w:cstheme="majorHAnsi"/>
        </w:rPr>
        <w:t>When deciding cases of defamation, the courts need to be able to find a just and fair balance between a person’s right to claim for defamation and the others right to freedom of speech we are given by Art. 10 of the European Convention on Human Rights (</w:t>
      </w:r>
      <w:r w:rsidR="007D7BC7">
        <w:rPr>
          <w:rFonts w:asciiTheme="majorHAnsi" w:hAnsiTheme="majorHAnsi" w:cstheme="majorHAnsi"/>
        </w:rPr>
        <w:t>Keenan, 2007)</w:t>
      </w:r>
      <w:r w:rsidR="00466F1E">
        <w:rPr>
          <w:rFonts w:asciiTheme="majorHAnsi" w:hAnsiTheme="majorHAnsi" w:cstheme="majorHAnsi"/>
        </w:rPr>
        <w:t xml:space="preserve">. </w:t>
      </w:r>
    </w:p>
    <w:p w14:paraId="2FD380E1" w14:textId="5D500DF1" w:rsidR="00432B08" w:rsidRDefault="003C6371" w:rsidP="009C525D">
      <w:pPr>
        <w:pStyle w:val="NormalWeb"/>
        <w:spacing w:line="360" w:lineRule="auto"/>
        <w:jc w:val="both"/>
        <w:rPr>
          <w:rFonts w:asciiTheme="majorHAnsi" w:hAnsiTheme="majorHAnsi" w:cstheme="majorHAnsi"/>
        </w:rPr>
      </w:pPr>
      <w:r w:rsidRPr="009C525D">
        <w:rPr>
          <w:rFonts w:asciiTheme="majorHAnsi" w:hAnsiTheme="majorHAnsi" w:cstheme="majorHAnsi"/>
        </w:rPr>
        <w:t xml:space="preserve">The case </w:t>
      </w:r>
      <w:r w:rsidRPr="009C525D">
        <w:rPr>
          <w:rFonts w:asciiTheme="majorHAnsi" w:hAnsiTheme="majorHAnsi" w:cstheme="majorHAnsi"/>
          <w:i/>
          <w:iCs/>
        </w:rPr>
        <w:t>Reynolds v Times Newspapers Ltd [1998]</w:t>
      </w:r>
      <w:r w:rsidRPr="009C525D">
        <w:rPr>
          <w:rFonts w:asciiTheme="majorHAnsi" w:hAnsiTheme="majorHAnsi" w:cstheme="majorHAnsi"/>
        </w:rPr>
        <w:t xml:space="preserve"> refers to an article published in the</w:t>
      </w:r>
      <w:r w:rsidR="00E564C2" w:rsidRPr="009C525D">
        <w:rPr>
          <w:rFonts w:asciiTheme="majorHAnsi" w:hAnsiTheme="majorHAnsi" w:cstheme="majorHAnsi"/>
        </w:rPr>
        <w:t xml:space="preserve"> Times mainland</w:t>
      </w:r>
      <w:r w:rsidRPr="009C525D">
        <w:rPr>
          <w:rFonts w:asciiTheme="majorHAnsi" w:hAnsiTheme="majorHAnsi" w:cstheme="majorHAnsi"/>
        </w:rPr>
        <w:t xml:space="preserve"> newspaper regarding the Irish political crisis in Dublin in 1994, which ended in Reynolds resigning a Taioseach. </w:t>
      </w:r>
      <w:r w:rsidR="00F94F52">
        <w:rPr>
          <w:rFonts w:asciiTheme="majorHAnsi" w:hAnsiTheme="majorHAnsi" w:cstheme="majorHAnsi"/>
        </w:rPr>
        <w:t xml:space="preserve">According to </w:t>
      </w:r>
      <w:proofErr w:type="spellStart"/>
      <w:r w:rsidR="00F94F52">
        <w:rPr>
          <w:rFonts w:asciiTheme="majorHAnsi" w:hAnsiTheme="majorHAnsi" w:cstheme="majorHAnsi"/>
        </w:rPr>
        <w:t>Bosland</w:t>
      </w:r>
      <w:proofErr w:type="spellEnd"/>
      <w:r w:rsidR="00F94F52">
        <w:rPr>
          <w:rFonts w:asciiTheme="majorHAnsi" w:hAnsiTheme="majorHAnsi" w:cstheme="majorHAnsi"/>
        </w:rPr>
        <w:t xml:space="preserve"> (2010), the ruling of the House of Lords in this case fundamentally changed the law in modern cases of defamation. It was held that a media publication will be protected by qualified privilege where the publication is “of sufficient value to the public that, in the public interest, it should be protected. Lord Nicholls also listed ten factors which invoked the standard of responsible journalism in cases with media defendants to judge whether they took the necessary actions to verify the information they publish. The core factors which he made were the reliability of sources and information, whether steps were taken to verify the information published, and whether the claimant approached for comment. Since this case was heard, it has been used by judge’s in other cases of defamation with media defendants to see if the legal threshold for a successful defence of qualified privilege has been met. </w:t>
      </w:r>
    </w:p>
    <w:p w14:paraId="62108DE8" w14:textId="77777777" w:rsidR="000A330A" w:rsidRDefault="007D7BC7" w:rsidP="000A330A">
      <w:pPr>
        <w:pStyle w:val="NormalWeb"/>
        <w:spacing w:line="360" w:lineRule="auto"/>
        <w:jc w:val="both"/>
        <w:rPr>
          <w:rFonts w:asciiTheme="majorHAnsi" w:hAnsiTheme="majorHAnsi" w:cstheme="majorHAnsi"/>
        </w:rPr>
      </w:pPr>
      <w:r>
        <w:rPr>
          <w:rFonts w:asciiTheme="majorHAnsi" w:hAnsiTheme="majorHAnsi" w:cstheme="majorHAnsi"/>
        </w:rPr>
        <w:t xml:space="preserve">When discussing </w:t>
      </w:r>
      <w:r w:rsidR="000A330A">
        <w:rPr>
          <w:rFonts w:asciiTheme="majorHAnsi" w:hAnsiTheme="majorHAnsi" w:cstheme="majorHAnsi"/>
        </w:rPr>
        <w:t>defamation,</w:t>
      </w:r>
      <w:r>
        <w:rPr>
          <w:rFonts w:asciiTheme="majorHAnsi" w:hAnsiTheme="majorHAnsi" w:cstheme="majorHAnsi"/>
        </w:rPr>
        <w:t xml:space="preserve"> it is also necessary to mention the case of </w:t>
      </w:r>
      <w:r>
        <w:rPr>
          <w:rFonts w:asciiTheme="majorHAnsi" w:hAnsiTheme="majorHAnsi" w:cstheme="majorHAnsi"/>
          <w:i/>
          <w:iCs/>
        </w:rPr>
        <w:t>Secretary of State for Defence v Guardian Newspapers Ltd (1985)</w:t>
      </w:r>
      <w:r>
        <w:rPr>
          <w:rFonts w:asciiTheme="majorHAnsi" w:hAnsiTheme="majorHAnsi" w:cstheme="majorHAnsi"/>
        </w:rPr>
        <w:t xml:space="preserve"> as it concerns s.10 Contempt of Court Act, which </w:t>
      </w:r>
    </w:p>
    <w:p w14:paraId="7828A393" w14:textId="77777777" w:rsidR="000A330A" w:rsidRDefault="000A330A" w:rsidP="000A330A">
      <w:pPr>
        <w:pStyle w:val="NormalWeb"/>
        <w:spacing w:line="360" w:lineRule="auto"/>
        <w:jc w:val="both"/>
        <w:rPr>
          <w:rFonts w:asciiTheme="majorHAnsi" w:hAnsiTheme="majorHAnsi" w:cstheme="majorHAnsi"/>
        </w:rPr>
      </w:pPr>
    </w:p>
    <w:p w14:paraId="6C5DC204" w14:textId="4A184114" w:rsidR="007D7BC7" w:rsidRDefault="007D7BC7" w:rsidP="000A330A">
      <w:pPr>
        <w:pStyle w:val="NormalWeb"/>
        <w:spacing w:line="360" w:lineRule="auto"/>
        <w:jc w:val="both"/>
        <w:rPr>
          <w:rFonts w:asciiTheme="majorHAnsi" w:hAnsiTheme="majorHAnsi" w:cstheme="majorHAnsi"/>
        </w:rPr>
      </w:pPr>
      <w:r>
        <w:rPr>
          <w:rFonts w:asciiTheme="majorHAnsi" w:hAnsiTheme="majorHAnsi" w:cstheme="majorHAnsi"/>
        </w:rPr>
        <w:t xml:space="preserve">gives journalistic sources legal protection from being identified. This case regards a document which was produced by the Ministry of Defence for distribution to senior government ministers. The document was classified and was leaked to the Guardian. The editor didn’t know who had sent the document and published it. The Defence Secretary ordered the immediate return of the document as it was thought markings on the document could pinpoint the identity of the person who leaked it. The court </w:t>
      </w:r>
      <w:r w:rsidR="000A330A">
        <w:rPr>
          <w:rFonts w:asciiTheme="majorHAnsi" w:hAnsiTheme="majorHAnsi" w:cstheme="majorHAnsi"/>
        </w:rPr>
        <w:t xml:space="preserve">decided that </w:t>
      </w:r>
      <w:r>
        <w:rPr>
          <w:rFonts w:asciiTheme="majorHAnsi" w:hAnsiTheme="majorHAnsi" w:cstheme="majorHAnsi"/>
        </w:rPr>
        <w:t>s.10 Contempt of Court Act 1981 was not meant to interfere with proprietary</w:t>
      </w:r>
      <w:r w:rsidR="000A330A">
        <w:rPr>
          <w:rFonts w:asciiTheme="majorHAnsi" w:hAnsiTheme="majorHAnsi" w:cstheme="majorHAnsi"/>
        </w:rPr>
        <w:t xml:space="preserve"> rights, and that the crown was entitled to the return of the document in the interests of justice and national security. </w:t>
      </w:r>
    </w:p>
    <w:p w14:paraId="1F856DB7" w14:textId="3FEB29AD" w:rsidR="000A330A" w:rsidRDefault="000A330A" w:rsidP="000A330A">
      <w:pPr>
        <w:pStyle w:val="NormalWeb"/>
        <w:spacing w:line="360" w:lineRule="auto"/>
        <w:jc w:val="both"/>
        <w:rPr>
          <w:rFonts w:asciiTheme="majorHAnsi" w:hAnsiTheme="majorHAnsi" w:cstheme="majorHAnsi"/>
        </w:rPr>
      </w:pPr>
      <w:proofErr w:type="spellStart"/>
      <w:r>
        <w:rPr>
          <w:rFonts w:asciiTheme="majorHAnsi" w:hAnsiTheme="majorHAnsi" w:cstheme="majorHAnsi"/>
          <w:i/>
          <w:iCs/>
        </w:rPr>
        <w:t>Interbrew</w:t>
      </w:r>
      <w:proofErr w:type="spellEnd"/>
      <w:r>
        <w:rPr>
          <w:rFonts w:asciiTheme="majorHAnsi" w:hAnsiTheme="majorHAnsi" w:cstheme="majorHAnsi"/>
          <w:i/>
          <w:iCs/>
        </w:rPr>
        <w:t xml:space="preserve"> v Financial Times (2002) </w:t>
      </w:r>
      <w:r>
        <w:rPr>
          <w:rFonts w:asciiTheme="majorHAnsi" w:hAnsiTheme="majorHAnsi" w:cstheme="majorHAnsi"/>
        </w:rPr>
        <w:t xml:space="preserve">regards the publication of a leaked document with business information of a proposed takeover bid of a South African company. </w:t>
      </w:r>
      <w:proofErr w:type="spellStart"/>
      <w:r>
        <w:rPr>
          <w:rFonts w:asciiTheme="majorHAnsi" w:hAnsiTheme="majorHAnsi" w:cstheme="majorHAnsi"/>
        </w:rPr>
        <w:t>Interbrew</w:t>
      </w:r>
      <w:proofErr w:type="spellEnd"/>
      <w:r>
        <w:rPr>
          <w:rFonts w:asciiTheme="majorHAnsi" w:hAnsiTheme="majorHAnsi" w:cstheme="majorHAnsi"/>
        </w:rPr>
        <w:t xml:space="preserve"> claimed that the information in the document had been fabricated. The Financial Times published an article regarding the information in the document and this had a negative impact on the share prices of both companies. The Financial Times did not know who sent the document and invoked s.10 Contempt of Court Act 1981 to protect its sources of information. It was held while dismissing the appeal that </w:t>
      </w:r>
      <w:proofErr w:type="spellStart"/>
      <w:r>
        <w:rPr>
          <w:rFonts w:asciiTheme="majorHAnsi" w:hAnsiTheme="majorHAnsi" w:cstheme="majorHAnsi"/>
        </w:rPr>
        <w:t>Interbrew</w:t>
      </w:r>
      <w:proofErr w:type="spellEnd"/>
      <w:r>
        <w:rPr>
          <w:rFonts w:asciiTheme="majorHAnsi" w:hAnsiTheme="majorHAnsi" w:cstheme="majorHAnsi"/>
        </w:rPr>
        <w:t xml:space="preserve"> was entitled to </w:t>
      </w:r>
      <w:r w:rsidR="00355C9C">
        <w:rPr>
          <w:rFonts w:asciiTheme="majorHAnsi" w:hAnsiTheme="majorHAnsi" w:cstheme="majorHAnsi"/>
        </w:rPr>
        <w:t xml:space="preserve">an order where the newspaper preserved and delivered the document back to them. The judge also agreed that a Breach of Confidence had taken place, as the person who sent the document to the newspaper knew it was confidential and intended to cause the company serious harm by falsifying the information. </w:t>
      </w:r>
    </w:p>
    <w:p w14:paraId="3BAAB08F" w14:textId="6E3F9BB7" w:rsidR="00355C9C" w:rsidRDefault="00355C9C" w:rsidP="000A330A">
      <w:pPr>
        <w:pStyle w:val="NormalWeb"/>
        <w:spacing w:line="360" w:lineRule="auto"/>
        <w:jc w:val="both"/>
        <w:rPr>
          <w:rFonts w:asciiTheme="majorHAnsi" w:hAnsiTheme="majorHAnsi" w:cstheme="majorHAnsi"/>
        </w:rPr>
      </w:pPr>
      <w:r>
        <w:rPr>
          <w:rFonts w:asciiTheme="majorHAnsi" w:hAnsiTheme="majorHAnsi" w:cstheme="majorHAnsi"/>
        </w:rPr>
        <w:t xml:space="preserve">When this case concluded, the newspaper brought an action in the European Court of Human Rights, </w:t>
      </w:r>
      <w:r>
        <w:rPr>
          <w:rFonts w:asciiTheme="majorHAnsi" w:hAnsiTheme="majorHAnsi" w:cstheme="majorHAnsi"/>
          <w:i/>
          <w:iCs/>
        </w:rPr>
        <w:t xml:space="preserve">Financial Times Ltd v United Kingdom (2009). </w:t>
      </w:r>
      <w:r>
        <w:rPr>
          <w:rFonts w:asciiTheme="majorHAnsi" w:hAnsiTheme="majorHAnsi" w:cstheme="majorHAnsi"/>
        </w:rPr>
        <w:t xml:space="preserve">It stated that the court was wrong to override the Contempt of Court Act 1981 by ordering they return the document which was leaked to them to </w:t>
      </w:r>
      <w:proofErr w:type="spellStart"/>
      <w:r>
        <w:rPr>
          <w:rFonts w:asciiTheme="majorHAnsi" w:hAnsiTheme="majorHAnsi" w:cstheme="majorHAnsi"/>
        </w:rPr>
        <w:t>Interbrew</w:t>
      </w:r>
      <w:proofErr w:type="spellEnd"/>
      <w:r>
        <w:rPr>
          <w:rFonts w:asciiTheme="majorHAnsi" w:hAnsiTheme="majorHAnsi" w:cstheme="majorHAnsi"/>
        </w:rPr>
        <w:t xml:space="preserve"> was unconstitutional as it could potentially reveal the identity of their journalistic source. They also claimed </w:t>
      </w:r>
      <w:r w:rsidR="008933BB">
        <w:rPr>
          <w:rFonts w:asciiTheme="majorHAnsi" w:hAnsiTheme="majorHAnsi" w:cstheme="majorHAnsi"/>
        </w:rPr>
        <w:t xml:space="preserve">that their Right to Freedom of Expression had been violated by the High Court order that required them to return the document. It was held that although the disclosure order had not been enforced did not mean that it would not be in the future. There is also the common law principle that if a person becomes involved in wrongdoing of others by no fault of their own, so as to facilitate that wrongdoing, came under a duty to </w:t>
      </w:r>
      <w:r w:rsidR="008933BB">
        <w:rPr>
          <w:rFonts w:asciiTheme="majorHAnsi" w:hAnsiTheme="majorHAnsi" w:cstheme="majorHAnsi"/>
        </w:rPr>
        <w:lastRenderedPageBreak/>
        <w:t xml:space="preserve">assist the person who had been wronged by giving them the full information and identity of the wrongdoer. </w:t>
      </w:r>
    </w:p>
    <w:p w14:paraId="47C0A17A" w14:textId="38BC4C7A" w:rsidR="008933BB" w:rsidRDefault="008933BB" w:rsidP="000A330A">
      <w:pPr>
        <w:pStyle w:val="NormalWeb"/>
        <w:spacing w:line="360" w:lineRule="auto"/>
        <w:jc w:val="both"/>
        <w:rPr>
          <w:rFonts w:asciiTheme="majorHAnsi" w:hAnsiTheme="majorHAnsi" w:cstheme="majorHAnsi"/>
        </w:rPr>
      </w:pPr>
      <w:r>
        <w:rPr>
          <w:rFonts w:asciiTheme="majorHAnsi" w:hAnsiTheme="majorHAnsi" w:cstheme="majorHAnsi"/>
        </w:rPr>
        <w:t>It is important to understand that the Defamation Act 2013 was introduced to</w:t>
      </w:r>
      <w:r w:rsidR="000B0B1F">
        <w:rPr>
          <w:rFonts w:asciiTheme="majorHAnsi" w:hAnsiTheme="majorHAnsi" w:cstheme="majorHAnsi"/>
        </w:rPr>
        <w:t xml:space="preserve"> attempt to try and balance the right to freedom of expression with the right to claim for defamation. In many cases the press are the defendants against people bringing actions for libel and that</w:t>
      </w:r>
    </w:p>
    <w:p w14:paraId="2ACEC7E7" w14:textId="28F6AB38" w:rsidR="000B0B1F" w:rsidRDefault="000B0B1F" w:rsidP="000B0B1F">
      <w:pPr>
        <w:pStyle w:val="NormalWeb"/>
        <w:spacing w:line="360" w:lineRule="auto"/>
        <w:jc w:val="center"/>
        <w:rPr>
          <w:rFonts w:asciiTheme="majorHAnsi" w:hAnsiTheme="majorHAnsi" w:cstheme="majorHAnsi"/>
          <w:b/>
          <w:bCs/>
          <w:u w:val="single"/>
        </w:rPr>
      </w:pPr>
      <w:r>
        <w:rPr>
          <w:rFonts w:asciiTheme="majorHAnsi" w:hAnsiTheme="majorHAnsi" w:cstheme="majorHAnsi"/>
          <w:b/>
          <w:bCs/>
          <w:u w:val="single"/>
        </w:rPr>
        <w:t>Assignment 2B – Judicial Review</w:t>
      </w:r>
    </w:p>
    <w:p w14:paraId="1A134DC0" w14:textId="2342FA0C" w:rsidR="000B0B1F" w:rsidRDefault="000B0B1F" w:rsidP="000B0B1F">
      <w:pPr>
        <w:pStyle w:val="NormalWeb"/>
        <w:spacing w:line="360" w:lineRule="auto"/>
        <w:jc w:val="both"/>
        <w:rPr>
          <w:rFonts w:asciiTheme="majorHAnsi" w:hAnsiTheme="majorHAnsi" w:cstheme="majorHAnsi"/>
        </w:rPr>
      </w:pPr>
      <w:r>
        <w:rPr>
          <w:rFonts w:asciiTheme="majorHAnsi" w:hAnsiTheme="majorHAnsi" w:cstheme="majorHAnsi"/>
        </w:rPr>
        <w:t xml:space="preserve">Judicial review is the action of appealing a decision made by a public body such as the government or an organisation which acts in the same capacity as a public body, such as the local council. It allows claimants to challenge the lawfulness of the decision made, if they think that the decision was made unfairly or that it violates their statutory rights. The process of judicial review can only make a judgement on how the decision was reached and cannot decide to change the outcome of a case.  There are three reasons why a case of judicial review can be brought and that is because of illegality, </w:t>
      </w:r>
      <w:r w:rsidR="00B3263C">
        <w:rPr>
          <w:rFonts w:asciiTheme="majorHAnsi" w:hAnsiTheme="majorHAnsi" w:cstheme="majorHAnsi"/>
        </w:rPr>
        <w:t>unfairness or irrationality (Ins. For Gov</w:t>
      </w:r>
      <w:r w:rsidR="00F75A04">
        <w:rPr>
          <w:rFonts w:asciiTheme="majorHAnsi" w:hAnsiTheme="majorHAnsi" w:cstheme="majorHAnsi"/>
        </w:rPr>
        <w:t xml:space="preserve"> 202</w:t>
      </w:r>
      <w:r w:rsidR="00EE5AE4">
        <w:rPr>
          <w:rFonts w:asciiTheme="majorHAnsi" w:hAnsiTheme="majorHAnsi" w:cstheme="majorHAnsi"/>
        </w:rPr>
        <w:t>0</w:t>
      </w:r>
      <w:r w:rsidR="00B3263C">
        <w:rPr>
          <w:rFonts w:asciiTheme="majorHAnsi" w:hAnsiTheme="majorHAnsi" w:cstheme="majorHAnsi"/>
        </w:rPr>
        <w:t xml:space="preserve">) </w:t>
      </w:r>
    </w:p>
    <w:p w14:paraId="65D405A3" w14:textId="493D1F5E" w:rsidR="00B3263C" w:rsidRDefault="00B3263C" w:rsidP="000B0B1F">
      <w:pPr>
        <w:pStyle w:val="NormalWeb"/>
        <w:spacing w:line="360" w:lineRule="auto"/>
        <w:jc w:val="both"/>
        <w:rPr>
          <w:rFonts w:asciiTheme="majorHAnsi" w:hAnsiTheme="majorHAnsi" w:cstheme="majorHAnsi"/>
        </w:rPr>
      </w:pPr>
      <w:r>
        <w:rPr>
          <w:rFonts w:asciiTheme="majorHAnsi" w:hAnsiTheme="majorHAnsi" w:cstheme="majorHAnsi"/>
        </w:rPr>
        <w:t xml:space="preserve">The Plastics Regulation Authority has given authorisation for one recycling plant to open in the local area. Norton Solutions Plc placed an application to open a Recycling Plant in the Mumbles </w:t>
      </w:r>
      <w:proofErr w:type="gramStart"/>
      <w:r>
        <w:rPr>
          <w:rFonts w:asciiTheme="majorHAnsi" w:hAnsiTheme="majorHAnsi" w:cstheme="majorHAnsi"/>
        </w:rPr>
        <w:t>area</w:t>
      </w:r>
      <w:proofErr w:type="gramEnd"/>
      <w:r>
        <w:rPr>
          <w:rFonts w:asciiTheme="majorHAnsi" w:hAnsiTheme="majorHAnsi" w:cstheme="majorHAnsi"/>
        </w:rPr>
        <w:t xml:space="preserve"> but this was refused by the Plastics Regulation Authority as allowed another company </w:t>
      </w:r>
      <w:proofErr w:type="spellStart"/>
      <w:r>
        <w:rPr>
          <w:rFonts w:asciiTheme="majorHAnsi" w:hAnsiTheme="majorHAnsi" w:cstheme="majorHAnsi"/>
        </w:rPr>
        <w:t>Westcross</w:t>
      </w:r>
      <w:proofErr w:type="spellEnd"/>
      <w:r>
        <w:rPr>
          <w:rFonts w:asciiTheme="majorHAnsi" w:hAnsiTheme="majorHAnsi" w:cstheme="majorHAnsi"/>
        </w:rPr>
        <w:t xml:space="preserve"> Plc to open a plant in the area. Norton may have information that </w:t>
      </w:r>
      <w:proofErr w:type="spellStart"/>
      <w:r>
        <w:rPr>
          <w:rFonts w:asciiTheme="majorHAnsi" w:hAnsiTheme="majorHAnsi" w:cstheme="majorHAnsi"/>
        </w:rPr>
        <w:t>Westcross</w:t>
      </w:r>
      <w:proofErr w:type="spellEnd"/>
      <w:r>
        <w:rPr>
          <w:rFonts w:asciiTheme="majorHAnsi" w:hAnsiTheme="majorHAnsi" w:cstheme="majorHAnsi"/>
        </w:rPr>
        <w:t xml:space="preserve"> will not be able to fulfil their contract, but this will not have an impact on the decision for judicial review. Judicial review cases can only go ahead if the way in which the Plastics Regulation </w:t>
      </w:r>
      <w:proofErr w:type="spellStart"/>
      <w:r>
        <w:rPr>
          <w:rFonts w:asciiTheme="majorHAnsi" w:hAnsiTheme="majorHAnsi" w:cstheme="majorHAnsi"/>
        </w:rPr>
        <w:t>Autority</w:t>
      </w:r>
      <w:proofErr w:type="spellEnd"/>
      <w:r>
        <w:rPr>
          <w:rFonts w:asciiTheme="majorHAnsi" w:hAnsiTheme="majorHAnsi" w:cstheme="majorHAnsi"/>
        </w:rPr>
        <w:t xml:space="preserve"> reached the decision was unlawful, but it cannot change the decision on the awarding of the contract to </w:t>
      </w:r>
      <w:proofErr w:type="spellStart"/>
      <w:r>
        <w:rPr>
          <w:rFonts w:asciiTheme="majorHAnsi" w:hAnsiTheme="majorHAnsi" w:cstheme="majorHAnsi"/>
        </w:rPr>
        <w:t>Westcross</w:t>
      </w:r>
      <w:proofErr w:type="spellEnd"/>
      <w:r>
        <w:rPr>
          <w:rFonts w:asciiTheme="majorHAnsi" w:hAnsiTheme="majorHAnsi" w:cstheme="majorHAnsi"/>
        </w:rPr>
        <w:t xml:space="preserve"> plc (Martin, 2018). </w:t>
      </w:r>
    </w:p>
    <w:p w14:paraId="6C093E69" w14:textId="5BDC0D86" w:rsidR="00F75A04" w:rsidRDefault="00B3263C" w:rsidP="000B0B1F">
      <w:pPr>
        <w:pStyle w:val="NormalWeb"/>
        <w:spacing w:line="360" w:lineRule="auto"/>
        <w:jc w:val="both"/>
        <w:rPr>
          <w:rFonts w:asciiTheme="majorHAnsi" w:hAnsiTheme="majorHAnsi" w:cstheme="majorHAnsi"/>
        </w:rPr>
      </w:pPr>
      <w:proofErr w:type="spellStart"/>
      <w:r>
        <w:rPr>
          <w:rFonts w:asciiTheme="majorHAnsi" w:hAnsiTheme="majorHAnsi" w:cstheme="majorHAnsi"/>
        </w:rPr>
        <w:t>LakeRec</w:t>
      </w:r>
      <w:proofErr w:type="spellEnd"/>
      <w:r>
        <w:rPr>
          <w:rFonts w:asciiTheme="majorHAnsi" w:hAnsiTheme="majorHAnsi" w:cstheme="majorHAnsi"/>
        </w:rPr>
        <w:t xml:space="preserve"> has also been awarded a contract to open a recycling plant in the Swansea area three months ago with the Plastics Regulation Authority stipulating that the project would bring economic benefits to the local area. If this decision was made after Norton Solutions had their bid rejected then</w:t>
      </w:r>
      <w:r w:rsidR="00F75A04">
        <w:rPr>
          <w:rFonts w:asciiTheme="majorHAnsi" w:hAnsiTheme="majorHAnsi" w:cstheme="majorHAnsi"/>
        </w:rPr>
        <w:t xml:space="preserve"> this would provide a basis for Norton to being the process of judicial review against the Plastics Regulations Authority on the basis of irrationality as they had their bid rejected and also it seems that Norton Solutions was treated unfairly compared to </w:t>
      </w:r>
      <w:proofErr w:type="spellStart"/>
      <w:r w:rsidR="00F75A04">
        <w:rPr>
          <w:rFonts w:asciiTheme="majorHAnsi" w:hAnsiTheme="majorHAnsi" w:cstheme="majorHAnsi"/>
        </w:rPr>
        <w:t>LakeRec</w:t>
      </w:r>
      <w:proofErr w:type="spellEnd"/>
      <w:r w:rsidR="00F75A04">
        <w:rPr>
          <w:rFonts w:asciiTheme="majorHAnsi" w:hAnsiTheme="majorHAnsi" w:cstheme="majorHAnsi"/>
        </w:rPr>
        <w:t xml:space="preserve"> (Ins. For Gov 202</w:t>
      </w:r>
      <w:r w:rsidR="00EE5AE4">
        <w:rPr>
          <w:rFonts w:asciiTheme="majorHAnsi" w:hAnsiTheme="majorHAnsi" w:cstheme="majorHAnsi"/>
        </w:rPr>
        <w:t>0</w:t>
      </w:r>
      <w:r w:rsidR="00F75A04">
        <w:rPr>
          <w:rFonts w:asciiTheme="majorHAnsi" w:hAnsiTheme="majorHAnsi" w:cstheme="majorHAnsi"/>
        </w:rPr>
        <w:t>).</w:t>
      </w:r>
    </w:p>
    <w:p w14:paraId="60A291DE" w14:textId="77777777" w:rsidR="00F75A04" w:rsidRDefault="00F75A04" w:rsidP="000B0B1F">
      <w:pPr>
        <w:pStyle w:val="NormalWeb"/>
        <w:spacing w:line="360" w:lineRule="auto"/>
        <w:jc w:val="both"/>
        <w:rPr>
          <w:rFonts w:asciiTheme="majorHAnsi" w:hAnsiTheme="majorHAnsi" w:cstheme="majorHAnsi"/>
        </w:rPr>
      </w:pPr>
    </w:p>
    <w:p w14:paraId="0E165820" w14:textId="7B0EEF9E" w:rsidR="00D71374" w:rsidRDefault="00F75A04" w:rsidP="00F75A04">
      <w:pPr>
        <w:pStyle w:val="NormalWeb"/>
        <w:spacing w:line="360" w:lineRule="auto"/>
        <w:jc w:val="both"/>
        <w:rPr>
          <w:rFonts w:asciiTheme="majorHAnsi" w:hAnsiTheme="majorHAnsi" w:cstheme="majorHAnsi"/>
        </w:rPr>
      </w:pPr>
      <w:r>
        <w:rPr>
          <w:rFonts w:asciiTheme="majorHAnsi" w:hAnsiTheme="majorHAnsi" w:cstheme="majorHAnsi"/>
        </w:rPr>
        <w:t>As part of the Environmental Protection Act 2019 says as part of the application process for a licence, the company which is applying must place the application at the site itself, in the local newspaper and online. The Nature Reserve Trust only placed their application at the site and in the newspaper, they did put it online as well, so their application would not be considered for opening a recycling plant (Ins. For Gov 202</w:t>
      </w:r>
      <w:r w:rsidR="00EE5AE4">
        <w:rPr>
          <w:rFonts w:asciiTheme="majorHAnsi" w:hAnsiTheme="majorHAnsi" w:cstheme="majorHAnsi"/>
        </w:rPr>
        <w:t>0</w:t>
      </w:r>
      <w:r>
        <w:rPr>
          <w:rFonts w:asciiTheme="majorHAnsi" w:hAnsiTheme="majorHAnsi" w:cstheme="majorHAnsi"/>
        </w:rPr>
        <w:t xml:space="preserve">). </w:t>
      </w:r>
    </w:p>
    <w:p w14:paraId="5F57325A" w14:textId="2F339E35" w:rsidR="00F75A04" w:rsidRDefault="00F75A04" w:rsidP="00F75A04">
      <w:pPr>
        <w:pStyle w:val="NormalWeb"/>
        <w:spacing w:line="360" w:lineRule="auto"/>
        <w:jc w:val="both"/>
        <w:rPr>
          <w:rFonts w:asciiTheme="majorHAnsi" w:hAnsiTheme="majorHAnsi" w:cstheme="majorHAnsi"/>
        </w:rPr>
      </w:pPr>
    </w:p>
    <w:p w14:paraId="6A49263A" w14:textId="134C6A25" w:rsidR="00F75A04" w:rsidRDefault="00F75A04" w:rsidP="00F75A04">
      <w:pPr>
        <w:pStyle w:val="NormalWeb"/>
        <w:spacing w:line="360" w:lineRule="auto"/>
        <w:jc w:val="both"/>
        <w:rPr>
          <w:rFonts w:asciiTheme="majorHAnsi" w:hAnsiTheme="majorHAnsi" w:cstheme="majorHAnsi"/>
        </w:rPr>
      </w:pPr>
    </w:p>
    <w:p w14:paraId="7590D692" w14:textId="508483AB" w:rsidR="00F75A04" w:rsidRDefault="00F75A04" w:rsidP="00F75A04">
      <w:pPr>
        <w:pStyle w:val="NormalWeb"/>
        <w:spacing w:line="360" w:lineRule="auto"/>
        <w:jc w:val="both"/>
        <w:rPr>
          <w:rFonts w:asciiTheme="majorHAnsi" w:hAnsiTheme="majorHAnsi" w:cstheme="majorHAnsi"/>
        </w:rPr>
      </w:pPr>
    </w:p>
    <w:p w14:paraId="06BC0EDE" w14:textId="779302A8" w:rsidR="00F75A04" w:rsidRDefault="00F75A04" w:rsidP="00F75A04">
      <w:pPr>
        <w:pStyle w:val="NormalWeb"/>
        <w:spacing w:line="360" w:lineRule="auto"/>
        <w:jc w:val="both"/>
        <w:rPr>
          <w:rFonts w:asciiTheme="majorHAnsi" w:hAnsiTheme="majorHAnsi" w:cstheme="majorHAnsi"/>
        </w:rPr>
      </w:pPr>
    </w:p>
    <w:p w14:paraId="5DD9E715" w14:textId="0B82FACE" w:rsidR="00F75A04" w:rsidRDefault="00F75A04" w:rsidP="00F75A04">
      <w:pPr>
        <w:pStyle w:val="NormalWeb"/>
        <w:spacing w:line="360" w:lineRule="auto"/>
        <w:jc w:val="both"/>
        <w:rPr>
          <w:rFonts w:asciiTheme="majorHAnsi" w:hAnsiTheme="majorHAnsi" w:cstheme="majorHAnsi"/>
        </w:rPr>
      </w:pPr>
    </w:p>
    <w:p w14:paraId="3ADC7313" w14:textId="36376942" w:rsidR="00F75A04" w:rsidRDefault="00F75A04" w:rsidP="00F75A04">
      <w:pPr>
        <w:pStyle w:val="NormalWeb"/>
        <w:spacing w:line="360" w:lineRule="auto"/>
        <w:jc w:val="both"/>
        <w:rPr>
          <w:rFonts w:asciiTheme="majorHAnsi" w:hAnsiTheme="majorHAnsi" w:cstheme="majorHAnsi"/>
        </w:rPr>
      </w:pPr>
    </w:p>
    <w:p w14:paraId="06CDDC27" w14:textId="2283691C" w:rsidR="00F75A04" w:rsidRDefault="00F75A04" w:rsidP="00F75A04">
      <w:pPr>
        <w:pStyle w:val="NormalWeb"/>
        <w:spacing w:line="360" w:lineRule="auto"/>
        <w:jc w:val="both"/>
        <w:rPr>
          <w:rFonts w:asciiTheme="majorHAnsi" w:hAnsiTheme="majorHAnsi" w:cstheme="majorHAnsi"/>
        </w:rPr>
      </w:pPr>
    </w:p>
    <w:p w14:paraId="26641FB4" w14:textId="6A210FA2" w:rsidR="00F75A04" w:rsidRDefault="00F75A04" w:rsidP="00F75A04">
      <w:pPr>
        <w:pStyle w:val="NormalWeb"/>
        <w:spacing w:line="360" w:lineRule="auto"/>
        <w:jc w:val="both"/>
        <w:rPr>
          <w:rFonts w:asciiTheme="majorHAnsi" w:hAnsiTheme="majorHAnsi" w:cstheme="majorHAnsi"/>
        </w:rPr>
      </w:pPr>
    </w:p>
    <w:p w14:paraId="1161B27D" w14:textId="6C0929D1" w:rsidR="00F75A04" w:rsidRDefault="00F75A04" w:rsidP="00F75A04">
      <w:pPr>
        <w:pStyle w:val="NormalWeb"/>
        <w:spacing w:line="360" w:lineRule="auto"/>
        <w:jc w:val="both"/>
        <w:rPr>
          <w:rFonts w:asciiTheme="majorHAnsi" w:hAnsiTheme="majorHAnsi" w:cstheme="majorHAnsi"/>
        </w:rPr>
      </w:pPr>
    </w:p>
    <w:p w14:paraId="369630E9" w14:textId="3ADF2965" w:rsidR="00F75A04" w:rsidRDefault="00F75A04" w:rsidP="00F75A04">
      <w:pPr>
        <w:pStyle w:val="NormalWeb"/>
        <w:spacing w:line="360" w:lineRule="auto"/>
        <w:jc w:val="both"/>
        <w:rPr>
          <w:rFonts w:asciiTheme="majorHAnsi" w:hAnsiTheme="majorHAnsi" w:cstheme="majorHAnsi"/>
        </w:rPr>
      </w:pPr>
    </w:p>
    <w:p w14:paraId="1E43DDDC" w14:textId="2CA3166B" w:rsidR="00F75A04" w:rsidRDefault="00F75A04" w:rsidP="00F75A04">
      <w:pPr>
        <w:pStyle w:val="NormalWeb"/>
        <w:spacing w:line="360" w:lineRule="auto"/>
        <w:jc w:val="both"/>
        <w:rPr>
          <w:rFonts w:asciiTheme="majorHAnsi" w:hAnsiTheme="majorHAnsi" w:cstheme="majorHAnsi"/>
        </w:rPr>
      </w:pPr>
    </w:p>
    <w:p w14:paraId="079FC404" w14:textId="172F8953" w:rsidR="00F75A04" w:rsidRDefault="00F75A04" w:rsidP="00F75A04">
      <w:pPr>
        <w:pStyle w:val="NormalWeb"/>
        <w:spacing w:line="360" w:lineRule="auto"/>
        <w:jc w:val="both"/>
        <w:rPr>
          <w:rFonts w:asciiTheme="majorHAnsi" w:hAnsiTheme="majorHAnsi" w:cstheme="majorHAnsi"/>
        </w:rPr>
      </w:pPr>
    </w:p>
    <w:p w14:paraId="15B3EDA7" w14:textId="32B0D17F" w:rsidR="00F75A04" w:rsidRDefault="00F75A04" w:rsidP="00F75A04">
      <w:pPr>
        <w:pStyle w:val="NormalWeb"/>
        <w:spacing w:line="360" w:lineRule="auto"/>
        <w:jc w:val="both"/>
        <w:rPr>
          <w:rFonts w:asciiTheme="majorHAnsi" w:hAnsiTheme="majorHAnsi" w:cstheme="majorHAnsi"/>
        </w:rPr>
      </w:pPr>
    </w:p>
    <w:p w14:paraId="4461C6F5" w14:textId="761A8C54" w:rsidR="00F75A04" w:rsidRDefault="00F75A04" w:rsidP="00F75A04">
      <w:pPr>
        <w:pStyle w:val="NormalWeb"/>
        <w:spacing w:line="360" w:lineRule="auto"/>
        <w:jc w:val="both"/>
        <w:rPr>
          <w:rFonts w:asciiTheme="majorHAnsi" w:hAnsiTheme="majorHAnsi" w:cstheme="majorHAnsi"/>
        </w:rPr>
      </w:pPr>
    </w:p>
    <w:p w14:paraId="73865EDC" w14:textId="77777777" w:rsidR="00F75A04" w:rsidRPr="009C525D" w:rsidRDefault="00F75A04" w:rsidP="00F75A04">
      <w:pPr>
        <w:pStyle w:val="NormalWeb"/>
        <w:spacing w:line="360" w:lineRule="auto"/>
        <w:jc w:val="both"/>
        <w:rPr>
          <w:rFonts w:asciiTheme="majorHAnsi" w:hAnsiTheme="majorHAnsi" w:cstheme="majorHAnsi"/>
        </w:rPr>
      </w:pPr>
    </w:p>
    <w:p w14:paraId="40EE24ED" w14:textId="0B0B7324" w:rsidR="00D71374" w:rsidRPr="009C525D" w:rsidRDefault="00D71374" w:rsidP="001A7FAF">
      <w:pPr>
        <w:pStyle w:val="NoSpacing"/>
        <w:spacing w:line="360" w:lineRule="auto"/>
        <w:jc w:val="both"/>
        <w:rPr>
          <w:rFonts w:asciiTheme="majorHAnsi" w:hAnsiTheme="majorHAnsi" w:cstheme="majorHAnsi"/>
        </w:rPr>
      </w:pPr>
    </w:p>
    <w:p w14:paraId="173CDFAF" w14:textId="155DF646" w:rsidR="009C525D" w:rsidRPr="009C525D" w:rsidRDefault="00D71374" w:rsidP="009C525D">
      <w:pPr>
        <w:pStyle w:val="NoSpacing"/>
        <w:spacing w:line="360" w:lineRule="auto"/>
        <w:jc w:val="center"/>
        <w:rPr>
          <w:rFonts w:asciiTheme="majorHAnsi" w:hAnsiTheme="majorHAnsi" w:cstheme="majorHAnsi"/>
        </w:rPr>
      </w:pPr>
      <w:r w:rsidRPr="009C525D">
        <w:rPr>
          <w:rFonts w:asciiTheme="majorHAnsi" w:hAnsiTheme="majorHAnsi" w:cstheme="majorHAnsi"/>
          <w:b/>
          <w:bCs/>
          <w:u w:val="single"/>
        </w:rPr>
        <w:t>Reference List</w:t>
      </w:r>
    </w:p>
    <w:p w14:paraId="55809A22" w14:textId="5887349C" w:rsidR="00F75A04" w:rsidRPr="00F75A04" w:rsidRDefault="00F75A04" w:rsidP="00F75A04">
      <w:pPr>
        <w:pStyle w:val="NoSpacing"/>
        <w:spacing w:line="360" w:lineRule="auto"/>
        <w:rPr>
          <w:rFonts w:asciiTheme="majorHAnsi" w:hAnsiTheme="majorHAnsi" w:cstheme="majorHAnsi"/>
          <w:i/>
          <w:iCs/>
        </w:rPr>
      </w:pPr>
      <w:proofErr w:type="spellStart"/>
      <w:r>
        <w:rPr>
          <w:rFonts w:asciiTheme="majorHAnsi" w:hAnsiTheme="majorHAnsi" w:cstheme="majorHAnsi"/>
        </w:rPr>
        <w:t>Insitute</w:t>
      </w:r>
      <w:proofErr w:type="spellEnd"/>
      <w:r>
        <w:rPr>
          <w:rFonts w:asciiTheme="majorHAnsi" w:hAnsiTheme="majorHAnsi" w:cstheme="majorHAnsi"/>
        </w:rPr>
        <w:t xml:space="preserve"> for Government Website - </w:t>
      </w:r>
      <w:hyperlink r:id="rId7" w:history="1">
        <w:r w:rsidRPr="00717170">
          <w:rPr>
            <w:rStyle w:val="Hyperlink"/>
            <w:rFonts w:asciiTheme="majorHAnsi" w:hAnsiTheme="majorHAnsi" w:cstheme="majorHAnsi"/>
          </w:rPr>
          <w:t>https://www.instituteforgovernment.org.uk/explainers/judicial-review</w:t>
        </w:r>
      </w:hyperlink>
      <w:r>
        <w:rPr>
          <w:rFonts w:asciiTheme="majorHAnsi" w:hAnsiTheme="majorHAnsi" w:cstheme="majorHAnsi"/>
        </w:rPr>
        <w:t xml:space="preserve"> - </w:t>
      </w:r>
      <w:r>
        <w:rPr>
          <w:rFonts w:asciiTheme="majorHAnsi" w:hAnsiTheme="majorHAnsi" w:cstheme="majorHAnsi"/>
          <w:i/>
          <w:iCs/>
        </w:rPr>
        <w:t>Accessed 29-</w:t>
      </w:r>
      <w:r w:rsidR="00EE5AE4">
        <w:rPr>
          <w:rFonts w:asciiTheme="majorHAnsi" w:hAnsiTheme="majorHAnsi" w:cstheme="majorHAnsi"/>
          <w:i/>
          <w:iCs/>
        </w:rPr>
        <w:t>12-2020</w:t>
      </w:r>
    </w:p>
    <w:p w14:paraId="1BEAF72D" w14:textId="04F210F1" w:rsidR="00D71374" w:rsidRPr="009C525D" w:rsidRDefault="00D71374" w:rsidP="00D71374">
      <w:pPr>
        <w:pStyle w:val="NoSpacing"/>
        <w:spacing w:line="360" w:lineRule="auto"/>
        <w:jc w:val="both"/>
        <w:rPr>
          <w:rFonts w:asciiTheme="majorHAnsi" w:hAnsiTheme="majorHAnsi" w:cstheme="majorHAnsi"/>
        </w:rPr>
      </w:pPr>
      <w:r w:rsidRPr="009C525D">
        <w:rPr>
          <w:rFonts w:asciiTheme="majorHAnsi" w:hAnsiTheme="majorHAnsi" w:cstheme="majorHAnsi"/>
        </w:rPr>
        <w:t xml:space="preserve">Keenan. D, (2007) </w:t>
      </w:r>
      <w:r w:rsidRPr="009C525D">
        <w:rPr>
          <w:rFonts w:asciiTheme="majorHAnsi" w:hAnsiTheme="majorHAnsi" w:cstheme="majorHAnsi"/>
          <w:i/>
          <w:iCs/>
        </w:rPr>
        <w:t>Smith and Keenan’s English Law: Texts and Cases</w:t>
      </w:r>
      <w:r w:rsidRPr="009C525D">
        <w:rPr>
          <w:rFonts w:asciiTheme="majorHAnsi" w:hAnsiTheme="majorHAnsi" w:cstheme="majorHAnsi"/>
        </w:rPr>
        <w:t>, Pearson: London</w:t>
      </w:r>
    </w:p>
    <w:p w14:paraId="1256F502" w14:textId="2D0214AF" w:rsidR="009C525D" w:rsidRPr="009C525D" w:rsidRDefault="009C525D" w:rsidP="00D71374">
      <w:pPr>
        <w:pStyle w:val="NoSpacing"/>
        <w:spacing w:line="360" w:lineRule="auto"/>
        <w:jc w:val="both"/>
        <w:rPr>
          <w:rFonts w:asciiTheme="majorHAnsi" w:hAnsiTheme="majorHAnsi" w:cstheme="majorHAnsi"/>
        </w:rPr>
      </w:pPr>
    </w:p>
    <w:p w14:paraId="43E057F0" w14:textId="3E3EC813" w:rsidR="009C525D" w:rsidRDefault="009C525D" w:rsidP="00D71374">
      <w:pPr>
        <w:pStyle w:val="NoSpacing"/>
        <w:spacing w:line="360" w:lineRule="auto"/>
        <w:jc w:val="both"/>
        <w:rPr>
          <w:rFonts w:asciiTheme="majorHAnsi" w:hAnsiTheme="majorHAnsi" w:cstheme="majorHAnsi"/>
        </w:rPr>
      </w:pPr>
      <w:r w:rsidRPr="009C525D">
        <w:rPr>
          <w:rFonts w:asciiTheme="majorHAnsi" w:hAnsiTheme="majorHAnsi" w:cstheme="majorHAnsi"/>
        </w:rPr>
        <w:t>Martin. J, Price. N, (2017) AQA A-Level Law for A-Level Year 1 and AS, Hodder: London</w:t>
      </w:r>
    </w:p>
    <w:p w14:paraId="098E64B6" w14:textId="36BA4B7F" w:rsidR="00F55DD3" w:rsidRDefault="00F55DD3" w:rsidP="00D71374">
      <w:pPr>
        <w:pStyle w:val="NoSpacing"/>
        <w:spacing w:line="360" w:lineRule="auto"/>
        <w:jc w:val="both"/>
        <w:rPr>
          <w:rFonts w:asciiTheme="majorHAnsi" w:hAnsiTheme="majorHAnsi" w:cstheme="majorHAnsi"/>
        </w:rPr>
      </w:pPr>
    </w:p>
    <w:p w14:paraId="23EF1584" w14:textId="1AF18DBD" w:rsidR="00F55DD3" w:rsidRPr="009C525D" w:rsidRDefault="00BF465C" w:rsidP="00D71374">
      <w:pPr>
        <w:pStyle w:val="NoSpacing"/>
        <w:spacing w:line="360" w:lineRule="auto"/>
        <w:jc w:val="both"/>
        <w:rPr>
          <w:rFonts w:asciiTheme="majorHAnsi" w:hAnsiTheme="majorHAnsi" w:cstheme="majorHAnsi"/>
        </w:rPr>
      </w:pPr>
      <w:r>
        <w:rPr>
          <w:rFonts w:asciiTheme="majorHAnsi" w:hAnsiTheme="majorHAnsi" w:cstheme="majorHAnsi"/>
        </w:rPr>
        <w:t>Martin. J, Price. N, Wortley. R, (2018), OCR A-Level Law, Hodder: London</w:t>
      </w:r>
    </w:p>
    <w:p w14:paraId="31FDE30A" w14:textId="73FBC1B5" w:rsidR="00D71374" w:rsidRPr="009C525D" w:rsidRDefault="00D71374" w:rsidP="00D71374">
      <w:pPr>
        <w:pStyle w:val="NoSpacing"/>
        <w:spacing w:line="360" w:lineRule="auto"/>
        <w:jc w:val="both"/>
        <w:rPr>
          <w:rFonts w:asciiTheme="majorHAnsi" w:hAnsiTheme="majorHAnsi" w:cstheme="majorHAnsi"/>
        </w:rPr>
      </w:pPr>
    </w:p>
    <w:p w14:paraId="1C433D1C" w14:textId="4A7E6410" w:rsidR="00D71374" w:rsidRPr="009C525D" w:rsidRDefault="00D71374" w:rsidP="00D71374">
      <w:pPr>
        <w:pStyle w:val="NoSpacing"/>
        <w:spacing w:line="360" w:lineRule="auto"/>
        <w:jc w:val="both"/>
        <w:rPr>
          <w:rFonts w:asciiTheme="majorHAnsi" w:hAnsiTheme="majorHAnsi" w:cstheme="majorHAnsi"/>
        </w:rPr>
      </w:pPr>
      <w:r w:rsidRPr="009C525D">
        <w:rPr>
          <w:rFonts w:asciiTheme="majorHAnsi" w:hAnsiTheme="majorHAnsi" w:cstheme="majorHAnsi"/>
        </w:rPr>
        <w:t xml:space="preserve">Townend. J, (2017) ‘Freedom of Expression and the Chilling Effect’ in </w:t>
      </w:r>
      <w:proofErr w:type="spellStart"/>
      <w:r w:rsidRPr="009C525D">
        <w:rPr>
          <w:rFonts w:asciiTheme="majorHAnsi" w:hAnsiTheme="majorHAnsi" w:cstheme="majorHAnsi"/>
        </w:rPr>
        <w:t>Tumber</w:t>
      </w:r>
      <w:proofErr w:type="spellEnd"/>
      <w:r w:rsidRPr="009C525D">
        <w:rPr>
          <w:rFonts w:asciiTheme="majorHAnsi" w:hAnsiTheme="majorHAnsi" w:cstheme="majorHAnsi"/>
        </w:rPr>
        <w:t xml:space="preserve">. H, </w:t>
      </w:r>
      <w:proofErr w:type="spellStart"/>
      <w:r w:rsidRPr="009C525D">
        <w:rPr>
          <w:rFonts w:asciiTheme="majorHAnsi" w:hAnsiTheme="majorHAnsi" w:cstheme="majorHAnsi"/>
        </w:rPr>
        <w:t>Waisbord</w:t>
      </w:r>
      <w:proofErr w:type="spellEnd"/>
      <w:r w:rsidRPr="009C525D">
        <w:rPr>
          <w:rFonts w:asciiTheme="majorHAnsi" w:hAnsiTheme="majorHAnsi" w:cstheme="majorHAnsi"/>
        </w:rPr>
        <w:t xml:space="preserve">. S, (ed) </w:t>
      </w:r>
      <w:r w:rsidRPr="009C525D">
        <w:rPr>
          <w:rFonts w:asciiTheme="majorHAnsi" w:hAnsiTheme="majorHAnsi" w:cstheme="majorHAnsi"/>
          <w:i/>
          <w:iCs/>
        </w:rPr>
        <w:t>Routledge Companion to Media and Human Rights</w:t>
      </w:r>
      <w:r w:rsidRPr="009C525D">
        <w:rPr>
          <w:rFonts w:asciiTheme="majorHAnsi" w:hAnsiTheme="majorHAnsi" w:cstheme="majorHAnsi"/>
        </w:rPr>
        <w:t>, New York: Routledge</w:t>
      </w:r>
    </w:p>
    <w:p w14:paraId="6DD1A808" w14:textId="1F281C2A" w:rsidR="00D71374" w:rsidRPr="009C525D" w:rsidRDefault="00D71374" w:rsidP="00D71374">
      <w:pPr>
        <w:pStyle w:val="NoSpacing"/>
        <w:spacing w:line="360" w:lineRule="auto"/>
        <w:jc w:val="both"/>
        <w:rPr>
          <w:rFonts w:asciiTheme="majorHAnsi" w:hAnsiTheme="majorHAnsi" w:cstheme="majorHAnsi"/>
        </w:rPr>
      </w:pPr>
    </w:p>
    <w:p w14:paraId="784A14CC" w14:textId="2E656D23" w:rsidR="00D71374" w:rsidRPr="009C525D" w:rsidRDefault="00D71374" w:rsidP="00466F1E">
      <w:pPr>
        <w:pStyle w:val="NoSpacing"/>
        <w:spacing w:line="360" w:lineRule="auto"/>
        <w:jc w:val="both"/>
        <w:rPr>
          <w:rFonts w:asciiTheme="majorHAnsi" w:hAnsiTheme="majorHAnsi" w:cstheme="majorHAnsi"/>
        </w:rPr>
      </w:pPr>
      <w:r w:rsidRPr="009C525D">
        <w:rPr>
          <w:rFonts w:asciiTheme="majorHAnsi" w:hAnsiTheme="majorHAnsi" w:cstheme="majorHAnsi"/>
          <w:u w:val="single"/>
        </w:rPr>
        <w:t>Cases:</w:t>
      </w:r>
    </w:p>
    <w:p w14:paraId="3B7DFC4B" w14:textId="39F8DBB6" w:rsidR="00D71374" w:rsidRPr="009C525D" w:rsidRDefault="00D71374" w:rsidP="00D71374">
      <w:pPr>
        <w:pStyle w:val="NoSpacing"/>
        <w:spacing w:line="360" w:lineRule="auto"/>
        <w:jc w:val="both"/>
        <w:rPr>
          <w:rFonts w:asciiTheme="majorHAnsi" w:hAnsiTheme="majorHAnsi" w:cstheme="majorHAnsi"/>
        </w:rPr>
      </w:pPr>
      <w:r w:rsidRPr="009C525D">
        <w:rPr>
          <w:rFonts w:asciiTheme="majorHAnsi" w:hAnsiTheme="majorHAnsi" w:cstheme="majorHAnsi"/>
        </w:rPr>
        <w:t>Reynolds v Times Newspapers Ltd [1998]</w:t>
      </w:r>
    </w:p>
    <w:p w14:paraId="2A5D533B" w14:textId="77777777" w:rsidR="00D71374" w:rsidRPr="009C525D" w:rsidRDefault="00D71374" w:rsidP="00D71374">
      <w:pPr>
        <w:pStyle w:val="NoSpacing"/>
        <w:spacing w:line="360" w:lineRule="auto"/>
        <w:jc w:val="both"/>
        <w:rPr>
          <w:rFonts w:asciiTheme="majorHAnsi" w:hAnsiTheme="majorHAnsi" w:cstheme="majorHAnsi"/>
        </w:rPr>
      </w:pPr>
    </w:p>
    <w:sectPr w:rsidR="00D71374" w:rsidRPr="009C525D" w:rsidSect="001A7FAF">
      <w:headerReference w:type="default" r:id="rId8"/>
      <w:footerReference w:type="even" r:id="rId9"/>
      <w:footerReference w:type="default" r:id="rId10"/>
      <w:pgSz w:w="11906" w:h="16838"/>
      <w:pgMar w:top="1440" w:right="1440" w:bottom="1440" w:left="1440" w:header="708" w:footer="708" w:gutter="0"/>
      <w:pgNumType w:fmt="numberInDash"/>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C0CDA6" w14:textId="77777777" w:rsidR="009C2B22" w:rsidRDefault="009C2B22" w:rsidP="001A7FAF">
      <w:r>
        <w:separator/>
      </w:r>
    </w:p>
  </w:endnote>
  <w:endnote w:type="continuationSeparator" w:id="0">
    <w:p w14:paraId="20DBA0A4" w14:textId="77777777" w:rsidR="009C2B22" w:rsidRDefault="009C2B22" w:rsidP="001A7F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25940888"/>
      <w:docPartObj>
        <w:docPartGallery w:val="Page Numbers (Bottom of Page)"/>
        <w:docPartUnique/>
      </w:docPartObj>
    </w:sdtPr>
    <w:sdtEndPr>
      <w:rPr>
        <w:rStyle w:val="PageNumber"/>
      </w:rPr>
    </w:sdtEndPr>
    <w:sdtContent>
      <w:p w14:paraId="2334D029" w14:textId="1312C7C2" w:rsidR="001A7FAF" w:rsidRDefault="001A7FAF" w:rsidP="004C39E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0F7864" w14:textId="77777777" w:rsidR="001A7FAF" w:rsidRDefault="001A7F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37181483"/>
      <w:docPartObj>
        <w:docPartGallery w:val="Page Numbers (Bottom of Page)"/>
        <w:docPartUnique/>
      </w:docPartObj>
    </w:sdtPr>
    <w:sdtEndPr>
      <w:rPr>
        <w:rStyle w:val="PageNumber"/>
      </w:rPr>
    </w:sdtEndPr>
    <w:sdtContent>
      <w:p w14:paraId="7F57C2B9" w14:textId="21AC5510" w:rsidR="001A7FAF" w:rsidRDefault="001A7FAF" w:rsidP="004C39E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- 1 -</w:t>
        </w:r>
        <w:r>
          <w:rPr>
            <w:rStyle w:val="PageNumber"/>
          </w:rPr>
          <w:fldChar w:fldCharType="end"/>
        </w:r>
      </w:p>
    </w:sdtContent>
  </w:sdt>
  <w:p w14:paraId="68998C49" w14:textId="5CBC1411" w:rsidR="001A7FAF" w:rsidRDefault="001A7FAF">
    <w:pPr>
      <w:pStyle w:val="Footer"/>
    </w:pPr>
    <w:r>
      <w:t>Ryan Green</w:t>
    </w:r>
    <w:r>
      <w:ptab w:relativeTo="margin" w:alignment="center" w:leader="none"/>
    </w:r>
    <w:r>
      <w:ptab w:relativeTo="margin" w:alignment="right" w:leader="none"/>
    </w:r>
    <w:r>
      <w:t>2017590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38587B" w14:textId="77777777" w:rsidR="009C2B22" w:rsidRDefault="009C2B22" w:rsidP="001A7FAF">
      <w:r>
        <w:separator/>
      </w:r>
    </w:p>
  </w:footnote>
  <w:footnote w:type="continuationSeparator" w:id="0">
    <w:p w14:paraId="6C61A28F" w14:textId="77777777" w:rsidR="009C2B22" w:rsidRDefault="009C2B22" w:rsidP="001A7F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F9F4B4" w14:textId="656679AF" w:rsidR="001A7FAF" w:rsidRDefault="001A7FAF" w:rsidP="001A7FAF">
    <w:pPr>
      <w:pStyle w:val="Header"/>
      <w:jc w:val="center"/>
    </w:pPr>
    <w:r>
      <w:t>University of Wales Trinity Saint David | Swansea Business School</w:t>
    </w:r>
  </w:p>
  <w:p w14:paraId="27570EDC" w14:textId="77BAE447" w:rsidR="001A7FAF" w:rsidRDefault="001A7FAF" w:rsidP="001A7FAF">
    <w:pPr>
      <w:pStyle w:val="Header"/>
      <w:jc w:val="center"/>
    </w:pPr>
    <w:r>
      <w:t>Certificate in Higher Education in Law and Legal Practice 2020/2021</w:t>
    </w:r>
  </w:p>
  <w:p w14:paraId="57D4749F" w14:textId="132EB9F2" w:rsidR="001A7FAF" w:rsidRDefault="001A7FAF" w:rsidP="001A7FAF">
    <w:pPr>
      <w:pStyle w:val="Header"/>
      <w:jc w:val="center"/>
    </w:pPr>
    <w:r>
      <w:t>Module: Public Law | Module Lecturer: Laura Knight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870D2F"/>
    <w:multiLevelType w:val="multilevel"/>
    <w:tmpl w:val="0E620D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FAF"/>
    <w:rsid w:val="00051D96"/>
    <w:rsid w:val="000A330A"/>
    <w:rsid w:val="000B0B1F"/>
    <w:rsid w:val="000F40AF"/>
    <w:rsid w:val="00134D33"/>
    <w:rsid w:val="00141BC1"/>
    <w:rsid w:val="001A7FAF"/>
    <w:rsid w:val="001E18B9"/>
    <w:rsid w:val="00220E24"/>
    <w:rsid w:val="00246664"/>
    <w:rsid w:val="0025221F"/>
    <w:rsid w:val="002878F2"/>
    <w:rsid w:val="00355C9C"/>
    <w:rsid w:val="003C6371"/>
    <w:rsid w:val="00432B08"/>
    <w:rsid w:val="00466F1E"/>
    <w:rsid w:val="005458F6"/>
    <w:rsid w:val="005B27CC"/>
    <w:rsid w:val="00604723"/>
    <w:rsid w:val="006063F1"/>
    <w:rsid w:val="006451B0"/>
    <w:rsid w:val="00703210"/>
    <w:rsid w:val="00727909"/>
    <w:rsid w:val="007705F0"/>
    <w:rsid w:val="007911A4"/>
    <w:rsid w:val="007D7BC7"/>
    <w:rsid w:val="007E42D1"/>
    <w:rsid w:val="00804485"/>
    <w:rsid w:val="00830654"/>
    <w:rsid w:val="008933BB"/>
    <w:rsid w:val="008E7278"/>
    <w:rsid w:val="009C2B22"/>
    <w:rsid w:val="009C525D"/>
    <w:rsid w:val="00A26E19"/>
    <w:rsid w:val="00A64516"/>
    <w:rsid w:val="00A74316"/>
    <w:rsid w:val="00AE7835"/>
    <w:rsid w:val="00B3263C"/>
    <w:rsid w:val="00B85B25"/>
    <w:rsid w:val="00BE0FD9"/>
    <w:rsid w:val="00BE2002"/>
    <w:rsid w:val="00BF465C"/>
    <w:rsid w:val="00C61217"/>
    <w:rsid w:val="00D71374"/>
    <w:rsid w:val="00D84057"/>
    <w:rsid w:val="00D93F6F"/>
    <w:rsid w:val="00DB0BF4"/>
    <w:rsid w:val="00E37AC5"/>
    <w:rsid w:val="00E564C2"/>
    <w:rsid w:val="00EE131B"/>
    <w:rsid w:val="00EE5AE4"/>
    <w:rsid w:val="00F4730D"/>
    <w:rsid w:val="00F55DD3"/>
    <w:rsid w:val="00F75A04"/>
    <w:rsid w:val="00F77ADA"/>
    <w:rsid w:val="00F94F52"/>
    <w:rsid w:val="00FE43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6E38D3"/>
  <w15:chartTrackingRefBased/>
  <w15:docId w15:val="{4AFAD157-353F-3D45-81F0-E50587B64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7FAF"/>
    <w:pPr>
      <w:tabs>
        <w:tab w:val="center" w:pos="4513"/>
        <w:tab w:val="right" w:pos="9026"/>
      </w:tabs>
    </w:pPr>
  </w:style>
  <w:style w:type="character" w:customStyle="1" w:styleId="HeaderChar">
    <w:name w:val="Header Char"/>
    <w:basedOn w:val="DefaultParagraphFont"/>
    <w:link w:val="Header"/>
    <w:uiPriority w:val="99"/>
    <w:rsid w:val="001A7FAF"/>
  </w:style>
  <w:style w:type="paragraph" w:styleId="Footer">
    <w:name w:val="footer"/>
    <w:basedOn w:val="Normal"/>
    <w:link w:val="FooterChar"/>
    <w:uiPriority w:val="99"/>
    <w:unhideWhenUsed/>
    <w:rsid w:val="001A7FAF"/>
    <w:pPr>
      <w:tabs>
        <w:tab w:val="center" w:pos="4513"/>
        <w:tab w:val="right" w:pos="9026"/>
      </w:tabs>
    </w:pPr>
  </w:style>
  <w:style w:type="character" w:customStyle="1" w:styleId="FooterChar">
    <w:name w:val="Footer Char"/>
    <w:basedOn w:val="DefaultParagraphFont"/>
    <w:link w:val="Footer"/>
    <w:uiPriority w:val="99"/>
    <w:rsid w:val="001A7FAF"/>
  </w:style>
  <w:style w:type="character" w:styleId="PageNumber">
    <w:name w:val="page number"/>
    <w:basedOn w:val="DefaultParagraphFont"/>
    <w:uiPriority w:val="99"/>
    <w:semiHidden/>
    <w:unhideWhenUsed/>
    <w:rsid w:val="001A7FAF"/>
  </w:style>
  <w:style w:type="paragraph" w:styleId="NoSpacing">
    <w:name w:val="No Spacing"/>
    <w:uiPriority w:val="1"/>
    <w:qFormat/>
    <w:rsid w:val="001A7FAF"/>
  </w:style>
  <w:style w:type="paragraph" w:styleId="NormalWeb">
    <w:name w:val="Normal (Web)"/>
    <w:basedOn w:val="Normal"/>
    <w:uiPriority w:val="99"/>
    <w:unhideWhenUsed/>
    <w:rsid w:val="00141BC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F75A04"/>
    <w:rPr>
      <w:color w:val="0563C1" w:themeColor="hyperlink"/>
      <w:u w:val="single"/>
    </w:rPr>
  </w:style>
  <w:style w:type="character" w:styleId="UnresolvedMention">
    <w:name w:val="Unresolved Mention"/>
    <w:basedOn w:val="DefaultParagraphFont"/>
    <w:uiPriority w:val="99"/>
    <w:semiHidden/>
    <w:unhideWhenUsed/>
    <w:rsid w:val="00F75A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74721541">
      <w:bodyDiv w:val="1"/>
      <w:marLeft w:val="0"/>
      <w:marRight w:val="0"/>
      <w:marTop w:val="0"/>
      <w:marBottom w:val="0"/>
      <w:divBdr>
        <w:top w:val="none" w:sz="0" w:space="0" w:color="auto"/>
        <w:left w:val="none" w:sz="0" w:space="0" w:color="auto"/>
        <w:bottom w:val="none" w:sz="0" w:space="0" w:color="auto"/>
        <w:right w:val="none" w:sz="0" w:space="0" w:color="auto"/>
      </w:divBdr>
      <w:divsChild>
        <w:div w:id="564216886">
          <w:marLeft w:val="0"/>
          <w:marRight w:val="0"/>
          <w:marTop w:val="0"/>
          <w:marBottom w:val="0"/>
          <w:divBdr>
            <w:top w:val="none" w:sz="0" w:space="0" w:color="auto"/>
            <w:left w:val="none" w:sz="0" w:space="0" w:color="auto"/>
            <w:bottom w:val="none" w:sz="0" w:space="0" w:color="auto"/>
            <w:right w:val="none" w:sz="0" w:space="0" w:color="auto"/>
          </w:divBdr>
          <w:divsChild>
            <w:div w:id="1779442988">
              <w:marLeft w:val="0"/>
              <w:marRight w:val="0"/>
              <w:marTop w:val="0"/>
              <w:marBottom w:val="0"/>
              <w:divBdr>
                <w:top w:val="none" w:sz="0" w:space="0" w:color="auto"/>
                <w:left w:val="none" w:sz="0" w:space="0" w:color="auto"/>
                <w:bottom w:val="none" w:sz="0" w:space="0" w:color="auto"/>
                <w:right w:val="none" w:sz="0" w:space="0" w:color="auto"/>
              </w:divBdr>
              <w:divsChild>
                <w:div w:id="477842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instituteforgovernment.org.uk/explainers/judicial-review"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1388</Words>
  <Characters>6889</Characters>
  <Application>Microsoft Office Word</Application>
  <DocSecurity>0</DocSecurity>
  <Lines>109</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John Green (2017590)</dc:creator>
  <cp:keywords/>
  <dc:description/>
  <cp:lastModifiedBy>Ryan John Green (2017590)</cp:lastModifiedBy>
  <cp:revision>2</cp:revision>
  <dcterms:created xsi:type="dcterms:W3CDTF">2021-01-08T23:54:00Z</dcterms:created>
  <dcterms:modified xsi:type="dcterms:W3CDTF">2021-01-08T23:54:00Z</dcterms:modified>
</cp:coreProperties>
</file>